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7EE4CB">
      <w:pPr>
        <w:tabs>
          <w:tab w:val="left" w:pos="1710"/>
        </w:tabs>
        <w:rPr>
          <w:color w:val="auto"/>
          <w:highlight w:val="none"/>
        </w:rPr>
      </w:pPr>
      <w:bookmarkStart w:id="0" w:name="_Toc217446030"/>
      <w:bookmarkStart w:id="1" w:name="_Toc183682338"/>
      <w:r>
        <w:rPr>
          <w:rFonts w:hint="eastAsia"/>
          <w:color w:val="auto"/>
          <w:highlight w:val="none"/>
          <w:lang w:eastAsia="zh-CN"/>
        </w:rPr>
        <w:drawing>
          <wp:anchor distT="0" distB="0" distL="114300" distR="114300" simplePos="0" relativeHeight="251660288" behindDoc="1" locked="0" layoutInCell="1" allowOverlap="1">
            <wp:simplePos x="0" y="0"/>
            <wp:positionH relativeFrom="column">
              <wp:posOffset>-1005840</wp:posOffset>
            </wp:positionH>
            <wp:positionV relativeFrom="paragraph">
              <wp:posOffset>-945515</wp:posOffset>
            </wp:positionV>
            <wp:extent cx="7190740" cy="10781030"/>
            <wp:effectExtent l="0" t="0" r="10160" b="127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28"/>
                    <a:stretch>
                      <a:fillRect/>
                    </a:stretch>
                  </pic:blipFill>
                  <pic:spPr>
                    <a:xfrm>
                      <a:off x="0" y="0"/>
                      <a:ext cx="7190740" cy="10781030"/>
                    </a:xfrm>
                    <a:prstGeom prst="rect">
                      <a:avLst/>
                    </a:prstGeom>
                  </pic:spPr>
                </pic:pic>
              </a:graphicData>
            </a:graphic>
          </wp:anchor>
        </w:drawing>
      </w:r>
    </w:p>
    <w:p w14:paraId="2F6C14E9">
      <w:pPr>
        <w:tabs>
          <w:tab w:val="left" w:pos="1710"/>
        </w:tabs>
        <w:rPr>
          <w:color w:val="auto"/>
          <w:highlight w:val="none"/>
        </w:rPr>
      </w:pPr>
    </w:p>
    <w:p w14:paraId="24DF06A3">
      <w:pPr>
        <w:tabs>
          <w:tab w:val="left" w:pos="1710"/>
        </w:tabs>
        <w:rPr>
          <w:color w:val="auto"/>
          <w:highlight w:val="none"/>
        </w:rPr>
      </w:pPr>
    </w:p>
    <w:p w14:paraId="28E2B68C">
      <w:pPr>
        <w:tabs>
          <w:tab w:val="left" w:pos="1710"/>
        </w:tabs>
        <w:rPr>
          <w:color w:val="auto"/>
          <w:highlight w:val="none"/>
        </w:rPr>
      </w:pPr>
    </w:p>
    <w:p w14:paraId="72EC2DAE">
      <w:pPr>
        <w:tabs>
          <w:tab w:val="left" w:pos="1710"/>
        </w:tabs>
        <w:rPr>
          <w:color w:val="auto"/>
          <w:highlight w:val="none"/>
        </w:rPr>
      </w:pPr>
    </w:p>
    <w:p w14:paraId="62CD0F67">
      <w:pPr>
        <w:tabs>
          <w:tab w:val="left" w:pos="1710"/>
        </w:tabs>
        <w:rPr>
          <w:color w:val="auto"/>
          <w:highlight w:val="none"/>
        </w:rPr>
      </w:pPr>
      <w:r>
        <w:rPr>
          <w:rFonts w:hint="eastAsia"/>
          <w:color w:val="auto"/>
          <w:highlight w:val="none"/>
          <w:lang w:eastAsia="zh-CN"/>
        </w:rPr>
        <w:drawing>
          <wp:anchor distT="0" distB="0" distL="114300" distR="114300" simplePos="0" relativeHeight="251661312" behindDoc="0" locked="0" layoutInCell="1" allowOverlap="1">
            <wp:simplePos x="0" y="0"/>
            <wp:positionH relativeFrom="column">
              <wp:posOffset>534035</wp:posOffset>
            </wp:positionH>
            <wp:positionV relativeFrom="paragraph">
              <wp:posOffset>-163195</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29"/>
                    <a:stretch>
                      <a:fillRect/>
                    </a:stretch>
                  </pic:blipFill>
                  <pic:spPr>
                    <a:xfrm>
                      <a:off x="0" y="0"/>
                      <a:ext cx="4654550" cy="584200"/>
                    </a:xfrm>
                    <a:prstGeom prst="rect">
                      <a:avLst/>
                    </a:prstGeom>
                  </pic:spPr>
                </pic:pic>
              </a:graphicData>
            </a:graphic>
          </wp:anchor>
        </w:drawing>
      </w:r>
    </w:p>
    <w:p w14:paraId="251852A7">
      <w:pPr>
        <w:tabs>
          <w:tab w:val="left" w:pos="1710"/>
        </w:tabs>
        <w:rPr>
          <w:color w:val="auto"/>
          <w:highlight w:val="none"/>
        </w:rPr>
      </w:pPr>
    </w:p>
    <w:p w14:paraId="50C05EBB">
      <w:pPr>
        <w:tabs>
          <w:tab w:val="left" w:pos="1710"/>
        </w:tabs>
        <w:rPr>
          <w:color w:val="auto"/>
          <w:highlight w:val="none"/>
        </w:rPr>
      </w:pPr>
    </w:p>
    <w:p w14:paraId="73741D52">
      <w:pPr>
        <w:tabs>
          <w:tab w:val="left" w:pos="1710"/>
        </w:tabs>
        <w:rPr>
          <w:color w:val="auto"/>
          <w:highlight w:val="none"/>
        </w:rPr>
      </w:pPr>
    </w:p>
    <w:p w14:paraId="3C9AB6C2">
      <w:pPr>
        <w:tabs>
          <w:tab w:val="left" w:pos="1710"/>
        </w:tabs>
        <w:rPr>
          <w:color w:val="auto"/>
          <w:highlight w:val="none"/>
        </w:rPr>
      </w:pPr>
    </w:p>
    <w:p w14:paraId="778E3421">
      <w:pPr>
        <w:tabs>
          <w:tab w:val="left" w:pos="1710"/>
        </w:tabs>
        <w:rPr>
          <w:color w:val="auto"/>
          <w:highlight w:val="none"/>
        </w:rPr>
      </w:pPr>
    </w:p>
    <w:p w14:paraId="49A48FBF">
      <w:pPr>
        <w:tabs>
          <w:tab w:val="left" w:pos="1710"/>
        </w:tabs>
        <w:rPr>
          <w:color w:val="auto"/>
          <w:highlight w:val="none"/>
        </w:rPr>
      </w:pPr>
    </w:p>
    <w:p w14:paraId="060F814E">
      <w:pPr>
        <w:tabs>
          <w:tab w:val="left" w:pos="1710"/>
        </w:tabs>
        <w:rPr>
          <w:color w:val="auto"/>
          <w:highlight w:val="none"/>
        </w:rPr>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433"/>
      </w:tblGrid>
      <w:tr w14:paraId="7E88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197" w:type="dxa"/>
            <w:gridSpan w:val="2"/>
            <w:tcBorders>
              <w:top w:val="nil"/>
              <w:left w:val="nil"/>
              <w:right w:val="nil"/>
            </w:tcBorders>
            <w:noWrap w:val="0"/>
            <w:vAlign w:val="top"/>
          </w:tcPr>
          <w:p w14:paraId="132A14E2">
            <w:pPr>
              <w:snapToGrid w:val="0"/>
              <w:spacing w:line="240" w:lineRule="atLeast"/>
              <w:jc w:val="center"/>
              <w:rPr>
                <w:rFonts w:hint="eastAsia"/>
                <w:b/>
                <w:color w:val="auto"/>
                <w:sz w:val="60"/>
                <w:szCs w:val="60"/>
                <w:highlight w:val="none"/>
              </w:rPr>
            </w:pPr>
            <w:r>
              <w:rPr>
                <w:rFonts w:hint="eastAsia"/>
                <w:b/>
                <w:color w:val="auto"/>
                <w:sz w:val="60"/>
                <w:szCs w:val="60"/>
                <w:highlight w:val="none"/>
              </w:rPr>
              <w:t xml:space="preserve"> 采购文件</w:t>
            </w:r>
          </w:p>
        </w:tc>
      </w:tr>
      <w:tr w14:paraId="0BFC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A51393A">
            <w:pPr>
              <w:rPr>
                <w:b/>
                <w:color w:val="auto"/>
                <w:sz w:val="32"/>
                <w:szCs w:val="32"/>
                <w:highlight w:val="none"/>
              </w:rPr>
            </w:pPr>
            <w:r>
              <w:rPr>
                <w:b/>
                <w:color w:val="auto"/>
                <w:sz w:val="32"/>
                <w:szCs w:val="32"/>
                <w:highlight w:val="none"/>
              </w:rPr>
              <w:t>项目名称：</w:t>
            </w:r>
          </w:p>
        </w:tc>
        <w:tc>
          <w:tcPr>
            <w:tcW w:w="5433" w:type="dxa"/>
            <w:noWrap w:val="0"/>
            <w:vAlign w:val="center"/>
          </w:tcPr>
          <w:p w14:paraId="36B339F3">
            <w:pPr>
              <w:rPr>
                <w:rFonts w:hint="eastAsia" w:eastAsia="宋体"/>
                <w:b/>
                <w:color w:val="auto"/>
                <w:sz w:val="32"/>
                <w:szCs w:val="32"/>
                <w:highlight w:val="none"/>
                <w:lang w:eastAsia="zh-CN"/>
              </w:rPr>
            </w:pPr>
            <w:r>
              <w:rPr>
                <w:rFonts w:hint="eastAsia"/>
                <w:b/>
                <w:color w:val="auto"/>
                <w:sz w:val="32"/>
                <w:szCs w:val="32"/>
                <w:highlight w:val="none"/>
                <w:lang w:eastAsia="zh-CN"/>
              </w:rPr>
              <w:t>防城港市市场监督管理局2026年食品安全监督抽检服务</w:t>
            </w:r>
          </w:p>
        </w:tc>
      </w:tr>
      <w:tr w14:paraId="0F91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15A62068">
            <w:pPr>
              <w:rPr>
                <w:b/>
                <w:color w:val="auto"/>
                <w:sz w:val="32"/>
                <w:szCs w:val="32"/>
                <w:highlight w:val="none"/>
              </w:rPr>
            </w:pPr>
            <w:r>
              <w:rPr>
                <w:b/>
                <w:color w:val="auto"/>
                <w:sz w:val="32"/>
                <w:szCs w:val="32"/>
                <w:highlight w:val="none"/>
              </w:rPr>
              <w:t>项目编号：</w:t>
            </w:r>
          </w:p>
        </w:tc>
        <w:tc>
          <w:tcPr>
            <w:tcW w:w="5433" w:type="dxa"/>
            <w:noWrap w:val="0"/>
            <w:vAlign w:val="center"/>
          </w:tcPr>
          <w:p w14:paraId="1F51E093">
            <w:pPr>
              <w:rPr>
                <w:rFonts w:hint="eastAsia" w:eastAsia="宋体"/>
                <w:b/>
                <w:color w:val="auto"/>
                <w:sz w:val="32"/>
                <w:szCs w:val="32"/>
                <w:highlight w:val="none"/>
                <w:lang w:eastAsia="zh-CN"/>
              </w:rPr>
            </w:pPr>
            <w:r>
              <w:rPr>
                <w:rFonts w:hint="eastAsia"/>
                <w:b/>
                <w:color w:val="auto"/>
                <w:sz w:val="32"/>
                <w:szCs w:val="32"/>
                <w:highlight w:val="none"/>
                <w:lang w:eastAsia="zh-CN"/>
              </w:rPr>
              <w:t>FCZC2026-C3-990126-JDZB</w:t>
            </w:r>
          </w:p>
        </w:tc>
      </w:tr>
      <w:tr w14:paraId="763A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1D6209AE">
            <w:pPr>
              <w:rPr>
                <w:b/>
                <w:color w:val="auto"/>
                <w:sz w:val="32"/>
                <w:szCs w:val="32"/>
                <w:highlight w:val="none"/>
              </w:rPr>
            </w:pPr>
            <w:r>
              <w:rPr>
                <w:b/>
                <w:color w:val="auto"/>
                <w:sz w:val="32"/>
                <w:szCs w:val="32"/>
                <w:highlight w:val="none"/>
              </w:rPr>
              <w:t>联系电话：</w:t>
            </w:r>
          </w:p>
        </w:tc>
        <w:tc>
          <w:tcPr>
            <w:tcW w:w="5433" w:type="dxa"/>
            <w:noWrap w:val="0"/>
            <w:vAlign w:val="center"/>
          </w:tcPr>
          <w:p w14:paraId="45DCB3B4">
            <w:pPr>
              <w:rPr>
                <w:rFonts w:hint="default" w:eastAsia="宋体"/>
                <w:b/>
                <w:color w:val="auto"/>
                <w:sz w:val="32"/>
                <w:szCs w:val="32"/>
                <w:highlight w:val="none"/>
                <w:lang w:val="en-US" w:eastAsia="zh-CN"/>
              </w:rPr>
            </w:pPr>
            <w:r>
              <w:rPr>
                <w:rFonts w:hint="eastAsia"/>
                <w:b/>
                <w:color w:val="auto"/>
                <w:sz w:val="32"/>
                <w:szCs w:val="32"/>
                <w:highlight w:val="none"/>
                <w:lang w:val="en-US" w:eastAsia="zh-CN"/>
              </w:rPr>
              <w:t>17677662572</w:t>
            </w:r>
          </w:p>
        </w:tc>
      </w:tr>
      <w:tr w14:paraId="47A5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5A66D91">
            <w:pPr>
              <w:rPr>
                <w:b/>
                <w:color w:val="auto"/>
                <w:sz w:val="32"/>
                <w:szCs w:val="32"/>
                <w:highlight w:val="none"/>
              </w:rPr>
            </w:pPr>
            <w:r>
              <w:rPr>
                <w:rFonts w:hint="eastAsia"/>
                <w:b/>
                <w:color w:val="auto"/>
                <w:sz w:val="32"/>
                <w:szCs w:val="32"/>
                <w:highlight w:val="none"/>
              </w:rPr>
              <w:t>采购方式：</w:t>
            </w:r>
          </w:p>
        </w:tc>
        <w:tc>
          <w:tcPr>
            <w:tcW w:w="5433" w:type="dxa"/>
            <w:noWrap w:val="0"/>
            <w:vAlign w:val="center"/>
          </w:tcPr>
          <w:p w14:paraId="7A6F724D">
            <w:pPr>
              <w:rPr>
                <w:b/>
                <w:color w:val="auto"/>
                <w:sz w:val="32"/>
                <w:szCs w:val="32"/>
                <w:highlight w:val="none"/>
              </w:rPr>
            </w:pPr>
            <w:r>
              <w:rPr>
                <w:rFonts w:hint="eastAsia"/>
                <w:b/>
                <w:color w:val="auto"/>
                <w:sz w:val="32"/>
                <w:szCs w:val="32"/>
                <w:highlight w:val="none"/>
              </w:rPr>
              <w:t>竞争性磋商</w:t>
            </w:r>
          </w:p>
        </w:tc>
      </w:tr>
    </w:tbl>
    <w:p w14:paraId="74CB8DE9">
      <w:pPr>
        <w:tabs>
          <w:tab w:val="left" w:pos="1710"/>
        </w:tabs>
        <w:rPr>
          <w:color w:val="auto"/>
          <w:highlight w:val="none"/>
        </w:rPr>
      </w:pPr>
    </w:p>
    <w:p w14:paraId="74A1D59D">
      <w:pPr>
        <w:rPr>
          <w:color w:val="auto"/>
          <w:highlight w:val="none"/>
        </w:rPr>
      </w:pPr>
    </w:p>
    <w:p w14:paraId="4AAD43F8">
      <w:pPr>
        <w:rPr>
          <w:color w:val="auto"/>
          <w:highlight w:val="none"/>
        </w:rPr>
      </w:pPr>
    </w:p>
    <w:p w14:paraId="207987F6">
      <w:pPr>
        <w:rPr>
          <w:color w:val="auto"/>
          <w:highlight w:val="none"/>
        </w:rPr>
      </w:pPr>
    </w:p>
    <w:p w14:paraId="5EE74B01">
      <w:pPr>
        <w:rPr>
          <w:color w:val="auto"/>
          <w:highlight w:val="none"/>
        </w:rPr>
      </w:pPr>
    </w:p>
    <w:p w14:paraId="044EB320">
      <w:pPr>
        <w:rPr>
          <w:color w:val="auto"/>
          <w:highlight w:val="none"/>
        </w:rPr>
      </w:pPr>
    </w:p>
    <w:p w14:paraId="2A21285C">
      <w:pPr>
        <w:rPr>
          <w:color w:val="auto"/>
          <w:highlight w:val="none"/>
        </w:rPr>
      </w:pPr>
    </w:p>
    <w:p w14:paraId="7F63ACA6">
      <w:pPr>
        <w:rPr>
          <w:color w:val="auto"/>
          <w:highlight w:val="none"/>
        </w:rPr>
      </w:pPr>
    </w:p>
    <w:p w14:paraId="105B18AF">
      <w:pPr>
        <w:rPr>
          <w:color w:val="auto"/>
          <w:highlight w:val="none"/>
        </w:rPr>
      </w:pPr>
    </w:p>
    <w:p w14:paraId="2DB38EC4">
      <w:pPr>
        <w:rPr>
          <w:color w:val="auto"/>
          <w:highlight w:val="none"/>
        </w:rPr>
      </w:pPr>
    </w:p>
    <w:p w14:paraId="46EDD0FC">
      <w:pPr>
        <w:rPr>
          <w:color w:val="auto"/>
          <w:highlight w:val="none"/>
        </w:rPr>
      </w:pPr>
    </w:p>
    <w:p w14:paraId="232635D4">
      <w:pPr>
        <w:rPr>
          <w:color w:val="auto"/>
          <w:highlight w:val="none"/>
        </w:rPr>
      </w:pPr>
    </w:p>
    <w:p w14:paraId="49F1E713">
      <w:pPr>
        <w:rPr>
          <w:color w:val="auto"/>
          <w:highlight w:val="none"/>
        </w:rPr>
      </w:pPr>
    </w:p>
    <w:p w14:paraId="574E4A1D">
      <w:pPr>
        <w:rPr>
          <w:color w:val="auto"/>
          <w:highlight w:val="none"/>
        </w:rPr>
      </w:pPr>
    </w:p>
    <w:p w14:paraId="2736498B">
      <w:pPr>
        <w:rPr>
          <w:color w:val="auto"/>
          <w:highlight w:val="none"/>
        </w:rPr>
      </w:pPr>
    </w:p>
    <w:tbl>
      <w:tblPr>
        <w:tblStyle w:val="51"/>
        <w:tblW w:w="0" w:type="auto"/>
        <w:jc w:val="center"/>
        <w:tblLayout w:type="fixed"/>
        <w:tblCellMar>
          <w:top w:w="0" w:type="dxa"/>
          <w:left w:w="108" w:type="dxa"/>
          <w:bottom w:w="0" w:type="dxa"/>
          <w:right w:w="108" w:type="dxa"/>
        </w:tblCellMar>
      </w:tblPr>
      <w:tblGrid>
        <w:gridCol w:w="2707"/>
        <w:gridCol w:w="6"/>
        <w:gridCol w:w="5571"/>
      </w:tblGrid>
      <w:tr w14:paraId="638558E8">
        <w:tblPrEx>
          <w:tblCellMar>
            <w:top w:w="0" w:type="dxa"/>
            <w:left w:w="108" w:type="dxa"/>
            <w:bottom w:w="0" w:type="dxa"/>
            <w:right w:w="108" w:type="dxa"/>
          </w:tblCellMar>
        </w:tblPrEx>
        <w:trPr>
          <w:trHeight w:val="703" w:hRule="atLeast"/>
          <w:jc w:val="center"/>
        </w:trPr>
        <w:tc>
          <w:tcPr>
            <w:tcW w:w="2707" w:type="dxa"/>
            <w:noWrap w:val="0"/>
            <w:vAlign w:val="center"/>
          </w:tcPr>
          <w:p w14:paraId="2FF10255">
            <w:pPr>
              <w:autoSpaceDE w:val="0"/>
              <w:autoSpaceDN w:val="0"/>
              <w:adjustRightInd w:val="0"/>
              <w:jc w:val="right"/>
              <w:rPr>
                <w:b/>
                <w:color w:val="auto"/>
                <w:sz w:val="32"/>
                <w:szCs w:val="32"/>
                <w:highlight w:val="none"/>
              </w:rPr>
            </w:pPr>
            <w:r>
              <w:rPr>
                <w:b/>
                <w:color w:val="auto"/>
                <w:sz w:val="32"/>
                <w:szCs w:val="32"/>
                <w:highlight w:val="none"/>
              </w:rPr>
              <w:t xml:space="preserve">  采购人：</w:t>
            </w:r>
          </w:p>
        </w:tc>
        <w:tc>
          <w:tcPr>
            <w:tcW w:w="5577" w:type="dxa"/>
            <w:gridSpan w:val="2"/>
            <w:noWrap w:val="0"/>
            <w:vAlign w:val="center"/>
          </w:tcPr>
          <w:p w14:paraId="3BB04BBC">
            <w:pPr>
              <w:autoSpaceDE w:val="0"/>
              <w:autoSpaceDN w:val="0"/>
              <w:adjustRightInd w:val="0"/>
              <w:jc w:val="left"/>
              <w:rPr>
                <w:rFonts w:hint="eastAsia" w:eastAsia="宋体"/>
                <w:b/>
                <w:color w:val="auto"/>
                <w:sz w:val="32"/>
                <w:szCs w:val="32"/>
                <w:highlight w:val="none"/>
                <w:lang w:eastAsia="zh-CN"/>
              </w:rPr>
            </w:pPr>
            <w:r>
              <w:rPr>
                <w:rFonts w:hint="eastAsia"/>
                <w:b/>
                <w:color w:val="auto"/>
                <w:sz w:val="32"/>
                <w:szCs w:val="32"/>
                <w:highlight w:val="none"/>
                <w:lang w:eastAsia="zh-CN"/>
              </w:rPr>
              <w:t>防城港市市场监督管理局</w:t>
            </w:r>
          </w:p>
        </w:tc>
      </w:tr>
      <w:tr w14:paraId="2A8B64CF">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C39D1B8">
            <w:pPr>
              <w:autoSpaceDE w:val="0"/>
              <w:autoSpaceDN w:val="0"/>
              <w:adjustRightInd w:val="0"/>
              <w:jc w:val="right"/>
              <w:rPr>
                <w:b/>
                <w:color w:val="auto"/>
                <w:sz w:val="32"/>
                <w:szCs w:val="32"/>
                <w:highlight w:val="none"/>
              </w:rPr>
            </w:pPr>
            <w:r>
              <w:rPr>
                <w:b/>
                <w:color w:val="auto"/>
                <w:sz w:val="32"/>
                <w:szCs w:val="32"/>
                <w:highlight w:val="none"/>
              </w:rPr>
              <w:t>采购代理机构：</w:t>
            </w:r>
          </w:p>
        </w:tc>
        <w:tc>
          <w:tcPr>
            <w:tcW w:w="5571" w:type="dxa"/>
            <w:noWrap w:val="0"/>
            <w:vAlign w:val="top"/>
          </w:tcPr>
          <w:p w14:paraId="27797030">
            <w:pPr>
              <w:autoSpaceDE w:val="0"/>
              <w:autoSpaceDN w:val="0"/>
              <w:adjustRightInd w:val="0"/>
              <w:rPr>
                <w:b/>
                <w:color w:val="auto"/>
                <w:sz w:val="32"/>
                <w:szCs w:val="32"/>
                <w:highlight w:val="none"/>
                <w:u w:val="single"/>
              </w:rPr>
            </w:pPr>
            <w:r>
              <w:rPr>
                <w:b/>
                <w:color w:val="auto"/>
                <w:sz w:val="32"/>
                <w:szCs w:val="32"/>
                <w:highlight w:val="none"/>
              </w:rPr>
              <w:t>广西机电设备招标有限公司</w:t>
            </w:r>
          </w:p>
        </w:tc>
      </w:tr>
    </w:tbl>
    <w:p w14:paraId="324BE30B">
      <w:pPr>
        <w:rPr>
          <w:color w:val="auto"/>
          <w:highlight w:val="none"/>
        </w:rPr>
      </w:pPr>
    </w:p>
    <w:p w14:paraId="46D65C2B">
      <w:pPr>
        <w:ind w:firstLine="321" w:firstLineChars="100"/>
        <w:jc w:val="center"/>
        <w:rPr>
          <w:b/>
          <w:color w:val="auto"/>
          <w:sz w:val="32"/>
          <w:szCs w:val="32"/>
          <w:highlight w:val="none"/>
        </w:rPr>
        <w:sectPr>
          <w:headerReference r:id="rId4" w:type="first"/>
          <w:footerReference r:id="rId7" w:type="first"/>
          <w:headerReference r:id="rId3" w:type="default"/>
          <w:footerReference r:id="rId5" w:type="default"/>
          <w:footerReference r:id="rId6" w:type="even"/>
          <w:type w:val="nextColumn"/>
          <w:pgSz w:w="11906" w:h="16838"/>
          <w:pgMar w:top="1418" w:right="1418" w:bottom="1246" w:left="1418" w:header="851" w:footer="992" w:gutter="0"/>
          <w:pgNumType w:fmt="decimal" w:start="0"/>
          <w:cols w:space="720" w:num="1"/>
          <w:titlePg/>
          <w:docGrid w:linePitch="312" w:charSpace="0"/>
        </w:sectPr>
      </w:pPr>
      <w:r>
        <w:rPr>
          <w:b/>
          <w:color w:val="auto"/>
          <w:sz w:val="32"/>
          <w:szCs w:val="32"/>
          <w:highlight w:val="none"/>
        </w:rPr>
        <w:t>202</w:t>
      </w:r>
      <w:r>
        <w:rPr>
          <w:rFonts w:hint="eastAsia"/>
          <w:b/>
          <w:color w:val="auto"/>
          <w:sz w:val="32"/>
          <w:szCs w:val="32"/>
          <w:highlight w:val="none"/>
          <w:lang w:val="en-US" w:eastAsia="zh-CN"/>
        </w:rPr>
        <w:t>6</w:t>
      </w:r>
      <w:r>
        <w:rPr>
          <w:b/>
          <w:color w:val="auto"/>
          <w:sz w:val="32"/>
          <w:szCs w:val="32"/>
          <w:highlight w:val="none"/>
        </w:rPr>
        <w:t>年</w:t>
      </w:r>
      <w:r>
        <w:rPr>
          <w:rFonts w:hint="eastAsia"/>
          <w:b/>
          <w:color w:val="auto"/>
          <w:sz w:val="32"/>
          <w:szCs w:val="32"/>
          <w:highlight w:val="none"/>
          <w:lang w:val="en-US" w:eastAsia="zh-CN"/>
        </w:rPr>
        <w:t xml:space="preserve"> 7</w:t>
      </w:r>
      <w:r>
        <w:rPr>
          <w:b/>
          <w:color w:val="auto"/>
          <w:sz w:val="32"/>
          <w:szCs w:val="32"/>
          <w:highlight w:val="none"/>
        </w:rPr>
        <w:t>月</w:t>
      </w:r>
    </w:p>
    <w:p w14:paraId="67D6722F">
      <w:pPr>
        <w:rPr>
          <w:color w:val="auto"/>
          <w:sz w:val="32"/>
          <w:szCs w:val="32"/>
          <w:highlight w:val="none"/>
        </w:rPr>
      </w:pPr>
    </w:p>
    <w:p w14:paraId="5F19AB1B">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2" w:name="_Toc17133"/>
      <w:r>
        <w:rPr>
          <w:rFonts w:ascii="Times New Roman" w:hAnsi="Times New Roman" w:cs="Times New Roman"/>
          <w:color w:val="auto"/>
          <w:sz w:val="32"/>
          <w:szCs w:val="32"/>
          <w:highlight w:val="none"/>
        </w:rPr>
        <w:t>目    录</w:t>
      </w:r>
      <w:bookmarkEnd w:id="2"/>
    </w:p>
    <w:p w14:paraId="433476CE">
      <w:pPr>
        <w:pStyle w:val="33"/>
        <w:tabs>
          <w:tab w:val="right" w:leader="dot" w:pos="9070"/>
          <w:tab w:val="clear" w:pos="8398"/>
        </w:tabs>
        <w:ind w:firstLine="241"/>
        <w:rPr>
          <w:rFonts w:ascii="Times New Roman" w:hAnsi="Times New Roman"/>
          <w:color w:val="auto"/>
          <w:highlight w:val="none"/>
        </w:rPr>
      </w:pPr>
      <w:r>
        <w:rPr>
          <w:rFonts w:ascii="Times New Roman" w:hAnsi="Times New Roman"/>
          <w:color w:val="auto"/>
          <w:highlight w:val="none"/>
        </w:rPr>
        <w:fldChar w:fldCharType="begin"/>
      </w:r>
      <w:r>
        <w:rPr>
          <w:rStyle w:val="57"/>
          <w:rFonts w:ascii="Times New Roman" w:hAnsi="Times New Roman"/>
          <w:color w:val="auto"/>
          <w:highlight w:val="none"/>
        </w:rPr>
        <w:instrText xml:space="preserve"> TOC \o "1-1" \h \z \u </w:instrText>
      </w:r>
      <w:r>
        <w:rPr>
          <w:rFonts w:ascii="Times New Roman" w:hAnsi="Times New Roman"/>
          <w:color w:val="auto"/>
          <w:highlight w:val="none"/>
        </w:rPr>
        <w:fldChar w:fldCharType="separate"/>
      </w: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_Toc21148 </w:instrText>
      </w:r>
      <w:r>
        <w:rPr>
          <w:rFonts w:ascii="Times New Roman" w:hAnsi="Times New Roman"/>
          <w:color w:val="auto"/>
          <w:szCs w:val="28"/>
          <w:highlight w:val="none"/>
        </w:rPr>
        <w:fldChar w:fldCharType="separate"/>
      </w:r>
      <w:r>
        <w:rPr>
          <w:rFonts w:ascii="Times New Roman" w:hAnsi="Times New Roman"/>
          <w:color w:val="auto"/>
          <w:szCs w:val="32"/>
          <w:highlight w:val="none"/>
        </w:rPr>
        <w:t>第一章  竞争性磋商公告</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_Toc21148 </w:instrText>
      </w:r>
      <w:r>
        <w:rPr>
          <w:rFonts w:ascii="Times New Roman" w:hAnsi="Times New Roman"/>
          <w:color w:val="auto"/>
          <w:highlight w:val="none"/>
        </w:rPr>
        <w:fldChar w:fldCharType="separate"/>
      </w:r>
      <w:r>
        <w:rPr>
          <w:rFonts w:ascii="Times New Roman" w:hAnsi="Times New Roman"/>
          <w:color w:val="auto"/>
          <w:highlight w:val="none"/>
        </w:rPr>
        <w:t>1</w:t>
      </w:r>
      <w:r>
        <w:rPr>
          <w:rFonts w:ascii="Times New Roman" w:hAnsi="Times New Roman"/>
          <w:color w:val="auto"/>
          <w:highlight w:val="none"/>
        </w:rPr>
        <w:fldChar w:fldCharType="end"/>
      </w:r>
      <w:r>
        <w:rPr>
          <w:rFonts w:ascii="Times New Roman" w:hAnsi="Times New Roman"/>
          <w:color w:val="auto"/>
          <w:szCs w:val="28"/>
          <w:highlight w:val="none"/>
        </w:rPr>
        <w:fldChar w:fldCharType="end"/>
      </w:r>
    </w:p>
    <w:p w14:paraId="69336D3D">
      <w:pPr>
        <w:pStyle w:val="33"/>
        <w:tabs>
          <w:tab w:val="right" w:leader="dot" w:pos="9070"/>
          <w:tab w:val="clear" w:pos="8398"/>
        </w:tabs>
        <w:ind w:firstLine="241"/>
        <w:rPr>
          <w:rFonts w:ascii="Times New Roman" w:hAnsi="Times New Roman"/>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_Toc15694 </w:instrText>
      </w:r>
      <w:r>
        <w:rPr>
          <w:rFonts w:ascii="Times New Roman" w:hAnsi="Times New Roman"/>
          <w:color w:val="auto"/>
          <w:szCs w:val="28"/>
          <w:highlight w:val="none"/>
        </w:rPr>
        <w:fldChar w:fldCharType="separate"/>
      </w:r>
      <w:r>
        <w:rPr>
          <w:rFonts w:ascii="Times New Roman" w:hAnsi="Times New Roman"/>
          <w:color w:val="auto"/>
          <w:szCs w:val="32"/>
          <w:highlight w:val="none"/>
        </w:rPr>
        <w:t>第二章  采购需求</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_Toc15694 </w:instrText>
      </w:r>
      <w:r>
        <w:rPr>
          <w:rFonts w:ascii="Times New Roman" w:hAnsi="Times New Roman"/>
          <w:color w:val="auto"/>
          <w:highlight w:val="none"/>
        </w:rPr>
        <w:fldChar w:fldCharType="separate"/>
      </w:r>
      <w:r>
        <w:rPr>
          <w:rFonts w:ascii="Times New Roman" w:hAnsi="Times New Roman"/>
          <w:color w:val="auto"/>
          <w:highlight w:val="none"/>
        </w:rPr>
        <w:t>5</w:t>
      </w:r>
      <w:r>
        <w:rPr>
          <w:rFonts w:ascii="Times New Roman" w:hAnsi="Times New Roman"/>
          <w:color w:val="auto"/>
          <w:highlight w:val="none"/>
        </w:rPr>
        <w:fldChar w:fldCharType="end"/>
      </w:r>
      <w:r>
        <w:rPr>
          <w:rFonts w:ascii="Times New Roman" w:hAnsi="Times New Roman"/>
          <w:color w:val="auto"/>
          <w:szCs w:val="28"/>
          <w:highlight w:val="none"/>
        </w:rPr>
        <w:fldChar w:fldCharType="end"/>
      </w:r>
    </w:p>
    <w:p w14:paraId="3C283868">
      <w:pPr>
        <w:pStyle w:val="33"/>
        <w:tabs>
          <w:tab w:val="right" w:leader="dot" w:pos="9070"/>
          <w:tab w:val="clear" w:pos="8398"/>
        </w:tabs>
        <w:ind w:firstLine="241"/>
        <w:rPr>
          <w:rFonts w:ascii="Times New Roman" w:hAnsi="Times New Roman"/>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_Toc31014 </w:instrText>
      </w:r>
      <w:r>
        <w:rPr>
          <w:rFonts w:ascii="Times New Roman" w:hAnsi="Times New Roman"/>
          <w:color w:val="auto"/>
          <w:szCs w:val="28"/>
          <w:highlight w:val="none"/>
        </w:rPr>
        <w:fldChar w:fldCharType="separate"/>
      </w:r>
      <w:r>
        <w:rPr>
          <w:rFonts w:ascii="Times New Roman" w:hAnsi="Times New Roman"/>
          <w:color w:val="auto"/>
          <w:szCs w:val="32"/>
          <w:highlight w:val="none"/>
        </w:rPr>
        <w:t>第三章  供应商须知</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_Toc31014 </w:instrText>
      </w:r>
      <w:r>
        <w:rPr>
          <w:rFonts w:ascii="Times New Roman" w:hAnsi="Times New Roman"/>
          <w:color w:val="auto"/>
          <w:highlight w:val="none"/>
        </w:rPr>
        <w:fldChar w:fldCharType="separate"/>
      </w:r>
      <w:r>
        <w:rPr>
          <w:rFonts w:ascii="Times New Roman" w:hAnsi="Times New Roman"/>
          <w:color w:val="auto"/>
          <w:highlight w:val="none"/>
        </w:rPr>
        <w:t>95</w:t>
      </w:r>
      <w:r>
        <w:rPr>
          <w:rFonts w:ascii="Times New Roman" w:hAnsi="Times New Roman"/>
          <w:color w:val="auto"/>
          <w:highlight w:val="none"/>
        </w:rPr>
        <w:fldChar w:fldCharType="end"/>
      </w:r>
      <w:r>
        <w:rPr>
          <w:rFonts w:ascii="Times New Roman" w:hAnsi="Times New Roman"/>
          <w:color w:val="auto"/>
          <w:szCs w:val="28"/>
          <w:highlight w:val="none"/>
        </w:rPr>
        <w:fldChar w:fldCharType="end"/>
      </w:r>
    </w:p>
    <w:p w14:paraId="15D56C53">
      <w:pPr>
        <w:pStyle w:val="33"/>
        <w:tabs>
          <w:tab w:val="right" w:leader="dot" w:pos="9070"/>
          <w:tab w:val="clear" w:pos="8398"/>
        </w:tabs>
        <w:ind w:firstLine="241"/>
        <w:rPr>
          <w:rFonts w:ascii="Times New Roman" w:hAnsi="Times New Roman"/>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_Toc13891 </w:instrText>
      </w:r>
      <w:r>
        <w:rPr>
          <w:rFonts w:ascii="Times New Roman" w:hAnsi="Times New Roman"/>
          <w:color w:val="auto"/>
          <w:szCs w:val="28"/>
          <w:highlight w:val="none"/>
        </w:rPr>
        <w:fldChar w:fldCharType="separate"/>
      </w:r>
      <w:r>
        <w:rPr>
          <w:rFonts w:ascii="Times New Roman" w:hAnsi="Times New Roman"/>
          <w:color w:val="auto"/>
          <w:szCs w:val="32"/>
          <w:highlight w:val="none"/>
        </w:rPr>
        <w:t>第四章  评审方法及标准</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_Toc13891 </w:instrText>
      </w:r>
      <w:r>
        <w:rPr>
          <w:rFonts w:ascii="Times New Roman" w:hAnsi="Times New Roman"/>
          <w:color w:val="auto"/>
          <w:highlight w:val="none"/>
        </w:rPr>
        <w:fldChar w:fldCharType="separate"/>
      </w:r>
      <w:r>
        <w:rPr>
          <w:rFonts w:ascii="Times New Roman" w:hAnsi="Times New Roman"/>
          <w:color w:val="auto"/>
          <w:highlight w:val="none"/>
        </w:rPr>
        <w:t>115</w:t>
      </w:r>
      <w:r>
        <w:rPr>
          <w:rFonts w:ascii="Times New Roman" w:hAnsi="Times New Roman"/>
          <w:color w:val="auto"/>
          <w:highlight w:val="none"/>
        </w:rPr>
        <w:fldChar w:fldCharType="end"/>
      </w:r>
      <w:r>
        <w:rPr>
          <w:rFonts w:ascii="Times New Roman" w:hAnsi="Times New Roman"/>
          <w:color w:val="auto"/>
          <w:szCs w:val="28"/>
          <w:highlight w:val="none"/>
        </w:rPr>
        <w:fldChar w:fldCharType="end"/>
      </w:r>
    </w:p>
    <w:p w14:paraId="5B57FF38">
      <w:pPr>
        <w:pStyle w:val="33"/>
        <w:tabs>
          <w:tab w:val="right" w:leader="dot" w:pos="9070"/>
          <w:tab w:val="clear" w:pos="8398"/>
        </w:tabs>
        <w:ind w:firstLine="241"/>
        <w:rPr>
          <w:rFonts w:hint="default" w:ascii="Times New Roman" w:hAnsi="Times New Roman" w:eastAsia="宋体"/>
          <w:color w:val="auto"/>
          <w:highlight w:val="none"/>
          <w:lang w:val="en-US" w:eastAsia="zh-CN"/>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_Toc16303 </w:instrText>
      </w:r>
      <w:r>
        <w:rPr>
          <w:rFonts w:ascii="Times New Roman" w:hAnsi="Times New Roman"/>
          <w:color w:val="auto"/>
          <w:szCs w:val="28"/>
          <w:highlight w:val="none"/>
        </w:rPr>
        <w:fldChar w:fldCharType="separate"/>
      </w:r>
      <w:r>
        <w:rPr>
          <w:rFonts w:ascii="Times New Roman" w:hAnsi="Times New Roman"/>
          <w:color w:val="auto"/>
          <w:szCs w:val="32"/>
          <w:highlight w:val="none"/>
        </w:rPr>
        <w:t>第五章  合同主要条款格式</w:t>
      </w:r>
      <w:r>
        <w:rPr>
          <w:rFonts w:ascii="Times New Roman" w:hAnsi="Times New Roman"/>
          <w:color w:val="auto"/>
          <w:highlight w:val="none"/>
        </w:rPr>
        <w:tab/>
      </w:r>
      <w:r>
        <w:rPr>
          <w:rFonts w:hint="eastAsia" w:ascii="Times New Roman" w:hAnsi="Times New Roman"/>
          <w:color w:val="auto"/>
          <w:highlight w:val="none"/>
          <w:lang w:val="en-US" w:eastAsia="zh-CN"/>
        </w:rPr>
        <w:t>1</w:t>
      </w:r>
      <w:r>
        <w:rPr>
          <w:rFonts w:ascii="Times New Roman" w:hAnsi="Times New Roman"/>
          <w:color w:val="auto"/>
          <w:szCs w:val="28"/>
          <w:highlight w:val="none"/>
        </w:rPr>
        <w:fldChar w:fldCharType="end"/>
      </w:r>
      <w:r>
        <w:rPr>
          <w:rFonts w:hint="eastAsia" w:ascii="Times New Roman" w:hAnsi="Times New Roman"/>
          <w:color w:val="auto"/>
          <w:szCs w:val="28"/>
          <w:highlight w:val="none"/>
          <w:lang w:val="en-US" w:eastAsia="zh-CN"/>
        </w:rPr>
        <w:t>32</w:t>
      </w:r>
    </w:p>
    <w:p w14:paraId="0C8458D7">
      <w:pPr>
        <w:pStyle w:val="33"/>
        <w:tabs>
          <w:tab w:val="right" w:leader="dot" w:pos="9070"/>
          <w:tab w:val="clear" w:pos="8398"/>
        </w:tabs>
        <w:ind w:firstLine="241"/>
        <w:rPr>
          <w:rFonts w:ascii="Times New Roman" w:hAnsi="Times New Roman"/>
          <w:color w:val="auto"/>
          <w:highlight w:val="none"/>
        </w:rPr>
      </w:pPr>
      <w:r>
        <w:rPr>
          <w:rFonts w:ascii="Times New Roman" w:hAnsi="Times New Roman"/>
          <w:color w:val="auto"/>
          <w:szCs w:val="28"/>
          <w:highlight w:val="none"/>
        </w:rPr>
        <w:fldChar w:fldCharType="begin"/>
      </w:r>
      <w:r>
        <w:rPr>
          <w:rFonts w:ascii="Times New Roman" w:hAnsi="Times New Roman"/>
          <w:color w:val="auto"/>
          <w:szCs w:val="28"/>
          <w:highlight w:val="none"/>
        </w:rPr>
        <w:instrText xml:space="preserve"> HYPERLINK \l _Toc26903 </w:instrText>
      </w:r>
      <w:r>
        <w:rPr>
          <w:rFonts w:ascii="Times New Roman" w:hAnsi="Times New Roman"/>
          <w:color w:val="auto"/>
          <w:szCs w:val="28"/>
          <w:highlight w:val="none"/>
        </w:rPr>
        <w:fldChar w:fldCharType="separate"/>
      </w:r>
      <w:r>
        <w:rPr>
          <w:rFonts w:ascii="Times New Roman" w:hAnsi="Times New Roman"/>
          <w:color w:val="auto"/>
          <w:szCs w:val="32"/>
          <w:highlight w:val="none"/>
        </w:rPr>
        <w:t>第六章  响应文件格式</w:t>
      </w:r>
      <w:r>
        <w:rPr>
          <w:rFonts w:ascii="Times New Roman" w:hAnsi="Times New Roman"/>
          <w:color w:val="auto"/>
          <w:highlight w:val="none"/>
        </w:rPr>
        <w:tab/>
      </w:r>
      <w:r>
        <w:rPr>
          <w:rFonts w:ascii="Times New Roman" w:hAnsi="Times New Roman"/>
          <w:color w:val="auto"/>
          <w:highlight w:val="none"/>
        </w:rPr>
        <w:fldChar w:fldCharType="begin"/>
      </w:r>
      <w:r>
        <w:rPr>
          <w:rFonts w:ascii="Times New Roman" w:hAnsi="Times New Roman"/>
          <w:color w:val="auto"/>
          <w:highlight w:val="none"/>
        </w:rPr>
        <w:instrText xml:space="preserve"> PAGEREF _Toc26903 </w:instrText>
      </w:r>
      <w:r>
        <w:rPr>
          <w:rFonts w:ascii="Times New Roman" w:hAnsi="Times New Roman"/>
          <w:color w:val="auto"/>
          <w:highlight w:val="none"/>
        </w:rPr>
        <w:fldChar w:fldCharType="separate"/>
      </w:r>
      <w:r>
        <w:rPr>
          <w:rFonts w:ascii="Times New Roman" w:hAnsi="Times New Roman"/>
          <w:color w:val="auto"/>
          <w:highlight w:val="none"/>
        </w:rPr>
        <w:t>142</w:t>
      </w:r>
      <w:r>
        <w:rPr>
          <w:rFonts w:ascii="Times New Roman" w:hAnsi="Times New Roman"/>
          <w:color w:val="auto"/>
          <w:highlight w:val="none"/>
        </w:rPr>
        <w:fldChar w:fldCharType="end"/>
      </w:r>
      <w:r>
        <w:rPr>
          <w:rFonts w:ascii="Times New Roman" w:hAnsi="Times New Roman"/>
          <w:color w:val="auto"/>
          <w:szCs w:val="28"/>
          <w:highlight w:val="none"/>
        </w:rPr>
        <w:fldChar w:fldCharType="end"/>
      </w:r>
    </w:p>
    <w:p w14:paraId="3609C195">
      <w:pPr>
        <w:pStyle w:val="33"/>
        <w:ind w:firstLine="241"/>
        <w:rPr>
          <w:rFonts w:ascii="Times New Roman" w:hAnsi="Times New Roman"/>
          <w:color w:val="auto"/>
          <w:sz w:val="28"/>
          <w:szCs w:val="28"/>
          <w:highlight w:val="none"/>
        </w:rPr>
      </w:pPr>
      <w:r>
        <w:rPr>
          <w:rFonts w:ascii="Times New Roman" w:hAnsi="Times New Roman"/>
          <w:color w:val="auto"/>
          <w:szCs w:val="28"/>
          <w:highlight w:val="none"/>
        </w:rPr>
        <w:fldChar w:fldCharType="end"/>
      </w:r>
    </w:p>
    <w:p w14:paraId="16A4D75E">
      <w:pPr>
        <w:spacing w:before="120" w:beforeLines="50" w:line="480" w:lineRule="exact"/>
        <w:rPr>
          <w:color w:val="auto"/>
          <w:sz w:val="28"/>
          <w:szCs w:val="28"/>
          <w:highlight w:val="none"/>
        </w:rPr>
      </w:pPr>
    </w:p>
    <w:p w14:paraId="078B7113">
      <w:pPr>
        <w:spacing w:before="120" w:beforeLines="50" w:line="480" w:lineRule="exact"/>
        <w:rPr>
          <w:color w:val="auto"/>
          <w:sz w:val="30"/>
          <w:highlight w:val="none"/>
        </w:rPr>
        <w:sectPr>
          <w:headerReference r:id="rId8" w:type="first"/>
          <w:pgSz w:w="11906" w:h="16838"/>
          <w:pgMar w:top="1418" w:right="1418" w:bottom="1246" w:left="1418" w:header="851" w:footer="992" w:gutter="0"/>
          <w:pgNumType w:fmt="decimal" w:start="0"/>
          <w:cols w:space="720" w:num="1"/>
          <w:titlePg/>
          <w:docGrid w:linePitch="312" w:charSpace="0"/>
        </w:sectPr>
      </w:pPr>
    </w:p>
    <w:p w14:paraId="055FDA7D">
      <w:pPr>
        <w:rPr>
          <w:color w:val="auto"/>
          <w:highlight w:val="none"/>
        </w:rPr>
      </w:pPr>
      <w:bookmarkStart w:id="3" w:name="_Toc254970489"/>
      <w:bookmarkStart w:id="4" w:name="_Toc254970630"/>
      <w:bookmarkStart w:id="5" w:name="_Toc21148"/>
    </w:p>
    <w:p w14:paraId="4C2EC13D">
      <w:pPr>
        <w:pStyle w:val="26"/>
        <w:snapToGrid w:val="0"/>
        <w:spacing w:before="120" w:after="120" w:line="320" w:lineRule="exact"/>
        <w:jc w:val="center"/>
        <w:outlineLvl w:val="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 xml:space="preserve">第一章  </w:t>
      </w:r>
      <w:bookmarkEnd w:id="3"/>
      <w:bookmarkEnd w:id="4"/>
      <w:r>
        <w:rPr>
          <w:rFonts w:ascii="Times New Roman" w:hAnsi="Times New Roman" w:cs="Times New Roman"/>
          <w:color w:val="auto"/>
          <w:sz w:val="32"/>
          <w:szCs w:val="32"/>
          <w:highlight w:val="none"/>
        </w:rPr>
        <w:t>竞争性磋商公告</w:t>
      </w:r>
      <w:bookmarkEnd w:id="5"/>
    </w:p>
    <w:p w14:paraId="5A755F56">
      <w:pPr>
        <w:spacing w:line="400" w:lineRule="exact"/>
        <w:jc w:val="center"/>
        <w:rPr>
          <w:color w:val="auto"/>
          <w:kern w:val="0"/>
          <w:sz w:val="24"/>
          <w:highlight w:val="none"/>
        </w:rPr>
      </w:pPr>
      <w:r>
        <w:rPr>
          <w:color w:val="auto"/>
          <w:kern w:val="0"/>
          <w:sz w:val="24"/>
          <w:highlight w:val="none"/>
        </w:rPr>
        <w:t>广西机电设备招标有限公司关于</w:t>
      </w:r>
      <w:r>
        <w:rPr>
          <w:rFonts w:hint="eastAsia"/>
          <w:color w:val="auto"/>
          <w:kern w:val="0"/>
          <w:sz w:val="24"/>
          <w:highlight w:val="none"/>
          <w:lang w:eastAsia="zh-CN"/>
        </w:rPr>
        <w:t>防城港市市场监督管理局2026年食品安全监督抽检服务</w:t>
      </w:r>
      <w:r>
        <w:rPr>
          <w:color w:val="auto"/>
          <w:sz w:val="24"/>
          <w:highlight w:val="none"/>
        </w:rPr>
        <w:t>(</w:t>
      </w:r>
      <w:r>
        <w:rPr>
          <w:rFonts w:hint="eastAsia"/>
          <w:color w:val="auto"/>
          <w:sz w:val="24"/>
          <w:highlight w:val="none"/>
          <w:lang w:eastAsia="zh-CN"/>
        </w:rPr>
        <w:t>FCZC2026-C3-990126-JDZB</w:t>
      </w:r>
      <w:r>
        <w:rPr>
          <w:color w:val="auto"/>
          <w:sz w:val="24"/>
          <w:highlight w:val="none"/>
        </w:rPr>
        <w:t>)</w:t>
      </w:r>
      <w:r>
        <w:rPr>
          <w:color w:val="auto"/>
          <w:kern w:val="0"/>
          <w:sz w:val="24"/>
          <w:highlight w:val="none"/>
        </w:rPr>
        <w:t>竞争性磋商公告</w:t>
      </w:r>
    </w:p>
    <w:p w14:paraId="464523F6">
      <w:pPr>
        <w:spacing w:line="312" w:lineRule="auto"/>
        <w:jc w:val="left"/>
        <w:rPr>
          <w:rFonts w:hint="eastAsia"/>
          <w:b/>
          <w:bCs/>
          <w:color w:val="auto"/>
          <w:kern w:val="0"/>
          <w:sz w:val="22"/>
          <w:szCs w:val="22"/>
          <w:highlight w:val="none"/>
        </w:rPr>
      </w:pPr>
    </w:p>
    <w:p w14:paraId="5017B8A0">
      <w:pPr>
        <w:spacing w:line="312" w:lineRule="auto"/>
        <w:ind w:firstLine="420" w:firstLineChars="200"/>
        <w:jc w:val="left"/>
        <w:rPr>
          <w:rFonts w:hint="eastAsia"/>
          <w:b/>
          <w:bCs/>
          <w:color w:val="auto"/>
          <w:kern w:val="0"/>
          <w:sz w:val="22"/>
          <w:szCs w:val="22"/>
          <w:highlight w:val="none"/>
        </w:rPr>
      </w:pPr>
      <w:bookmarkStart w:id="6" w:name="_Hlk132795121"/>
      <w:r>
        <w:rPr>
          <w:rFonts w:hint="eastAsia"/>
          <w:color w:val="auto"/>
          <w:szCs w:val="21"/>
          <w:highlight w:val="none"/>
        </w:rPr>
        <w:t>项目概况：</w:t>
      </w:r>
      <w:r>
        <w:rPr>
          <w:rFonts w:hint="eastAsia"/>
          <w:color w:val="auto"/>
          <w:szCs w:val="21"/>
          <w:highlight w:val="none"/>
          <w:lang w:eastAsia="zh-CN"/>
        </w:rPr>
        <w:t>防城港市市场监督管理局2026年食品安全监督抽检服务</w:t>
      </w:r>
      <w:r>
        <w:rPr>
          <w:rFonts w:hint="eastAsia"/>
          <w:color w:val="auto"/>
          <w:szCs w:val="21"/>
          <w:highlight w:val="none"/>
        </w:rPr>
        <w:t xml:space="preserve">的潜在供应商应在广西政府采购云平台 （https://www.gcy.zfcg.gxzf.gov.cn/）获取采购文件，并于 </w:t>
      </w:r>
      <w:r>
        <w:rPr>
          <w:rFonts w:hint="eastAsia"/>
          <w:color w:val="auto"/>
          <w:szCs w:val="21"/>
          <w:highlight w:val="none"/>
          <w:lang w:val="en-US" w:eastAsia="zh-CN"/>
        </w:rPr>
        <w:t>2026</w:t>
      </w:r>
      <w:r>
        <w:rPr>
          <w:rFonts w:hint="eastAsia"/>
          <w:color w:val="auto"/>
          <w:szCs w:val="21"/>
          <w:highlight w:val="none"/>
        </w:rPr>
        <w:t>年</w:t>
      </w:r>
      <w:r>
        <w:rPr>
          <w:rFonts w:hint="eastAsia"/>
          <w:color w:val="auto"/>
          <w:szCs w:val="21"/>
          <w:highlight w:val="none"/>
          <w:lang w:val="en-US" w:eastAsia="zh-CN"/>
        </w:rPr>
        <w:t>8</w:t>
      </w:r>
      <w:r>
        <w:rPr>
          <w:rFonts w:hint="eastAsia"/>
          <w:color w:val="auto"/>
          <w:szCs w:val="21"/>
          <w:highlight w:val="none"/>
        </w:rPr>
        <w:t>月</w:t>
      </w:r>
      <w:r>
        <w:rPr>
          <w:rFonts w:hint="eastAsia"/>
          <w:color w:val="auto"/>
          <w:szCs w:val="21"/>
          <w:highlight w:val="none"/>
          <w:lang w:val="en-US" w:eastAsia="zh-CN"/>
        </w:rPr>
        <w:t>11</w:t>
      </w:r>
      <w:r>
        <w:rPr>
          <w:rFonts w:hint="eastAsia"/>
          <w:color w:val="auto"/>
          <w:szCs w:val="21"/>
          <w:highlight w:val="none"/>
        </w:rPr>
        <w:t>日 09:30（北京时间）前提交响应文件。</w:t>
      </w:r>
      <w:bookmarkEnd w:id="6"/>
    </w:p>
    <w:p w14:paraId="376AEE47">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一、项目基本情况</w:t>
      </w:r>
    </w:p>
    <w:p w14:paraId="3458C433">
      <w:pPr>
        <w:spacing w:line="312" w:lineRule="auto"/>
        <w:ind w:firstLine="420" w:firstLineChars="200"/>
        <w:jc w:val="left"/>
        <w:rPr>
          <w:rFonts w:hint="eastAsia" w:eastAsia="宋体"/>
          <w:color w:val="auto"/>
          <w:kern w:val="0"/>
          <w:szCs w:val="21"/>
          <w:highlight w:val="none"/>
          <w:lang w:eastAsia="zh-CN"/>
        </w:rPr>
      </w:pPr>
      <w:r>
        <w:rPr>
          <w:color w:val="auto"/>
          <w:kern w:val="0"/>
          <w:szCs w:val="21"/>
          <w:highlight w:val="none"/>
        </w:rPr>
        <w:t>项目编号：</w:t>
      </w:r>
      <w:r>
        <w:rPr>
          <w:rFonts w:hint="eastAsia"/>
          <w:color w:val="auto"/>
          <w:kern w:val="0"/>
          <w:szCs w:val="21"/>
          <w:highlight w:val="none"/>
          <w:lang w:eastAsia="zh-CN"/>
        </w:rPr>
        <w:t>FCZC2026-C3-990126-JDZB</w:t>
      </w:r>
    </w:p>
    <w:p w14:paraId="29A4A3CB">
      <w:pPr>
        <w:spacing w:line="312" w:lineRule="auto"/>
        <w:ind w:firstLine="420" w:firstLineChars="200"/>
        <w:jc w:val="left"/>
        <w:rPr>
          <w:rFonts w:hint="eastAsia" w:eastAsia="宋体"/>
          <w:color w:val="auto"/>
          <w:kern w:val="0"/>
          <w:szCs w:val="21"/>
          <w:highlight w:val="none"/>
          <w:lang w:eastAsia="zh-CN"/>
        </w:rPr>
      </w:pPr>
      <w:r>
        <w:rPr>
          <w:color w:val="auto"/>
          <w:kern w:val="0"/>
          <w:szCs w:val="21"/>
          <w:highlight w:val="none"/>
        </w:rPr>
        <w:t>项目名称：</w:t>
      </w:r>
      <w:r>
        <w:rPr>
          <w:rFonts w:hint="eastAsia"/>
          <w:color w:val="auto"/>
          <w:kern w:val="0"/>
          <w:szCs w:val="21"/>
          <w:highlight w:val="none"/>
          <w:lang w:eastAsia="zh-CN"/>
        </w:rPr>
        <w:t>防城港市市场监督管理局2026年食品安全监督抽检服务</w:t>
      </w:r>
    </w:p>
    <w:p w14:paraId="3C7947BC">
      <w:pPr>
        <w:spacing w:line="312" w:lineRule="auto"/>
        <w:ind w:firstLine="420" w:firstLineChars="200"/>
        <w:jc w:val="left"/>
        <w:rPr>
          <w:color w:val="auto"/>
          <w:kern w:val="0"/>
          <w:szCs w:val="21"/>
          <w:highlight w:val="none"/>
        </w:rPr>
      </w:pPr>
      <w:r>
        <w:rPr>
          <w:rFonts w:hint="eastAsia"/>
          <w:color w:val="auto"/>
          <w:kern w:val="0"/>
          <w:szCs w:val="21"/>
          <w:highlight w:val="none"/>
        </w:rPr>
        <w:t xml:space="preserve">采购方式：□竞争性谈判 </w:t>
      </w:r>
      <w:r>
        <w:rPr>
          <w:color w:val="auto"/>
          <w:szCs w:val="21"/>
          <w:highlight w:val="none"/>
        </w:rPr>
        <w:sym w:font="Wingdings 2" w:char="F052"/>
      </w:r>
      <w:r>
        <w:rPr>
          <w:rFonts w:hint="eastAsia"/>
          <w:color w:val="auto"/>
          <w:kern w:val="0"/>
          <w:szCs w:val="21"/>
          <w:highlight w:val="none"/>
        </w:rPr>
        <w:t>竞争性磋商 □询价</w:t>
      </w:r>
    </w:p>
    <w:p w14:paraId="7568F491">
      <w:pPr>
        <w:spacing w:line="312" w:lineRule="auto"/>
        <w:ind w:firstLine="420" w:firstLineChars="200"/>
        <w:jc w:val="left"/>
        <w:rPr>
          <w:rFonts w:hint="default" w:eastAsia="宋体"/>
          <w:color w:val="auto"/>
          <w:kern w:val="0"/>
          <w:szCs w:val="21"/>
          <w:highlight w:val="none"/>
          <w:lang w:val="en-US" w:eastAsia="zh-CN"/>
        </w:rPr>
      </w:pPr>
      <w:r>
        <w:rPr>
          <w:color w:val="auto"/>
          <w:kern w:val="0"/>
          <w:szCs w:val="21"/>
          <w:highlight w:val="none"/>
        </w:rPr>
        <w:t>预算</w:t>
      </w:r>
      <w:r>
        <w:rPr>
          <w:rFonts w:hint="eastAsia"/>
          <w:color w:val="auto"/>
          <w:kern w:val="0"/>
          <w:szCs w:val="21"/>
          <w:highlight w:val="none"/>
        </w:rPr>
        <w:t>总</w:t>
      </w:r>
      <w:r>
        <w:rPr>
          <w:color w:val="auto"/>
          <w:kern w:val="0"/>
          <w:szCs w:val="21"/>
          <w:highlight w:val="none"/>
        </w:rPr>
        <w:t>金额</w:t>
      </w:r>
      <w:r>
        <w:rPr>
          <w:rFonts w:hint="eastAsia"/>
          <w:color w:val="auto"/>
          <w:kern w:val="0"/>
          <w:szCs w:val="21"/>
          <w:highlight w:val="none"/>
        </w:rPr>
        <w:t>（元）</w:t>
      </w:r>
      <w:r>
        <w:rPr>
          <w:color w:val="auto"/>
          <w:kern w:val="0"/>
          <w:szCs w:val="21"/>
          <w:highlight w:val="none"/>
        </w:rPr>
        <w:t>：</w:t>
      </w:r>
      <w:r>
        <w:rPr>
          <w:rFonts w:hint="eastAsia"/>
          <w:color w:val="auto"/>
          <w:kern w:val="0"/>
          <w:szCs w:val="21"/>
          <w:highlight w:val="none"/>
          <w:lang w:val="en-US" w:eastAsia="zh-CN"/>
        </w:rPr>
        <w:t>2050000.00</w:t>
      </w:r>
    </w:p>
    <w:p w14:paraId="603AF6A6">
      <w:pPr>
        <w:spacing w:line="312" w:lineRule="auto"/>
        <w:ind w:firstLine="420" w:firstLineChars="200"/>
        <w:jc w:val="left"/>
        <w:rPr>
          <w:color w:val="auto"/>
          <w:kern w:val="0"/>
          <w:szCs w:val="21"/>
          <w:highlight w:val="none"/>
        </w:rPr>
      </w:pPr>
      <w:r>
        <w:rPr>
          <w:rFonts w:hint="eastAsia"/>
          <w:color w:val="auto"/>
          <w:kern w:val="0"/>
          <w:szCs w:val="21"/>
          <w:highlight w:val="none"/>
        </w:rPr>
        <w:t>采购需求</w:t>
      </w:r>
      <w:r>
        <w:rPr>
          <w:color w:val="auto"/>
          <w:kern w:val="0"/>
          <w:szCs w:val="21"/>
          <w:highlight w:val="none"/>
        </w:rPr>
        <w:t>：</w:t>
      </w:r>
      <w:bookmarkStart w:id="7" w:name="_Hlk77608065"/>
    </w:p>
    <w:p w14:paraId="3215E913">
      <w:pPr>
        <w:spacing w:line="312" w:lineRule="auto"/>
        <w:ind w:firstLine="630" w:firstLineChars="300"/>
        <w:jc w:val="left"/>
        <w:rPr>
          <w:rFonts w:hint="default" w:eastAsia="宋体"/>
          <w:color w:val="auto"/>
          <w:kern w:val="0"/>
          <w:szCs w:val="21"/>
          <w:highlight w:val="none"/>
          <w:lang w:val="en-US" w:eastAsia="zh-CN"/>
        </w:rPr>
      </w:pPr>
      <w:r>
        <w:rPr>
          <w:rFonts w:hint="eastAsia"/>
          <w:color w:val="auto"/>
          <w:kern w:val="0"/>
          <w:szCs w:val="21"/>
          <w:highlight w:val="none"/>
          <w:lang w:val="en-US" w:eastAsia="zh-CN"/>
        </w:rPr>
        <w:t>标项一</w:t>
      </w:r>
    </w:p>
    <w:p w14:paraId="2FE4DD77">
      <w:pPr>
        <w:spacing w:line="312" w:lineRule="auto"/>
        <w:ind w:firstLine="735" w:firstLineChars="350"/>
        <w:jc w:val="left"/>
        <w:rPr>
          <w:color w:val="auto"/>
          <w:kern w:val="0"/>
          <w:szCs w:val="21"/>
          <w:highlight w:val="none"/>
        </w:rPr>
      </w:pPr>
      <w:r>
        <w:rPr>
          <w:rFonts w:hint="eastAsia"/>
          <w:color w:val="auto"/>
          <w:kern w:val="0"/>
          <w:szCs w:val="21"/>
          <w:highlight w:val="none"/>
        </w:rPr>
        <w:t>标项名称：2026年防城片区食品安全监督抽检服务</w:t>
      </w:r>
    </w:p>
    <w:p w14:paraId="7457C102">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1项</w:t>
      </w:r>
    </w:p>
    <w:p w14:paraId="190B0127">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预算金额（元）：</w:t>
      </w:r>
      <w:r>
        <w:rPr>
          <w:rFonts w:hint="eastAsia"/>
          <w:color w:val="auto"/>
          <w:kern w:val="0"/>
          <w:szCs w:val="21"/>
          <w:highlight w:val="none"/>
          <w:lang w:val="en-US" w:eastAsia="zh-CN"/>
        </w:rPr>
        <w:t>526350.00</w:t>
      </w:r>
    </w:p>
    <w:p w14:paraId="1EA8E84D">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简要规格描述或项目基本概况介绍、用途：食品安全监督抽检服务，具体详见</w:t>
      </w:r>
      <w:r>
        <w:rPr>
          <w:rFonts w:hint="eastAsia"/>
          <w:color w:val="auto"/>
          <w:kern w:val="0"/>
          <w:szCs w:val="21"/>
          <w:highlight w:val="none"/>
          <w:lang w:val="en-US" w:eastAsia="zh-CN"/>
        </w:rPr>
        <w:t>采购文件第二章采购需求。</w:t>
      </w:r>
    </w:p>
    <w:p w14:paraId="3365AB09">
      <w:pPr>
        <w:spacing w:line="312" w:lineRule="auto"/>
        <w:ind w:firstLine="735" w:firstLineChars="350"/>
        <w:jc w:val="left"/>
        <w:rPr>
          <w:rFonts w:hint="default"/>
          <w:color w:val="auto"/>
          <w:kern w:val="0"/>
          <w:szCs w:val="21"/>
          <w:highlight w:val="none"/>
          <w:lang w:val="en-US"/>
        </w:rPr>
      </w:pPr>
      <w:r>
        <w:rPr>
          <w:rFonts w:hint="eastAsia"/>
          <w:color w:val="auto"/>
          <w:kern w:val="0"/>
          <w:szCs w:val="21"/>
          <w:highlight w:val="none"/>
        </w:rPr>
        <w:t>最高限价（如有）：</w:t>
      </w:r>
      <w:r>
        <w:rPr>
          <w:color w:val="auto"/>
          <w:kern w:val="0"/>
          <w:szCs w:val="21"/>
          <w:highlight w:val="none"/>
        </w:rPr>
        <w:t xml:space="preserve"> </w:t>
      </w:r>
      <w:r>
        <w:rPr>
          <w:rFonts w:hint="eastAsia"/>
          <w:color w:val="auto"/>
          <w:kern w:val="0"/>
          <w:szCs w:val="21"/>
          <w:highlight w:val="none"/>
          <w:lang w:val="en-US" w:eastAsia="zh-CN"/>
        </w:rPr>
        <w:t>526350.00</w:t>
      </w:r>
    </w:p>
    <w:p w14:paraId="0F66B3AD">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ascii="宋体" w:hAnsi="宋体" w:eastAsia="宋体" w:cs="宋体"/>
          <w:color w:val="auto"/>
          <w:spacing w:val="3"/>
          <w:sz w:val="20"/>
          <w:szCs w:val="20"/>
          <w:highlight w:val="none"/>
        </w:rPr>
        <w:t>自合同签订之日起开始提供服务，20</w:t>
      </w:r>
      <w:r>
        <w:rPr>
          <w:rFonts w:ascii="宋体" w:hAnsi="宋体" w:eastAsia="宋体" w:cs="宋体"/>
          <w:color w:val="auto"/>
          <w:spacing w:val="2"/>
          <w:sz w:val="20"/>
          <w:szCs w:val="20"/>
          <w:highlight w:val="none"/>
        </w:rPr>
        <w:t>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
          <w:sz w:val="20"/>
          <w:szCs w:val="20"/>
          <w:highlight w:val="none"/>
        </w:rPr>
        <w:t>年</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6"/>
          <w:sz w:val="20"/>
          <w:szCs w:val="20"/>
          <w:highlight w:val="none"/>
        </w:rPr>
        <w:t>前全部抽检完成并录入国抽系统，按具体方案时间节点要求提供质量</w:t>
      </w:r>
      <w:r>
        <w:rPr>
          <w:rFonts w:ascii="宋体" w:hAnsi="宋体" w:eastAsia="宋体" w:cs="宋体"/>
          <w:color w:val="auto"/>
          <w:spacing w:val="5"/>
          <w:sz w:val="20"/>
          <w:szCs w:val="20"/>
          <w:highlight w:val="none"/>
        </w:rPr>
        <w:t>分析报告。</w:t>
      </w:r>
    </w:p>
    <w:p w14:paraId="401F206A">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lang w:val="en-US" w:eastAsia="zh-CN"/>
        </w:rPr>
        <w:t>不</w:t>
      </w:r>
      <w:r>
        <w:rPr>
          <w:rFonts w:hint="eastAsia"/>
          <w:color w:val="auto"/>
          <w:kern w:val="0"/>
          <w:szCs w:val="21"/>
          <w:highlight w:val="none"/>
        </w:rPr>
        <w:t>接受</w:t>
      </w:r>
      <w:r>
        <w:rPr>
          <w:color w:val="auto"/>
          <w:kern w:val="0"/>
          <w:szCs w:val="21"/>
          <w:highlight w:val="none"/>
        </w:rPr>
        <w:t>联合体。</w:t>
      </w:r>
    </w:p>
    <w:p w14:paraId="0B57FAC5">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备注：</w:t>
      </w:r>
    </w:p>
    <w:p w14:paraId="42594967">
      <w:pPr>
        <w:spacing w:line="312" w:lineRule="auto"/>
        <w:ind w:firstLine="630" w:firstLineChars="300"/>
        <w:jc w:val="left"/>
        <w:rPr>
          <w:rFonts w:hint="default" w:eastAsia="宋体"/>
          <w:color w:val="auto"/>
          <w:kern w:val="0"/>
          <w:szCs w:val="21"/>
          <w:highlight w:val="none"/>
          <w:lang w:val="en-US" w:eastAsia="zh-CN"/>
        </w:rPr>
      </w:pPr>
      <w:r>
        <w:rPr>
          <w:rFonts w:hint="eastAsia"/>
          <w:color w:val="auto"/>
          <w:kern w:val="0"/>
          <w:szCs w:val="21"/>
          <w:highlight w:val="none"/>
          <w:lang w:val="en-US" w:eastAsia="zh-CN"/>
        </w:rPr>
        <w:t>标项二</w:t>
      </w:r>
    </w:p>
    <w:p w14:paraId="54F05673">
      <w:pPr>
        <w:spacing w:line="312" w:lineRule="auto"/>
        <w:ind w:firstLine="735" w:firstLineChars="350"/>
        <w:jc w:val="left"/>
        <w:rPr>
          <w:color w:val="auto"/>
          <w:kern w:val="0"/>
          <w:szCs w:val="21"/>
          <w:highlight w:val="none"/>
        </w:rPr>
      </w:pPr>
      <w:r>
        <w:rPr>
          <w:rFonts w:hint="eastAsia"/>
          <w:color w:val="auto"/>
          <w:kern w:val="0"/>
          <w:szCs w:val="21"/>
          <w:highlight w:val="none"/>
        </w:rPr>
        <w:t>标项名称：2026年</w:t>
      </w:r>
      <w:r>
        <w:rPr>
          <w:rFonts w:hint="eastAsia"/>
          <w:color w:val="auto"/>
          <w:kern w:val="0"/>
          <w:szCs w:val="21"/>
          <w:highlight w:val="none"/>
          <w:lang w:val="en-US" w:eastAsia="zh-CN"/>
        </w:rPr>
        <w:t>东兴</w:t>
      </w:r>
      <w:r>
        <w:rPr>
          <w:rFonts w:hint="eastAsia"/>
          <w:color w:val="auto"/>
          <w:kern w:val="0"/>
          <w:szCs w:val="21"/>
          <w:highlight w:val="none"/>
        </w:rPr>
        <w:t>片区食品安全监督抽检服务</w:t>
      </w:r>
    </w:p>
    <w:p w14:paraId="3FD69FD1">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1项</w:t>
      </w:r>
    </w:p>
    <w:p w14:paraId="53A90FB6">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预算金额（元）：</w:t>
      </w:r>
      <w:r>
        <w:rPr>
          <w:rFonts w:hint="eastAsia"/>
          <w:color w:val="auto"/>
          <w:kern w:val="0"/>
          <w:szCs w:val="21"/>
          <w:highlight w:val="none"/>
          <w:lang w:val="en-US" w:eastAsia="zh-CN"/>
        </w:rPr>
        <w:t>429660.00</w:t>
      </w:r>
    </w:p>
    <w:p w14:paraId="5E64E19B">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简要规格描述或项目基本概况介绍、用途：食品安全监督抽检服务，具体详见</w:t>
      </w:r>
      <w:r>
        <w:rPr>
          <w:rFonts w:hint="eastAsia"/>
          <w:color w:val="auto"/>
          <w:kern w:val="0"/>
          <w:szCs w:val="21"/>
          <w:highlight w:val="none"/>
          <w:lang w:val="en-US" w:eastAsia="zh-CN"/>
        </w:rPr>
        <w:t>采购文件第二章采购需求。</w:t>
      </w:r>
    </w:p>
    <w:p w14:paraId="3D59E62C">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最高限价（如有）：</w:t>
      </w:r>
      <w:r>
        <w:rPr>
          <w:rFonts w:hint="eastAsia"/>
          <w:color w:val="auto"/>
          <w:kern w:val="0"/>
          <w:szCs w:val="21"/>
          <w:highlight w:val="none"/>
          <w:lang w:val="en-US" w:eastAsia="zh-CN"/>
        </w:rPr>
        <w:t>429660</w:t>
      </w:r>
      <w:r>
        <w:rPr>
          <w:color w:val="auto"/>
          <w:kern w:val="0"/>
          <w:szCs w:val="21"/>
          <w:highlight w:val="none"/>
        </w:rPr>
        <w:t xml:space="preserve"> </w:t>
      </w:r>
      <w:r>
        <w:rPr>
          <w:rFonts w:hint="eastAsia"/>
          <w:color w:val="auto"/>
          <w:kern w:val="0"/>
          <w:szCs w:val="21"/>
          <w:highlight w:val="none"/>
          <w:lang w:val="en-US" w:eastAsia="zh-CN"/>
        </w:rPr>
        <w:t>.00</w:t>
      </w:r>
    </w:p>
    <w:p w14:paraId="6BA8E39C">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ascii="宋体" w:hAnsi="宋体" w:eastAsia="宋体" w:cs="宋体"/>
          <w:color w:val="auto"/>
          <w:spacing w:val="3"/>
          <w:sz w:val="20"/>
          <w:szCs w:val="20"/>
          <w:highlight w:val="none"/>
        </w:rPr>
        <w:t>自合同签订之日起开始提供服务，20</w:t>
      </w:r>
      <w:r>
        <w:rPr>
          <w:rFonts w:ascii="宋体" w:hAnsi="宋体" w:eastAsia="宋体" w:cs="宋体"/>
          <w:color w:val="auto"/>
          <w:spacing w:val="2"/>
          <w:sz w:val="20"/>
          <w:szCs w:val="20"/>
          <w:highlight w:val="none"/>
        </w:rPr>
        <w:t>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
          <w:sz w:val="20"/>
          <w:szCs w:val="20"/>
          <w:highlight w:val="none"/>
        </w:rPr>
        <w:t>年</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6"/>
          <w:sz w:val="20"/>
          <w:szCs w:val="20"/>
          <w:highlight w:val="none"/>
        </w:rPr>
        <w:t>前全部抽检完成并录入国抽系统，按具体方案时间节点要求提供质量</w:t>
      </w:r>
      <w:r>
        <w:rPr>
          <w:rFonts w:ascii="宋体" w:hAnsi="宋体" w:eastAsia="宋体" w:cs="宋体"/>
          <w:color w:val="auto"/>
          <w:spacing w:val="5"/>
          <w:sz w:val="20"/>
          <w:szCs w:val="20"/>
          <w:highlight w:val="none"/>
        </w:rPr>
        <w:t>分析报告。</w:t>
      </w:r>
    </w:p>
    <w:p w14:paraId="64C08F28">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lang w:val="en-US" w:eastAsia="zh-CN"/>
        </w:rPr>
        <w:t>不</w:t>
      </w:r>
      <w:r>
        <w:rPr>
          <w:rFonts w:hint="eastAsia"/>
          <w:color w:val="auto"/>
          <w:kern w:val="0"/>
          <w:szCs w:val="21"/>
          <w:highlight w:val="none"/>
        </w:rPr>
        <w:t>接受</w:t>
      </w:r>
      <w:r>
        <w:rPr>
          <w:color w:val="auto"/>
          <w:kern w:val="0"/>
          <w:szCs w:val="21"/>
          <w:highlight w:val="none"/>
        </w:rPr>
        <w:t>联合体。</w:t>
      </w:r>
    </w:p>
    <w:p w14:paraId="2D516F94">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备注：</w:t>
      </w:r>
    </w:p>
    <w:p w14:paraId="2A614BC3">
      <w:pPr>
        <w:spacing w:line="312" w:lineRule="auto"/>
        <w:ind w:firstLine="630" w:firstLineChars="300"/>
        <w:jc w:val="left"/>
        <w:rPr>
          <w:rFonts w:hint="default" w:eastAsia="宋体"/>
          <w:color w:val="auto"/>
          <w:kern w:val="0"/>
          <w:szCs w:val="21"/>
          <w:highlight w:val="none"/>
          <w:lang w:val="en-US" w:eastAsia="zh-CN"/>
        </w:rPr>
      </w:pPr>
      <w:r>
        <w:rPr>
          <w:rFonts w:hint="eastAsia"/>
          <w:color w:val="auto"/>
          <w:kern w:val="0"/>
          <w:szCs w:val="21"/>
          <w:highlight w:val="none"/>
          <w:lang w:val="en-US" w:eastAsia="zh-CN"/>
        </w:rPr>
        <w:t>标项三</w:t>
      </w:r>
    </w:p>
    <w:p w14:paraId="395952CE">
      <w:pPr>
        <w:spacing w:line="312" w:lineRule="auto"/>
        <w:ind w:firstLine="735" w:firstLineChars="350"/>
        <w:jc w:val="left"/>
        <w:rPr>
          <w:color w:val="auto"/>
          <w:kern w:val="0"/>
          <w:szCs w:val="21"/>
          <w:highlight w:val="none"/>
        </w:rPr>
      </w:pPr>
      <w:r>
        <w:rPr>
          <w:rFonts w:hint="eastAsia"/>
          <w:color w:val="auto"/>
          <w:kern w:val="0"/>
          <w:szCs w:val="21"/>
          <w:highlight w:val="none"/>
        </w:rPr>
        <w:t>标项名称：2026年</w:t>
      </w:r>
      <w:r>
        <w:rPr>
          <w:rFonts w:hint="eastAsia"/>
          <w:color w:val="auto"/>
          <w:kern w:val="0"/>
          <w:szCs w:val="21"/>
          <w:highlight w:val="none"/>
          <w:lang w:val="en-US" w:eastAsia="zh-CN"/>
        </w:rPr>
        <w:t>港口</w:t>
      </w:r>
      <w:r>
        <w:rPr>
          <w:rFonts w:hint="eastAsia"/>
          <w:color w:val="auto"/>
          <w:kern w:val="0"/>
          <w:szCs w:val="21"/>
          <w:highlight w:val="none"/>
        </w:rPr>
        <w:t>片区食品安全监督抽检服务</w:t>
      </w:r>
    </w:p>
    <w:p w14:paraId="00A685C5">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1项</w:t>
      </w:r>
    </w:p>
    <w:p w14:paraId="0AFC34B0">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预算金额（元）：</w:t>
      </w:r>
      <w:r>
        <w:rPr>
          <w:rFonts w:hint="eastAsia"/>
          <w:color w:val="auto"/>
          <w:kern w:val="0"/>
          <w:szCs w:val="21"/>
          <w:highlight w:val="none"/>
          <w:lang w:val="en-US" w:eastAsia="zh-CN"/>
        </w:rPr>
        <w:t>406660.00</w:t>
      </w:r>
    </w:p>
    <w:p w14:paraId="12A9EC49">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简要规格描述或项目基本概况介绍、用途：食品安全监督抽检服务，具体详见</w:t>
      </w:r>
      <w:r>
        <w:rPr>
          <w:rFonts w:hint="eastAsia"/>
          <w:color w:val="auto"/>
          <w:kern w:val="0"/>
          <w:szCs w:val="21"/>
          <w:highlight w:val="none"/>
          <w:lang w:val="en-US" w:eastAsia="zh-CN"/>
        </w:rPr>
        <w:t>采购文件第二章采购需求。</w:t>
      </w:r>
    </w:p>
    <w:p w14:paraId="35560122">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最高限价（如有）：</w:t>
      </w:r>
      <w:r>
        <w:rPr>
          <w:color w:val="auto"/>
          <w:kern w:val="0"/>
          <w:szCs w:val="21"/>
          <w:highlight w:val="none"/>
        </w:rPr>
        <w:t xml:space="preserve"> </w:t>
      </w:r>
      <w:r>
        <w:rPr>
          <w:rFonts w:hint="eastAsia"/>
          <w:color w:val="auto"/>
          <w:kern w:val="0"/>
          <w:szCs w:val="21"/>
          <w:highlight w:val="none"/>
          <w:lang w:val="en-US" w:eastAsia="zh-CN"/>
        </w:rPr>
        <w:t>406660.00</w:t>
      </w:r>
    </w:p>
    <w:p w14:paraId="6C28D00B">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ascii="宋体" w:hAnsi="宋体" w:eastAsia="宋体" w:cs="宋体"/>
          <w:color w:val="auto"/>
          <w:spacing w:val="3"/>
          <w:sz w:val="20"/>
          <w:szCs w:val="20"/>
          <w:highlight w:val="none"/>
        </w:rPr>
        <w:t>自合同签订之日起开始提供服务，20</w:t>
      </w:r>
      <w:r>
        <w:rPr>
          <w:rFonts w:ascii="宋体" w:hAnsi="宋体" w:eastAsia="宋体" w:cs="宋体"/>
          <w:color w:val="auto"/>
          <w:spacing w:val="2"/>
          <w:sz w:val="20"/>
          <w:szCs w:val="20"/>
          <w:highlight w:val="none"/>
        </w:rPr>
        <w:t>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
          <w:sz w:val="20"/>
          <w:szCs w:val="20"/>
          <w:highlight w:val="none"/>
        </w:rPr>
        <w:t>年</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6"/>
          <w:sz w:val="20"/>
          <w:szCs w:val="20"/>
          <w:highlight w:val="none"/>
        </w:rPr>
        <w:t>前全部抽检完成并录入国抽系统，按具体方案时间节点要求提供质量</w:t>
      </w:r>
      <w:r>
        <w:rPr>
          <w:rFonts w:ascii="宋体" w:hAnsi="宋体" w:eastAsia="宋体" w:cs="宋体"/>
          <w:color w:val="auto"/>
          <w:spacing w:val="5"/>
          <w:sz w:val="20"/>
          <w:szCs w:val="20"/>
          <w:highlight w:val="none"/>
        </w:rPr>
        <w:t>分析报告。</w:t>
      </w:r>
    </w:p>
    <w:p w14:paraId="698C112C">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lang w:val="en-US" w:eastAsia="zh-CN"/>
        </w:rPr>
        <w:t>不</w:t>
      </w:r>
      <w:r>
        <w:rPr>
          <w:rFonts w:hint="eastAsia"/>
          <w:color w:val="auto"/>
          <w:kern w:val="0"/>
          <w:szCs w:val="21"/>
          <w:highlight w:val="none"/>
        </w:rPr>
        <w:t>接受</w:t>
      </w:r>
      <w:r>
        <w:rPr>
          <w:color w:val="auto"/>
          <w:kern w:val="0"/>
          <w:szCs w:val="21"/>
          <w:highlight w:val="none"/>
        </w:rPr>
        <w:t>联合体。</w:t>
      </w:r>
    </w:p>
    <w:p w14:paraId="722E129E">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备注：</w:t>
      </w:r>
    </w:p>
    <w:p w14:paraId="165E1AB7">
      <w:pPr>
        <w:spacing w:line="312" w:lineRule="auto"/>
        <w:ind w:firstLine="630" w:firstLineChars="300"/>
        <w:jc w:val="left"/>
        <w:rPr>
          <w:rFonts w:hint="default" w:eastAsia="宋体"/>
          <w:color w:val="auto"/>
          <w:kern w:val="0"/>
          <w:szCs w:val="21"/>
          <w:highlight w:val="none"/>
          <w:lang w:val="en-US" w:eastAsia="zh-CN"/>
        </w:rPr>
      </w:pPr>
      <w:r>
        <w:rPr>
          <w:rFonts w:hint="eastAsia"/>
          <w:color w:val="auto"/>
          <w:kern w:val="0"/>
          <w:szCs w:val="21"/>
          <w:highlight w:val="none"/>
          <w:lang w:val="en-US" w:eastAsia="zh-CN"/>
        </w:rPr>
        <w:t>标项四</w:t>
      </w:r>
    </w:p>
    <w:p w14:paraId="1600CCFB">
      <w:pPr>
        <w:spacing w:line="312" w:lineRule="auto"/>
        <w:ind w:firstLine="735" w:firstLineChars="350"/>
        <w:jc w:val="left"/>
        <w:rPr>
          <w:color w:val="auto"/>
          <w:kern w:val="0"/>
          <w:szCs w:val="21"/>
          <w:highlight w:val="none"/>
        </w:rPr>
      </w:pPr>
      <w:r>
        <w:rPr>
          <w:rFonts w:hint="eastAsia"/>
          <w:color w:val="auto"/>
          <w:kern w:val="0"/>
          <w:szCs w:val="21"/>
          <w:highlight w:val="none"/>
        </w:rPr>
        <w:t>标项名称：2026年</w:t>
      </w:r>
      <w:r>
        <w:rPr>
          <w:rFonts w:hint="eastAsia"/>
          <w:color w:val="auto"/>
          <w:kern w:val="0"/>
          <w:szCs w:val="21"/>
          <w:highlight w:val="none"/>
          <w:lang w:val="en-US" w:eastAsia="zh-CN"/>
        </w:rPr>
        <w:t>市局</w:t>
      </w:r>
      <w:r>
        <w:rPr>
          <w:rFonts w:hint="eastAsia"/>
          <w:color w:val="auto"/>
          <w:kern w:val="0"/>
          <w:szCs w:val="21"/>
          <w:highlight w:val="none"/>
        </w:rPr>
        <w:t>片区食品安全监督抽检服务</w:t>
      </w:r>
    </w:p>
    <w:p w14:paraId="66439853">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1项</w:t>
      </w:r>
    </w:p>
    <w:p w14:paraId="3F5B8624">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预算金额（元）：</w:t>
      </w:r>
      <w:r>
        <w:rPr>
          <w:rFonts w:hint="eastAsia"/>
          <w:color w:val="auto"/>
          <w:kern w:val="0"/>
          <w:szCs w:val="21"/>
          <w:highlight w:val="none"/>
          <w:lang w:val="en-US" w:eastAsia="zh-CN"/>
        </w:rPr>
        <w:t>359760.00</w:t>
      </w:r>
    </w:p>
    <w:p w14:paraId="0ABCF3DC">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简要规格描述或项目基本概况介绍、用途：食品安全监督抽检服务，具体详见</w:t>
      </w:r>
      <w:r>
        <w:rPr>
          <w:rFonts w:hint="eastAsia"/>
          <w:color w:val="auto"/>
          <w:kern w:val="0"/>
          <w:szCs w:val="21"/>
          <w:highlight w:val="none"/>
          <w:lang w:val="en-US" w:eastAsia="zh-CN"/>
        </w:rPr>
        <w:t>采购文件第二章采购需求。</w:t>
      </w:r>
    </w:p>
    <w:p w14:paraId="0E69966E">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最高限价（如有）：</w:t>
      </w:r>
      <w:r>
        <w:rPr>
          <w:rFonts w:hint="eastAsia"/>
          <w:color w:val="auto"/>
          <w:kern w:val="0"/>
          <w:szCs w:val="21"/>
          <w:highlight w:val="none"/>
          <w:lang w:val="en-US" w:eastAsia="zh-CN"/>
        </w:rPr>
        <w:t>359760.00</w:t>
      </w:r>
    </w:p>
    <w:p w14:paraId="1E165F8F">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ascii="宋体" w:hAnsi="宋体" w:eastAsia="宋体" w:cs="宋体"/>
          <w:color w:val="auto"/>
          <w:spacing w:val="3"/>
          <w:sz w:val="20"/>
          <w:szCs w:val="20"/>
          <w:highlight w:val="none"/>
        </w:rPr>
        <w:t>自合同签订之日起开始提供服务，20</w:t>
      </w:r>
      <w:r>
        <w:rPr>
          <w:rFonts w:ascii="宋体" w:hAnsi="宋体" w:eastAsia="宋体" w:cs="宋体"/>
          <w:color w:val="auto"/>
          <w:spacing w:val="2"/>
          <w:sz w:val="20"/>
          <w:szCs w:val="20"/>
          <w:highlight w:val="none"/>
        </w:rPr>
        <w:t>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
          <w:sz w:val="20"/>
          <w:szCs w:val="20"/>
          <w:highlight w:val="none"/>
        </w:rPr>
        <w:t>年</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6"/>
          <w:sz w:val="20"/>
          <w:szCs w:val="20"/>
          <w:highlight w:val="none"/>
        </w:rPr>
        <w:t>前全部抽检完成并录入国抽系统，按具体方案时间节点要求提供质量</w:t>
      </w:r>
      <w:r>
        <w:rPr>
          <w:rFonts w:ascii="宋体" w:hAnsi="宋体" w:eastAsia="宋体" w:cs="宋体"/>
          <w:color w:val="auto"/>
          <w:spacing w:val="5"/>
          <w:sz w:val="20"/>
          <w:szCs w:val="20"/>
          <w:highlight w:val="none"/>
        </w:rPr>
        <w:t>分析报告。</w:t>
      </w:r>
    </w:p>
    <w:p w14:paraId="4B68CE85">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lang w:val="en-US" w:eastAsia="zh-CN"/>
        </w:rPr>
        <w:t>不</w:t>
      </w:r>
      <w:r>
        <w:rPr>
          <w:rFonts w:hint="eastAsia"/>
          <w:color w:val="auto"/>
          <w:kern w:val="0"/>
          <w:szCs w:val="21"/>
          <w:highlight w:val="none"/>
        </w:rPr>
        <w:t>接受</w:t>
      </w:r>
      <w:r>
        <w:rPr>
          <w:color w:val="auto"/>
          <w:kern w:val="0"/>
          <w:szCs w:val="21"/>
          <w:highlight w:val="none"/>
        </w:rPr>
        <w:t>联合体。</w:t>
      </w:r>
    </w:p>
    <w:p w14:paraId="7E3BBD38">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备注：</w:t>
      </w:r>
    </w:p>
    <w:p w14:paraId="45A86F16">
      <w:pPr>
        <w:spacing w:line="312" w:lineRule="auto"/>
        <w:ind w:firstLine="630" w:firstLineChars="300"/>
        <w:jc w:val="left"/>
        <w:rPr>
          <w:rFonts w:hint="default" w:eastAsia="宋体"/>
          <w:color w:val="auto"/>
          <w:kern w:val="0"/>
          <w:szCs w:val="21"/>
          <w:highlight w:val="none"/>
          <w:lang w:val="en-US" w:eastAsia="zh-CN"/>
        </w:rPr>
      </w:pPr>
      <w:r>
        <w:rPr>
          <w:rFonts w:hint="eastAsia"/>
          <w:color w:val="auto"/>
          <w:kern w:val="0"/>
          <w:szCs w:val="21"/>
          <w:highlight w:val="none"/>
          <w:lang w:val="en-US" w:eastAsia="zh-CN"/>
        </w:rPr>
        <w:t>标项五</w:t>
      </w:r>
    </w:p>
    <w:p w14:paraId="4C1C5035">
      <w:pPr>
        <w:spacing w:line="312" w:lineRule="auto"/>
        <w:ind w:firstLine="735" w:firstLineChars="350"/>
        <w:jc w:val="left"/>
        <w:rPr>
          <w:color w:val="auto"/>
          <w:kern w:val="0"/>
          <w:szCs w:val="21"/>
          <w:highlight w:val="none"/>
        </w:rPr>
      </w:pPr>
      <w:r>
        <w:rPr>
          <w:rFonts w:hint="eastAsia"/>
          <w:color w:val="auto"/>
          <w:kern w:val="0"/>
          <w:szCs w:val="21"/>
          <w:highlight w:val="none"/>
        </w:rPr>
        <w:t>标项名称：2026年</w:t>
      </w:r>
      <w:r>
        <w:rPr>
          <w:rFonts w:hint="eastAsia"/>
          <w:color w:val="auto"/>
          <w:kern w:val="0"/>
          <w:szCs w:val="21"/>
          <w:highlight w:val="none"/>
          <w:lang w:val="en-US" w:eastAsia="zh-CN"/>
        </w:rPr>
        <w:t>上思</w:t>
      </w:r>
      <w:r>
        <w:rPr>
          <w:rFonts w:hint="eastAsia"/>
          <w:color w:val="auto"/>
          <w:kern w:val="0"/>
          <w:szCs w:val="21"/>
          <w:highlight w:val="none"/>
        </w:rPr>
        <w:t>片区食品安全监督抽检服务</w:t>
      </w:r>
    </w:p>
    <w:p w14:paraId="0AA0351B">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数量：</w:t>
      </w:r>
      <w:r>
        <w:rPr>
          <w:rFonts w:hint="eastAsia"/>
          <w:color w:val="auto"/>
          <w:kern w:val="0"/>
          <w:szCs w:val="21"/>
          <w:highlight w:val="none"/>
          <w:lang w:val="en-US" w:eastAsia="zh-CN"/>
        </w:rPr>
        <w:t>1项</w:t>
      </w:r>
    </w:p>
    <w:p w14:paraId="21C085CF">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预算金额（元）：</w:t>
      </w:r>
      <w:r>
        <w:rPr>
          <w:rFonts w:hint="eastAsia"/>
          <w:color w:val="auto"/>
          <w:kern w:val="0"/>
          <w:szCs w:val="21"/>
          <w:highlight w:val="none"/>
          <w:lang w:val="en-US" w:eastAsia="zh-CN"/>
        </w:rPr>
        <w:t>327570.00</w:t>
      </w:r>
    </w:p>
    <w:p w14:paraId="7CCFAB37">
      <w:pPr>
        <w:spacing w:line="312" w:lineRule="auto"/>
        <w:ind w:firstLine="735" w:firstLineChars="350"/>
        <w:jc w:val="left"/>
        <w:rPr>
          <w:rFonts w:hint="default" w:eastAsia="宋体"/>
          <w:color w:val="auto"/>
          <w:kern w:val="0"/>
          <w:szCs w:val="21"/>
          <w:highlight w:val="none"/>
          <w:lang w:val="en-US" w:eastAsia="zh-CN"/>
        </w:rPr>
      </w:pPr>
      <w:r>
        <w:rPr>
          <w:rFonts w:hint="eastAsia"/>
          <w:color w:val="auto"/>
          <w:kern w:val="0"/>
          <w:szCs w:val="21"/>
          <w:highlight w:val="none"/>
        </w:rPr>
        <w:t>简要规格描述或项目基本概况介绍、用途：食品安全监督抽检服务，具体详见</w:t>
      </w:r>
      <w:r>
        <w:rPr>
          <w:rFonts w:hint="eastAsia"/>
          <w:color w:val="auto"/>
          <w:kern w:val="0"/>
          <w:szCs w:val="21"/>
          <w:highlight w:val="none"/>
          <w:lang w:val="en-US" w:eastAsia="zh-CN"/>
        </w:rPr>
        <w:t>采购文件第二章采购需求。</w:t>
      </w:r>
    </w:p>
    <w:p w14:paraId="1059302E">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最高限价（如有）：</w:t>
      </w:r>
      <w:r>
        <w:rPr>
          <w:color w:val="auto"/>
          <w:kern w:val="0"/>
          <w:szCs w:val="21"/>
          <w:highlight w:val="none"/>
        </w:rPr>
        <w:t xml:space="preserve"> </w:t>
      </w:r>
      <w:r>
        <w:rPr>
          <w:rFonts w:hint="eastAsia"/>
          <w:color w:val="auto"/>
          <w:kern w:val="0"/>
          <w:szCs w:val="21"/>
          <w:highlight w:val="none"/>
          <w:lang w:val="en-US" w:eastAsia="zh-CN"/>
        </w:rPr>
        <w:t>327570.00</w:t>
      </w:r>
    </w:p>
    <w:p w14:paraId="11B60605">
      <w:pPr>
        <w:spacing w:line="312" w:lineRule="auto"/>
        <w:ind w:firstLine="735" w:firstLineChars="350"/>
        <w:jc w:val="left"/>
        <w:rPr>
          <w:color w:val="auto"/>
          <w:kern w:val="0"/>
          <w:szCs w:val="21"/>
          <w:highlight w:val="none"/>
        </w:rPr>
      </w:pPr>
      <w:r>
        <w:rPr>
          <w:rFonts w:hint="eastAsia"/>
          <w:color w:val="auto"/>
          <w:kern w:val="0"/>
          <w:szCs w:val="21"/>
          <w:highlight w:val="none"/>
        </w:rPr>
        <w:t>合同履约期限：</w:t>
      </w:r>
      <w:r>
        <w:rPr>
          <w:rFonts w:ascii="宋体" w:hAnsi="宋体" w:eastAsia="宋体" w:cs="宋体"/>
          <w:color w:val="auto"/>
          <w:spacing w:val="3"/>
          <w:sz w:val="20"/>
          <w:szCs w:val="20"/>
          <w:highlight w:val="none"/>
        </w:rPr>
        <w:t>自合同签订之日起开始提供服务，20</w:t>
      </w:r>
      <w:r>
        <w:rPr>
          <w:rFonts w:ascii="宋体" w:hAnsi="宋体" w:eastAsia="宋体" w:cs="宋体"/>
          <w:color w:val="auto"/>
          <w:spacing w:val="2"/>
          <w:sz w:val="20"/>
          <w:szCs w:val="20"/>
          <w:highlight w:val="none"/>
        </w:rPr>
        <w:t>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
          <w:sz w:val="20"/>
          <w:szCs w:val="20"/>
          <w:highlight w:val="none"/>
        </w:rPr>
        <w:t>年</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6"/>
          <w:sz w:val="20"/>
          <w:szCs w:val="20"/>
          <w:highlight w:val="none"/>
        </w:rPr>
        <w:t>前全部抽检完成并录入国抽系统，按具体方案时间节点要求提供质量</w:t>
      </w:r>
      <w:r>
        <w:rPr>
          <w:rFonts w:ascii="宋体" w:hAnsi="宋体" w:eastAsia="宋体" w:cs="宋体"/>
          <w:color w:val="auto"/>
          <w:spacing w:val="5"/>
          <w:sz w:val="20"/>
          <w:szCs w:val="20"/>
          <w:highlight w:val="none"/>
        </w:rPr>
        <w:t>分析报告。</w:t>
      </w:r>
    </w:p>
    <w:p w14:paraId="1F20098A">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lang w:val="en-US" w:eastAsia="zh-CN"/>
        </w:rPr>
        <w:t>不</w:t>
      </w:r>
      <w:r>
        <w:rPr>
          <w:rFonts w:hint="eastAsia"/>
          <w:color w:val="auto"/>
          <w:kern w:val="0"/>
          <w:szCs w:val="21"/>
          <w:highlight w:val="none"/>
        </w:rPr>
        <w:t>接受</w:t>
      </w:r>
      <w:r>
        <w:rPr>
          <w:color w:val="auto"/>
          <w:kern w:val="0"/>
          <w:szCs w:val="21"/>
          <w:highlight w:val="none"/>
        </w:rPr>
        <w:t>联合体。</w:t>
      </w:r>
    </w:p>
    <w:p w14:paraId="43BFCC65">
      <w:pPr>
        <w:spacing w:line="312" w:lineRule="auto"/>
        <w:ind w:firstLine="735" w:firstLineChars="350"/>
        <w:jc w:val="left"/>
        <w:rPr>
          <w:rFonts w:hint="eastAsia"/>
          <w:color w:val="auto"/>
          <w:kern w:val="0"/>
          <w:szCs w:val="21"/>
          <w:highlight w:val="none"/>
        </w:rPr>
      </w:pPr>
      <w:r>
        <w:rPr>
          <w:rFonts w:hint="eastAsia"/>
          <w:color w:val="auto"/>
          <w:kern w:val="0"/>
          <w:szCs w:val="21"/>
          <w:highlight w:val="none"/>
        </w:rPr>
        <w:t>备注：</w:t>
      </w:r>
    </w:p>
    <w:bookmarkEnd w:id="7"/>
    <w:p w14:paraId="6CC2660A">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二、申请人的资格要求</w:t>
      </w:r>
    </w:p>
    <w:p w14:paraId="3620F850">
      <w:pPr>
        <w:spacing w:line="312" w:lineRule="auto"/>
        <w:ind w:firstLine="420" w:firstLineChars="200"/>
        <w:jc w:val="left"/>
        <w:rPr>
          <w:color w:val="auto"/>
          <w:szCs w:val="21"/>
          <w:highlight w:val="none"/>
        </w:rPr>
      </w:pPr>
      <w:r>
        <w:rPr>
          <w:color w:val="auto"/>
          <w:kern w:val="0"/>
          <w:szCs w:val="21"/>
          <w:highlight w:val="none"/>
        </w:rPr>
        <w:t>1</w:t>
      </w:r>
      <w:r>
        <w:rPr>
          <w:rFonts w:hint="eastAsia"/>
          <w:color w:val="auto"/>
          <w:kern w:val="0"/>
          <w:szCs w:val="21"/>
          <w:highlight w:val="none"/>
        </w:rPr>
        <w:t>.满足</w:t>
      </w:r>
      <w:r>
        <w:rPr>
          <w:color w:val="auto"/>
          <w:kern w:val="0"/>
          <w:szCs w:val="21"/>
          <w:highlight w:val="none"/>
        </w:rPr>
        <w:t>《中华人民共和国政府采购法》第二十二条规定；</w:t>
      </w:r>
      <w:r>
        <w:rPr>
          <w:color w:val="auto"/>
          <w:szCs w:val="21"/>
          <w:highlight w:val="none"/>
        </w:rPr>
        <w:t xml:space="preserve"> </w:t>
      </w:r>
    </w:p>
    <w:p w14:paraId="002A942E">
      <w:pPr>
        <w:spacing w:line="312" w:lineRule="auto"/>
        <w:ind w:firstLine="420" w:firstLineChars="200"/>
        <w:jc w:val="left"/>
        <w:rPr>
          <w:color w:val="auto"/>
          <w:kern w:val="0"/>
          <w:szCs w:val="21"/>
          <w:highlight w:val="none"/>
        </w:rPr>
      </w:pPr>
      <w:r>
        <w:rPr>
          <w:rFonts w:hint="eastAsia"/>
          <w:color w:val="auto"/>
          <w:szCs w:val="21"/>
          <w:highlight w:val="none"/>
        </w:rPr>
        <w:t>2.落实政府采购政策需满足的资格要求：</w:t>
      </w:r>
    </w:p>
    <w:p w14:paraId="130B4D40">
      <w:pPr>
        <w:spacing w:line="312" w:lineRule="auto"/>
        <w:ind w:firstLine="420" w:firstLineChars="200"/>
        <w:jc w:val="left"/>
        <w:rPr>
          <w:color w:val="auto"/>
          <w:kern w:val="0"/>
          <w:szCs w:val="21"/>
          <w:highlight w:val="none"/>
        </w:rPr>
      </w:pPr>
      <w:r>
        <w:rPr>
          <w:rFonts w:hint="eastAsia"/>
          <w:color w:val="auto"/>
          <w:szCs w:val="21"/>
          <w:highlight w:val="none"/>
        </w:rPr>
        <w:t>本项目（</w:t>
      </w:r>
      <w:r>
        <w:rPr>
          <w:rFonts w:hint="eastAsia"/>
          <w:color w:val="auto"/>
          <w:szCs w:val="21"/>
          <w:highlight w:val="none"/>
          <w:u w:val="single"/>
        </w:rPr>
        <w:t xml:space="preserve"> </w:t>
      </w:r>
      <w:r>
        <w:rPr>
          <w:rFonts w:hint="eastAsia"/>
          <w:color w:val="auto"/>
          <w:szCs w:val="21"/>
          <w:highlight w:val="none"/>
          <w:u w:val="single"/>
          <w:lang w:val="en-US" w:eastAsia="zh-CN"/>
        </w:rPr>
        <w:t>四、五</w:t>
      </w:r>
      <w:r>
        <w:rPr>
          <w:color w:val="auto"/>
          <w:szCs w:val="21"/>
          <w:highlight w:val="none"/>
          <w:u w:val="single"/>
        </w:rPr>
        <w:t xml:space="preserve">  </w:t>
      </w:r>
      <w:r>
        <w:rPr>
          <w:rFonts w:hint="eastAsia"/>
          <w:color w:val="auto"/>
          <w:szCs w:val="21"/>
          <w:highlight w:val="none"/>
        </w:rPr>
        <w:t>标段）供应商均为中小微企业或残疾人福利企业或监狱企业</w:t>
      </w:r>
      <w:r>
        <w:rPr>
          <w:rFonts w:hint="eastAsia"/>
          <w:color w:val="auto"/>
          <w:kern w:val="0"/>
          <w:szCs w:val="21"/>
          <w:highlight w:val="none"/>
        </w:rPr>
        <w:t>；</w:t>
      </w:r>
    </w:p>
    <w:p w14:paraId="5C1F96F5">
      <w:pPr>
        <w:spacing w:line="312" w:lineRule="auto"/>
        <w:ind w:firstLine="420" w:firstLineChars="200"/>
        <w:jc w:val="left"/>
        <w:rPr>
          <w:rFonts w:hint="eastAsia"/>
          <w:color w:val="auto"/>
          <w:kern w:val="0"/>
          <w:szCs w:val="21"/>
          <w:highlight w:val="none"/>
        </w:rPr>
      </w:pPr>
      <w:r>
        <w:rPr>
          <w:color w:val="auto"/>
          <w:kern w:val="0"/>
          <w:szCs w:val="21"/>
          <w:highlight w:val="none"/>
        </w:rPr>
        <w:t>3</w:t>
      </w:r>
      <w:r>
        <w:rPr>
          <w:rFonts w:hint="eastAsia"/>
          <w:color w:val="auto"/>
          <w:kern w:val="0"/>
          <w:szCs w:val="21"/>
          <w:highlight w:val="none"/>
        </w:rPr>
        <w:t>.本项目的</w:t>
      </w:r>
      <w:r>
        <w:rPr>
          <w:color w:val="auto"/>
          <w:kern w:val="0"/>
          <w:szCs w:val="21"/>
          <w:highlight w:val="none"/>
        </w:rPr>
        <w:t>特定资格</w:t>
      </w:r>
      <w:r>
        <w:rPr>
          <w:rFonts w:hint="eastAsia"/>
          <w:color w:val="auto"/>
          <w:kern w:val="0"/>
          <w:szCs w:val="21"/>
          <w:highlight w:val="none"/>
        </w:rPr>
        <w:t>要求</w:t>
      </w:r>
      <w:r>
        <w:rPr>
          <w:color w:val="auto"/>
          <w:kern w:val="0"/>
          <w:szCs w:val="21"/>
          <w:highlight w:val="none"/>
        </w:rPr>
        <w:t>：</w:t>
      </w:r>
    </w:p>
    <w:p w14:paraId="30ABA598">
      <w:pPr>
        <w:spacing w:line="312" w:lineRule="auto"/>
        <w:ind w:firstLine="420" w:firstLineChars="200"/>
        <w:jc w:val="left"/>
        <w:rPr>
          <w:color w:val="auto"/>
          <w:kern w:val="0"/>
          <w:szCs w:val="21"/>
          <w:highlight w:val="none"/>
        </w:rPr>
      </w:pPr>
      <w:r>
        <w:rPr>
          <w:color w:val="auto"/>
          <w:kern w:val="0"/>
          <w:szCs w:val="21"/>
          <w:highlight w:val="none"/>
        </w:rPr>
        <w:t>（1）资质要求：</w:t>
      </w:r>
      <w:r>
        <w:rPr>
          <w:rFonts w:hint="eastAsia"/>
          <w:color w:val="auto"/>
          <w:kern w:val="0"/>
          <w:szCs w:val="21"/>
          <w:highlight w:val="none"/>
        </w:rPr>
        <w:t>供应商具备有效的食品检验机构资质认定证书或检验检测机构资质认定证书</w:t>
      </w:r>
      <w:r>
        <w:rPr>
          <w:color w:val="auto"/>
          <w:kern w:val="0"/>
          <w:szCs w:val="21"/>
          <w:highlight w:val="none"/>
        </w:rPr>
        <w:t>。</w:t>
      </w:r>
    </w:p>
    <w:p w14:paraId="662C9A95">
      <w:pPr>
        <w:spacing w:line="312" w:lineRule="auto"/>
        <w:ind w:firstLine="420" w:firstLineChars="200"/>
        <w:jc w:val="left"/>
        <w:rPr>
          <w:rFonts w:hint="eastAsia"/>
          <w:color w:val="auto"/>
          <w:kern w:val="0"/>
          <w:szCs w:val="21"/>
          <w:highlight w:val="none"/>
        </w:rPr>
      </w:pPr>
      <w:r>
        <w:rPr>
          <w:color w:val="auto"/>
          <w:kern w:val="0"/>
          <w:szCs w:val="21"/>
          <w:highlight w:val="none"/>
        </w:rPr>
        <w:t>（2）业绩要求：无。</w:t>
      </w:r>
    </w:p>
    <w:p w14:paraId="0F59FCE3">
      <w:pPr>
        <w:spacing w:line="312" w:lineRule="auto"/>
        <w:ind w:firstLine="420" w:firstLineChars="200"/>
        <w:jc w:val="left"/>
        <w:rPr>
          <w:color w:val="auto"/>
          <w:kern w:val="0"/>
          <w:szCs w:val="21"/>
          <w:highlight w:val="none"/>
        </w:rPr>
      </w:pPr>
      <w:r>
        <w:rPr>
          <w:rFonts w:hint="eastAsia"/>
          <w:color w:val="auto"/>
          <w:kern w:val="0"/>
          <w:szCs w:val="21"/>
          <w:highlight w:val="none"/>
        </w:rPr>
        <w:t>（</w:t>
      </w:r>
      <w:r>
        <w:rPr>
          <w:color w:val="auto"/>
          <w:kern w:val="0"/>
          <w:szCs w:val="21"/>
          <w:highlight w:val="none"/>
        </w:rPr>
        <w:t>3</w:t>
      </w:r>
      <w:r>
        <w:rPr>
          <w:rFonts w:hint="eastAsia"/>
          <w:color w:val="auto"/>
          <w:kern w:val="0"/>
          <w:szCs w:val="21"/>
          <w:highlight w:val="none"/>
        </w:rPr>
        <w:t>）</w:t>
      </w: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r>
        <w:rPr>
          <w:rFonts w:hint="eastAsia"/>
          <w:color w:val="auto"/>
          <w:kern w:val="0"/>
          <w:szCs w:val="21"/>
          <w:highlight w:val="none"/>
        </w:rPr>
        <w:t>。</w:t>
      </w:r>
    </w:p>
    <w:p w14:paraId="56284F59">
      <w:pPr>
        <w:spacing w:line="312" w:lineRule="auto"/>
        <w:ind w:firstLine="420" w:firstLineChars="200"/>
        <w:jc w:val="left"/>
        <w:rPr>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4</w:t>
      </w:r>
      <w:r>
        <w:rPr>
          <w:rFonts w:hint="eastAsia"/>
          <w:color w:val="auto"/>
          <w:kern w:val="0"/>
          <w:szCs w:val="21"/>
          <w:highlight w:val="none"/>
        </w:rPr>
        <w:t>）</w:t>
      </w:r>
      <w:r>
        <w:rPr>
          <w:color w:val="auto"/>
          <w:kern w:val="0"/>
          <w:szCs w:val="21"/>
          <w:highlight w:val="none"/>
        </w:rPr>
        <w:t>未被列入失信被执行人、重大税收违法失信主体、政府采购严重违法失信行为记录名单。</w:t>
      </w:r>
    </w:p>
    <w:p w14:paraId="797F790F">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5</w:t>
      </w:r>
      <w:r>
        <w:rPr>
          <w:rFonts w:hint="eastAsia"/>
          <w:color w:val="auto"/>
          <w:kern w:val="0"/>
          <w:szCs w:val="21"/>
          <w:highlight w:val="none"/>
        </w:rPr>
        <w:t>）本项目（</w:t>
      </w:r>
      <w:r>
        <w:rPr>
          <w:color w:val="auto"/>
          <w:szCs w:val="21"/>
          <w:highlight w:val="none"/>
        </w:rPr>
        <w:sym w:font="Wingdings 2" w:char="F052"/>
      </w:r>
      <w:r>
        <w:rPr>
          <w:rFonts w:hint="eastAsia"/>
          <w:color w:val="auto"/>
          <w:kern w:val="0"/>
          <w:szCs w:val="21"/>
          <w:highlight w:val="none"/>
        </w:rPr>
        <w:t>不允许；</w:t>
      </w:r>
      <w:r>
        <w:rPr>
          <w:color w:val="auto"/>
          <w:szCs w:val="21"/>
          <w:highlight w:val="none"/>
        </w:rPr>
        <w:sym w:font="Wingdings 2" w:char="F0A3"/>
      </w:r>
      <w:r>
        <w:rPr>
          <w:rFonts w:hint="eastAsia"/>
          <w:color w:val="auto"/>
          <w:szCs w:val="21"/>
          <w:highlight w:val="none"/>
        </w:rPr>
        <w:t>允许</w:t>
      </w:r>
      <w:r>
        <w:rPr>
          <w:rFonts w:hint="eastAsia"/>
          <w:color w:val="auto"/>
          <w:kern w:val="0"/>
          <w:szCs w:val="21"/>
          <w:highlight w:val="none"/>
        </w:rPr>
        <w:t>）分公司参与响应。</w:t>
      </w:r>
    </w:p>
    <w:p w14:paraId="61B1A5A2">
      <w:pPr>
        <w:spacing w:line="312" w:lineRule="auto"/>
        <w:ind w:firstLine="420" w:firstLineChars="200"/>
        <w:jc w:val="left"/>
        <w:rPr>
          <w:color w:val="auto"/>
          <w:kern w:val="0"/>
          <w:szCs w:val="21"/>
          <w:highlight w:val="none"/>
        </w:rPr>
      </w:pPr>
      <w:r>
        <w:rPr>
          <w:rFonts w:hint="eastAsia"/>
          <w:color w:val="auto"/>
          <w:szCs w:val="21"/>
          <w:highlight w:val="none"/>
        </w:rPr>
        <w:t>（</w:t>
      </w:r>
      <w:r>
        <w:rPr>
          <w:rFonts w:hint="eastAsia"/>
          <w:color w:val="auto"/>
          <w:szCs w:val="21"/>
          <w:highlight w:val="none"/>
          <w:lang w:val="en-US" w:eastAsia="zh-CN"/>
        </w:rPr>
        <w:t>6</w:t>
      </w:r>
      <w:r>
        <w:rPr>
          <w:rFonts w:hint="eastAsia"/>
          <w:color w:val="auto"/>
          <w:szCs w:val="21"/>
          <w:highlight w:val="none"/>
        </w:rPr>
        <w:t>）</w:t>
      </w:r>
      <w:r>
        <w:rPr>
          <w:rFonts w:hint="eastAsia"/>
          <w:color w:val="auto"/>
          <w:kern w:val="0"/>
          <w:szCs w:val="21"/>
          <w:highlight w:val="none"/>
        </w:rPr>
        <w:t>本项目（</w:t>
      </w:r>
      <w:r>
        <w:rPr>
          <w:color w:val="auto"/>
          <w:szCs w:val="21"/>
          <w:highlight w:val="none"/>
        </w:rPr>
        <w:sym w:font="Wingdings 2" w:char="F052"/>
      </w:r>
      <w:r>
        <w:rPr>
          <w:rFonts w:hint="eastAsia"/>
          <w:color w:val="auto"/>
          <w:kern w:val="0"/>
          <w:szCs w:val="21"/>
          <w:highlight w:val="none"/>
        </w:rPr>
        <w:t>不允许；</w:t>
      </w:r>
      <w:r>
        <w:rPr>
          <w:color w:val="auto"/>
          <w:szCs w:val="21"/>
          <w:highlight w:val="none"/>
        </w:rPr>
        <w:sym w:font="Wingdings 2" w:char="F0A3"/>
      </w:r>
      <w:r>
        <w:rPr>
          <w:rFonts w:hint="eastAsia"/>
          <w:color w:val="auto"/>
          <w:szCs w:val="21"/>
          <w:highlight w:val="none"/>
        </w:rPr>
        <w:t>允许</w:t>
      </w:r>
      <w:r>
        <w:rPr>
          <w:rFonts w:hint="eastAsia"/>
          <w:color w:val="auto"/>
          <w:kern w:val="0"/>
          <w:szCs w:val="21"/>
          <w:highlight w:val="none"/>
        </w:rPr>
        <w:t>）分包。</w:t>
      </w:r>
    </w:p>
    <w:p w14:paraId="2F7AF996">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w:t>
      </w:r>
      <w:r>
        <w:rPr>
          <w:rFonts w:hint="eastAsia"/>
          <w:color w:val="auto"/>
          <w:kern w:val="0"/>
          <w:szCs w:val="21"/>
          <w:highlight w:val="none"/>
          <w:lang w:val="en-US" w:eastAsia="zh-CN"/>
        </w:rPr>
        <w:t>7</w:t>
      </w:r>
      <w:r>
        <w:rPr>
          <w:rFonts w:hint="eastAsia"/>
          <w:color w:val="auto"/>
          <w:kern w:val="0"/>
          <w:szCs w:val="21"/>
          <w:highlight w:val="none"/>
        </w:rPr>
        <w:t>）</w:t>
      </w:r>
      <w:r>
        <w:rPr>
          <w:color w:val="auto"/>
          <w:kern w:val="0"/>
          <w:szCs w:val="21"/>
          <w:highlight w:val="none"/>
        </w:rPr>
        <w:t>按照</w:t>
      </w:r>
      <w:r>
        <w:rPr>
          <w:rFonts w:hint="eastAsia"/>
          <w:color w:val="auto"/>
          <w:highlight w:val="none"/>
        </w:rPr>
        <w:t>磋商</w:t>
      </w:r>
      <w:r>
        <w:rPr>
          <w:color w:val="auto"/>
          <w:kern w:val="0"/>
          <w:szCs w:val="21"/>
          <w:highlight w:val="none"/>
        </w:rPr>
        <w:t>公告的规定获得</w:t>
      </w:r>
      <w:r>
        <w:rPr>
          <w:rFonts w:hint="eastAsia"/>
          <w:color w:val="auto"/>
          <w:highlight w:val="none"/>
        </w:rPr>
        <w:t>采购文件</w:t>
      </w:r>
      <w:r>
        <w:rPr>
          <w:color w:val="auto"/>
          <w:kern w:val="0"/>
          <w:szCs w:val="21"/>
          <w:highlight w:val="none"/>
        </w:rPr>
        <w:t>。</w:t>
      </w:r>
      <w:r>
        <w:rPr>
          <w:rFonts w:hint="eastAsia"/>
          <w:color w:val="auto"/>
          <w:kern w:val="0"/>
          <w:szCs w:val="21"/>
          <w:highlight w:val="none"/>
        </w:rPr>
        <w:t>采购文件有规定时按要求提交磋商保证金。</w:t>
      </w:r>
    </w:p>
    <w:p w14:paraId="3B6A5B69">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三、获取采购文件</w:t>
      </w:r>
    </w:p>
    <w:p w14:paraId="038FAE87">
      <w:pPr>
        <w:spacing w:line="312" w:lineRule="auto"/>
        <w:ind w:firstLine="420" w:firstLineChars="200"/>
        <w:jc w:val="left"/>
        <w:rPr>
          <w:color w:val="auto"/>
          <w:highlight w:val="none"/>
        </w:rPr>
      </w:pPr>
      <w:r>
        <w:rPr>
          <w:rFonts w:hint="eastAsia"/>
          <w:color w:val="auto"/>
          <w:highlight w:val="none"/>
        </w:rPr>
        <w:t>时间：</w:t>
      </w:r>
      <w:r>
        <w:rPr>
          <w:rFonts w:hint="eastAsia"/>
          <w:color w:val="auto"/>
          <w:highlight w:val="none"/>
          <w:u w:val="single"/>
        </w:rPr>
        <w:t>20</w:t>
      </w:r>
      <w:r>
        <w:rPr>
          <w:rFonts w:hint="eastAsia"/>
          <w:color w:val="auto"/>
          <w:highlight w:val="none"/>
          <w:u w:val="single"/>
          <w:lang w:val="en-US" w:eastAsia="zh-CN"/>
        </w:rPr>
        <w:t>26</w:t>
      </w:r>
      <w:r>
        <w:rPr>
          <w:rFonts w:hint="eastAsia"/>
          <w:color w:val="auto"/>
          <w:highlight w:val="none"/>
          <w:u w:val="single"/>
        </w:rPr>
        <w:t>年</w:t>
      </w:r>
      <w:r>
        <w:rPr>
          <w:rFonts w:hint="eastAsia"/>
          <w:color w:val="auto"/>
          <w:highlight w:val="none"/>
          <w:u w:val="single"/>
          <w:lang w:val="en-US" w:eastAsia="zh-CN"/>
        </w:rPr>
        <w:t>7</w:t>
      </w:r>
      <w:r>
        <w:rPr>
          <w:rFonts w:hint="eastAsia"/>
          <w:color w:val="auto"/>
          <w:highlight w:val="none"/>
          <w:u w:val="single"/>
        </w:rPr>
        <w:t>月</w:t>
      </w:r>
      <w:r>
        <w:rPr>
          <w:rFonts w:hint="eastAsia"/>
          <w:color w:val="auto"/>
          <w:highlight w:val="none"/>
          <w:u w:val="single"/>
          <w:lang w:val="en-US" w:eastAsia="zh-CN"/>
        </w:rPr>
        <w:t>31</w:t>
      </w:r>
      <w:r>
        <w:rPr>
          <w:rFonts w:hint="eastAsia"/>
          <w:color w:val="auto"/>
          <w:highlight w:val="none"/>
          <w:u w:val="single"/>
        </w:rPr>
        <w:t>日起至20</w:t>
      </w:r>
      <w:r>
        <w:rPr>
          <w:rFonts w:hint="eastAsia"/>
          <w:color w:val="auto"/>
          <w:highlight w:val="none"/>
          <w:u w:val="single"/>
          <w:lang w:val="en-US" w:eastAsia="zh-CN"/>
        </w:rPr>
        <w:t>26</w:t>
      </w:r>
      <w:r>
        <w:rPr>
          <w:rFonts w:hint="eastAsia"/>
          <w:color w:val="auto"/>
          <w:highlight w:val="none"/>
          <w:u w:val="single"/>
        </w:rPr>
        <w:t>年</w:t>
      </w:r>
      <w:r>
        <w:rPr>
          <w:rFonts w:hint="eastAsia"/>
          <w:color w:val="auto"/>
          <w:highlight w:val="none"/>
          <w:u w:val="single"/>
          <w:lang w:val="en-US" w:eastAsia="zh-CN"/>
        </w:rPr>
        <w:t>8</w:t>
      </w:r>
      <w:r>
        <w:rPr>
          <w:rFonts w:hint="eastAsia"/>
          <w:color w:val="auto"/>
          <w:highlight w:val="none"/>
          <w:u w:val="single"/>
        </w:rPr>
        <w:t>月</w:t>
      </w:r>
      <w:r>
        <w:rPr>
          <w:rFonts w:hint="eastAsia"/>
          <w:color w:val="auto"/>
          <w:highlight w:val="none"/>
          <w:u w:val="single"/>
          <w:lang w:val="en-US" w:eastAsia="zh-CN"/>
        </w:rPr>
        <w:t>10</w:t>
      </w:r>
      <w:r>
        <w:rPr>
          <w:rFonts w:hint="eastAsia"/>
          <w:color w:val="auto"/>
          <w:highlight w:val="none"/>
          <w:u w:val="single"/>
        </w:rPr>
        <w:t>日</w:t>
      </w:r>
      <w:r>
        <w:rPr>
          <w:rFonts w:hint="eastAsia"/>
          <w:color w:val="auto"/>
          <w:highlight w:val="none"/>
        </w:rPr>
        <w:t>，每天</w:t>
      </w:r>
      <w:r>
        <w:rPr>
          <w:rFonts w:hint="eastAsia" w:ascii="宋体" w:hAnsi="宋体" w:cs="宋体"/>
          <w:color w:val="auto"/>
          <w:szCs w:val="21"/>
          <w:highlight w:val="none"/>
          <w:u w:val="none"/>
        </w:rPr>
        <w:t>上午</w:t>
      </w:r>
      <w:r>
        <w:rPr>
          <w:rFonts w:hint="eastAsia" w:ascii="宋体" w:hAnsi="宋体" w:cs="宋体"/>
          <w:color w:val="auto"/>
          <w:szCs w:val="21"/>
          <w:highlight w:val="none"/>
          <w:u w:val="single"/>
        </w:rPr>
        <w:t>00:00至12:00</w:t>
      </w:r>
      <w:r>
        <w:rPr>
          <w:rFonts w:hint="eastAsia" w:ascii="宋体" w:hAnsi="宋体" w:cs="宋体"/>
          <w:color w:val="auto"/>
          <w:szCs w:val="21"/>
          <w:highlight w:val="none"/>
        </w:rPr>
        <w:t>，</w:t>
      </w:r>
      <w:r>
        <w:rPr>
          <w:rFonts w:hint="eastAsia" w:ascii="宋体" w:hAnsi="宋体" w:cs="宋体"/>
          <w:color w:val="auto"/>
          <w:szCs w:val="21"/>
          <w:highlight w:val="none"/>
          <w:u w:val="none"/>
        </w:rPr>
        <w:t>下午</w:t>
      </w:r>
      <w:r>
        <w:rPr>
          <w:rFonts w:hint="eastAsia" w:ascii="宋体" w:hAnsi="宋体" w:cs="宋体"/>
          <w:color w:val="auto"/>
          <w:szCs w:val="21"/>
          <w:highlight w:val="none"/>
          <w:u w:val="single"/>
        </w:rPr>
        <w:t>12:00至23:59</w:t>
      </w:r>
      <w:r>
        <w:rPr>
          <w:rFonts w:hint="eastAsia"/>
          <w:color w:val="auto"/>
          <w:highlight w:val="none"/>
        </w:rPr>
        <w:t>（北京时间，法定节假日除外）。</w:t>
      </w:r>
    </w:p>
    <w:p w14:paraId="539512E0">
      <w:pPr>
        <w:spacing w:line="312" w:lineRule="auto"/>
        <w:ind w:firstLine="420" w:firstLineChars="200"/>
        <w:jc w:val="left"/>
        <w:rPr>
          <w:rFonts w:ascii="Arial" w:hAnsi="Arial" w:cs="Arial"/>
          <w:color w:val="auto"/>
          <w:kern w:val="0"/>
          <w:szCs w:val="21"/>
          <w:highlight w:val="none"/>
        </w:rPr>
      </w:pPr>
      <w:bookmarkStart w:id="8" w:name="_Hlk46137393"/>
      <w:r>
        <w:rPr>
          <w:rFonts w:hint="eastAsia"/>
          <w:color w:val="auto"/>
          <w:highlight w:val="none"/>
        </w:rPr>
        <w:t>地点（网址）：</w:t>
      </w:r>
      <w:bookmarkEnd w:id="8"/>
      <w:r>
        <w:rPr>
          <w:rFonts w:ascii="Arial" w:hAnsi="Arial" w:cs="Arial"/>
          <w:color w:val="auto"/>
          <w:kern w:val="0"/>
          <w:szCs w:val="21"/>
          <w:highlight w:val="none"/>
        </w:rPr>
        <w:t>广西政府采购云平台</w:t>
      </w:r>
      <w:r>
        <w:rPr>
          <w:rFonts w:hint="eastAsia" w:ascii="Arial" w:hAnsi="Arial" w:cs="Arial"/>
          <w:color w:val="auto"/>
          <w:kern w:val="0"/>
          <w:szCs w:val="21"/>
          <w:highlight w:val="none"/>
        </w:rPr>
        <w:t>（https://www.gcy.zfcg.gxzf.gov.cn/）</w:t>
      </w:r>
    </w:p>
    <w:p w14:paraId="4C665E65">
      <w:pPr>
        <w:spacing w:line="312" w:lineRule="auto"/>
        <w:ind w:firstLine="420" w:firstLineChars="200"/>
        <w:jc w:val="left"/>
        <w:rPr>
          <w:color w:val="auto"/>
          <w:szCs w:val="21"/>
          <w:highlight w:val="none"/>
        </w:rPr>
      </w:pPr>
      <w:r>
        <w:rPr>
          <w:rFonts w:hint="eastAsia"/>
          <w:color w:val="auto"/>
          <w:szCs w:val="21"/>
          <w:highlight w:val="none"/>
        </w:rPr>
        <w:t>方式：供应商登录广西政府采购云平台在线申请获取采购文件（进入“项目采购”应用，在获取采购文件菜单中选择项目，申请获取采购文件）</w:t>
      </w:r>
    </w:p>
    <w:p w14:paraId="07863200">
      <w:pPr>
        <w:spacing w:line="312" w:lineRule="auto"/>
        <w:ind w:firstLine="420" w:firstLineChars="200"/>
        <w:jc w:val="left"/>
        <w:rPr>
          <w:color w:val="auto"/>
          <w:highlight w:val="none"/>
        </w:rPr>
      </w:pPr>
      <w:r>
        <w:rPr>
          <w:rFonts w:hint="eastAsia"/>
          <w:color w:val="auto"/>
          <w:highlight w:val="none"/>
        </w:rPr>
        <w:t>售价（元）：</w:t>
      </w:r>
      <w:r>
        <w:rPr>
          <w:color w:val="auto"/>
          <w:highlight w:val="none"/>
        </w:rPr>
        <w:t>0</w:t>
      </w:r>
    </w:p>
    <w:p w14:paraId="37DEF474">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四、响应文件提交</w:t>
      </w:r>
    </w:p>
    <w:p w14:paraId="14A79A38">
      <w:pPr>
        <w:spacing w:line="312" w:lineRule="auto"/>
        <w:ind w:firstLine="420" w:firstLineChars="200"/>
        <w:jc w:val="left"/>
        <w:rPr>
          <w:color w:val="auto"/>
          <w:kern w:val="0"/>
          <w:szCs w:val="21"/>
          <w:highlight w:val="none"/>
        </w:rPr>
      </w:pPr>
      <w:r>
        <w:rPr>
          <w:rFonts w:hint="eastAsia"/>
          <w:color w:val="auto"/>
          <w:kern w:val="0"/>
          <w:szCs w:val="21"/>
          <w:highlight w:val="none"/>
        </w:rPr>
        <w:t>截止时间：</w:t>
      </w:r>
      <w:r>
        <w:rPr>
          <w:color w:val="auto"/>
          <w:kern w:val="0"/>
          <w:szCs w:val="21"/>
          <w:highlight w:val="none"/>
          <w:u w:val="single"/>
        </w:rPr>
        <w:t>20</w:t>
      </w:r>
      <w:r>
        <w:rPr>
          <w:rFonts w:hint="eastAsia"/>
          <w:color w:val="auto"/>
          <w:kern w:val="0"/>
          <w:szCs w:val="21"/>
          <w:highlight w:val="none"/>
          <w:u w:val="single"/>
          <w:lang w:val="en-US" w:eastAsia="zh-CN"/>
        </w:rPr>
        <w:t>26</w:t>
      </w:r>
      <w:r>
        <w:rPr>
          <w:color w:val="auto"/>
          <w:kern w:val="0"/>
          <w:szCs w:val="21"/>
          <w:highlight w:val="none"/>
          <w:u w:val="single"/>
        </w:rPr>
        <w:t>年</w:t>
      </w:r>
      <w:r>
        <w:rPr>
          <w:rFonts w:hint="eastAsia"/>
          <w:color w:val="auto"/>
          <w:kern w:val="0"/>
          <w:szCs w:val="21"/>
          <w:highlight w:val="none"/>
          <w:u w:val="single"/>
          <w:lang w:val="en-US" w:eastAsia="zh-CN"/>
        </w:rPr>
        <w:t>8</w:t>
      </w:r>
      <w:r>
        <w:rPr>
          <w:color w:val="auto"/>
          <w:kern w:val="0"/>
          <w:szCs w:val="21"/>
          <w:highlight w:val="none"/>
          <w:u w:val="single"/>
        </w:rPr>
        <w:t>月</w:t>
      </w:r>
      <w:r>
        <w:rPr>
          <w:rFonts w:hint="eastAsia"/>
          <w:color w:val="auto"/>
          <w:kern w:val="0"/>
          <w:szCs w:val="21"/>
          <w:highlight w:val="none"/>
          <w:u w:val="single"/>
          <w:lang w:val="en-US" w:eastAsia="zh-CN"/>
        </w:rPr>
        <w:t>11</w:t>
      </w:r>
      <w:r>
        <w:rPr>
          <w:color w:val="auto"/>
          <w:kern w:val="0"/>
          <w:szCs w:val="21"/>
          <w:highlight w:val="none"/>
          <w:u w:val="single"/>
        </w:rPr>
        <w:t>日</w:t>
      </w:r>
      <w:r>
        <w:rPr>
          <w:rFonts w:hint="eastAsia"/>
          <w:color w:val="auto"/>
          <w:kern w:val="0"/>
          <w:szCs w:val="21"/>
          <w:highlight w:val="none"/>
          <w:u w:val="single"/>
          <w:lang w:val="en-US" w:eastAsia="zh-CN"/>
        </w:rPr>
        <w:t>9：30</w:t>
      </w:r>
      <w:r>
        <w:rPr>
          <w:rFonts w:hint="eastAsia"/>
          <w:color w:val="auto"/>
          <w:kern w:val="0"/>
          <w:szCs w:val="21"/>
          <w:highlight w:val="none"/>
        </w:rPr>
        <w:t>（北京时间）</w:t>
      </w:r>
    </w:p>
    <w:p w14:paraId="3F4498F0">
      <w:pPr>
        <w:spacing w:line="300" w:lineRule="exact"/>
        <w:ind w:firstLine="420" w:firstLineChars="200"/>
        <w:jc w:val="left"/>
        <w:rPr>
          <w:color w:val="auto"/>
          <w:szCs w:val="21"/>
          <w:highlight w:val="none"/>
        </w:rPr>
      </w:pPr>
      <w:r>
        <w:rPr>
          <w:rFonts w:hint="eastAsia"/>
          <w:color w:val="auto"/>
          <w:kern w:val="0"/>
          <w:szCs w:val="21"/>
          <w:highlight w:val="none"/>
        </w:rPr>
        <w:t>地点（网址）：</w:t>
      </w:r>
      <w:r>
        <w:rPr>
          <w:rFonts w:hint="eastAsia"/>
          <w:color w:val="auto"/>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w:t>
      </w:r>
      <w:r>
        <w:rPr>
          <w:color w:val="auto"/>
          <w:szCs w:val="21"/>
          <w:highlight w:val="none"/>
        </w:rPr>
        <w:t>A</w:t>
      </w:r>
      <w:r>
        <w:rPr>
          <w:rFonts w:hint="eastAsia"/>
          <w:color w:val="auto"/>
          <w:szCs w:val="21"/>
          <w:highlight w:val="none"/>
        </w:rPr>
        <w:t>认证编制、加密响应文件后在响应截止时间前上传至广西政府采购云平台，供应商在广西政府采购云平台提交电子版响应文件时，请填写参加远程截标活动经办人联系方式。</w:t>
      </w:r>
    </w:p>
    <w:p w14:paraId="0E669CC9">
      <w:pPr>
        <w:spacing w:line="300" w:lineRule="exact"/>
        <w:ind w:firstLine="442" w:firstLineChars="200"/>
        <w:jc w:val="left"/>
        <w:rPr>
          <w:b/>
          <w:bCs/>
          <w:color w:val="auto"/>
          <w:kern w:val="0"/>
          <w:sz w:val="22"/>
          <w:szCs w:val="22"/>
          <w:highlight w:val="none"/>
        </w:rPr>
      </w:pPr>
      <w:r>
        <w:rPr>
          <w:rFonts w:hint="eastAsia"/>
          <w:b/>
          <w:bCs/>
          <w:color w:val="auto"/>
          <w:kern w:val="0"/>
          <w:sz w:val="22"/>
          <w:szCs w:val="22"/>
          <w:highlight w:val="none"/>
        </w:rPr>
        <w:t>五、开启</w:t>
      </w:r>
    </w:p>
    <w:p w14:paraId="559D3F5D">
      <w:pPr>
        <w:spacing w:line="312" w:lineRule="auto"/>
        <w:ind w:firstLine="442" w:firstLineChars="200"/>
        <w:jc w:val="left"/>
        <w:rPr>
          <w:color w:val="auto"/>
          <w:kern w:val="0"/>
          <w:szCs w:val="21"/>
          <w:highlight w:val="none"/>
        </w:rPr>
      </w:pPr>
      <w:r>
        <w:rPr>
          <w:rFonts w:hint="eastAsia"/>
          <w:b/>
          <w:bCs/>
          <w:color w:val="auto"/>
          <w:kern w:val="0"/>
          <w:sz w:val="22"/>
          <w:szCs w:val="22"/>
          <w:highlight w:val="none"/>
        </w:rPr>
        <w:t>开启时间：</w:t>
      </w:r>
      <w:r>
        <w:rPr>
          <w:color w:val="auto"/>
          <w:kern w:val="0"/>
          <w:szCs w:val="21"/>
          <w:highlight w:val="none"/>
          <w:u w:val="single"/>
        </w:rPr>
        <w:t>20</w:t>
      </w:r>
      <w:r>
        <w:rPr>
          <w:rFonts w:hint="eastAsia"/>
          <w:color w:val="auto"/>
          <w:kern w:val="0"/>
          <w:szCs w:val="21"/>
          <w:highlight w:val="none"/>
          <w:u w:val="single"/>
          <w:lang w:val="en-US" w:eastAsia="zh-CN"/>
        </w:rPr>
        <w:t>26</w:t>
      </w:r>
      <w:r>
        <w:rPr>
          <w:color w:val="auto"/>
          <w:kern w:val="0"/>
          <w:szCs w:val="21"/>
          <w:highlight w:val="none"/>
          <w:u w:val="single"/>
        </w:rPr>
        <w:t>年</w:t>
      </w:r>
      <w:r>
        <w:rPr>
          <w:rFonts w:hint="eastAsia"/>
          <w:color w:val="auto"/>
          <w:kern w:val="0"/>
          <w:szCs w:val="21"/>
          <w:highlight w:val="none"/>
          <w:u w:val="single"/>
          <w:lang w:val="en-US" w:eastAsia="zh-CN"/>
        </w:rPr>
        <w:t>8</w:t>
      </w:r>
      <w:r>
        <w:rPr>
          <w:color w:val="auto"/>
          <w:kern w:val="0"/>
          <w:szCs w:val="21"/>
          <w:highlight w:val="none"/>
          <w:u w:val="single"/>
        </w:rPr>
        <w:t>月</w:t>
      </w:r>
      <w:r>
        <w:rPr>
          <w:rFonts w:hint="eastAsia"/>
          <w:color w:val="auto"/>
          <w:kern w:val="0"/>
          <w:szCs w:val="21"/>
          <w:highlight w:val="none"/>
          <w:u w:val="single"/>
          <w:lang w:val="en-US" w:eastAsia="zh-CN"/>
        </w:rPr>
        <w:t>11</w:t>
      </w:r>
      <w:r>
        <w:rPr>
          <w:color w:val="auto"/>
          <w:kern w:val="0"/>
          <w:szCs w:val="21"/>
          <w:highlight w:val="none"/>
          <w:u w:val="single"/>
        </w:rPr>
        <w:t>日</w:t>
      </w:r>
      <w:r>
        <w:rPr>
          <w:rFonts w:hint="eastAsia"/>
          <w:color w:val="auto"/>
          <w:kern w:val="0"/>
          <w:szCs w:val="21"/>
          <w:highlight w:val="none"/>
          <w:u w:val="single"/>
          <w:lang w:val="en-US" w:eastAsia="zh-CN"/>
        </w:rPr>
        <w:t>9：30</w:t>
      </w:r>
      <w:r>
        <w:rPr>
          <w:rFonts w:hint="eastAsia"/>
          <w:color w:val="auto"/>
          <w:kern w:val="0"/>
          <w:szCs w:val="21"/>
          <w:highlight w:val="none"/>
        </w:rPr>
        <w:t>（北京时间）</w:t>
      </w:r>
    </w:p>
    <w:p w14:paraId="77B9DEEA">
      <w:pPr>
        <w:spacing w:line="312" w:lineRule="auto"/>
        <w:ind w:firstLine="442" w:firstLineChars="200"/>
        <w:jc w:val="left"/>
        <w:rPr>
          <w:rFonts w:hint="eastAsia"/>
          <w:b/>
          <w:bCs/>
          <w:color w:val="auto"/>
          <w:kern w:val="0"/>
          <w:sz w:val="22"/>
          <w:szCs w:val="22"/>
          <w:highlight w:val="none"/>
        </w:rPr>
      </w:pPr>
      <w:r>
        <w:rPr>
          <w:rFonts w:hint="eastAsia"/>
          <w:b/>
          <w:bCs/>
          <w:color w:val="auto"/>
          <w:kern w:val="0"/>
          <w:sz w:val="22"/>
          <w:szCs w:val="22"/>
          <w:highlight w:val="none"/>
        </w:rPr>
        <w:t>地点：</w:t>
      </w:r>
      <w:r>
        <w:rPr>
          <w:rFonts w:hint="eastAsia"/>
          <w:color w:val="auto"/>
          <w:szCs w:val="21"/>
          <w:highlight w:val="none"/>
        </w:rPr>
        <w:t>供应商登录广西政府采购云平台电子开标大厅截标。</w:t>
      </w:r>
    </w:p>
    <w:p w14:paraId="0CEFFAF9">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六、公告期限</w:t>
      </w:r>
    </w:p>
    <w:p w14:paraId="5B8AE9C8">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自本公告发布之日起5个工作日。</w:t>
      </w:r>
    </w:p>
    <w:p w14:paraId="3A256703">
      <w:pPr>
        <w:spacing w:line="312" w:lineRule="auto"/>
        <w:ind w:firstLine="442" w:firstLineChars="200"/>
        <w:jc w:val="left"/>
        <w:rPr>
          <w:b/>
          <w:bCs/>
          <w:color w:val="auto"/>
          <w:kern w:val="0"/>
          <w:sz w:val="22"/>
          <w:szCs w:val="22"/>
          <w:highlight w:val="none"/>
        </w:rPr>
      </w:pPr>
      <w:r>
        <w:rPr>
          <w:rFonts w:hint="eastAsia"/>
          <w:b/>
          <w:bCs/>
          <w:color w:val="auto"/>
          <w:kern w:val="0"/>
          <w:sz w:val="22"/>
          <w:szCs w:val="22"/>
          <w:highlight w:val="none"/>
        </w:rPr>
        <w:t>七、其他补充事宜</w:t>
      </w:r>
    </w:p>
    <w:p w14:paraId="0BC66963">
      <w:pPr>
        <w:spacing w:line="312" w:lineRule="auto"/>
        <w:ind w:firstLine="420" w:firstLineChars="200"/>
        <w:jc w:val="left"/>
        <w:rPr>
          <w:rFonts w:hint="eastAsia" w:eastAsia="宋体"/>
          <w:color w:val="auto"/>
          <w:kern w:val="0"/>
          <w:szCs w:val="21"/>
          <w:highlight w:val="none"/>
          <w:lang w:eastAsia="zh-CN"/>
        </w:rPr>
      </w:pPr>
      <w:r>
        <w:rPr>
          <w:rFonts w:hint="eastAsia"/>
          <w:color w:val="auto"/>
          <w:kern w:val="0"/>
          <w:szCs w:val="21"/>
          <w:highlight w:val="none"/>
        </w:rPr>
        <w:t>1</w:t>
      </w:r>
      <w:r>
        <w:rPr>
          <w:color w:val="auto"/>
          <w:kern w:val="0"/>
          <w:szCs w:val="21"/>
          <w:highlight w:val="none"/>
        </w:rPr>
        <w:t>.</w:t>
      </w:r>
      <w:r>
        <w:rPr>
          <w:rFonts w:hint="eastAsia"/>
          <w:color w:val="auto"/>
          <w:kern w:val="0"/>
          <w:szCs w:val="21"/>
          <w:highlight w:val="none"/>
        </w:rPr>
        <w:t>公告发布媒体：广西壮族自治区政府采购网、中国政府采购网</w:t>
      </w:r>
      <w:r>
        <w:rPr>
          <w:rFonts w:hint="eastAsia"/>
          <w:color w:val="auto"/>
          <w:kern w:val="0"/>
          <w:szCs w:val="21"/>
          <w:highlight w:val="none"/>
          <w:lang w:eastAsia="zh-CN"/>
        </w:rPr>
        <w:t>、全国公共资源交易平台(广西·</w:t>
      </w:r>
      <w:r>
        <w:rPr>
          <w:rFonts w:hint="eastAsia"/>
          <w:color w:val="auto"/>
          <w:kern w:val="0"/>
          <w:szCs w:val="21"/>
          <w:highlight w:val="none"/>
          <w:lang w:val="en-US" w:eastAsia="zh-CN"/>
        </w:rPr>
        <w:t>防城港</w:t>
      </w:r>
      <w:r>
        <w:rPr>
          <w:rFonts w:hint="eastAsia"/>
          <w:color w:val="auto"/>
          <w:kern w:val="0"/>
          <w:szCs w:val="21"/>
          <w:highlight w:val="none"/>
          <w:lang w:eastAsia="zh-CN"/>
        </w:rPr>
        <w:t>)</w:t>
      </w:r>
    </w:p>
    <w:p w14:paraId="3644D91F">
      <w:pPr>
        <w:spacing w:line="312" w:lineRule="auto"/>
        <w:ind w:firstLine="420" w:firstLineChars="200"/>
        <w:jc w:val="left"/>
        <w:rPr>
          <w:color w:val="auto"/>
          <w:kern w:val="0"/>
          <w:szCs w:val="21"/>
          <w:highlight w:val="none"/>
        </w:rPr>
      </w:pPr>
      <w:r>
        <w:rPr>
          <w:rFonts w:hint="eastAsia"/>
          <w:color w:val="auto"/>
          <w:kern w:val="0"/>
          <w:szCs w:val="21"/>
          <w:highlight w:val="none"/>
        </w:rPr>
        <w:t>2.需落实的政府采购政策：政府采购促进中小企业、监狱企业发展、促进残疾人就业、节能环保</w:t>
      </w:r>
      <w:r>
        <w:rPr>
          <w:rFonts w:hint="eastAsia" w:eastAsia="宋体"/>
          <w:color w:val="auto"/>
          <w:kern w:val="0"/>
          <w:szCs w:val="21"/>
          <w:highlight w:val="none"/>
          <w:lang w:eastAsia="zh-CN"/>
        </w:rPr>
        <w:t>、对本国产品的支持</w:t>
      </w:r>
      <w:r>
        <w:rPr>
          <w:rFonts w:hint="eastAsia"/>
          <w:color w:val="auto"/>
          <w:kern w:val="0"/>
          <w:szCs w:val="21"/>
          <w:highlight w:val="none"/>
        </w:rPr>
        <w:t>等有关政策，具体详见采购文件。</w:t>
      </w:r>
    </w:p>
    <w:p w14:paraId="4367C7EF">
      <w:pPr>
        <w:spacing w:line="312" w:lineRule="auto"/>
        <w:ind w:firstLine="420" w:firstLineChars="200"/>
        <w:jc w:val="left"/>
        <w:rPr>
          <w:rFonts w:hint="eastAsia"/>
          <w:color w:val="auto"/>
          <w:highlight w:val="none"/>
        </w:rPr>
      </w:pPr>
      <w:r>
        <w:rPr>
          <w:color w:val="auto"/>
          <w:kern w:val="0"/>
          <w:szCs w:val="21"/>
          <w:highlight w:val="none"/>
        </w:rPr>
        <w:t>3</w:t>
      </w:r>
      <w:r>
        <w:rPr>
          <w:rFonts w:hint="eastAsia"/>
          <w:color w:val="auto"/>
          <w:kern w:val="0"/>
          <w:szCs w:val="21"/>
          <w:highlight w:val="none"/>
        </w:rPr>
        <w:t>.本项目供应商的产生方式：</w:t>
      </w:r>
      <w:r>
        <w:rPr>
          <w:color w:val="auto"/>
          <w:highlight w:val="none"/>
        </w:rPr>
        <w:t>发布</w:t>
      </w:r>
      <w:r>
        <w:rPr>
          <w:rFonts w:hint="eastAsia"/>
          <w:color w:val="auto"/>
          <w:highlight w:val="none"/>
        </w:rPr>
        <w:t>公告征集</w:t>
      </w:r>
    </w:p>
    <w:p w14:paraId="5A1D1561">
      <w:pPr>
        <w:spacing w:line="312" w:lineRule="auto"/>
        <w:ind w:firstLine="420" w:firstLineChars="200"/>
        <w:jc w:val="left"/>
        <w:rPr>
          <w:rFonts w:hint="eastAsia"/>
          <w:color w:val="auto"/>
          <w:kern w:val="0"/>
          <w:szCs w:val="21"/>
          <w:highlight w:val="none"/>
        </w:rPr>
      </w:pPr>
      <w:r>
        <w:rPr>
          <w:color w:val="auto"/>
          <w:kern w:val="0"/>
          <w:szCs w:val="21"/>
          <w:highlight w:val="none"/>
        </w:rPr>
        <w:t>4</w:t>
      </w:r>
      <w:r>
        <w:rPr>
          <w:rFonts w:hint="eastAsia"/>
          <w:color w:val="auto"/>
          <w:kern w:val="0"/>
          <w:szCs w:val="21"/>
          <w:highlight w:val="none"/>
        </w:rPr>
        <w:t>.注意事项：</w:t>
      </w:r>
    </w:p>
    <w:p w14:paraId="5DD8E5BA">
      <w:pPr>
        <w:spacing w:line="276" w:lineRule="auto"/>
        <w:ind w:firstLine="420" w:firstLineChars="200"/>
        <w:rPr>
          <w:color w:val="auto"/>
          <w:szCs w:val="21"/>
          <w:highlight w:val="none"/>
        </w:rPr>
      </w:pPr>
      <w:r>
        <w:rPr>
          <w:rFonts w:hint="eastAsia"/>
          <w:color w:val="auto"/>
          <w:kern w:val="0"/>
          <w:szCs w:val="21"/>
          <w:highlight w:val="none"/>
        </w:rPr>
        <w:t>（1）</w:t>
      </w:r>
      <w:r>
        <w:rPr>
          <w:rFonts w:hint="eastAsia"/>
          <w:color w:val="auto"/>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628941C">
      <w:pPr>
        <w:spacing w:line="276" w:lineRule="auto"/>
        <w:ind w:firstLine="420" w:firstLineChars="200"/>
        <w:rPr>
          <w:color w:val="auto"/>
          <w:kern w:val="0"/>
          <w:szCs w:val="21"/>
          <w:highlight w:val="none"/>
        </w:rPr>
      </w:pPr>
      <w:r>
        <w:rPr>
          <w:rFonts w:hint="eastAsia"/>
          <w:color w:val="auto"/>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37EF2117">
      <w:pPr>
        <w:spacing w:line="276" w:lineRule="auto"/>
        <w:ind w:firstLine="420" w:firstLineChars="200"/>
        <w:rPr>
          <w:b/>
          <w:bCs/>
          <w:color w:val="auto"/>
          <w:kern w:val="0"/>
          <w:sz w:val="22"/>
          <w:szCs w:val="22"/>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）若对项目采购电子交易系统操作有疑问，可登录广西政府采购云平台（https://www.gcy.zfcg.gxzf.gov.cn/），点击右侧咨询小采或帮助文档或拨打客服热线95763</w:t>
      </w:r>
    </w:p>
    <w:p w14:paraId="70FDBE1B">
      <w:pPr>
        <w:spacing w:line="276" w:lineRule="auto"/>
        <w:ind w:firstLine="442" w:firstLineChars="200"/>
        <w:rPr>
          <w:rFonts w:hint="eastAsia"/>
          <w:b/>
          <w:bCs/>
          <w:color w:val="auto"/>
          <w:kern w:val="0"/>
          <w:sz w:val="22"/>
          <w:szCs w:val="22"/>
          <w:highlight w:val="none"/>
        </w:rPr>
      </w:pPr>
      <w:r>
        <w:rPr>
          <w:rFonts w:hint="eastAsia"/>
          <w:b/>
          <w:bCs/>
          <w:color w:val="auto"/>
          <w:kern w:val="0"/>
          <w:sz w:val="22"/>
          <w:szCs w:val="22"/>
          <w:highlight w:val="none"/>
        </w:rPr>
        <w:t>八、对本次采购提出询问，请按以下方式联系</w:t>
      </w:r>
    </w:p>
    <w:p w14:paraId="259CF958">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1.采购人信息</w:t>
      </w:r>
    </w:p>
    <w:p w14:paraId="07B8CADD">
      <w:pPr>
        <w:spacing w:line="312" w:lineRule="auto"/>
        <w:ind w:firstLine="420" w:firstLineChars="200"/>
        <w:jc w:val="left"/>
        <w:rPr>
          <w:rFonts w:hint="eastAsia" w:eastAsia="宋体"/>
          <w:color w:val="auto"/>
          <w:kern w:val="0"/>
          <w:szCs w:val="21"/>
          <w:highlight w:val="none"/>
          <w:u w:val="single"/>
          <w:lang w:eastAsia="zh-CN"/>
        </w:rPr>
      </w:pPr>
      <w:bookmarkStart w:id="9" w:name="_Hlk19048373"/>
      <w:r>
        <w:rPr>
          <w:rFonts w:hint="eastAsia"/>
          <w:color w:val="auto"/>
          <w:kern w:val="0"/>
          <w:szCs w:val="21"/>
          <w:highlight w:val="none"/>
        </w:rPr>
        <w:t>名称</w:t>
      </w:r>
      <w:r>
        <w:rPr>
          <w:color w:val="auto"/>
          <w:kern w:val="0"/>
          <w:szCs w:val="21"/>
          <w:highlight w:val="none"/>
        </w:rPr>
        <w:t>：</w:t>
      </w:r>
      <w:r>
        <w:rPr>
          <w:rFonts w:hint="eastAsia"/>
          <w:color w:val="auto"/>
          <w:kern w:val="0"/>
          <w:szCs w:val="21"/>
          <w:highlight w:val="none"/>
          <w:u w:val="single"/>
          <w:lang w:eastAsia="zh-CN"/>
        </w:rPr>
        <w:t>防城港市市场监督管理局</w:t>
      </w:r>
    </w:p>
    <w:p w14:paraId="24D739A8">
      <w:pPr>
        <w:spacing w:line="312" w:lineRule="auto"/>
        <w:ind w:firstLine="420" w:firstLineChars="200"/>
        <w:jc w:val="left"/>
        <w:rPr>
          <w:rFonts w:hint="eastAsia" w:eastAsia="宋体"/>
          <w:color w:val="auto"/>
          <w:kern w:val="0"/>
          <w:szCs w:val="21"/>
          <w:highlight w:val="none"/>
          <w:u w:val="single"/>
          <w:lang w:eastAsia="zh-CN"/>
        </w:rPr>
      </w:pPr>
      <w:r>
        <w:rPr>
          <w:color w:val="auto"/>
          <w:kern w:val="0"/>
          <w:szCs w:val="21"/>
          <w:highlight w:val="none"/>
        </w:rPr>
        <w:t>地址：</w:t>
      </w:r>
      <w:r>
        <w:rPr>
          <w:rFonts w:hint="eastAsia"/>
          <w:color w:val="auto"/>
          <w:kern w:val="0"/>
          <w:szCs w:val="21"/>
          <w:highlight w:val="none"/>
          <w:u w:val="single"/>
          <w:lang w:eastAsia="zh-CN"/>
        </w:rPr>
        <w:t>防城港市港口区北部湾大道148号‌</w:t>
      </w:r>
    </w:p>
    <w:p w14:paraId="7C2E4BA4">
      <w:pPr>
        <w:spacing w:line="312" w:lineRule="auto"/>
        <w:ind w:firstLine="420" w:firstLineChars="200"/>
        <w:jc w:val="left"/>
        <w:rPr>
          <w:rFonts w:hint="default" w:eastAsia="宋体"/>
          <w:color w:val="auto"/>
          <w:kern w:val="0"/>
          <w:szCs w:val="21"/>
          <w:highlight w:val="none"/>
          <w:u w:val="single"/>
          <w:lang w:val="en-US" w:eastAsia="zh-CN"/>
        </w:rPr>
      </w:pPr>
      <w:r>
        <w:rPr>
          <w:rFonts w:hint="eastAsia"/>
          <w:color w:val="auto"/>
          <w:kern w:val="0"/>
          <w:szCs w:val="21"/>
          <w:highlight w:val="none"/>
        </w:rPr>
        <w:t>项目联系人：</w:t>
      </w:r>
      <w:r>
        <w:rPr>
          <w:rFonts w:hint="eastAsia"/>
          <w:color w:val="auto"/>
          <w:kern w:val="0"/>
          <w:szCs w:val="21"/>
          <w:highlight w:val="none"/>
          <w:u w:val="single"/>
          <w:lang w:val="en-US" w:eastAsia="zh-CN"/>
        </w:rPr>
        <w:t>黎工</w:t>
      </w:r>
    </w:p>
    <w:p w14:paraId="30D0B1F2">
      <w:pPr>
        <w:spacing w:line="312" w:lineRule="auto"/>
        <w:ind w:firstLine="420" w:firstLineChars="200"/>
        <w:jc w:val="left"/>
        <w:rPr>
          <w:rFonts w:hint="default" w:eastAsia="宋体"/>
          <w:color w:val="auto"/>
          <w:kern w:val="0"/>
          <w:szCs w:val="21"/>
          <w:highlight w:val="none"/>
          <w:u w:val="single"/>
          <w:lang w:val="en-US" w:eastAsia="zh-CN"/>
        </w:rPr>
      </w:pPr>
      <w:r>
        <w:rPr>
          <w:rFonts w:hint="eastAsia"/>
          <w:color w:val="auto"/>
          <w:kern w:val="0"/>
          <w:szCs w:val="21"/>
          <w:highlight w:val="none"/>
        </w:rPr>
        <w:t>项目联系方式：</w:t>
      </w:r>
      <w:r>
        <w:rPr>
          <w:rFonts w:hint="eastAsia"/>
          <w:color w:val="auto"/>
          <w:kern w:val="0"/>
          <w:szCs w:val="21"/>
          <w:highlight w:val="none"/>
          <w:u w:val="single"/>
          <w:lang w:val="en-US" w:eastAsia="zh-CN"/>
        </w:rPr>
        <w:t>07702880953</w:t>
      </w:r>
    </w:p>
    <w:p w14:paraId="0BFAA6E7">
      <w:pPr>
        <w:spacing w:line="312" w:lineRule="auto"/>
        <w:ind w:firstLine="420" w:firstLineChars="200"/>
        <w:jc w:val="left"/>
        <w:rPr>
          <w:rFonts w:hint="eastAsia"/>
          <w:color w:val="auto"/>
          <w:kern w:val="0"/>
          <w:szCs w:val="21"/>
          <w:highlight w:val="none"/>
        </w:rPr>
      </w:pPr>
      <w:r>
        <w:rPr>
          <w:rFonts w:hint="eastAsia"/>
          <w:color w:val="auto"/>
          <w:kern w:val="0"/>
          <w:szCs w:val="21"/>
          <w:highlight w:val="none"/>
        </w:rPr>
        <w:t>2.采购代理机构信息</w:t>
      </w:r>
    </w:p>
    <w:p w14:paraId="65FE2024">
      <w:pPr>
        <w:spacing w:line="312" w:lineRule="auto"/>
        <w:ind w:firstLine="420" w:firstLineChars="200"/>
        <w:jc w:val="left"/>
        <w:rPr>
          <w:color w:val="auto"/>
          <w:kern w:val="0"/>
          <w:szCs w:val="21"/>
          <w:highlight w:val="none"/>
          <w:u w:val="single"/>
        </w:rPr>
      </w:pPr>
      <w:r>
        <w:rPr>
          <w:rFonts w:hint="eastAsia"/>
          <w:color w:val="auto"/>
          <w:kern w:val="0"/>
          <w:szCs w:val="21"/>
          <w:highlight w:val="none"/>
        </w:rPr>
        <w:t>名称</w:t>
      </w:r>
      <w:r>
        <w:rPr>
          <w:color w:val="auto"/>
          <w:kern w:val="0"/>
          <w:szCs w:val="21"/>
          <w:highlight w:val="none"/>
        </w:rPr>
        <w:t>：</w:t>
      </w:r>
      <w:r>
        <w:rPr>
          <w:color w:val="auto"/>
          <w:kern w:val="0"/>
          <w:szCs w:val="21"/>
          <w:highlight w:val="none"/>
          <w:u w:val="single"/>
        </w:rPr>
        <w:t>广西机电设备招标有限公司</w:t>
      </w:r>
    </w:p>
    <w:p w14:paraId="64599751">
      <w:pPr>
        <w:spacing w:line="312" w:lineRule="auto"/>
        <w:ind w:firstLine="420" w:firstLineChars="200"/>
        <w:jc w:val="left"/>
        <w:rPr>
          <w:color w:val="auto"/>
          <w:kern w:val="0"/>
          <w:szCs w:val="21"/>
          <w:highlight w:val="none"/>
          <w:u w:val="single"/>
        </w:rPr>
      </w:pPr>
      <w:r>
        <w:rPr>
          <w:color w:val="auto"/>
          <w:kern w:val="0"/>
          <w:szCs w:val="21"/>
          <w:highlight w:val="none"/>
        </w:rPr>
        <w:t>地址：</w:t>
      </w:r>
      <w:bookmarkStart w:id="10" w:name="_Hlk43198245"/>
      <w:r>
        <w:rPr>
          <w:color w:val="auto"/>
          <w:highlight w:val="none"/>
          <w:u w:val="single"/>
        </w:rPr>
        <w:t>广西南宁市金湖路63号金源CBD现代城B座7层701</w:t>
      </w:r>
      <w:bookmarkEnd w:id="10"/>
    </w:p>
    <w:bookmarkEnd w:id="9"/>
    <w:p w14:paraId="5BC8CE20">
      <w:pPr>
        <w:spacing w:line="312" w:lineRule="auto"/>
        <w:ind w:firstLine="420" w:firstLineChars="200"/>
        <w:jc w:val="left"/>
        <w:rPr>
          <w:rFonts w:hint="eastAsia" w:eastAsia="宋体"/>
          <w:color w:val="auto"/>
          <w:kern w:val="0"/>
          <w:szCs w:val="21"/>
          <w:highlight w:val="none"/>
          <w:u w:val="single"/>
          <w:lang w:eastAsia="zh-CN"/>
        </w:rPr>
      </w:pPr>
      <w:r>
        <w:rPr>
          <w:rFonts w:hint="eastAsia"/>
          <w:color w:val="auto"/>
          <w:kern w:val="0"/>
          <w:szCs w:val="21"/>
          <w:highlight w:val="none"/>
        </w:rPr>
        <w:t>项目联系人：</w:t>
      </w:r>
      <w:r>
        <w:rPr>
          <w:rFonts w:hint="eastAsia"/>
          <w:color w:val="auto"/>
          <w:kern w:val="0"/>
          <w:szCs w:val="21"/>
          <w:highlight w:val="none"/>
          <w:u w:val="single"/>
          <w:lang w:eastAsia="zh-CN"/>
        </w:rPr>
        <w:t>梁策</w:t>
      </w:r>
    </w:p>
    <w:p w14:paraId="0E4AAD8B">
      <w:pPr>
        <w:spacing w:line="312" w:lineRule="auto"/>
        <w:ind w:right="420" w:firstLine="420" w:firstLineChars="200"/>
        <w:rPr>
          <w:color w:val="auto"/>
          <w:kern w:val="0"/>
          <w:szCs w:val="21"/>
          <w:highlight w:val="none"/>
        </w:rPr>
      </w:pPr>
      <w:r>
        <w:rPr>
          <w:rFonts w:hint="eastAsia"/>
          <w:color w:val="auto"/>
          <w:kern w:val="0"/>
          <w:szCs w:val="21"/>
          <w:highlight w:val="none"/>
        </w:rPr>
        <w:t>项目联系方式：</w:t>
      </w:r>
      <w:r>
        <w:rPr>
          <w:rFonts w:hint="eastAsia"/>
          <w:color w:val="auto"/>
          <w:kern w:val="0"/>
          <w:szCs w:val="21"/>
          <w:highlight w:val="none"/>
          <w:u w:val="single"/>
          <w:lang w:eastAsia="zh-CN"/>
        </w:rPr>
        <w:t>17677662572</w:t>
      </w:r>
      <w:r>
        <w:rPr>
          <w:color w:val="auto"/>
          <w:kern w:val="0"/>
          <w:szCs w:val="21"/>
          <w:highlight w:val="none"/>
          <w:u w:val="single"/>
        </w:rPr>
        <w:t xml:space="preserve"> </w:t>
      </w:r>
    </w:p>
    <w:p w14:paraId="3B22086F">
      <w:pPr>
        <w:spacing w:line="312" w:lineRule="auto"/>
        <w:ind w:firstLine="420" w:firstLineChars="200"/>
        <w:jc w:val="right"/>
        <w:rPr>
          <w:color w:val="auto"/>
          <w:kern w:val="0"/>
          <w:szCs w:val="21"/>
          <w:highlight w:val="none"/>
        </w:rPr>
      </w:pPr>
    </w:p>
    <w:p w14:paraId="576FFDA2">
      <w:pPr>
        <w:spacing w:line="312" w:lineRule="auto"/>
        <w:ind w:firstLine="420" w:firstLineChars="200"/>
        <w:jc w:val="right"/>
        <w:rPr>
          <w:color w:val="auto"/>
          <w:kern w:val="0"/>
          <w:szCs w:val="21"/>
          <w:highlight w:val="none"/>
        </w:rPr>
      </w:pPr>
    </w:p>
    <w:p w14:paraId="55B788E2">
      <w:pPr>
        <w:spacing w:line="312" w:lineRule="auto"/>
        <w:ind w:firstLine="420" w:firstLineChars="200"/>
        <w:jc w:val="right"/>
        <w:rPr>
          <w:color w:val="auto"/>
          <w:kern w:val="0"/>
          <w:szCs w:val="21"/>
          <w:highlight w:val="none"/>
        </w:rPr>
      </w:pPr>
    </w:p>
    <w:p w14:paraId="26893462">
      <w:pPr>
        <w:spacing w:line="312" w:lineRule="auto"/>
        <w:ind w:firstLine="420" w:firstLineChars="200"/>
        <w:jc w:val="right"/>
        <w:rPr>
          <w:color w:val="auto"/>
          <w:kern w:val="0"/>
          <w:szCs w:val="21"/>
          <w:highlight w:val="none"/>
        </w:rPr>
      </w:pPr>
      <w:r>
        <w:rPr>
          <w:color w:val="auto"/>
          <w:kern w:val="0"/>
          <w:szCs w:val="21"/>
          <w:highlight w:val="none"/>
        </w:rPr>
        <w:t>广西机电设备招标有限公司</w:t>
      </w:r>
    </w:p>
    <w:p w14:paraId="205F0D8E">
      <w:pPr>
        <w:spacing w:line="312" w:lineRule="auto"/>
        <w:ind w:firstLine="420" w:firstLineChars="200"/>
        <w:jc w:val="right"/>
        <w:rPr>
          <w:color w:val="auto"/>
          <w:kern w:val="0"/>
          <w:sz w:val="18"/>
          <w:szCs w:val="18"/>
          <w:highlight w:val="none"/>
        </w:rPr>
      </w:pPr>
      <w:r>
        <w:rPr>
          <w:color w:val="auto"/>
          <w:kern w:val="0"/>
          <w:szCs w:val="21"/>
          <w:highlight w:val="none"/>
        </w:rPr>
        <w:t>20</w:t>
      </w:r>
      <w:r>
        <w:rPr>
          <w:rFonts w:hint="eastAsia"/>
          <w:color w:val="auto"/>
          <w:kern w:val="0"/>
          <w:szCs w:val="21"/>
          <w:highlight w:val="none"/>
          <w:lang w:val="en-US" w:eastAsia="zh-CN"/>
        </w:rPr>
        <w:t>26</w:t>
      </w:r>
      <w:r>
        <w:rPr>
          <w:color w:val="auto"/>
          <w:kern w:val="0"/>
          <w:szCs w:val="21"/>
          <w:highlight w:val="none"/>
        </w:rPr>
        <w:t>年</w:t>
      </w:r>
      <w:r>
        <w:rPr>
          <w:rFonts w:hint="eastAsia"/>
          <w:color w:val="auto"/>
          <w:kern w:val="0"/>
          <w:szCs w:val="21"/>
          <w:highlight w:val="none"/>
          <w:lang w:val="en-US" w:eastAsia="zh-CN"/>
        </w:rPr>
        <w:t>7</w:t>
      </w:r>
      <w:r>
        <w:rPr>
          <w:color w:val="auto"/>
          <w:kern w:val="0"/>
          <w:szCs w:val="21"/>
          <w:highlight w:val="none"/>
        </w:rPr>
        <w:t>月</w:t>
      </w:r>
      <w:r>
        <w:rPr>
          <w:rFonts w:hint="eastAsia"/>
          <w:color w:val="auto"/>
          <w:kern w:val="0"/>
          <w:szCs w:val="21"/>
          <w:highlight w:val="none"/>
          <w:lang w:val="en-US" w:eastAsia="zh-CN"/>
        </w:rPr>
        <w:t>31</w:t>
      </w:r>
      <w:r>
        <w:rPr>
          <w:color w:val="auto"/>
          <w:kern w:val="0"/>
          <w:szCs w:val="21"/>
          <w:highlight w:val="none"/>
        </w:rPr>
        <w:t>日</w:t>
      </w:r>
    </w:p>
    <w:p w14:paraId="765F3710">
      <w:pPr>
        <w:ind w:firstLine="409" w:firstLineChars="195"/>
        <w:jc w:val="left"/>
        <w:rPr>
          <w:color w:val="auto"/>
          <w:kern w:val="0"/>
          <w:szCs w:val="21"/>
          <w:highlight w:val="none"/>
        </w:rPr>
      </w:pPr>
    </w:p>
    <w:p w14:paraId="766D1B70">
      <w:pPr>
        <w:spacing w:line="312" w:lineRule="auto"/>
        <w:ind w:right="105" w:firstLine="360" w:firstLineChars="200"/>
        <w:jc w:val="right"/>
        <w:rPr>
          <w:rFonts w:hint="eastAsia"/>
          <w:color w:val="auto"/>
          <w:kern w:val="0"/>
          <w:sz w:val="18"/>
          <w:szCs w:val="18"/>
          <w:highlight w:val="none"/>
        </w:rPr>
      </w:pPr>
    </w:p>
    <w:p w14:paraId="0541445C">
      <w:pPr>
        <w:pStyle w:val="26"/>
        <w:snapToGrid w:val="0"/>
        <w:spacing w:before="120" w:after="120" w:line="320" w:lineRule="exact"/>
        <w:jc w:val="center"/>
        <w:outlineLvl w:val="0"/>
        <w:rPr>
          <w:rFonts w:ascii="Times New Roman" w:hAnsi="Times New Roman" w:cs="Times New Roman"/>
          <w:color w:val="auto"/>
          <w:highlight w:val="none"/>
        </w:rPr>
        <w:sectPr>
          <w:headerReference r:id="rId10" w:type="first"/>
          <w:footerReference r:id="rId12" w:type="first"/>
          <w:headerReference r:id="rId9" w:type="default"/>
          <w:footerReference r:id="rId11" w:type="default"/>
          <w:pgSz w:w="11906" w:h="16838"/>
          <w:pgMar w:top="1135" w:right="1133" w:bottom="1246" w:left="1418" w:header="851" w:footer="903" w:gutter="0"/>
          <w:pgNumType w:fmt="decimal" w:start="1"/>
          <w:cols w:space="720" w:num="1"/>
          <w:docGrid w:linePitch="312" w:charSpace="0"/>
        </w:sectPr>
      </w:pPr>
    </w:p>
    <w:p w14:paraId="02F8E387">
      <w:pPr>
        <w:rPr>
          <w:color w:val="auto"/>
          <w:highlight w:val="none"/>
        </w:rPr>
      </w:pPr>
      <w:bookmarkStart w:id="11" w:name="_Toc15694"/>
    </w:p>
    <w:p w14:paraId="6C8B62FF">
      <w:pPr>
        <w:pStyle w:val="26"/>
        <w:snapToGrid w:val="0"/>
        <w:spacing w:before="120" w:after="120" w:line="320" w:lineRule="exact"/>
        <w:jc w:val="center"/>
        <w:outlineLvl w:val="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第二章  采购需求</w:t>
      </w:r>
      <w:bookmarkEnd w:id="11"/>
    </w:p>
    <w:p w14:paraId="75583331">
      <w:pPr>
        <w:spacing w:before="120"/>
        <w:rPr>
          <w:rFonts w:hint="eastAsia" w:ascii="宋体" w:hAnsi="宋体" w:eastAsia="宋体" w:cs="宋体"/>
          <w:b/>
          <w:bCs/>
          <w:color w:val="auto"/>
          <w:sz w:val="28"/>
          <w:szCs w:val="28"/>
          <w:highlight w:val="none"/>
          <w:lang w:eastAsia="zh-CN"/>
        </w:rPr>
      </w:pPr>
      <w:bookmarkStart w:id="12" w:name="_Toc254970631"/>
      <w:bookmarkStart w:id="13" w:name="_Toc254970490"/>
      <w:r>
        <w:rPr>
          <w:rFonts w:hint="eastAsia" w:eastAsia="楷体_GB2312"/>
          <w:b/>
          <w:color w:val="auto"/>
          <w:sz w:val="24"/>
          <w:szCs w:val="24"/>
          <w:highlight w:val="none"/>
          <w:lang w:val="en-US" w:eastAsia="zh-CN"/>
        </w:rPr>
        <w:t xml:space="preserve"> </w:t>
      </w:r>
    </w:p>
    <w:p w14:paraId="331741DE">
      <w:pPr>
        <w:pStyle w:val="19"/>
        <w:spacing w:before="65" w:line="228" w:lineRule="auto"/>
        <w:ind w:left="137"/>
        <w:rPr>
          <w:color w:val="auto"/>
          <w:highlight w:val="none"/>
        </w:rPr>
      </w:pPr>
      <w:r>
        <w:rPr>
          <w:color w:val="auto"/>
          <w:spacing w:val="2"/>
          <w:highlight w:val="none"/>
        </w:rPr>
        <w:t>说明：</w:t>
      </w:r>
    </w:p>
    <w:p w14:paraId="0AD19E8E">
      <w:pPr>
        <w:pStyle w:val="19"/>
        <w:spacing w:before="220" w:line="228" w:lineRule="auto"/>
        <w:ind w:left="570"/>
        <w:rPr>
          <w:color w:val="auto"/>
          <w:highlight w:val="none"/>
        </w:rPr>
      </w:pPr>
      <w:r>
        <w:rPr>
          <w:color w:val="auto"/>
          <w:spacing w:val="7"/>
          <w:highlight w:val="none"/>
        </w:rPr>
        <w:t>1</w:t>
      </w:r>
      <w:r>
        <w:rPr>
          <w:rFonts w:ascii="Times New Roman" w:hAnsi="Times New Roman" w:eastAsia="Times New Roman" w:cs="Times New Roman"/>
          <w:color w:val="auto"/>
          <w:spacing w:val="7"/>
          <w:highlight w:val="none"/>
        </w:rPr>
        <w:t xml:space="preserve">.  </w:t>
      </w:r>
      <w:r>
        <w:rPr>
          <w:color w:val="auto"/>
          <w:spacing w:val="7"/>
          <w:highlight w:val="none"/>
        </w:rPr>
        <w:t>为落实政府采购政策需满足的要求</w:t>
      </w:r>
    </w:p>
    <w:p w14:paraId="0589B38C">
      <w:pPr>
        <w:pStyle w:val="19"/>
        <w:spacing w:before="221" w:line="432" w:lineRule="auto"/>
        <w:ind w:left="162" w:right="127" w:firstLine="392"/>
        <w:rPr>
          <w:color w:val="auto"/>
          <w:highlight w:val="none"/>
        </w:rPr>
      </w:pPr>
      <w:r>
        <w:rPr>
          <w:color w:val="auto"/>
          <w:spacing w:val="9"/>
          <w:highlight w:val="none"/>
        </w:rPr>
        <w:t>本竞争性磋商采购文件所称中小企业必须符合《政府采购促进中小企业发展管理办法》（财库</w:t>
      </w:r>
      <w:r>
        <w:rPr>
          <w:color w:val="auto"/>
          <w:spacing w:val="3"/>
          <w:highlight w:val="none"/>
        </w:rPr>
        <w:t>〔2020〕46</w:t>
      </w:r>
      <w:r>
        <w:rPr>
          <w:color w:val="auto"/>
          <w:spacing w:val="-29"/>
          <w:highlight w:val="none"/>
        </w:rPr>
        <w:t xml:space="preserve"> </w:t>
      </w:r>
      <w:r>
        <w:rPr>
          <w:color w:val="auto"/>
          <w:spacing w:val="3"/>
          <w:highlight w:val="none"/>
        </w:rPr>
        <w:t>号）的规定。</w:t>
      </w:r>
    </w:p>
    <w:p w14:paraId="625BAFBA">
      <w:pPr>
        <w:pStyle w:val="19"/>
        <w:spacing w:before="2" w:line="431" w:lineRule="auto"/>
        <w:ind w:left="138" w:right="321" w:firstLine="421"/>
        <w:rPr>
          <w:color w:val="auto"/>
          <w:highlight w:val="none"/>
        </w:rPr>
      </w:pPr>
      <w:r>
        <w:rPr>
          <w:color w:val="auto"/>
          <w:spacing w:val="8"/>
          <w:highlight w:val="none"/>
        </w:rPr>
        <w:t>2.“实质性要求</w:t>
      </w:r>
      <w:r>
        <w:rPr>
          <w:color w:val="auto"/>
          <w:spacing w:val="-68"/>
          <w:highlight w:val="none"/>
        </w:rPr>
        <w:t xml:space="preserve"> </w:t>
      </w:r>
      <w:r>
        <w:rPr>
          <w:color w:val="auto"/>
          <w:spacing w:val="8"/>
          <w:highlight w:val="none"/>
        </w:rPr>
        <w:t>”是指采购需求中带“▲</w:t>
      </w:r>
      <w:r>
        <w:rPr>
          <w:color w:val="auto"/>
          <w:spacing w:val="-72"/>
          <w:highlight w:val="none"/>
        </w:rPr>
        <w:t xml:space="preserve"> </w:t>
      </w:r>
      <w:r>
        <w:rPr>
          <w:color w:val="auto"/>
          <w:spacing w:val="8"/>
          <w:highlight w:val="none"/>
        </w:rPr>
        <w:t>”的条款或者不能负偏离的条款或者已经指明不满足按响应文件按无效处理的条款。</w:t>
      </w:r>
    </w:p>
    <w:p w14:paraId="051EB415">
      <w:pPr>
        <w:pStyle w:val="19"/>
        <w:spacing w:line="227" w:lineRule="auto"/>
        <w:ind w:left="561"/>
        <w:rPr>
          <w:color w:val="auto"/>
          <w:highlight w:val="none"/>
        </w:rPr>
      </w:pPr>
      <w:r>
        <w:rPr>
          <w:color w:val="auto"/>
          <w:spacing w:val="8"/>
          <w:highlight w:val="none"/>
        </w:rPr>
        <w:t>3.供应商应根据自身实际情况如实响应磋商文件。</w:t>
      </w:r>
    </w:p>
    <w:p w14:paraId="2B7A5341">
      <w:pPr>
        <w:pStyle w:val="19"/>
        <w:spacing w:before="221" w:line="228" w:lineRule="auto"/>
        <w:ind w:left="556"/>
        <w:rPr>
          <w:color w:val="auto"/>
          <w:highlight w:val="none"/>
        </w:rPr>
      </w:pPr>
      <w:r>
        <w:rPr>
          <w:color w:val="auto"/>
          <w:spacing w:val="9"/>
          <w:highlight w:val="none"/>
        </w:rPr>
        <w:t>4.供应商必须自行为其竞标产品侵犯他人的知识产权或者专利成果的行为承担相应法律责任。</w:t>
      </w:r>
    </w:p>
    <w:p w14:paraId="5BDA06A7">
      <w:pPr>
        <w:pStyle w:val="19"/>
        <w:spacing w:before="221" w:line="432" w:lineRule="auto"/>
        <w:ind w:left="135" w:right="73" w:firstLine="420"/>
        <w:rPr>
          <w:color w:val="auto"/>
          <w:highlight w:val="none"/>
        </w:rPr>
      </w:pPr>
      <w:r>
        <w:rPr>
          <w:rFonts w:ascii="Times New Roman" w:hAnsi="Times New Roman" w:eastAsia="Times New Roman" w:cs="Times New Roman"/>
          <w:b/>
          <w:bCs/>
          <w:color w:val="auto"/>
          <w:spacing w:val="5"/>
          <w:highlight w:val="none"/>
        </w:rPr>
        <w:t>5.</w:t>
      </w:r>
      <w:r>
        <w:rPr>
          <w:b/>
          <w:bCs/>
          <w:color w:val="auto"/>
          <w:spacing w:val="5"/>
          <w:highlight w:val="none"/>
        </w:rPr>
        <w:t>供应商可就本项目所有标项进行投标，但只能作为一个标项的第一</w:t>
      </w:r>
      <w:r>
        <w:rPr>
          <w:b/>
          <w:bCs/>
          <w:color w:val="auto"/>
          <w:spacing w:val="4"/>
          <w:highlight w:val="none"/>
        </w:rPr>
        <w:t>成交候选人。评审顺序为：</w:t>
      </w:r>
      <w:r>
        <w:rPr>
          <w:b/>
          <w:bCs/>
          <w:color w:val="auto"/>
          <w:spacing w:val="7"/>
          <w:highlight w:val="none"/>
        </w:rPr>
        <w:t>标项一→标项二一→标项三一→标项四一→标项五。如供应商已为前面标项的第一成交候选人，则不得再作为后面标项的第一成交候选人（例如：供应商已为标项一的第一成交候选人，则不得再作为后面标项二的第一成交候选人，依此类推）。</w:t>
      </w:r>
    </w:p>
    <w:p w14:paraId="7A0A97D7">
      <w:pPr>
        <w:rPr>
          <w:color w:val="auto"/>
          <w:szCs w:val="21"/>
          <w:highlight w:val="none"/>
        </w:rPr>
      </w:pPr>
      <w:r>
        <w:rPr>
          <w:color w:val="auto"/>
          <w:szCs w:val="21"/>
          <w:highlight w:val="none"/>
        </w:rPr>
        <w:br w:type="page"/>
      </w:r>
    </w:p>
    <w:p w14:paraId="63479E2E">
      <w:pPr>
        <w:pStyle w:val="19"/>
        <w:spacing w:line="229" w:lineRule="auto"/>
        <w:ind w:left="560"/>
        <w:rPr>
          <w:color w:val="auto"/>
          <w:highlight w:val="none"/>
        </w:rPr>
      </w:pPr>
      <w:r>
        <w:rPr>
          <w:b/>
          <w:bCs/>
          <w:color w:val="auto"/>
          <w:spacing w:val="3"/>
          <w:highlight w:val="none"/>
        </w:rPr>
        <w:t>标项一：</w:t>
      </w:r>
    </w:p>
    <w:p w14:paraId="34C31A27">
      <w:pPr>
        <w:spacing w:line="92" w:lineRule="exact"/>
        <w:rPr>
          <w:color w:val="auto"/>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869"/>
        <w:gridCol w:w="657"/>
        <w:gridCol w:w="676"/>
        <w:gridCol w:w="108"/>
        <w:gridCol w:w="426"/>
        <w:gridCol w:w="481"/>
        <w:gridCol w:w="527"/>
        <w:gridCol w:w="466"/>
        <w:gridCol w:w="552"/>
        <w:gridCol w:w="599"/>
        <w:gridCol w:w="601"/>
        <w:gridCol w:w="637"/>
        <w:gridCol w:w="623"/>
        <w:gridCol w:w="1113"/>
        <w:gridCol w:w="280"/>
      </w:tblGrid>
      <w:tr w14:paraId="52792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265" w:type="dxa"/>
            <w:gridSpan w:val="16"/>
            <w:vAlign w:val="top"/>
          </w:tcPr>
          <w:p w14:paraId="120F9831">
            <w:pPr>
              <w:spacing w:before="135" w:line="228" w:lineRule="auto"/>
              <w:ind w:left="11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w:t>
            </w:r>
            <w:r>
              <w:rPr>
                <w:rFonts w:ascii="宋体" w:hAnsi="宋体" w:eastAsia="宋体" w:cs="宋体"/>
                <w:b/>
                <w:bCs/>
                <w:color w:val="auto"/>
                <w:spacing w:val="6"/>
                <w:sz w:val="20"/>
                <w:szCs w:val="20"/>
                <w:highlight w:val="none"/>
              </w:rPr>
              <w:t>一、技术要求</w:t>
            </w:r>
          </w:p>
        </w:tc>
      </w:tr>
      <w:tr w14:paraId="63383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650" w:type="dxa"/>
            <w:vAlign w:val="top"/>
          </w:tcPr>
          <w:p w14:paraId="6A04D25D">
            <w:pPr>
              <w:pStyle w:val="179"/>
              <w:spacing w:line="265" w:lineRule="auto"/>
              <w:rPr>
                <w:color w:val="auto"/>
                <w:highlight w:val="none"/>
              </w:rPr>
            </w:pPr>
          </w:p>
          <w:p w14:paraId="2B8FFB90">
            <w:pPr>
              <w:pStyle w:val="179"/>
              <w:spacing w:line="265" w:lineRule="auto"/>
              <w:rPr>
                <w:color w:val="auto"/>
                <w:highlight w:val="none"/>
              </w:rPr>
            </w:pPr>
          </w:p>
          <w:p w14:paraId="1A9D4F9A">
            <w:pPr>
              <w:spacing w:before="65" w:line="230" w:lineRule="auto"/>
              <w:ind w:left="11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序号</w:t>
            </w:r>
          </w:p>
        </w:tc>
        <w:tc>
          <w:tcPr>
            <w:tcW w:w="869" w:type="dxa"/>
            <w:vAlign w:val="top"/>
          </w:tcPr>
          <w:p w14:paraId="56F0DD72">
            <w:pPr>
              <w:pStyle w:val="179"/>
              <w:spacing w:line="297" w:lineRule="auto"/>
              <w:rPr>
                <w:color w:val="auto"/>
                <w:highlight w:val="none"/>
              </w:rPr>
            </w:pPr>
          </w:p>
          <w:p w14:paraId="2B1F473F">
            <w:pPr>
              <w:spacing w:before="65" w:line="434" w:lineRule="auto"/>
              <w:ind w:left="228" w:right="122" w:hanging="10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标的的</w:t>
            </w:r>
            <w:r>
              <w:rPr>
                <w:rFonts w:ascii="宋体" w:hAnsi="宋体" w:eastAsia="宋体" w:cs="宋体"/>
                <w:color w:val="auto"/>
                <w:spacing w:val="3"/>
                <w:sz w:val="20"/>
                <w:szCs w:val="20"/>
                <w:highlight w:val="none"/>
              </w:rPr>
              <w:t>名称</w:t>
            </w:r>
          </w:p>
        </w:tc>
        <w:tc>
          <w:tcPr>
            <w:tcW w:w="657" w:type="dxa"/>
            <w:vAlign w:val="top"/>
          </w:tcPr>
          <w:p w14:paraId="1023777D">
            <w:pPr>
              <w:spacing w:before="131" w:line="228" w:lineRule="auto"/>
              <w:ind w:left="12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数量</w:t>
            </w:r>
          </w:p>
          <w:p w14:paraId="4E94A857">
            <w:pPr>
              <w:spacing w:before="220" w:line="369" w:lineRule="auto"/>
              <w:ind w:left="225" w:right="122" w:hanging="10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及单</w:t>
            </w:r>
            <w:r>
              <w:rPr>
                <w:rFonts w:ascii="宋体" w:hAnsi="宋体" w:eastAsia="宋体" w:cs="宋体"/>
                <w:color w:val="auto"/>
                <w:sz w:val="20"/>
                <w:szCs w:val="20"/>
                <w:highlight w:val="none"/>
              </w:rPr>
              <w:t>位</w:t>
            </w:r>
          </w:p>
        </w:tc>
        <w:tc>
          <w:tcPr>
            <w:tcW w:w="676" w:type="dxa"/>
            <w:vAlign w:val="top"/>
          </w:tcPr>
          <w:p w14:paraId="15638036">
            <w:pPr>
              <w:pStyle w:val="179"/>
              <w:spacing w:line="296" w:lineRule="auto"/>
              <w:rPr>
                <w:color w:val="auto"/>
                <w:highlight w:val="none"/>
              </w:rPr>
            </w:pPr>
          </w:p>
          <w:p w14:paraId="7DE20DA7">
            <w:pPr>
              <w:spacing w:before="65" w:line="434" w:lineRule="auto"/>
              <w:ind w:left="135" w:right="128" w:hanging="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所属</w:t>
            </w:r>
            <w:r>
              <w:rPr>
                <w:rFonts w:ascii="宋体" w:hAnsi="宋体" w:eastAsia="宋体" w:cs="宋体"/>
                <w:color w:val="auto"/>
                <w:spacing w:val="3"/>
                <w:sz w:val="20"/>
                <w:szCs w:val="20"/>
                <w:highlight w:val="none"/>
              </w:rPr>
              <w:t>行业</w:t>
            </w:r>
          </w:p>
        </w:tc>
        <w:tc>
          <w:tcPr>
            <w:tcW w:w="6413" w:type="dxa"/>
            <w:gridSpan w:val="12"/>
            <w:vAlign w:val="top"/>
          </w:tcPr>
          <w:p w14:paraId="120B33CA">
            <w:pPr>
              <w:pStyle w:val="179"/>
              <w:spacing w:line="265" w:lineRule="auto"/>
              <w:rPr>
                <w:color w:val="auto"/>
                <w:highlight w:val="none"/>
              </w:rPr>
            </w:pPr>
          </w:p>
          <w:p w14:paraId="18CCDFFD">
            <w:pPr>
              <w:pStyle w:val="179"/>
              <w:spacing w:line="266" w:lineRule="auto"/>
              <w:rPr>
                <w:color w:val="auto"/>
                <w:highlight w:val="none"/>
              </w:rPr>
            </w:pPr>
          </w:p>
          <w:p w14:paraId="74BFADA7">
            <w:pPr>
              <w:spacing w:before="65" w:line="228" w:lineRule="auto"/>
              <w:ind w:left="278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服务要求</w:t>
            </w:r>
          </w:p>
        </w:tc>
      </w:tr>
      <w:tr w14:paraId="3F1F0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50" w:type="dxa"/>
            <w:vMerge w:val="restart"/>
            <w:vAlign w:val="top"/>
          </w:tcPr>
          <w:p w14:paraId="52763BF6">
            <w:pPr>
              <w:pStyle w:val="179"/>
              <w:spacing w:line="255" w:lineRule="auto"/>
              <w:rPr>
                <w:color w:val="auto"/>
                <w:highlight w:val="none"/>
              </w:rPr>
            </w:pPr>
          </w:p>
          <w:p w14:paraId="0D579A4E">
            <w:pPr>
              <w:pStyle w:val="179"/>
              <w:spacing w:line="255" w:lineRule="auto"/>
              <w:rPr>
                <w:color w:val="auto"/>
                <w:highlight w:val="none"/>
              </w:rPr>
            </w:pPr>
          </w:p>
          <w:p w14:paraId="27896AB9">
            <w:pPr>
              <w:pStyle w:val="179"/>
              <w:spacing w:line="255" w:lineRule="auto"/>
              <w:rPr>
                <w:color w:val="auto"/>
                <w:highlight w:val="none"/>
              </w:rPr>
            </w:pPr>
          </w:p>
          <w:p w14:paraId="7CB8F2FA">
            <w:pPr>
              <w:pStyle w:val="179"/>
              <w:spacing w:line="255" w:lineRule="auto"/>
              <w:rPr>
                <w:color w:val="auto"/>
                <w:highlight w:val="none"/>
              </w:rPr>
            </w:pPr>
          </w:p>
          <w:p w14:paraId="4C01C6E1">
            <w:pPr>
              <w:pStyle w:val="179"/>
              <w:spacing w:line="255" w:lineRule="auto"/>
              <w:rPr>
                <w:color w:val="auto"/>
                <w:highlight w:val="none"/>
              </w:rPr>
            </w:pPr>
          </w:p>
          <w:p w14:paraId="58548083">
            <w:pPr>
              <w:pStyle w:val="179"/>
              <w:spacing w:line="256" w:lineRule="auto"/>
              <w:rPr>
                <w:color w:val="auto"/>
                <w:highlight w:val="none"/>
              </w:rPr>
            </w:pPr>
          </w:p>
          <w:p w14:paraId="58642D97">
            <w:pPr>
              <w:pStyle w:val="179"/>
              <w:spacing w:line="256" w:lineRule="auto"/>
              <w:rPr>
                <w:color w:val="auto"/>
                <w:highlight w:val="none"/>
              </w:rPr>
            </w:pPr>
          </w:p>
          <w:p w14:paraId="2FD6196B">
            <w:pPr>
              <w:pStyle w:val="179"/>
              <w:spacing w:line="256" w:lineRule="auto"/>
              <w:rPr>
                <w:color w:val="auto"/>
                <w:highlight w:val="none"/>
              </w:rPr>
            </w:pPr>
          </w:p>
          <w:p w14:paraId="686CFEF1">
            <w:pPr>
              <w:spacing w:before="65" w:line="271" w:lineRule="exact"/>
              <w:ind w:left="291"/>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1</w:t>
            </w:r>
          </w:p>
        </w:tc>
        <w:tc>
          <w:tcPr>
            <w:tcW w:w="869" w:type="dxa"/>
            <w:vMerge w:val="restart"/>
            <w:vAlign w:val="top"/>
          </w:tcPr>
          <w:p w14:paraId="654BD77D">
            <w:pPr>
              <w:pStyle w:val="179"/>
              <w:spacing w:line="282" w:lineRule="auto"/>
              <w:rPr>
                <w:color w:val="auto"/>
                <w:highlight w:val="none"/>
              </w:rPr>
            </w:pPr>
          </w:p>
          <w:p w14:paraId="33F6491D">
            <w:pPr>
              <w:pStyle w:val="179"/>
              <w:spacing w:line="283" w:lineRule="auto"/>
              <w:rPr>
                <w:color w:val="auto"/>
                <w:highlight w:val="none"/>
              </w:rPr>
            </w:pPr>
          </w:p>
          <w:p w14:paraId="4E05F94C">
            <w:pPr>
              <w:pStyle w:val="179"/>
              <w:spacing w:line="283" w:lineRule="auto"/>
              <w:rPr>
                <w:color w:val="auto"/>
                <w:highlight w:val="none"/>
              </w:rPr>
            </w:pPr>
          </w:p>
          <w:p w14:paraId="77CB1EA9">
            <w:pPr>
              <w:spacing w:before="65" w:line="275" w:lineRule="exact"/>
              <w:ind w:left="102"/>
              <w:rPr>
                <w:rFonts w:ascii="宋体" w:hAnsi="宋体" w:eastAsia="宋体" w:cs="宋体"/>
                <w:color w:val="auto"/>
                <w:sz w:val="20"/>
                <w:szCs w:val="20"/>
                <w:highlight w:val="none"/>
              </w:rPr>
            </w:pPr>
            <w:r>
              <w:rPr>
                <w:rFonts w:ascii="Times New Roman" w:hAnsi="Times New Roman" w:eastAsia="Times New Roman" w:cs="Times New Roman"/>
                <w:color w:val="auto"/>
                <w:spacing w:val="3"/>
                <w:position w:val="1"/>
                <w:sz w:val="20"/>
                <w:szCs w:val="20"/>
                <w:highlight w:val="none"/>
              </w:rPr>
              <w:t>202</w:t>
            </w:r>
            <w:r>
              <w:rPr>
                <w:rFonts w:hint="eastAsia" w:ascii="Times New Roman" w:hAnsi="Times New Roman" w:eastAsia="宋体" w:cs="Times New Roman"/>
                <w:color w:val="auto"/>
                <w:spacing w:val="3"/>
                <w:position w:val="1"/>
                <w:sz w:val="20"/>
                <w:szCs w:val="20"/>
                <w:highlight w:val="none"/>
                <w:lang w:val="en-US" w:eastAsia="zh-CN"/>
              </w:rPr>
              <w:t>6</w:t>
            </w:r>
            <w:r>
              <w:rPr>
                <w:rFonts w:ascii="宋体" w:hAnsi="宋体" w:eastAsia="宋体" w:cs="宋体"/>
                <w:color w:val="auto"/>
                <w:spacing w:val="3"/>
                <w:position w:val="1"/>
                <w:sz w:val="20"/>
                <w:szCs w:val="20"/>
                <w:highlight w:val="none"/>
              </w:rPr>
              <w:t>年</w:t>
            </w:r>
          </w:p>
          <w:p w14:paraId="45D63944">
            <w:pPr>
              <w:spacing w:before="224" w:line="228" w:lineRule="auto"/>
              <w:ind w:left="133"/>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防城片</w:t>
            </w:r>
          </w:p>
          <w:p w14:paraId="506D88AB">
            <w:pPr>
              <w:spacing w:before="220" w:line="229" w:lineRule="auto"/>
              <w:ind w:left="136"/>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区食品</w:t>
            </w:r>
          </w:p>
          <w:p w14:paraId="27B83BA9">
            <w:pPr>
              <w:spacing w:before="219" w:line="230" w:lineRule="auto"/>
              <w:ind w:left="1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安全监</w:t>
            </w:r>
          </w:p>
          <w:p w14:paraId="7A6DE444">
            <w:pPr>
              <w:spacing w:before="219" w:line="228" w:lineRule="auto"/>
              <w:ind w:left="1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督抽检</w:t>
            </w:r>
          </w:p>
          <w:p w14:paraId="100ED538">
            <w:pPr>
              <w:spacing w:before="221" w:line="228" w:lineRule="auto"/>
              <w:ind w:left="226"/>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服务</w:t>
            </w:r>
          </w:p>
        </w:tc>
        <w:tc>
          <w:tcPr>
            <w:tcW w:w="657" w:type="dxa"/>
            <w:vMerge w:val="restart"/>
            <w:vAlign w:val="top"/>
          </w:tcPr>
          <w:p w14:paraId="6E1265F4">
            <w:pPr>
              <w:pStyle w:val="179"/>
              <w:spacing w:line="255" w:lineRule="auto"/>
              <w:rPr>
                <w:color w:val="auto"/>
                <w:highlight w:val="none"/>
              </w:rPr>
            </w:pPr>
          </w:p>
          <w:p w14:paraId="504B6712">
            <w:pPr>
              <w:pStyle w:val="179"/>
              <w:spacing w:line="255" w:lineRule="auto"/>
              <w:rPr>
                <w:color w:val="auto"/>
                <w:highlight w:val="none"/>
              </w:rPr>
            </w:pPr>
          </w:p>
          <w:p w14:paraId="3458D80C">
            <w:pPr>
              <w:pStyle w:val="179"/>
              <w:spacing w:line="255" w:lineRule="auto"/>
              <w:rPr>
                <w:color w:val="auto"/>
                <w:highlight w:val="none"/>
              </w:rPr>
            </w:pPr>
          </w:p>
          <w:p w14:paraId="2000D548">
            <w:pPr>
              <w:pStyle w:val="179"/>
              <w:spacing w:line="255" w:lineRule="auto"/>
              <w:rPr>
                <w:color w:val="auto"/>
                <w:highlight w:val="none"/>
              </w:rPr>
            </w:pPr>
          </w:p>
          <w:p w14:paraId="46FE12C6">
            <w:pPr>
              <w:pStyle w:val="179"/>
              <w:spacing w:line="255" w:lineRule="auto"/>
              <w:rPr>
                <w:color w:val="auto"/>
                <w:highlight w:val="none"/>
              </w:rPr>
            </w:pPr>
          </w:p>
          <w:p w14:paraId="271F731D">
            <w:pPr>
              <w:pStyle w:val="179"/>
              <w:spacing w:line="256" w:lineRule="auto"/>
              <w:rPr>
                <w:color w:val="auto"/>
                <w:highlight w:val="none"/>
              </w:rPr>
            </w:pPr>
          </w:p>
          <w:p w14:paraId="395E16B2">
            <w:pPr>
              <w:pStyle w:val="179"/>
              <w:spacing w:line="256" w:lineRule="auto"/>
              <w:rPr>
                <w:color w:val="auto"/>
                <w:highlight w:val="none"/>
              </w:rPr>
            </w:pPr>
          </w:p>
          <w:p w14:paraId="5585AF2C">
            <w:pPr>
              <w:pStyle w:val="179"/>
              <w:spacing w:line="256" w:lineRule="auto"/>
              <w:rPr>
                <w:color w:val="auto"/>
                <w:highlight w:val="none"/>
              </w:rPr>
            </w:pPr>
          </w:p>
          <w:p w14:paraId="37D92A67">
            <w:pPr>
              <w:spacing w:before="65" w:line="229" w:lineRule="auto"/>
              <w:ind w:left="162"/>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1</w:t>
            </w:r>
            <w:r>
              <w:rPr>
                <w:rFonts w:ascii="宋体" w:hAnsi="宋体" w:eastAsia="宋体" w:cs="宋体"/>
                <w:color w:val="auto"/>
                <w:spacing w:val="-38"/>
                <w:sz w:val="20"/>
                <w:szCs w:val="20"/>
                <w:highlight w:val="none"/>
              </w:rPr>
              <w:t xml:space="preserve"> </w:t>
            </w:r>
            <w:r>
              <w:rPr>
                <w:rFonts w:ascii="宋体" w:hAnsi="宋体" w:eastAsia="宋体" w:cs="宋体"/>
                <w:color w:val="auto"/>
                <w:spacing w:val="-10"/>
                <w:sz w:val="20"/>
                <w:szCs w:val="20"/>
                <w:highlight w:val="none"/>
              </w:rPr>
              <w:t>项</w:t>
            </w:r>
          </w:p>
        </w:tc>
        <w:tc>
          <w:tcPr>
            <w:tcW w:w="676" w:type="dxa"/>
            <w:vMerge w:val="restart"/>
            <w:vAlign w:val="top"/>
          </w:tcPr>
          <w:p w14:paraId="59D0BFE8">
            <w:pPr>
              <w:pStyle w:val="179"/>
              <w:spacing w:line="268" w:lineRule="auto"/>
              <w:rPr>
                <w:color w:val="auto"/>
                <w:highlight w:val="none"/>
              </w:rPr>
            </w:pPr>
          </w:p>
          <w:p w14:paraId="75D6A10E">
            <w:pPr>
              <w:pStyle w:val="179"/>
              <w:spacing w:line="268" w:lineRule="auto"/>
              <w:rPr>
                <w:color w:val="auto"/>
                <w:highlight w:val="none"/>
              </w:rPr>
            </w:pPr>
          </w:p>
          <w:p w14:paraId="1AB627A3">
            <w:pPr>
              <w:pStyle w:val="179"/>
              <w:spacing w:line="269" w:lineRule="auto"/>
              <w:rPr>
                <w:color w:val="auto"/>
                <w:highlight w:val="none"/>
              </w:rPr>
            </w:pPr>
          </w:p>
          <w:p w14:paraId="3959C9B7">
            <w:pPr>
              <w:pStyle w:val="179"/>
              <w:spacing w:line="269" w:lineRule="auto"/>
              <w:rPr>
                <w:color w:val="auto"/>
                <w:highlight w:val="none"/>
              </w:rPr>
            </w:pPr>
          </w:p>
          <w:p w14:paraId="647B39D0">
            <w:pPr>
              <w:pStyle w:val="179"/>
              <w:spacing w:line="269" w:lineRule="auto"/>
              <w:rPr>
                <w:color w:val="auto"/>
                <w:highlight w:val="none"/>
              </w:rPr>
            </w:pPr>
          </w:p>
          <w:p w14:paraId="0BFD2A3A">
            <w:pPr>
              <w:spacing w:before="65" w:line="436" w:lineRule="auto"/>
              <w:ind w:left="135" w:right="128" w:hanging="2"/>
              <w:jc w:val="both"/>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其</w:t>
            </w:r>
            <w:r>
              <w:rPr>
                <w:rFonts w:ascii="宋体" w:hAnsi="宋体" w:eastAsia="宋体" w:cs="宋体"/>
                <w:color w:val="auto"/>
                <w:spacing w:val="2"/>
                <w:sz w:val="20"/>
                <w:szCs w:val="20"/>
                <w:highlight w:val="none"/>
              </w:rPr>
              <w:t>他未列明行业</w:t>
            </w:r>
          </w:p>
        </w:tc>
        <w:tc>
          <w:tcPr>
            <w:tcW w:w="6413" w:type="dxa"/>
            <w:gridSpan w:val="12"/>
            <w:vAlign w:val="top"/>
          </w:tcPr>
          <w:p w14:paraId="79B9C16C">
            <w:pPr>
              <w:spacing w:before="122" w:line="214" w:lineRule="auto"/>
              <w:ind w:left="119"/>
              <w:rPr>
                <w:rFonts w:ascii="宋体" w:hAnsi="宋体" w:eastAsia="宋体" w:cs="宋体"/>
                <w:color w:val="auto"/>
                <w:sz w:val="20"/>
                <w:szCs w:val="20"/>
                <w:highlight w:val="none"/>
              </w:rPr>
            </w:pPr>
            <w:r>
              <w:rPr>
                <w:rFonts w:ascii="宋体" w:hAnsi="宋体" w:eastAsia="宋体" w:cs="宋体"/>
                <w:b/>
                <w:bCs/>
                <w:color w:val="auto"/>
                <w:spacing w:val="8"/>
                <w:sz w:val="20"/>
                <w:szCs w:val="20"/>
                <w:highlight w:val="none"/>
              </w:rPr>
              <w:t>（一）抽检监测任务分配</w:t>
            </w:r>
            <w:r>
              <w:rPr>
                <w:rFonts w:ascii="宋体" w:hAnsi="宋体" w:eastAsia="宋体" w:cs="宋体"/>
                <w:b/>
                <w:bCs/>
                <w:color w:val="auto"/>
                <w:spacing w:val="-2"/>
                <w:sz w:val="20"/>
                <w:szCs w:val="20"/>
                <w:highlight w:val="none"/>
              </w:rPr>
              <w:t>：（</w:t>
            </w:r>
            <w:r>
              <w:rPr>
                <w:rFonts w:ascii="宋体" w:hAnsi="宋体" w:eastAsia="宋体" w:cs="宋体"/>
                <w:b/>
                <w:bCs/>
                <w:color w:val="auto"/>
                <w:spacing w:val="8"/>
                <w:sz w:val="20"/>
                <w:szCs w:val="20"/>
                <w:highlight w:val="none"/>
              </w:rPr>
              <w:t>单位：批次）</w:t>
            </w:r>
          </w:p>
        </w:tc>
      </w:tr>
      <w:tr w14:paraId="4FBAD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650" w:type="dxa"/>
            <w:vMerge w:val="continue"/>
            <w:vAlign w:val="top"/>
          </w:tcPr>
          <w:p w14:paraId="0CD39002">
            <w:pPr>
              <w:pStyle w:val="179"/>
              <w:rPr>
                <w:color w:val="auto"/>
                <w:highlight w:val="none"/>
              </w:rPr>
            </w:pPr>
          </w:p>
        </w:tc>
        <w:tc>
          <w:tcPr>
            <w:tcW w:w="869" w:type="dxa"/>
            <w:vMerge w:val="continue"/>
            <w:vAlign w:val="top"/>
          </w:tcPr>
          <w:p w14:paraId="6E163EE1">
            <w:pPr>
              <w:pStyle w:val="179"/>
              <w:rPr>
                <w:color w:val="auto"/>
                <w:highlight w:val="none"/>
              </w:rPr>
            </w:pPr>
          </w:p>
        </w:tc>
        <w:tc>
          <w:tcPr>
            <w:tcW w:w="657" w:type="dxa"/>
            <w:vMerge w:val="continue"/>
            <w:vAlign w:val="top"/>
          </w:tcPr>
          <w:p w14:paraId="4B4F7A4B">
            <w:pPr>
              <w:pStyle w:val="179"/>
              <w:rPr>
                <w:color w:val="auto"/>
                <w:highlight w:val="none"/>
              </w:rPr>
            </w:pPr>
          </w:p>
        </w:tc>
        <w:tc>
          <w:tcPr>
            <w:tcW w:w="676" w:type="dxa"/>
            <w:vMerge w:val="continue"/>
            <w:vAlign w:val="top"/>
          </w:tcPr>
          <w:p w14:paraId="3C6340BA">
            <w:pPr>
              <w:pStyle w:val="179"/>
              <w:rPr>
                <w:color w:val="auto"/>
                <w:highlight w:val="none"/>
              </w:rPr>
            </w:pPr>
          </w:p>
        </w:tc>
        <w:tc>
          <w:tcPr>
            <w:tcW w:w="108" w:type="dxa"/>
            <w:tcBorders>
              <w:top w:val="nil"/>
              <w:bottom w:val="nil"/>
            </w:tcBorders>
            <w:vAlign w:val="top"/>
          </w:tcPr>
          <w:p w14:paraId="43140560">
            <w:pPr>
              <w:pStyle w:val="179"/>
              <w:rPr>
                <w:color w:val="auto"/>
                <w:highlight w:val="none"/>
              </w:rPr>
            </w:pPr>
          </w:p>
        </w:tc>
        <w:tc>
          <w:tcPr>
            <w:tcW w:w="426" w:type="dxa"/>
            <w:textDirection w:val="tbRlV"/>
            <w:vAlign w:val="top"/>
          </w:tcPr>
          <w:p w14:paraId="006ADFC4">
            <w:pPr>
              <w:spacing w:before="107" w:line="218" w:lineRule="auto"/>
              <w:ind w:left="52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序 号</w:t>
            </w:r>
          </w:p>
        </w:tc>
        <w:tc>
          <w:tcPr>
            <w:tcW w:w="481" w:type="dxa"/>
            <w:textDirection w:val="tbRlV"/>
            <w:vAlign w:val="top"/>
          </w:tcPr>
          <w:p w14:paraId="38D5D0AA">
            <w:pPr>
              <w:spacing w:before="135" w:line="216" w:lineRule="auto"/>
              <w:ind w:left="21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任 务 类 型</w:t>
            </w:r>
          </w:p>
        </w:tc>
        <w:tc>
          <w:tcPr>
            <w:tcW w:w="527" w:type="dxa"/>
            <w:textDirection w:val="tbRlV"/>
            <w:vAlign w:val="top"/>
          </w:tcPr>
          <w:p w14:paraId="56719089">
            <w:pPr>
              <w:spacing w:before="157" w:line="216" w:lineRule="auto"/>
              <w:ind w:left="21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生 产 环 节</w:t>
            </w:r>
          </w:p>
        </w:tc>
        <w:tc>
          <w:tcPr>
            <w:tcW w:w="466" w:type="dxa"/>
            <w:textDirection w:val="tbRlV"/>
            <w:vAlign w:val="top"/>
          </w:tcPr>
          <w:p w14:paraId="4EBB1907">
            <w:pPr>
              <w:spacing w:before="127" w:line="216" w:lineRule="auto"/>
              <w:ind w:left="21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销 售 环 节</w:t>
            </w:r>
          </w:p>
        </w:tc>
        <w:tc>
          <w:tcPr>
            <w:tcW w:w="552" w:type="dxa"/>
            <w:textDirection w:val="tbRlV"/>
            <w:vAlign w:val="top"/>
          </w:tcPr>
          <w:p w14:paraId="06734D16">
            <w:pPr>
              <w:spacing w:before="170" w:line="216" w:lineRule="auto"/>
              <w:ind w:left="21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餐 饮 环 节</w:t>
            </w:r>
          </w:p>
        </w:tc>
        <w:tc>
          <w:tcPr>
            <w:tcW w:w="599" w:type="dxa"/>
            <w:textDirection w:val="tbRlV"/>
            <w:vAlign w:val="top"/>
          </w:tcPr>
          <w:p w14:paraId="529C1D3B">
            <w:pPr>
              <w:spacing w:before="193" w:line="216" w:lineRule="auto"/>
              <w:ind w:left="5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区 级 农 产 品</w:t>
            </w:r>
          </w:p>
        </w:tc>
        <w:tc>
          <w:tcPr>
            <w:tcW w:w="601" w:type="dxa"/>
            <w:textDirection w:val="tbRlV"/>
            <w:vAlign w:val="top"/>
          </w:tcPr>
          <w:p w14:paraId="07515C3B">
            <w:pPr>
              <w:spacing w:before="194" w:line="216" w:lineRule="auto"/>
              <w:ind w:left="5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市 级 农 产 品</w:t>
            </w:r>
          </w:p>
        </w:tc>
        <w:tc>
          <w:tcPr>
            <w:tcW w:w="637" w:type="dxa"/>
            <w:vAlign w:val="top"/>
          </w:tcPr>
          <w:p w14:paraId="20145498">
            <w:pPr>
              <w:spacing w:before="55" w:line="289" w:lineRule="auto"/>
              <w:ind w:left="112" w:right="109" w:firstLine="6"/>
              <w:jc w:val="both"/>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市级</w:t>
            </w:r>
            <w:r>
              <w:rPr>
                <w:rFonts w:hint="eastAsia" w:ascii="宋体" w:hAnsi="宋体" w:eastAsia="宋体" w:cs="宋体"/>
                <w:color w:val="auto"/>
                <w:spacing w:val="5"/>
                <w:sz w:val="20"/>
                <w:szCs w:val="20"/>
                <w:highlight w:val="none"/>
                <w:lang w:eastAsia="zh-CN"/>
              </w:rPr>
              <w:t>加工</w:t>
            </w:r>
            <w:r>
              <w:rPr>
                <w:rFonts w:ascii="宋体" w:hAnsi="宋体" w:eastAsia="宋体" w:cs="宋体"/>
                <w:color w:val="auto"/>
                <w:spacing w:val="5"/>
                <w:sz w:val="20"/>
                <w:szCs w:val="20"/>
                <w:highlight w:val="none"/>
              </w:rPr>
              <w:t>食品</w:t>
            </w:r>
          </w:p>
        </w:tc>
        <w:tc>
          <w:tcPr>
            <w:tcW w:w="623" w:type="dxa"/>
            <w:textDirection w:val="tbRlV"/>
            <w:vAlign w:val="top"/>
          </w:tcPr>
          <w:p w14:paraId="757E5988">
            <w:pPr>
              <w:spacing w:before="206" w:line="217" w:lineRule="auto"/>
              <w:ind w:left="52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合 计</w:t>
            </w:r>
          </w:p>
        </w:tc>
        <w:tc>
          <w:tcPr>
            <w:tcW w:w="1113" w:type="dxa"/>
            <w:vAlign w:val="top"/>
          </w:tcPr>
          <w:p w14:paraId="585BB20C">
            <w:pPr>
              <w:pStyle w:val="179"/>
              <w:spacing w:line="305" w:lineRule="auto"/>
              <w:rPr>
                <w:color w:val="auto"/>
                <w:highlight w:val="none"/>
              </w:rPr>
            </w:pPr>
          </w:p>
          <w:p w14:paraId="5C2B32AB">
            <w:pPr>
              <w:pStyle w:val="179"/>
              <w:spacing w:line="305" w:lineRule="auto"/>
              <w:rPr>
                <w:color w:val="auto"/>
                <w:highlight w:val="none"/>
              </w:rPr>
            </w:pPr>
          </w:p>
          <w:p w14:paraId="564ADDD0">
            <w:pPr>
              <w:spacing w:before="65" w:line="230" w:lineRule="auto"/>
              <w:ind w:left="353"/>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备注</w:t>
            </w:r>
          </w:p>
        </w:tc>
        <w:tc>
          <w:tcPr>
            <w:tcW w:w="280" w:type="dxa"/>
            <w:vMerge w:val="restart"/>
            <w:tcBorders>
              <w:top w:val="nil"/>
              <w:bottom w:val="nil"/>
            </w:tcBorders>
            <w:vAlign w:val="top"/>
          </w:tcPr>
          <w:p w14:paraId="3253E003">
            <w:pPr>
              <w:pStyle w:val="179"/>
              <w:rPr>
                <w:color w:val="auto"/>
                <w:highlight w:val="none"/>
              </w:rPr>
            </w:pPr>
          </w:p>
        </w:tc>
      </w:tr>
      <w:tr w14:paraId="0D6A1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650" w:type="dxa"/>
            <w:vMerge w:val="continue"/>
            <w:vAlign w:val="top"/>
          </w:tcPr>
          <w:p w14:paraId="42BC4051">
            <w:pPr>
              <w:pStyle w:val="179"/>
              <w:rPr>
                <w:color w:val="auto"/>
                <w:highlight w:val="none"/>
              </w:rPr>
            </w:pPr>
          </w:p>
        </w:tc>
        <w:tc>
          <w:tcPr>
            <w:tcW w:w="869" w:type="dxa"/>
            <w:vMerge w:val="continue"/>
            <w:vAlign w:val="top"/>
          </w:tcPr>
          <w:p w14:paraId="1C241083">
            <w:pPr>
              <w:pStyle w:val="179"/>
              <w:rPr>
                <w:color w:val="auto"/>
                <w:highlight w:val="none"/>
              </w:rPr>
            </w:pPr>
          </w:p>
        </w:tc>
        <w:tc>
          <w:tcPr>
            <w:tcW w:w="657" w:type="dxa"/>
            <w:vMerge w:val="continue"/>
            <w:vAlign w:val="top"/>
          </w:tcPr>
          <w:p w14:paraId="7F5EAA71">
            <w:pPr>
              <w:pStyle w:val="179"/>
              <w:rPr>
                <w:color w:val="auto"/>
                <w:highlight w:val="none"/>
              </w:rPr>
            </w:pPr>
          </w:p>
        </w:tc>
        <w:tc>
          <w:tcPr>
            <w:tcW w:w="676" w:type="dxa"/>
            <w:vMerge w:val="continue"/>
            <w:vAlign w:val="top"/>
          </w:tcPr>
          <w:p w14:paraId="13F7FE8E">
            <w:pPr>
              <w:pStyle w:val="179"/>
              <w:rPr>
                <w:color w:val="auto"/>
                <w:highlight w:val="none"/>
              </w:rPr>
            </w:pPr>
          </w:p>
        </w:tc>
        <w:tc>
          <w:tcPr>
            <w:tcW w:w="108" w:type="dxa"/>
            <w:tcBorders>
              <w:top w:val="nil"/>
              <w:bottom w:val="nil"/>
            </w:tcBorders>
            <w:vAlign w:val="top"/>
          </w:tcPr>
          <w:p w14:paraId="1A20E94C">
            <w:pPr>
              <w:pStyle w:val="179"/>
              <w:rPr>
                <w:color w:val="auto"/>
                <w:highlight w:val="none"/>
              </w:rPr>
            </w:pPr>
          </w:p>
        </w:tc>
        <w:tc>
          <w:tcPr>
            <w:tcW w:w="426" w:type="dxa"/>
            <w:vAlign w:val="top"/>
          </w:tcPr>
          <w:p w14:paraId="4E1E7EA7">
            <w:pPr>
              <w:pStyle w:val="179"/>
              <w:spacing w:line="305" w:lineRule="auto"/>
              <w:rPr>
                <w:color w:val="auto"/>
                <w:highlight w:val="none"/>
              </w:rPr>
            </w:pPr>
          </w:p>
          <w:p w14:paraId="10AC0F23">
            <w:pPr>
              <w:pStyle w:val="179"/>
              <w:spacing w:line="306" w:lineRule="auto"/>
              <w:rPr>
                <w:color w:val="auto"/>
                <w:highlight w:val="none"/>
              </w:rPr>
            </w:pPr>
          </w:p>
          <w:p w14:paraId="0B042A94">
            <w:pPr>
              <w:spacing w:before="65" w:line="270" w:lineRule="exact"/>
              <w:ind w:left="180"/>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1</w:t>
            </w:r>
          </w:p>
        </w:tc>
        <w:tc>
          <w:tcPr>
            <w:tcW w:w="481" w:type="dxa"/>
            <w:textDirection w:val="tbRlV"/>
            <w:vAlign w:val="top"/>
          </w:tcPr>
          <w:p w14:paraId="6953482E">
            <w:pPr>
              <w:spacing w:before="134" w:line="207" w:lineRule="auto"/>
              <w:ind w:left="55"/>
              <w:rPr>
                <w:rFonts w:ascii="宋体" w:hAnsi="宋体" w:eastAsia="宋体" w:cs="宋体"/>
                <w:color w:val="auto"/>
                <w:sz w:val="20"/>
                <w:szCs w:val="20"/>
                <w:highlight w:val="none"/>
              </w:rPr>
            </w:pPr>
            <w:r>
              <w:rPr>
                <w:rFonts w:ascii="宋体" w:hAnsi="宋体" w:eastAsia="宋体" w:cs="宋体"/>
                <w:color w:val="auto"/>
                <w:spacing w:val="6"/>
                <w:position w:val="1"/>
                <w:sz w:val="20"/>
                <w:szCs w:val="20"/>
                <w:highlight w:val="none"/>
              </w:rPr>
              <w:t xml:space="preserve">自 </w:t>
            </w:r>
            <w:r>
              <w:rPr>
                <w:rFonts w:ascii="宋体" w:hAnsi="宋体" w:eastAsia="宋体" w:cs="宋体"/>
                <w:color w:val="auto"/>
                <w:spacing w:val="6"/>
                <w:sz w:val="20"/>
                <w:szCs w:val="20"/>
                <w:highlight w:val="none"/>
              </w:rPr>
              <w:t>治 区 转 移</w:t>
            </w:r>
          </w:p>
        </w:tc>
        <w:tc>
          <w:tcPr>
            <w:tcW w:w="527" w:type="dxa"/>
            <w:vAlign w:val="top"/>
          </w:tcPr>
          <w:p w14:paraId="741E933C">
            <w:pPr>
              <w:pStyle w:val="179"/>
              <w:spacing w:line="305" w:lineRule="auto"/>
              <w:rPr>
                <w:color w:val="auto"/>
                <w:highlight w:val="none"/>
              </w:rPr>
            </w:pPr>
          </w:p>
          <w:p w14:paraId="6CB55069">
            <w:pPr>
              <w:pStyle w:val="179"/>
              <w:spacing w:line="306" w:lineRule="auto"/>
              <w:rPr>
                <w:color w:val="auto"/>
                <w:highlight w:val="none"/>
              </w:rPr>
            </w:pPr>
          </w:p>
          <w:p w14:paraId="29F641AE">
            <w:pPr>
              <w:spacing w:before="65" w:line="269" w:lineRule="exact"/>
              <w:ind w:left="163"/>
              <w:rPr>
                <w:rFonts w:hint="default" w:ascii="宋体" w:hAnsi="宋体" w:eastAsia="宋体" w:cs="宋体"/>
                <w:color w:val="auto"/>
                <w:sz w:val="20"/>
                <w:szCs w:val="20"/>
                <w:highlight w:val="none"/>
                <w:lang w:val="en-US" w:eastAsia="zh-CN"/>
              </w:rPr>
            </w:pPr>
            <w:r>
              <w:rPr>
                <w:rFonts w:hint="eastAsia" w:ascii="宋体" w:hAnsi="宋体" w:eastAsia="宋体" w:cs="宋体"/>
                <w:color w:val="auto"/>
                <w:position w:val="1"/>
                <w:sz w:val="20"/>
                <w:szCs w:val="20"/>
                <w:highlight w:val="none"/>
                <w:lang w:val="en-US" w:eastAsia="zh-CN"/>
              </w:rPr>
              <w:t>97</w:t>
            </w:r>
          </w:p>
        </w:tc>
        <w:tc>
          <w:tcPr>
            <w:tcW w:w="466" w:type="dxa"/>
            <w:vAlign w:val="top"/>
          </w:tcPr>
          <w:p w14:paraId="22BF8740">
            <w:pPr>
              <w:pStyle w:val="179"/>
              <w:spacing w:line="305" w:lineRule="auto"/>
              <w:rPr>
                <w:color w:val="auto"/>
                <w:highlight w:val="none"/>
              </w:rPr>
            </w:pPr>
          </w:p>
          <w:p w14:paraId="662B5338">
            <w:pPr>
              <w:pStyle w:val="179"/>
              <w:spacing w:line="306" w:lineRule="auto"/>
              <w:rPr>
                <w:color w:val="auto"/>
                <w:highlight w:val="none"/>
              </w:rPr>
            </w:pPr>
          </w:p>
          <w:p w14:paraId="79FD8038">
            <w:pPr>
              <w:spacing w:before="65" w:line="269" w:lineRule="exact"/>
              <w:ind w:left="187"/>
              <w:rPr>
                <w:rFonts w:hint="default" w:ascii="宋体" w:hAnsi="宋体" w:eastAsia="宋体" w:cs="宋体"/>
                <w:color w:val="auto"/>
                <w:sz w:val="20"/>
                <w:szCs w:val="20"/>
                <w:highlight w:val="none"/>
                <w:lang w:val="en-US" w:eastAsia="zh-CN"/>
              </w:rPr>
            </w:pPr>
            <w:r>
              <w:rPr>
                <w:rFonts w:hint="eastAsia" w:ascii="宋体" w:hAnsi="宋体" w:eastAsia="宋体" w:cs="宋体"/>
                <w:color w:val="auto"/>
                <w:position w:val="1"/>
                <w:sz w:val="20"/>
                <w:szCs w:val="20"/>
                <w:highlight w:val="none"/>
                <w:lang w:val="en-US" w:eastAsia="zh-CN"/>
              </w:rPr>
              <w:t>57</w:t>
            </w:r>
          </w:p>
        </w:tc>
        <w:tc>
          <w:tcPr>
            <w:tcW w:w="552" w:type="dxa"/>
            <w:vAlign w:val="top"/>
          </w:tcPr>
          <w:p w14:paraId="710DBDD6">
            <w:pPr>
              <w:pStyle w:val="179"/>
              <w:spacing w:line="305" w:lineRule="auto"/>
              <w:rPr>
                <w:color w:val="auto"/>
                <w:highlight w:val="none"/>
              </w:rPr>
            </w:pPr>
          </w:p>
          <w:p w14:paraId="743AC151">
            <w:pPr>
              <w:pStyle w:val="179"/>
              <w:spacing w:line="306" w:lineRule="auto"/>
              <w:rPr>
                <w:color w:val="auto"/>
                <w:highlight w:val="none"/>
              </w:rPr>
            </w:pPr>
          </w:p>
          <w:p w14:paraId="2F25CAB9">
            <w:pPr>
              <w:spacing w:before="65" w:line="269" w:lineRule="exact"/>
              <w:ind w:left="180"/>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2"/>
                <w:position w:val="1"/>
                <w:sz w:val="20"/>
                <w:szCs w:val="20"/>
                <w:highlight w:val="none"/>
                <w:lang w:val="en-US" w:eastAsia="zh-CN"/>
              </w:rPr>
              <w:t>10</w:t>
            </w:r>
          </w:p>
        </w:tc>
        <w:tc>
          <w:tcPr>
            <w:tcW w:w="599" w:type="dxa"/>
            <w:vAlign w:val="top"/>
          </w:tcPr>
          <w:p w14:paraId="01A5CBAA">
            <w:pPr>
              <w:pStyle w:val="179"/>
              <w:spacing w:line="305" w:lineRule="auto"/>
              <w:rPr>
                <w:color w:val="auto"/>
                <w:highlight w:val="none"/>
              </w:rPr>
            </w:pPr>
          </w:p>
          <w:p w14:paraId="4C6443BF">
            <w:pPr>
              <w:pStyle w:val="179"/>
              <w:spacing w:line="306" w:lineRule="auto"/>
              <w:rPr>
                <w:color w:val="auto"/>
                <w:highlight w:val="none"/>
              </w:rPr>
            </w:pPr>
          </w:p>
          <w:p w14:paraId="352A4390">
            <w:pPr>
              <w:spacing w:before="65" w:line="269" w:lineRule="exact"/>
              <w:ind w:left="149"/>
              <w:rPr>
                <w:rFonts w:hint="default" w:ascii="宋体" w:hAnsi="宋体" w:eastAsia="宋体" w:cs="宋体"/>
                <w:color w:val="auto"/>
                <w:sz w:val="20"/>
                <w:szCs w:val="20"/>
                <w:highlight w:val="none"/>
                <w:lang w:val="en-US" w:eastAsia="zh-CN"/>
              </w:rPr>
            </w:pPr>
            <w:r>
              <w:rPr>
                <w:rFonts w:ascii="宋体" w:hAnsi="宋体" w:eastAsia="宋体" w:cs="宋体"/>
                <w:color w:val="auto"/>
                <w:spacing w:val="1"/>
                <w:position w:val="1"/>
                <w:sz w:val="20"/>
                <w:szCs w:val="20"/>
                <w:highlight w:val="none"/>
              </w:rPr>
              <w:t>2</w:t>
            </w:r>
            <w:r>
              <w:rPr>
                <w:rFonts w:hint="eastAsia" w:ascii="宋体" w:hAnsi="宋体" w:eastAsia="宋体" w:cs="宋体"/>
                <w:color w:val="auto"/>
                <w:spacing w:val="1"/>
                <w:position w:val="1"/>
                <w:sz w:val="20"/>
                <w:szCs w:val="20"/>
                <w:highlight w:val="none"/>
                <w:lang w:val="en-US" w:eastAsia="zh-CN"/>
              </w:rPr>
              <w:t>60</w:t>
            </w:r>
          </w:p>
        </w:tc>
        <w:tc>
          <w:tcPr>
            <w:tcW w:w="601" w:type="dxa"/>
            <w:vAlign w:val="top"/>
          </w:tcPr>
          <w:p w14:paraId="566A9DE6">
            <w:pPr>
              <w:pStyle w:val="179"/>
              <w:spacing w:line="305" w:lineRule="auto"/>
              <w:rPr>
                <w:color w:val="auto"/>
                <w:highlight w:val="none"/>
              </w:rPr>
            </w:pPr>
          </w:p>
          <w:p w14:paraId="6A611399">
            <w:pPr>
              <w:pStyle w:val="179"/>
              <w:spacing w:line="306" w:lineRule="auto"/>
              <w:rPr>
                <w:color w:val="auto"/>
                <w:highlight w:val="none"/>
              </w:rPr>
            </w:pPr>
          </w:p>
          <w:p w14:paraId="24064634">
            <w:pPr>
              <w:spacing w:before="65" w:line="233" w:lineRule="auto"/>
              <w:ind w:left="249"/>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637" w:type="dxa"/>
            <w:vAlign w:val="top"/>
          </w:tcPr>
          <w:p w14:paraId="252883B1">
            <w:pPr>
              <w:pStyle w:val="179"/>
              <w:spacing w:line="305" w:lineRule="auto"/>
              <w:rPr>
                <w:color w:val="auto"/>
                <w:highlight w:val="none"/>
              </w:rPr>
            </w:pPr>
          </w:p>
          <w:p w14:paraId="40F6C809">
            <w:pPr>
              <w:pStyle w:val="179"/>
              <w:spacing w:line="306" w:lineRule="auto"/>
              <w:rPr>
                <w:color w:val="auto"/>
                <w:highlight w:val="none"/>
              </w:rPr>
            </w:pPr>
          </w:p>
          <w:p w14:paraId="513D435F">
            <w:pPr>
              <w:spacing w:before="65" w:line="233" w:lineRule="auto"/>
              <w:ind w:left="268"/>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623" w:type="dxa"/>
            <w:vAlign w:val="top"/>
          </w:tcPr>
          <w:p w14:paraId="4D9B4C4E">
            <w:pPr>
              <w:pStyle w:val="179"/>
              <w:spacing w:line="305" w:lineRule="auto"/>
              <w:rPr>
                <w:color w:val="auto"/>
                <w:highlight w:val="none"/>
              </w:rPr>
            </w:pPr>
          </w:p>
          <w:p w14:paraId="4A10130F">
            <w:pPr>
              <w:pStyle w:val="179"/>
              <w:spacing w:line="306" w:lineRule="auto"/>
              <w:rPr>
                <w:color w:val="auto"/>
                <w:highlight w:val="none"/>
              </w:rPr>
            </w:pPr>
          </w:p>
          <w:p w14:paraId="52B297DC">
            <w:pPr>
              <w:spacing w:before="65" w:line="269" w:lineRule="exact"/>
              <w:ind w:left="156"/>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2"/>
                <w:position w:val="1"/>
                <w:sz w:val="20"/>
                <w:szCs w:val="20"/>
                <w:highlight w:val="none"/>
                <w:lang w:val="en-US" w:eastAsia="zh-CN"/>
              </w:rPr>
              <w:t>451</w:t>
            </w:r>
          </w:p>
        </w:tc>
        <w:tc>
          <w:tcPr>
            <w:tcW w:w="1113" w:type="dxa"/>
            <w:vAlign w:val="top"/>
          </w:tcPr>
          <w:p w14:paraId="7B2C9009">
            <w:pPr>
              <w:pStyle w:val="179"/>
              <w:spacing w:line="241" w:lineRule="auto"/>
              <w:rPr>
                <w:color w:val="auto"/>
                <w:highlight w:val="none"/>
              </w:rPr>
            </w:pPr>
          </w:p>
          <w:p w14:paraId="13DE8564">
            <w:pPr>
              <w:spacing w:before="65" w:line="289" w:lineRule="auto"/>
              <w:ind w:left="110" w:right="103"/>
              <w:jc w:val="both"/>
              <w:rPr>
                <w:rFonts w:ascii="宋体" w:hAnsi="宋体" w:eastAsia="宋体" w:cs="宋体"/>
                <w:color w:val="auto"/>
                <w:sz w:val="20"/>
                <w:szCs w:val="20"/>
                <w:highlight w:val="none"/>
              </w:rPr>
            </w:pPr>
            <w:r>
              <w:rPr>
                <w:rFonts w:ascii="宋体" w:hAnsi="宋体" w:eastAsia="宋体" w:cs="宋体"/>
                <w:color w:val="auto"/>
                <w:spacing w:val="23"/>
                <w:sz w:val="20"/>
                <w:szCs w:val="20"/>
                <w:highlight w:val="none"/>
              </w:rPr>
              <w:t>包含普通食品和食</w:t>
            </w:r>
            <w:r>
              <w:rPr>
                <w:rFonts w:ascii="宋体" w:hAnsi="宋体" w:eastAsia="宋体" w:cs="宋体"/>
                <w:color w:val="auto"/>
                <w:spacing w:val="7"/>
                <w:sz w:val="20"/>
                <w:szCs w:val="20"/>
                <w:highlight w:val="none"/>
              </w:rPr>
              <w:t>用农产品</w:t>
            </w:r>
          </w:p>
        </w:tc>
        <w:tc>
          <w:tcPr>
            <w:tcW w:w="280" w:type="dxa"/>
            <w:vMerge w:val="continue"/>
            <w:tcBorders>
              <w:top w:val="nil"/>
              <w:bottom w:val="nil"/>
            </w:tcBorders>
            <w:vAlign w:val="top"/>
          </w:tcPr>
          <w:p w14:paraId="100B91C8">
            <w:pPr>
              <w:pStyle w:val="179"/>
              <w:rPr>
                <w:color w:val="auto"/>
                <w:highlight w:val="none"/>
              </w:rPr>
            </w:pPr>
          </w:p>
        </w:tc>
      </w:tr>
      <w:tr w14:paraId="0DE93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650" w:type="dxa"/>
            <w:vMerge w:val="continue"/>
            <w:vAlign w:val="top"/>
          </w:tcPr>
          <w:p w14:paraId="33D2DBDC">
            <w:pPr>
              <w:pStyle w:val="179"/>
              <w:rPr>
                <w:color w:val="auto"/>
                <w:highlight w:val="none"/>
              </w:rPr>
            </w:pPr>
          </w:p>
        </w:tc>
        <w:tc>
          <w:tcPr>
            <w:tcW w:w="869" w:type="dxa"/>
            <w:vMerge w:val="continue"/>
            <w:vAlign w:val="top"/>
          </w:tcPr>
          <w:p w14:paraId="316D8175">
            <w:pPr>
              <w:pStyle w:val="179"/>
              <w:rPr>
                <w:color w:val="auto"/>
                <w:highlight w:val="none"/>
              </w:rPr>
            </w:pPr>
          </w:p>
        </w:tc>
        <w:tc>
          <w:tcPr>
            <w:tcW w:w="657" w:type="dxa"/>
            <w:vMerge w:val="continue"/>
            <w:vAlign w:val="top"/>
          </w:tcPr>
          <w:p w14:paraId="3D203D45">
            <w:pPr>
              <w:pStyle w:val="179"/>
              <w:rPr>
                <w:color w:val="auto"/>
                <w:highlight w:val="none"/>
              </w:rPr>
            </w:pPr>
          </w:p>
        </w:tc>
        <w:tc>
          <w:tcPr>
            <w:tcW w:w="676" w:type="dxa"/>
            <w:vMerge w:val="continue"/>
            <w:vAlign w:val="top"/>
          </w:tcPr>
          <w:p w14:paraId="39EF1E66">
            <w:pPr>
              <w:pStyle w:val="179"/>
              <w:rPr>
                <w:color w:val="auto"/>
                <w:highlight w:val="none"/>
              </w:rPr>
            </w:pPr>
          </w:p>
        </w:tc>
        <w:tc>
          <w:tcPr>
            <w:tcW w:w="108" w:type="dxa"/>
            <w:tcBorders>
              <w:top w:val="nil"/>
              <w:bottom w:val="nil"/>
            </w:tcBorders>
            <w:vAlign w:val="top"/>
          </w:tcPr>
          <w:p w14:paraId="6E42A5E0">
            <w:pPr>
              <w:pStyle w:val="179"/>
              <w:rPr>
                <w:color w:val="auto"/>
                <w:highlight w:val="none"/>
              </w:rPr>
            </w:pPr>
          </w:p>
        </w:tc>
        <w:tc>
          <w:tcPr>
            <w:tcW w:w="426" w:type="dxa"/>
            <w:vAlign w:val="top"/>
          </w:tcPr>
          <w:p w14:paraId="262DE94A">
            <w:pPr>
              <w:pStyle w:val="179"/>
              <w:spacing w:line="301" w:lineRule="auto"/>
              <w:rPr>
                <w:color w:val="auto"/>
                <w:highlight w:val="none"/>
              </w:rPr>
            </w:pPr>
          </w:p>
          <w:p w14:paraId="3F95A3A3">
            <w:pPr>
              <w:spacing w:before="65" w:line="271" w:lineRule="exact"/>
              <w:ind w:left="167"/>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2</w:t>
            </w:r>
          </w:p>
        </w:tc>
        <w:tc>
          <w:tcPr>
            <w:tcW w:w="481" w:type="dxa"/>
            <w:textDirection w:val="tbRlV"/>
            <w:vAlign w:val="top"/>
          </w:tcPr>
          <w:p w14:paraId="3AB0DB09">
            <w:pPr>
              <w:spacing w:before="135" w:line="214" w:lineRule="auto"/>
              <w:ind w:left="5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市 本 级</w:t>
            </w:r>
          </w:p>
        </w:tc>
        <w:tc>
          <w:tcPr>
            <w:tcW w:w="527" w:type="dxa"/>
            <w:vAlign w:val="top"/>
          </w:tcPr>
          <w:p w14:paraId="0F8B5081">
            <w:pPr>
              <w:pStyle w:val="179"/>
              <w:spacing w:line="302" w:lineRule="auto"/>
              <w:rPr>
                <w:color w:val="auto"/>
                <w:highlight w:val="none"/>
              </w:rPr>
            </w:pPr>
          </w:p>
          <w:p w14:paraId="56771876">
            <w:pPr>
              <w:spacing w:before="65" w:line="233" w:lineRule="auto"/>
              <w:ind w:left="214"/>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466" w:type="dxa"/>
            <w:vAlign w:val="top"/>
          </w:tcPr>
          <w:p w14:paraId="78B63AAD">
            <w:pPr>
              <w:pStyle w:val="179"/>
              <w:spacing w:line="302" w:lineRule="auto"/>
              <w:rPr>
                <w:color w:val="auto"/>
                <w:highlight w:val="none"/>
              </w:rPr>
            </w:pPr>
          </w:p>
          <w:p w14:paraId="7F0AD590">
            <w:pPr>
              <w:spacing w:before="65" w:line="233" w:lineRule="auto"/>
              <w:ind w:left="184"/>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552" w:type="dxa"/>
            <w:vAlign w:val="top"/>
          </w:tcPr>
          <w:p w14:paraId="506221DE">
            <w:pPr>
              <w:pStyle w:val="179"/>
              <w:spacing w:line="302" w:lineRule="auto"/>
              <w:rPr>
                <w:color w:val="auto"/>
                <w:highlight w:val="none"/>
              </w:rPr>
            </w:pPr>
          </w:p>
          <w:p w14:paraId="4201B25E">
            <w:pPr>
              <w:spacing w:before="65" w:line="233" w:lineRule="auto"/>
              <w:ind w:left="227"/>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599" w:type="dxa"/>
            <w:vAlign w:val="top"/>
          </w:tcPr>
          <w:p w14:paraId="0BFA5941">
            <w:pPr>
              <w:pStyle w:val="179"/>
              <w:spacing w:line="302" w:lineRule="auto"/>
              <w:rPr>
                <w:color w:val="auto"/>
                <w:highlight w:val="none"/>
              </w:rPr>
            </w:pPr>
          </w:p>
          <w:p w14:paraId="3BD0DC8F">
            <w:pPr>
              <w:spacing w:before="65" w:line="233" w:lineRule="auto"/>
              <w:ind w:left="248"/>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601" w:type="dxa"/>
            <w:vAlign w:val="top"/>
          </w:tcPr>
          <w:p w14:paraId="66A92365">
            <w:pPr>
              <w:pStyle w:val="179"/>
              <w:spacing w:line="301" w:lineRule="auto"/>
              <w:rPr>
                <w:color w:val="auto"/>
                <w:highlight w:val="none"/>
              </w:rPr>
            </w:pPr>
          </w:p>
          <w:p w14:paraId="1F62EDB6">
            <w:pPr>
              <w:spacing w:before="65" w:line="269" w:lineRule="exact"/>
              <w:ind w:left="202"/>
              <w:rPr>
                <w:rFonts w:ascii="宋体" w:hAnsi="宋体" w:eastAsia="宋体" w:cs="宋体"/>
                <w:color w:val="auto"/>
                <w:sz w:val="20"/>
                <w:szCs w:val="20"/>
                <w:highlight w:val="none"/>
              </w:rPr>
            </w:pPr>
          </w:p>
        </w:tc>
        <w:tc>
          <w:tcPr>
            <w:tcW w:w="637" w:type="dxa"/>
            <w:vAlign w:val="top"/>
          </w:tcPr>
          <w:p w14:paraId="1AB393D9">
            <w:pPr>
              <w:pStyle w:val="179"/>
              <w:spacing w:line="301" w:lineRule="auto"/>
              <w:rPr>
                <w:color w:val="auto"/>
                <w:highlight w:val="none"/>
              </w:rPr>
            </w:pPr>
          </w:p>
          <w:p w14:paraId="775799E6">
            <w:pPr>
              <w:spacing w:before="65" w:line="269" w:lineRule="exact"/>
              <w:ind w:left="168"/>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1"/>
                <w:position w:val="1"/>
                <w:sz w:val="20"/>
                <w:szCs w:val="20"/>
                <w:highlight w:val="none"/>
                <w:lang w:val="en-US" w:eastAsia="zh-CN"/>
              </w:rPr>
              <w:t>301</w:t>
            </w:r>
          </w:p>
        </w:tc>
        <w:tc>
          <w:tcPr>
            <w:tcW w:w="623" w:type="dxa"/>
            <w:vAlign w:val="top"/>
          </w:tcPr>
          <w:p w14:paraId="155A0C50">
            <w:pPr>
              <w:pStyle w:val="179"/>
              <w:spacing w:line="301" w:lineRule="auto"/>
              <w:rPr>
                <w:color w:val="auto"/>
                <w:highlight w:val="none"/>
              </w:rPr>
            </w:pPr>
          </w:p>
          <w:p w14:paraId="648D1847">
            <w:pPr>
              <w:spacing w:before="65" w:line="269" w:lineRule="exact"/>
              <w:ind w:left="161"/>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1"/>
                <w:position w:val="1"/>
                <w:sz w:val="20"/>
                <w:szCs w:val="20"/>
                <w:highlight w:val="none"/>
                <w:lang w:val="en-US" w:eastAsia="zh-CN"/>
              </w:rPr>
              <w:t>301</w:t>
            </w:r>
          </w:p>
        </w:tc>
        <w:tc>
          <w:tcPr>
            <w:tcW w:w="1113" w:type="dxa"/>
            <w:vAlign w:val="top"/>
          </w:tcPr>
          <w:p w14:paraId="30F00989">
            <w:pPr>
              <w:spacing w:before="56" w:line="228" w:lineRule="auto"/>
              <w:ind w:left="110"/>
              <w:rPr>
                <w:rFonts w:ascii="宋体" w:hAnsi="宋体" w:eastAsia="宋体" w:cs="宋体"/>
                <w:color w:val="auto"/>
                <w:sz w:val="20"/>
                <w:szCs w:val="20"/>
                <w:highlight w:val="none"/>
              </w:rPr>
            </w:pPr>
            <w:r>
              <w:rPr>
                <w:rFonts w:ascii="宋体" w:hAnsi="宋体" w:eastAsia="宋体" w:cs="宋体"/>
                <w:color w:val="auto"/>
                <w:spacing w:val="23"/>
                <w:sz w:val="20"/>
                <w:szCs w:val="20"/>
                <w:highlight w:val="none"/>
              </w:rPr>
              <w:t>包含普通</w:t>
            </w:r>
          </w:p>
          <w:p w14:paraId="36FB248E">
            <w:pPr>
              <w:spacing w:before="64" w:line="229" w:lineRule="auto"/>
              <w:ind w:left="110"/>
              <w:rPr>
                <w:rFonts w:ascii="宋体" w:hAnsi="宋体" w:eastAsia="宋体" w:cs="宋体"/>
                <w:color w:val="auto"/>
                <w:sz w:val="20"/>
                <w:szCs w:val="20"/>
                <w:highlight w:val="none"/>
              </w:rPr>
            </w:pPr>
            <w:r>
              <w:rPr>
                <w:rFonts w:ascii="宋体" w:hAnsi="宋体" w:eastAsia="宋体" w:cs="宋体"/>
                <w:color w:val="auto"/>
                <w:spacing w:val="23"/>
                <w:sz w:val="20"/>
                <w:szCs w:val="20"/>
                <w:highlight w:val="none"/>
              </w:rPr>
              <w:t>食品和食</w:t>
            </w:r>
          </w:p>
          <w:p w14:paraId="70375E53">
            <w:pPr>
              <w:spacing w:before="64" w:line="228" w:lineRule="auto"/>
              <w:ind w:left="112"/>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用农产品</w:t>
            </w:r>
          </w:p>
        </w:tc>
        <w:tc>
          <w:tcPr>
            <w:tcW w:w="280" w:type="dxa"/>
            <w:vMerge w:val="continue"/>
            <w:tcBorders>
              <w:top w:val="nil"/>
              <w:bottom w:val="nil"/>
            </w:tcBorders>
            <w:vAlign w:val="top"/>
          </w:tcPr>
          <w:p w14:paraId="26A980A9">
            <w:pPr>
              <w:pStyle w:val="179"/>
              <w:rPr>
                <w:color w:val="auto"/>
                <w:highlight w:val="none"/>
              </w:rPr>
            </w:pPr>
          </w:p>
        </w:tc>
      </w:tr>
      <w:tr w14:paraId="4F022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650" w:type="dxa"/>
            <w:vMerge w:val="continue"/>
            <w:vAlign w:val="top"/>
          </w:tcPr>
          <w:p w14:paraId="51FF8EEA">
            <w:pPr>
              <w:pStyle w:val="179"/>
              <w:rPr>
                <w:color w:val="auto"/>
                <w:highlight w:val="none"/>
              </w:rPr>
            </w:pPr>
          </w:p>
        </w:tc>
        <w:tc>
          <w:tcPr>
            <w:tcW w:w="869" w:type="dxa"/>
            <w:vMerge w:val="continue"/>
            <w:vAlign w:val="top"/>
          </w:tcPr>
          <w:p w14:paraId="5EB73490">
            <w:pPr>
              <w:pStyle w:val="179"/>
              <w:rPr>
                <w:color w:val="auto"/>
                <w:highlight w:val="none"/>
              </w:rPr>
            </w:pPr>
          </w:p>
        </w:tc>
        <w:tc>
          <w:tcPr>
            <w:tcW w:w="657" w:type="dxa"/>
            <w:vMerge w:val="continue"/>
            <w:vAlign w:val="top"/>
          </w:tcPr>
          <w:p w14:paraId="16C1E537">
            <w:pPr>
              <w:pStyle w:val="179"/>
              <w:rPr>
                <w:color w:val="auto"/>
                <w:highlight w:val="none"/>
              </w:rPr>
            </w:pPr>
          </w:p>
        </w:tc>
        <w:tc>
          <w:tcPr>
            <w:tcW w:w="676" w:type="dxa"/>
            <w:vMerge w:val="continue"/>
            <w:vAlign w:val="top"/>
          </w:tcPr>
          <w:p w14:paraId="4D30111D">
            <w:pPr>
              <w:pStyle w:val="179"/>
              <w:rPr>
                <w:color w:val="auto"/>
                <w:highlight w:val="none"/>
              </w:rPr>
            </w:pPr>
          </w:p>
        </w:tc>
        <w:tc>
          <w:tcPr>
            <w:tcW w:w="108" w:type="dxa"/>
            <w:tcBorders>
              <w:top w:val="nil"/>
            </w:tcBorders>
            <w:vAlign w:val="top"/>
          </w:tcPr>
          <w:p w14:paraId="7F703AB5">
            <w:pPr>
              <w:pStyle w:val="179"/>
              <w:rPr>
                <w:color w:val="auto"/>
                <w:highlight w:val="none"/>
              </w:rPr>
            </w:pPr>
          </w:p>
        </w:tc>
        <w:tc>
          <w:tcPr>
            <w:tcW w:w="907" w:type="dxa"/>
            <w:gridSpan w:val="2"/>
            <w:vAlign w:val="center"/>
          </w:tcPr>
          <w:p w14:paraId="14D616BA">
            <w:pPr>
              <w:spacing w:before="135" w:line="214" w:lineRule="auto"/>
              <w:ind w:left="56"/>
              <w:jc w:val="center"/>
              <w:rPr>
                <w:rFonts w:hint="eastAsia" w:ascii="宋体" w:hAnsi="宋体" w:eastAsia="宋体" w:cs="宋体"/>
                <w:color w:val="auto"/>
                <w:spacing w:val="6"/>
                <w:sz w:val="20"/>
                <w:szCs w:val="20"/>
                <w:highlight w:val="none"/>
                <w:lang w:val="en-US" w:eastAsia="zh-CN"/>
              </w:rPr>
            </w:pPr>
            <w:r>
              <w:rPr>
                <w:rFonts w:hint="eastAsia" w:ascii="宋体" w:hAnsi="宋体" w:cs="宋体"/>
                <w:color w:val="auto"/>
                <w:spacing w:val="6"/>
                <w:sz w:val="20"/>
                <w:szCs w:val="20"/>
                <w:highlight w:val="none"/>
                <w:lang w:val="en-US" w:eastAsia="zh-CN"/>
              </w:rPr>
              <w:t>小计</w:t>
            </w:r>
          </w:p>
        </w:tc>
        <w:tc>
          <w:tcPr>
            <w:tcW w:w="527" w:type="dxa"/>
            <w:vAlign w:val="top"/>
          </w:tcPr>
          <w:p w14:paraId="752149C1">
            <w:pPr>
              <w:pStyle w:val="179"/>
              <w:spacing w:line="249" w:lineRule="auto"/>
              <w:rPr>
                <w:color w:val="auto"/>
                <w:highlight w:val="none"/>
              </w:rPr>
            </w:pPr>
          </w:p>
          <w:p w14:paraId="05E4E5B7">
            <w:pPr>
              <w:spacing w:before="65" w:line="269" w:lineRule="exact"/>
              <w:ind w:left="164" w:leftChars="0"/>
              <w:rPr>
                <w:rFonts w:ascii="宋体" w:hAnsi="宋体" w:eastAsia="宋体" w:cs="宋体"/>
                <w:color w:val="auto"/>
                <w:sz w:val="20"/>
                <w:szCs w:val="20"/>
                <w:highlight w:val="none"/>
              </w:rPr>
            </w:pPr>
            <w:r>
              <w:rPr>
                <w:rFonts w:hint="eastAsia" w:ascii="宋体" w:hAnsi="宋体" w:eastAsia="宋体" w:cs="宋体"/>
                <w:color w:val="auto"/>
                <w:position w:val="1"/>
                <w:sz w:val="20"/>
                <w:szCs w:val="20"/>
                <w:highlight w:val="none"/>
                <w:lang w:val="en-US" w:eastAsia="zh-CN"/>
              </w:rPr>
              <w:t>97</w:t>
            </w:r>
          </w:p>
        </w:tc>
        <w:tc>
          <w:tcPr>
            <w:tcW w:w="466" w:type="dxa"/>
            <w:vAlign w:val="top"/>
          </w:tcPr>
          <w:p w14:paraId="7F72F6ED">
            <w:pPr>
              <w:pStyle w:val="179"/>
              <w:spacing w:line="249" w:lineRule="auto"/>
              <w:rPr>
                <w:color w:val="auto"/>
                <w:highlight w:val="none"/>
              </w:rPr>
            </w:pPr>
          </w:p>
          <w:p w14:paraId="005CCE13">
            <w:pPr>
              <w:spacing w:before="65" w:line="269" w:lineRule="exact"/>
              <w:ind w:left="188" w:leftChars="0"/>
              <w:rPr>
                <w:rFonts w:ascii="宋体" w:hAnsi="宋体" w:eastAsia="宋体" w:cs="宋体"/>
                <w:color w:val="auto"/>
                <w:sz w:val="20"/>
                <w:szCs w:val="20"/>
                <w:highlight w:val="none"/>
              </w:rPr>
            </w:pPr>
            <w:r>
              <w:rPr>
                <w:rFonts w:hint="eastAsia" w:ascii="宋体" w:hAnsi="宋体" w:eastAsia="宋体" w:cs="宋体"/>
                <w:color w:val="auto"/>
                <w:position w:val="1"/>
                <w:sz w:val="20"/>
                <w:szCs w:val="20"/>
                <w:highlight w:val="none"/>
                <w:lang w:val="en-US" w:eastAsia="zh-CN"/>
              </w:rPr>
              <w:t>57</w:t>
            </w:r>
          </w:p>
        </w:tc>
        <w:tc>
          <w:tcPr>
            <w:tcW w:w="552" w:type="dxa"/>
            <w:vAlign w:val="top"/>
          </w:tcPr>
          <w:p w14:paraId="38FFE5F2">
            <w:pPr>
              <w:pStyle w:val="179"/>
              <w:spacing w:line="249" w:lineRule="auto"/>
              <w:rPr>
                <w:color w:val="auto"/>
                <w:highlight w:val="none"/>
              </w:rPr>
            </w:pPr>
          </w:p>
          <w:p w14:paraId="0D90DB61">
            <w:pPr>
              <w:spacing w:before="65" w:line="269" w:lineRule="exact"/>
              <w:ind w:left="181" w:leftChars="0"/>
              <w:rPr>
                <w:rFonts w:ascii="宋体" w:hAnsi="宋体" w:eastAsia="宋体" w:cs="宋体"/>
                <w:color w:val="auto"/>
                <w:sz w:val="20"/>
                <w:szCs w:val="20"/>
                <w:highlight w:val="none"/>
              </w:rPr>
            </w:pPr>
            <w:r>
              <w:rPr>
                <w:rFonts w:hint="eastAsia" w:ascii="宋体" w:hAnsi="宋体" w:eastAsia="宋体" w:cs="宋体"/>
                <w:color w:val="auto"/>
                <w:spacing w:val="-2"/>
                <w:position w:val="1"/>
                <w:sz w:val="20"/>
                <w:szCs w:val="20"/>
                <w:highlight w:val="none"/>
                <w:lang w:val="en-US" w:eastAsia="zh-CN"/>
              </w:rPr>
              <w:t>10</w:t>
            </w:r>
          </w:p>
        </w:tc>
        <w:tc>
          <w:tcPr>
            <w:tcW w:w="599" w:type="dxa"/>
            <w:vAlign w:val="top"/>
          </w:tcPr>
          <w:p w14:paraId="03E517BA">
            <w:pPr>
              <w:pStyle w:val="179"/>
              <w:spacing w:line="249" w:lineRule="auto"/>
              <w:rPr>
                <w:color w:val="auto"/>
                <w:highlight w:val="none"/>
              </w:rPr>
            </w:pPr>
          </w:p>
          <w:p w14:paraId="1998893C">
            <w:pPr>
              <w:spacing w:before="65" w:line="269" w:lineRule="exact"/>
              <w:ind w:left="150" w:leftChars="0"/>
              <w:rPr>
                <w:rFonts w:ascii="宋体" w:hAnsi="宋体" w:eastAsia="宋体" w:cs="宋体"/>
                <w:color w:val="auto"/>
                <w:sz w:val="20"/>
                <w:szCs w:val="20"/>
                <w:highlight w:val="none"/>
              </w:rPr>
            </w:pPr>
            <w:r>
              <w:rPr>
                <w:rFonts w:ascii="宋体" w:hAnsi="宋体" w:eastAsia="宋体" w:cs="宋体"/>
                <w:color w:val="auto"/>
                <w:spacing w:val="1"/>
                <w:position w:val="1"/>
                <w:sz w:val="20"/>
                <w:szCs w:val="20"/>
                <w:highlight w:val="none"/>
              </w:rPr>
              <w:t>2</w:t>
            </w:r>
            <w:r>
              <w:rPr>
                <w:rFonts w:hint="eastAsia" w:ascii="宋体" w:hAnsi="宋体" w:eastAsia="宋体" w:cs="宋体"/>
                <w:color w:val="auto"/>
                <w:spacing w:val="1"/>
                <w:position w:val="1"/>
                <w:sz w:val="20"/>
                <w:szCs w:val="20"/>
                <w:highlight w:val="none"/>
                <w:lang w:val="en-US" w:eastAsia="zh-CN"/>
              </w:rPr>
              <w:t>60</w:t>
            </w:r>
          </w:p>
        </w:tc>
        <w:tc>
          <w:tcPr>
            <w:tcW w:w="601" w:type="dxa"/>
            <w:vAlign w:val="top"/>
          </w:tcPr>
          <w:p w14:paraId="66FF69C9">
            <w:pPr>
              <w:pStyle w:val="179"/>
              <w:spacing w:line="249" w:lineRule="auto"/>
              <w:rPr>
                <w:color w:val="auto"/>
                <w:highlight w:val="none"/>
              </w:rPr>
            </w:pPr>
          </w:p>
          <w:p w14:paraId="387BBA02">
            <w:pPr>
              <w:spacing w:before="65" w:line="269" w:lineRule="exact"/>
              <w:ind w:left="203" w:leftChars="0"/>
              <w:rPr>
                <w:rFonts w:ascii="宋体" w:hAnsi="宋体" w:eastAsia="宋体" w:cs="宋体"/>
                <w:color w:val="auto"/>
                <w:sz w:val="20"/>
                <w:szCs w:val="20"/>
                <w:highlight w:val="none"/>
              </w:rPr>
            </w:pPr>
          </w:p>
        </w:tc>
        <w:tc>
          <w:tcPr>
            <w:tcW w:w="637" w:type="dxa"/>
            <w:vAlign w:val="top"/>
          </w:tcPr>
          <w:p w14:paraId="59226BD6">
            <w:pPr>
              <w:pStyle w:val="179"/>
              <w:spacing w:line="249" w:lineRule="auto"/>
              <w:rPr>
                <w:color w:val="auto"/>
                <w:highlight w:val="none"/>
              </w:rPr>
            </w:pPr>
          </w:p>
          <w:p w14:paraId="6995212D">
            <w:pPr>
              <w:spacing w:before="65" w:line="269" w:lineRule="exact"/>
              <w:ind w:left="169" w:leftChars="0"/>
              <w:rPr>
                <w:rFonts w:hint="eastAsia" w:ascii="宋体" w:hAnsi="宋体" w:eastAsia="宋体" w:cs="宋体"/>
                <w:color w:val="auto"/>
                <w:spacing w:val="1"/>
                <w:position w:val="1"/>
                <w:sz w:val="20"/>
                <w:szCs w:val="20"/>
                <w:highlight w:val="none"/>
                <w:lang w:val="en-US" w:eastAsia="zh-CN"/>
              </w:rPr>
            </w:pPr>
            <w:r>
              <w:rPr>
                <w:rFonts w:hint="eastAsia" w:ascii="宋体" w:hAnsi="宋体" w:eastAsia="宋体" w:cs="宋体"/>
                <w:color w:val="auto"/>
                <w:spacing w:val="1"/>
                <w:position w:val="1"/>
                <w:sz w:val="20"/>
                <w:szCs w:val="20"/>
                <w:highlight w:val="none"/>
                <w:lang w:val="en-US" w:eastAsia="zh-CN"/>
              </w:rPr>
              <w:t>301</w:t>
            </w:r>
          </w:p>
        </w:tc>
        <w:tc>
          <w:tcPr>
            <w:tcW w:w="623" w:type="dxa"/>
            <w:vAlign w:val="top"/>
          </w:tcPr>
          <w:p w14:paraId="10C4BBD7">
            <w:pPr>
              <w:pStyle w:val="179"/>
              <w:spacing w:line="249" w:lineRule="auto"/>
              <w:rPr>
                <w:color w:val="auto"/>
                <w:highlight w:val="none"/>
              </w:rPr>
            </w:pPr>
          </w:p>
          <w:p w14:paraId="45BB60D2">
            <w:pPr>
              <w:spacing w:before="65" w:line="269" w:lineRule="exact"/>
              <w:ind w:left="163" w:leftChars="0"/>
              <w:rPr>
                <w:rFonts w:hint="eastAsia" w:ascii="宋体" w:hAnsi="宋体" w:eastAsia="宋体" w:cs="宋体"/>
                <w:color w:val="auto"/>
                <w:spacing w:val="1"/>
                <w:position w:val="1"/>
                <w:sz w:val="20"/>
                <w:szCs w:val="20"/>
                <w:highlight w:val="none"/>
                <w:lang w:val="en-US" w:eastAsia="zh-CN"/>
              </w:rPr>
            </w:pPr>
            <w:r>
              <w:rPr>
                <w:rFonts w:ascii="宋体" w:hAnsi="宋体" w:eastAsia="宋体" w:cs="宋体"/>
                <w:color w:val="auto"/>
                <w:position w:val="1"/>
                <w:sz w:val="20"/>
                <w:szCs w:val="20"/>
                <w:highlight w:val="none"/>
              </w:rPr>
              <w:t>7</w:t>
            </w:r>
            <w:r>
              <w:rPr>
                <w:rFonts w:hint="eastAsia" w:ascii="宋体" w:hAnsi="宋体" w:eastAsia="宋体" w:cs="宋体"/>
                <w:color w:val="auto"/>
                <w:position w:val="1"/>
                <w:sz w:val="20"/>
                <w:szCs w:val="20"/>
                <w:highlight w:val="none"/>
                <w:lang w:val="en-US" w:eastAsia="zh-CN"/>
              </w:rPr>
              <w:t>52</w:t>
            </w:r>
          </w:p>
        </w:tc>
        <w:tc>
          <w:tcPr>
            <w:tcW w:w="1113" w:type="dxa"/>
            <w:vAlign w:val="top"/>
          </w:tcPr>
          <w:p w14:paraId="1F4E8581">
            <w:pPr>
              <w:spacing w:before="64" w:line="228" w:lineRule="auto"/>
              <w:ind w:left="112"/>
              <w:rPr>
                <w:rFonts w:ascii="宋体" w:hAnsi="宋体" w:eastAsia="宋体" w:cs="宋体"/>
                <w:color w:val="auto"/>
                <w:spacing w:val="6"/>
                <w:sz w:val="20"/>
                <w:szCs w:val="20"/>
                <w:highlight w:val="none"/>
              </w:rPr>
            </w:pPr>
          </w:p>
        </w:tc>
        <w:tc>
          <w:tcPr>
            <w:tcW w:w="280" w:type="dxa"/>
            <w:tcBorders>
              <w:top w:val="nil"/>
            </w:tcBorders>
            <w:vAlign w:val="top"/>
          </w:tcPr>
          <w:p w14:paraId="06D20654">
            <w:pPr>
              <w:pStyle w:val="179"/>
              <w:rPr>
                <w:color w:val="auto"/>
                <w:highlight w:val="none"/>
              </w:rPr>
            </w:pPr>
          </w:p>
        </w:tc>
      </w:tr>
    </w:tbl>
    <w:p w14:paraId="492F0807">
      <w:pPr>
        <w:rPr>
          <w:rFonts w:ascii="Arial"/>
          <w:color w:val="auto"/>
          <w:sz w:val="21"/>
          <w:highlight w:val="none"/>
        </w:rPr>
      </w:pPr>
    </w:p>
    <w:p w14:paraId="5A2A5769">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40A8E6E0">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869"/>
        <w:gridCol w:w="657"/>
        <w:gridCol w:w="676"/>
        <w:gridCol w:w="6413"/>
      </w:tblGrid>
      <w:tr w14:paraId="784CC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2963" w:hRule="atLeast"/>
        </w:trPr>
        <w:tc>
          <w:tcPr>
            <w:tcW w:w="650" w:type="dxa"/>
            <w:tcBorders>
              <w:top w:val="nil"/>
            </w:tcBorders>
            <w:vAlign w:val="top"/>
          </w:tcPr>
          <w:p w14:paraId="335E0DE9">
            <w:pPr>
              <w:pStyle w:val="179"/>
              <w:rPr>
                <w:color w:val="auto"/>
                <w:highlight w:val="none"/>
              </w:rPr>
            </w:pPr>
          </w:p>
        </w:tc>
        <w:tc>
          <w:tcPr>
            <w:tcW w:w="869" w:type="dxa"/>
            <w:tcBorders>
              <w:top w:val="nil"/>
            </w:tcBorders>
            <w:vAlign w:val="top"/>
          </w:tcPr>
          <w:p w14:paraId="2BB5FE25">
            <w:pPr>
              <w:pStyle w:val="179"/>
              <w:rPr>
                <w:color w:val="auto"/>
                <w:highlight w:val="none"/>
              </w:rPr>
            </w:pPr>
          </w:p>
        </w:tc>
        <w:tc>
          <w:tcPr>
            <w:tcW w:w="657" w:type="dxa"/>
            <w:tcBorders>
              <w:top w:val="nil"/>
            </w:tcBorders>
            <w:vAlign w:val="top"/>
          </w:tcPr>
          <w:p w14:paraId="56A624C7">
            <w:pPr>
              <w:pStyle w:val="179"/>
              <w:rPr>
                <w:color w:val="auto"/>
                <w:highlight w:val="none"/>
              </w:rPr>
            </w:pPr>
          </w:p>
        </w:tc>
        <w:tc>
          <w:tcPr>
            <w:tcW w:w="676" w:type="dxa"/>
            <w:tcBorders>
              <w:top w:val="nil"/>
            </w:tcBorders>
            <w:vAlign w:val="top"/>
          </w:tcPr>
          <w:p w14:paraId="79EDE770">
            <w:pPr>
              <w:pStyle w:val="179"/>
              <w:rPr>
                <w:color w:val="auto"/>
                <w:highlight w:val="none"/>
              </w:rPr>
            </w:pPr>
          </w:p>
        </w:tc>
        <w:tc>
          <w:tcPr>
            <w:tcW w:w="6413" w:type="dxa"/>
            <w:vAlign w:val="top"/>
          </w:tcPr>
          <w:p w14:paraId="1488182E">
            <w:pPr>
              <w:spacing w:before="120" w:line="228" w:lineRule="auto"/>
              <w:ind w:left="119"/>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（二）承检服务技术要求：</w:t>
            </w:r>
          </w:p>
          <w:p w14:paraId="4175803C">
            <w:pPr>
              <w:spacing w:before="114" w:line="332" w:lineRule="auto"/>
              <w:ind w:left="109" w:right="95"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1、在防城区范围内开展食品（含食用农产品，下同）抽检任务。具</w:t>
            </w:r>
            <w:r>
              <w:rPr>
                <w:rFonts w:ascii="宋体" w:hAnsi="宋体" w:eastAsia="宋体" w:cs="宋体"/>
                <w:color w:val="auto"/>
                <w:spacing w:val="5"/>
                <w:sz w:val="20"/>
                <w:szCs w:val="20"/>
                <w:highlight w:val="none"/>
              </w:rPr>
              <w:t>体需提供的抽检、监测品种及检验项目详见附件</w:t>
            </w:r>
            <w:r>
              <w:rPr>
                <w:rFonts w:ascii="宋体" w:hAnsi="宋体" w:eastAsia="宋体" w:cs="宋体"/>
                <w:color w:val="auto"/>
                <w:spacing w:val="-24"/>
                <w:sz w:val="20"/>
                <w:szCs w:val="20"/>
                <w:highlight w:val="none"/>
              </w:rPr>
              <w:t xml:space="preserve"> </w:t>
            </w:r>
            <w:r>
              <w:rPr>
                <w:rFonts w:ascii="宋体" w:hAnsi="宋体" w:eastAsia="宋体" w:cs="宋体"/>
                <w:color w:val="auto"/>
                <w:spacing w:val="5"/>
                <w:sz w:val="20"/>
                <w:szCs w:val="20"/>
                <w:highlight w:val="none"/>
              </w:rPr>
              <w:t>1《</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年自治区转</w:t>
            </w:r>
            <w:r>
              <w:rPr>
                <w:rFonts w:ascii="宋体" w:hAnsi="宋体" w:eastAsia="宋体" w:cs="宋体"/>
                <w:color w:val="auto"/>
                <w:spacing w:val="6"/>
                <w:sz w:val="20"/>
                <w:szCs w:val="20"/>
                <w:highlight w:val="none"/>
              </w:rPr>
              <w:t>移支付</w:t>
            </w:r>
            <w:r>
              <w:rPr>
                <w:rFonts w:hint="eastAsia" w:ascii="宋体" w:hAnsi="宋体" w:eastAsia="宋体" w:cs="宋体"/>
                <w:color w:val="auto"/>
                <w:spacing w:val="6"/>
                <w:sz w:val="20"/>
                <w:szCs w:val="20"/>
                <w:highlight w:val="none"/>
                <w:lang w:eastAsia="zh-CN"/>
              </w:rPr>
              <w:t>各市加工</w:t>
            </w:r>
            <w:r>
              <w:rPr>
                <w:rFonts w:ascii="宋体" w:hAnsi="宋体" w:eastAsia="宋体" w:cs="宋体"/>
                <w:color w:val="auto"/>
                <w:spacing w:val="7"/>
                <w:sz w:val="20"/>
                <w:szCs w:val="20"/>
                <w:highlight w:val="none"/>
              </w:rPr>
              <w:t>食品</w:t>
            </w:r>
            <w:r>
              <w:rPr>
                <w:rFonts w:hint="eastAsia" w:ascii="宋体" w:hAnsi="宋体" w:eastAsia="宋体" w:cs="宋体"/>
                <w:color w:val="auto"/>
                <w:spacing w:val="6"/>
                <w:sz w:val="20"/>
                <w:szCs w:val="20"/>
                <w:highlight w:val="none"/>
                <w:lang w:eastAsia="zh-CN"/>
              </w:rPr>
              <w:t>监督抽检</w:t>
            </w:r>
            <w:r>
              <w:rPr>
                <w:rFonts w:ascii="宋体" w:hAnsi="宋体" w:eastAsia="宋体" w:cs="宋体"/>
                <w:color w:val="auto"/>
                <w:spacing w:val="6"/>
                <w:sz w:val="20"/>
                <w:szCs w:val="20"/>
                <w:highlight w:val="none"/>
              </w:rPr>
              <w:t>品种及项目表》和附件</w:t>
            </w:r>
            <w:r>
              <w:rPr>
                <w:rFonts w:ascii="宋体" w:hAnsi="宋体" w:eastAsia="宋体" w:cs="宋体"/>
                <w:color w:val="auto"/>
                <w:spacing w:val="7"/>
                <w:sz w:val="20"/>
                <w:szCs w:val="20"/>
                <w:highlight w:val="none"/>
              </w:rPr>
              <w:t>2《202</w:t>
            </w:r>
            <w:r>
              <w:rPr>
                <w:rFonts w:hint="eastAsia" w:ascii="宋体" w:hAnsi="宋体" w:eastAsia="宋体" w:cs="宋体"/>
                <w:color w:val="auto"/>
                <w:spacing w:val="7"/>
                <w:sz w:val="20"/>
                <w:szCs w:val="20"/>
                <w:highlight w:val="none"/>
                <w:lang w:val="en-US" w:eastAsia="zh-CN"/>
              </w:rPr>
              <w:t>6</w:t>
            </w:r>
            <w:r>
              <w:rPr>
                <w:rFonts w:ascii="宋体" w:hAnsi="宋体" w:eastAsia="宋体" w:cs="宋体"/>
                <w:color w:val="auto"/>
                <w:spacing w:val="-23"/>
                <w:sz w:val="20"/>
                <w:szCs w:val="20"/>
                <w:highlight w:val="none"/>
              </w:rPr>
              <w:t xml:space="preserve"> </w:t>
            </w:r>
            <w:r>
              <w:rPr>
                <w:rFonts w:ascii="宋体" w:hAnsi="宋体" w:eastAsia="宋体" w:cs="宋体"/>
                <w:color w:val="auto"/>
                <w:spacing w:val="7"/>
                <w:sz w:val="20"/>
                <w:szCs w:val="20"/>
                <w:highlight w:val="none"/>
              </w:rPr>
              <w:t>年自治区转移支付</w:t>
            </w:r>
            <w:r>
              <w:rPr>
                <w:rFonts w:hint="eastAsia" w:ascii="宋体" w:hAnsi="宋体" w:eastAsia="宋体" w:cs="宋体"/>
                <w:color w:val="auto"/>
                <w:spacing w:val="7"/>
                <w:sz w:val="20"/>
                <w:szCs w:val="20"/>
                <w:highlight w:val="none"/>
                <w:lang w:eastAsia="zh-CN"/>
              </w:rPr>
              <w:t>各市</w:t>
            </w:r>
            <w:r>
              <w:rPr>
                <w:rFonts w:ascii="宋体" w:hAnsi="宋体" w:eastAsia="宋体" w:cs="宋体"/>
                <w:color w:val="auto"/>
                <w:spacing w:val="6"/>
                <w:sz w:val="20"/>
                <w:szCs w:val="20"/>
                <w:highlight w:val="none"/>
              </w:rPr>
              <w:t>食用农产品</w:t>
            </w:r>
            <w:r>
              <w:rPr>
                <w:rFonts w:ascii="宋体" w:hAnsi="宋体" w:eastAsia="宋体" w:cs="宋体"/>
                <w:color w:val="auto"/>
                <w:spacing w:val="7"/>
                <w:sz w:val="20"/>
                <w:szCs w:val="20"/>
                <w:highlight w:val="none"/>
              </w:rPr>
              <w:t>抽检品种及项目表》。</w:t>
            </w:r>
            <w:r>
              <w:rPr>
                <w:rFonts w:ascii="宋体" w:hAnsi="宋体" w:eastAsia="宋体" w:cs="宋体"/>
                <w:color w:val="auto"/>
                <w:spacing w:val="9"/>
                <w:sz w:val="20"/>
                <w:szCs w:val="20"/>
                <w:highlight w:val="none"/>
              </w:rPr>
              <w:t>同时在合同期内须按要求完成国家市场监督管理总局或自治区市场</w:t>
            </w:r>
            <w:r>
              <w:rPr>
                <w:rFonts w:ascii="宋体" w:hAnsi="宋体" w:eastAsia="宋体" w:cs="宋体"/>
                <w:color w:val="auto"/>
                <w:spacing w:val="6"/>
                <w:sz w:val="20"/>
                <w:szCs w:val="20"/>
                <w:highlight w:val="none"/>
              </w:rPr>
              <w:t>监督局安排的抽检工作，及防城港市市场监督管理局根据工作需要安</w:t>
            </w:r>
            <w:r>
              <w:rPr>
                <w:rFonts w:ascii="宋体" w:hAnsi="宋体" w:eastAsia="宋体" w:cs="宋体"/>
                <w:color w:val="auto"/>
                <w:spacing w:val="8"/>
                <w:sz w:val="20"/>
                <w:szCs w:val="20"/>
                <w:highlight w:val="none"/>
              </w:rPr>
              <w:t>排的食品、食用农产品检测工作。</w:t>
            </w:r>
          </w:p>
          <w:p w14:paraId="0706C8B7">
            <w:pPr>
              <w:spacing w:before="1" w:line="332" w:lineRule="auto"/>
              <w:ind w:left="111" w:right="1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2、抽样办法、检测方法及检验依据以《食品安全抽</w:t>
            </w:r>
            <w:r>
              <w:rPr>
                <w:rFonts w:ascii="宋体" w:hAnsi="宋体" w:eastAsia="宋体" w:cs="宋体"/>
                <w:color w:val="auto"/>
                <w:spacing w:val="5"/>
                <w:sz w:val="20"/>
                <w:szCs w:val="20"/>
                <w:highlight w:val="none"/>
              </w:rPr>
              <w:t>样检测管理办法》</w:t>
            </w:r>
            <w:r>
              <w:rPr>
                <w:rFonts w:ascii="宋体" w:hAnsi="宋体" w:eastAsia="宋体" w:cs="宋体"/>
                <w:color w:val="auto"/>
                <w:sz w:val="20"/>
                <w:szCs w:val="20"/>
                <w:highlight w:val="none"/>
              </w:rPr>
              <w:t xml:space="preserve"> </w:t>
            </w:r>
            <w:r>
              <w:rPr>
                <w:rFonts w:ascii="宋体" w:hAnsi="宋体" w:eastAsia="宋体" w:cs="宋体"/>
                <w:color w:val="auto"/>
                <w:spacing w:val="8"/>
                <w:sz w:val="20"/>
                <w:szCs w:val="20"/>
                <w:highlight w:val="none"/>
              </w:rPr>
              <w:t>（国家市场监督管理总局令第</w:t>
            </w:r>
            <w:r>
              <w:rPr>
                <w:rFonts w:ascii="宋体" w:hAnsi="宋体" w:eastAsia="宋体" w:cs="宋体"/>
                <w:color w:val="auto"/>
                <w:spacing w:val="-24"/>
                <w:sz w:val="20"/>
                <w:szCs w:val="20"/>
                <w:highlight w:val="none"/>
              </w:rPr>
              <w:t xml:space="preserve"> </w:t>
            </w:r>
            <w:r>
              <w:rPr>
                <w:rFonts w:ascii="宋体" w:hAnsi="宋体" w:eastAsia="宋体" w:cs="宋体"/>
                <w:color w:val="auto"/>
                <w:spacing w:val="8"/>
                <w:sz w:val="20"/>
                <w:szCs w:val="20"/>
                <w:highlight w:val="none"/>
              </w:rPr>
              <w:t>15</w:t>
            </w:r>
            <w:r>
              <w:rPr>
                <w:rFonts w:ascii="宋体" w:hAnsi="宋体" w:eastAsia="宋体" w:cs="宋体"/>
                <w:color w:val="auto"/>
                <w:spacing w:val="-33"/>
                <w:sz w:val="20"/>
                <w:szCs w:val="20"/>
                <w:highlight w:val="none"/>
              </w:rPr>
              <w:t xml:space="preserve"> </w:t>
            </w:r>
            <w:r>
              <w:rPr>
                <w:rFonts w:ascii="宋体" w:hAnsi="宋体" w:eastAsia="宋体" w:cs="宋体"/>
                <w:color w:val="auto"/>
                <w:spacing w:val="8"/>
                <w:sz w:val="20"/>
                <w:szCs w:val="20"/>
                <w:highlight w:val="none"/>
              </w:rPr>
              <w:t>号）和国家市场监督管理总局《全</w:t>
            </w:r>
            <w:r>
              <w:rPr>
                <w:rFonts w:ascii="宋体" w:hAnsi="宋体" w:eastAsia="宋体" w:cs="宋体"/>
                <w:color w:val="auto"/>
                <w:spacing w:val="9"/>
                <w:sz w:val="20"/>
                <w:szCs w:val="20"/>
                <w:highlight w:val="none"/>
              </w:rPr>
              <w:t>国食品安全监督抽检实施细则（202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9"/>
                <w:sz w:val="20"/>
                <w:szCs w:val="20"/>
                <w:highlight w:val="none"/>
              </w:rPr>
              <w:t>年版）》</w:t>
            </w:r>
            <w:r>
              <w:rPr>
                <w:rFonts w:ascii="宋体" w:hAnsi="宋体" w:eastAsia="宋体" w:cs="宋体"/>
                <w:color w:val="auto"/>
                <w:spacing w:val="8"/>
                <w:sz w:val="20"/>
                <w:szCs w:val="20"/>
                <w:highlight w:val="none"/>
              </w:rPr>
              <w:t>以及广西壮族自治区</w:t>
            </w:r>
            <w:r>
              <w:rPr>
                <w:rFonts w:ascii="宋体" w:hAnsi="宋体" w:eastAsia="宋体" w:cs="宋体"/>
                <w:color w:val="auto"/>
                <w:spacing w:val="9"/>
                <w:sz w:val="20"/>
                <w:szCs w:val="20"/>
                <w:highlight w:val="none"/>
              </w:rPr>
              <w:t>市场监督管理局《广西食品安全监督抽检实施</w:t>
            </w:r>
            <w:r>
              <w:rPr>
                <w:rFonts w:ascii="宋体" w:hAnsi="宋体" w:eastAsia="宋体" w:cs="宋体"/>
                <w:color w:val="auto"/>
                <w:spacing w:val="8"/>
                <w:sz w:val="20"/>
                <w:szCs w:val="20"/>
                <w:highlight w:val="none"/>
              </w:rPr>
              <w:t>细则（202</w:t>
            </w:r>
            <w:r>
              <w:rPr>
                <w:rFonts w:hint="eastAsia" w:ascii="宋体" w:hAnsi="宋体" w:eastAsia="宋体" w:cs="宋体"/>
                <w:color w:val="auto"/>
                <w:spacing w:val="8"/>
                <w:sz w:val="20"/>
                <w:szCs w:val="20"/>
                <w:highlight w:val="none"/>
                <w:lang w:val="en-US" w:eastAsia="zh-CN"/>
              </w:rPr>
              <w:t>6</w:t>
            </w:r>
            <w:r>
              <w:rPr>
                <w:rFonts w:ascii="宋体" w:hAnsi="宋体" w:eastAsia="宋体" w:cs="宋体"/>
                <w:color w:val="auto"/>
                <w:spacing w:val="8"/>
                <w:sz w:val="20"/>
                <w:szCs w:val="20"/>
                <w:highlight w:val="none"/>
              </w:rPr>
              <w:t>年版）为</w:t>
            </w:r>
            <w:r>
              <w:rPr>
                <w:rFonts w:ascii="宋体" w:hAnsi="宋体" w:eastAsia="宋体" w:cs="宋体"/>
                <w:color w:val="auto"/>
                <w:spacing w:val="-1"/>
                <w:sz w:val="20"/>
                <w:szCs w:val="20"/>
                <w:highlight w:val="none"/>
              </w:rPr>
              <w:t>准。</w:t>
            </w:r>
          </w:p>
          <w:p w14:paraId="029A45FE">
            <w:pPr>
              <w:spacing w:line="332" w:lineRule="auto"/>
              <w:ind w:left="111" w:right="110" w:firstLine="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3、成果要求：202</w:t>
            </w:r>
            <w:r>
              <w:rPr>
                <w:rFonts w:hint="eastAsia" w:ascii="宋体" w:hAnsi="宋体" w:eastAsia="宋体" w:cs="宋体"/>
                <w:color w:val="auto"/>
                <w:spacing w:val="3"/>
                <w:sz w:val="20"/>
                <w:szCs w:val="20"/>
                <w:highlight w:val="none"/>
                <w:lang w:val="en-US" w:eastAsia="zh-CN"/>
              </w:rPr>
              <w:t>6</w:t>
            </w:r>
            <w:r>
              <w:rPr>
                <w:rFonts w:ascii="宋体" w:hAnsi="宋体" w:eastAsia="宋体" w:cs="宋体"/>
                <w:color w:val="auto"/>
                <w:spacing w:val="-42"/>
                <w:sz w:val="20"/>
                <w:szCs w:val="20"/>
                <w:highlight w:val="none"/>
              </w:rPr>
              <w:t xml:space="preserve"> </w:t>
            </w:r>
            <w:r>
              <w:rPr>
                <w:rFonts w:ascii="宋体" w:hAnsi="宋体" w:eastAsia="宋体" w:cs="宋体"/>
                <w:color w:val="auto"/>
                <w:spacing w:val="3"/>
                <w:sz w:val="20"/>
                <w:szCs w:val="20"/>
                <w:highlight w:val="none"/>
              </w:rPr>
              <w:t>年</w:t>
            </w:r>
            <w:r>
              <w:rPr>
                <w:rFonts w:ascii="宋体" w:hAnsi="宋体" w:eastAsia="宋体" w:cs="宋体"/>
                <w:color w:val="auto"/>
                <w:spacing w:val="-22"/>
                <w:sz w:val="20"/>
                <w:szCs w:val="20"/>
                <w:highlight w:val="none"/>
              </w:rPr>
              <w:t xml:space="preserve"> </w:t>
            </w:r>
            <w:r>
              <w:rPr>
                <w:rFonts w:ascii="宋体" w:hAnsi="宋体" w:eastAsia="宋体" w:cs="宋体"/>
                <w:color w:val="auto"/>
                <w:spacing w:val="3"/>
                <w:sz w:val="20"/>
                <w:szCs w:val="20"/>
                <w:highlight w:val="none"/>
              </w:rPr>
              <w:t>12</w:t>
            </w:r>
            <w:r>
              <w:rPr>
                <w:rFonts w:ascii="宋体" w:hAnsi="宋体" w:eastAsia="宋体" w:cs="宋体"/>
                <w:color w:val="auto"/>
                <w:spacing w:val="-35"/>
                <w:sz w:val="20"/>
                <w:szCs w:val="20"/>
                <w:highlight w:val="none"/>
              </w:rPr>
              <w:t xml:space="preserve"> </w:t>
            </w:r>
            <w:r>
              <w:rPr>
                <w:rFonts w:ascii="宋体" w:hAnsi="宋体" w:eastAsia="宋体" w:cs="宋体"/>
                <w:color w:val="auto"/>
                <w:spacing w:val="3"/>
                <w:sz w:val="20"/>
                <w:szCs w:val="20"/>
                <w:highlight w:val="none"/>
              </w:rPr>
              <w:t>月</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10 日前全部抽检完成并录入国抽系统，</w:t>
            </w:r>
            <w:r>
              <w:rPr>
                <w:rFonts w:ascii="宋体" w:hAnsi="宋体" w:eastAsia="宋体" w:cs="宋体"/>
                <w:color w:val="auto"/>
                <w:spacing w:val="8"/>
                <w:sz w:val="20"/>
                <w:szCs w:val="20"/>
                <w:highlight w:val="none"/>
              </w:rPr>
              <w:t>按具体方案时间节点要求提供质量分析报告。</w:t>
            </w:r>
          </w:p>
          <w:p w14:paraId="711D46F3">
            <w:pPr>
              <w:spacing w:before="1" w:line="228" w:lineRule="auto"/>
              <w:ind w:left="10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4、服务工作要求</w:t>
            </w:r>
          </w:p>
          <w:p w14:paraId="744E359D">
            <w:pPr>
              <w:spacing w:before="114" w:line="332" w:lineRule="auto"/>
              <w:ind w:left="111" w:right="109"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（1）要求供应商严格遵守法律、法规的规定和检验工作有关纪律要</w:t>
            </w:r>
            <w:r>
              <w:rPr>
                <w:rFonts w:ascii="宋体" w:hAnsi="宋体" w:eastAsia="宋体" w:cs="宋体"/>
                <w:color w:val="auto"/>
                <w:spacing w:val="6"/>
                <w:sz w:val="20"/>
                <w:szCs w:val="20"/>
                <w:highlight w:val="none"/>
              </w:rPr>
              <w:t>求，确保检验结果真实有效；检验活动中无重大差错，能够保证检验结果质量；检测范围涵盖承担的食品安全抽检监测任务中相应的食品</w:t>
            </w:r>
            <w:r>
              <w:rPr>
                <w:rFonts w:ascii="宋体" w:hAnsi="宋体" w:eastAsia="宋体" w:cs="宋体"/>
                <w:color w:val="auto"/>
                <w:spacing w:val="7"/>
                <w:sz w:val="20"/>
                <w:szCs w:val="20"/>
                <w:highlight w:val="none"/>
              </w:rPr>
              <w:t>品种和检验项目；</w:t>
            </w:r>
          </w:p>
          <w:p w14:paraId="1CBCB906">
            <w:pPr>
              <w:spacing w:line="332" w:lineRule="auto"/>
              <w:ind w:left="111" w:right="114"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（2）供应商负责样品的抽样检验、检验报告的寄送、结果分析、异</w:t>
            </w:r>
            <w:r>
              <w:rPr>
                <w:rFonts w:ascii="宋体" w:hAnsi="宋体" w:eastAsia="宋体" w:cs="宋体"/>
                <w:color w:val="auto"/>
                <w:spacing w:val="8"/>
                <w:sz w:val="20"/>
                <w:szCs w:val="20"/>
                <w:highlight w:val="none"/>
              </w:rPr>
              <w:t>议处理和检验过程中技术问题的处理工作；</w:t>
            </w:r>
          </w:p>
          <w:p w14:paraId="25109431">
            <w:pPr>
              <w:spacing w:before="1" w:line="332" w:lineRule="auto"/>
              <w:ind w:left="112" w:right="114" w:firstLine="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（3）供应商必须接受采购人对承担检验任务工作质量情况的监督检查和考核，积极参加与检验任务相关的能力验证并取得满意结果；</w:t>
            </w:r>
          </w:p>
          <w:p w14:paraId="5092FDBD">
            <w:pPr>
              <w:spacing w:before="1" w:line="227" w:lineRule="auto"/>
              <w:ind w:left="1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（4）能按时完成采购人安排的临时性和应急性任务。</w:t>
            </w:r>
          </w:p>
          <w:p w14:paraId="7D3DEA2D">
            <w:pPr>
              <w:spacing w:before="113" w:line="229" w:lineRule="auto"/>
              <w:ind w:left="119"/>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（三）其他要求：</w:t>
            </w:r>
          </w:p>
          <w:p w14:paraId="048E3001">
            <w:pPr>
              <w:spacing w:before="114" w:line="332" w:lineRule="auto"/>
              <w:ind w:left="109" w:right="109"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1、要求供应商具有与能承担食品监督抽检任务相匹配的工作人员、</w:t>
            </w:r>
            <w:r>
              <w:rPr>
                <w:rFonts w:ascii="宋体" w:hAnsi="宋体" w:eastAsia="宋体" w:cs="宋体"/>
                <w:color w:val="auto"/>
                <w:spacing w:val="6"/>
                <w:sz w:val="20"/>
                <w:szCs w:val="20"/>
                <w:highlight w:val="none"/>
              </w:rPr>
              <w:t>仪器设备、实验室环境设施；拥有运行良好的实验室管理体系，授权</w:t>
            </w:r>
            <w:r>
              <w:rPr>
                <w:rFonts w:ascii="宋体" w:hAnsi="宋体" w:eastAsia="宋体" w:cs="宋体"/>
                <w:color w:val="auto"/>
                <w:spacing w:val="9"/>
                <w:sz w:val="20"/>
                <w:szCs w:val="20"/>
                <w:highlight w:val="none"/>
              </w:rPr>
              <w:t>范围涵盖本标项食品监督抽检监测任务中相应的食品品种和监督抽</w:t>
            </w:r>
            <w:r>
              <w:rPr>
                <w:rFonts w:ascii="宋体" w:hAnsi="宋体" w:eastAsia="宋体" w:cs="宋体"/>
                <w:color w:val="auto"/>
                <w:spacing w:val="6"/>
                <w:sz w:val="20"/>
                <w:szCs w:val="20"/>
                <w:highlight w:val="none"/>
              </w:rPr>
              <w:t>检项目。具有相应的检验和质量分析人员，参与检验的有关人员具有</w:t>
            </w:r>
            <w:r>
              <w:rPr>
                <w:rFonts w:ascii="宋体" w:hAnsi="宋体" w:eastAsia="宋体" w:cs="宋体"/>
                <w:color w:val="auto"/>
                <w:spacing w:val="9"/>
                <w:sz w:val="20"/>
                <w:szCs w:val="20"/>
                <w:highlight w:val="none"/>
              </w:rPr>
              <w:t>检验员证或上岗证，并具备相应的专业知识和能力，具体要求为：</w:t>
            </w:r>
          </w:p>
          <w:p w14:paraId="54F84DAE">
            <w:pPr>
              <w:spacing w:before="4" w:line="308" w:lineRule="auto"/>
              <w:ind w:left="109" w:right="109" w:firstLine="10"/>
              <w:jc w:val="both"/>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（1）具有固定且能够独立运行的检验工作场所以及能满足本项目检</w:t>
            </w:r>
            <w:r>
              <w:rPr>
                <w:rFonts w:ascii="宋体" w:hAnsi="宋体" w:eastAsia="宋体" w:cs="宋体"/>
                <w:color w:val="auto"/>
                <w:spacing w:val="6"/>
                <w:sz w:val="20"/>
                <w:szCs w:val="20"/>
                <w:highlight w:val="none"/>
              </w:rPr>
              <w:t>测所需的抽样、检验检测、运输贮存（冷藏和冷冻）、数据处理与分</w:t>
            </w:r>
            <w:r>
              <w:rPr>
                <w:rFonts w:ascii="宋体" w:hAnsi="宋体" w:eastAsia="宋体" w:cs="宋体"/>
                <w:color w:val="auto"/>
                <w:spacing w:val="-1"/>
                <w:sz w:val="20"/>
                <w:szCs w:val="20"/>
                <w:highlight w:val="none"/>
              </w:rPr>
              <w:t>析、信息传输等设施设备，能够满足本标项要求的承检任务需要。</w:t>
            </w:r>
            <w:r>
              <w:rPr>
                <w:rFonts w:ascii="宋体" w:hAnsi="宋体" w:eastAsia="宋体" w:cs="宋体"/>
                <w:b/>
                <w:bCs/>
                <w:color w:val="auto"/>
                <w:spacing w:val="-1"/>
                <w:sz w:val="20"/>
                <w:szCs w:val="20"/>
                <w:highlight w:val="none"/>
              </w:rPr>
              <w:t>（响</w:t>
            </w:r>
            <w:r>
              <w:rPr>
                <w:rFonts w:ascii="宋体" w:hAnsi="宋体" w:eastAsia="宋体" w:cs="宋体"/>
                <w:b/>
                <w:bCs/>
                <w:color w:val="auto"/>
                <w:spacing w:val="8"/>
                <w:sz w:val="20"/>
                <w:szCs w:val="20"/>
                <w:highlight w:val="none"/>
              </w:rPr>
              <w:t>应文件中须提供供应商检验工作场所实验室平面图及供应商拥有的相关检验、检测设施和设备清单，并附供应商实验室有效的房屋产</w:t>
            </w:r>
          </w:p>
        </w:tc>
      </w:tr>
    </w:tbl>
    <w:p w14:paraId="4C16607B">
      <w:pPr>
        <w:rPr>
          <w:rFonts w:ascii="Arial"/>
          <w:color w:val="auto"/>
          <w:sz w:val="21"/>
          <w:highlight w:val="none"/>
        </w:rPr>
      </w:pPr>
    </w:p>
    <w:p w14:paraId="4CD57147">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7C5859DE">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869"/>
        <w:gridCol w:w="658"/>
        <w:gridCol w:w="677"/>
        <w:gridCol w:w="6411"/>
      </w:tblGrid>
      <w:tr w14:paraId="54740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3" w:hRule="atLeast"/>
        </w:trPr>
        <w:tc>
          <w:tcPr>
            <w:tcW w:w="650" w:type="dxa"/>
            <w:vAlign w:val="top"/>
          </w:tcPr>
          <w:p w14:paraId="2E3AFBC7">
            <w:pPr>
              <w:pStyle w:val="179"/>
              <w:rPr>
                <w:color w:val="auto"/>
                <w:highlight w:val="none"/>
              </w:rPr>
            </w:pPr>
          </w:p>
        </w:tc>
        <w:tc>
          <w:tcPr>
            <w:tcW w:w="869" w:type="dxa"/>
            <w:vAlign w:val="top"/>
          </w:tcPr>
          <w:p w14:paraId="214B9E0E">
            <w:pPr>
              <w:pStyle w:val="179"/>
              <w:rPr>
                <w:color w:val="auto"/>
                <w:highlight w:val="none"/>
              </w:rPr>
            </w:pPr>
          </w:p>
        </w:tc>
        <w:tc>
          <w:tcPr>
            <w:tcW w:w="658" w:type="dxa"/>
            <w:vAlign w:val="top"/>
          </w:tcPr>
          <w:p w14:paraId="7BB201BC">
            <w:pPr>
              <w:pStyle w:val="179"/>
              <w:rPr>
                <w:color w:val="auto"/>
                <w:highlight w:val="none"/>
              </w:rPr>
            </w:pPr>
          </w:p>
        </w:tc>
        <w:tc>
          <w:tcPr>
            <w:tcW w:w="677" w:type="dxa"/>
            <w:vAlign w:val="top"/>
          </w:tcPr>
          <w:p w14:paraId="6B109F5B">
            <w:pPr>
              <w:pStyle w:val="179"/>
              <w:rPr>
                <w:color w:val="auto"/>
                <w:highlight w:val="none"/>
              </w:rPr>
            </w:pPr>
          </w:p>
        </w:tc>
        <w:tc>
          <w:tcPr>
            <w:tcW w:w="6411" w:type="dxa"/>
            <w:vAlign w:val="top"/>
          </w:tcPr>
          <w:p w14:paraId="41C807D5">
            <w:pPr>
              <w:spacing w:before="124" w:line="228" w:lineRule="auto"/>
              <w:ind w:left="106"/>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权使用证明或租赁合同及仪器设备购置一览表。）</w:t>
            </w:r>
          </w:p>
          <w:p w14:paraId="201CEA13">
            <w:pPr>
              <w:spacing w:before="45" w:line="289" w:lineRule="auto"/>
              <w:ind w:left="110" w:right="210" w:firstLine="7"/>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（2）具有稳定的抽样、检验和技术管理人员</w:t>
            </w:r>
            <w:r>
              <w:rPr>
                <w:rFonts w:ascii="宋体" w:hAnsi="宋体" w:eastAsia="宋体" w:cs="宋体"/>
                <w:b/>
                <w:bCs/>
                <w:color w:val="auto"/>
                <w:spacing w:val="8"/>
                <w:sz w:val="20"/>
                <w:szCs w:val="20"/>
                <w:highlight w:val="none"/>
              </w:rPr>
              <w:t>[响应文件中须提供拟投入人员名单、职称（资格）证书、及所属于供应商单位在职人</w:t>
            </w:r>
            <w:r>
              <w:rPr>
                <w:rFonts w:ascii="宋体" w:hAnsi="宋体" w:eastAsia="宋体" w:cs="宋体"/>
                <w:b/>
                <w:bCs/>
                <w:color w:val="auto"/>
                <w:spacing w:val="5"/>
                <w:sz w:val="20"/>
                <w:szCs w:val="20"/>
                <w:highlight w:val="none"/>
              </w:rPr>
              <w:t>员的相关证明材料，如</w:t>
            </w:r>
            <w:r>
              <w:rPr>
                <w:rFonts w:ascii="宋体" w:hAnsi="宋体" w:eastAsia="宋体" w:cs="宋体"/>
                <w:color w:val="auto"/>
                <w:spacing w:val="-43"/>
                <w:sz w:val="20"/>
                <w:szCs w:val="20"/>
                <w:highlight w:val="none"/>
              </w:rPr>
              <w:t xml:space="preserve"> </w:t>
            </w:r>
            <w:r>
              <w:rPr>
                <w:rFonts w:ascii="Times New Roman" w:hAnsi="Times New Roman" w:eastAsia="Times New Roman" w:cs="Times New Roman"/>
                <w:b/>
                <w:bCs/>
                <w:color w:val="auto"/>
                <w:spacing w:val="5"/>
                <w:sz w:val="20"/>
                <w:szCs w:val="20"/>
                <w:highlight w:val="none"/>
              </w:rPr>
              <w:t>202</w:t>
            </w:r>
            <w:r>
              <w:rPr>
                <w:rFonts w:hint="eastAsia" w:ascii="Times New Roman" w:hAnsi="Times New Roman" w:eastAsia="宋体" w:cs="Times New Roman"/>
                <w:b/>
                <w:bCs/>
                <w:color w:val="auto"/>
                <w:spacing w:val="5"/>
                <w:sz w:val="20"/>
                <w:szCs w:val="20"/>
                <w:highlight w:val="none"/>
                <w:lang w:val="en-US" w:eastAsia="zh-CN"/>
              </w:rPr>
              <w:t>6</w:t>
            </w:r>
            <w:r>
              <w:rPr>
                <w:rFonts w:ascii="Times New Roman" w:hAnsi="Times New Roman" w:eastAsia="Times New Roman" w:cs="Times New Roman"/>
                <w:b/>
                <w:bCs/>
                <w:color w:val="auto"/>
                <w:spacing w:val="5"/>
                <w:sz w:val="20"/>
                <w:szCs w:val="20"/>
                <w:highlight w:val="none"/>
              </w:rPr>
              <w:t xml:space="preserve"> </w:t>
            </w:r>
            <w:r>
              <w:rPr>
                <w:rFonts w:hint="eastAsia" w:eastAsia="宋体" w:cs="Times New Roman"/>
                <w:b/>
                <w:bCs/>
                <w:color w:val="auto"/>
                <w:spacing w:val="5"/>
                <w:sz w:val="20"/>
                <w:szCs w:val="20"/>
                <w:highlight w:val="none"/>
                <w:lang w:val="en-US" w:eastAsia="zh-CN"/>
              </w:rPr>
              <w:t>年</w:t>
            </w:r>
            <w:r>
              <w:rPr>
                <w:rFonts w:hint="eastAsia" w:ascii="Times New Roman" w:hAnsi="Times New Roman" w:eastAsia="Times New Roman" w:cs="Times New Roman"/>
                <w:b/>
                <w:bCs/>
                <w:color w:val="auto"/>
                <w:spacing w:val="5"/>
                <w:sz w:val="20"/>
                <w:szCs w:val="20"/>
                <w:highlight w:val="none"/>
                <w:lang w:val="en-US" w:eastAsia="zh-CN"/>
              </w:rPr>
              <w:t>任意一个</w:t>
            </w:r>
            <w:r>
              <w:rPr>
                <w:rFonts w:ascii="宋体" w:hAnsi="宋体" w:eastAsia="宋体" w:cs="宋体"/>
                <w:b/>
                <w:bCs/>
                <w:color w:val="auto"/>
                <w:spacing w:val="4"/>
                <w:sz w:val="20"/>
                <w:szCs w:val="20"/>
                <w:highlight w:val="none"/>
              </w:rPr>
              <w:t>月工资流水或</w:t>
            </w:r>
            <w:r>
              <w:rPr>
                <w:rFonts w:ascii="宋体" w:hAnsi="宋体" w:eastAsia="宋体" w:cs="宋体"/>
                <w:color w:val="auto"/>
                <w:spacing w:val="-37"/>
                <w:sz w:val="20"/>
                <w:szCs w:val="20"/>
                <w:highlight w:val="none"/>
              </w:rPr>
              <w:t xml:space="preserve"> </w:t>
            </w:r>
            <w:r>
              <w:rPr>
                <w:rFonts w:ascii="Times New Roman" w:hAnsi="Times New Roman" w:eastAsia="Times New Roman" w:cs="Times New Roman"/>
                <w:b/>
                <w:bCs/>
                <w:color w:val="auto"/>
                <w:spacing w:val="4"/>
                <w:sz w:val="20"/>
                <w:szCs w:val="20"/>
                <w:highlight w:val="none"/>
              </w:rPr>
              <w:t>202</w:t>
            </w:r>
            <w:r>
              <w:rPr>
                <w:rFonts w:hint="eastAsia" w:ascii="Times New Roman" w:hAnsi="Times New Roman" w:eastAsia="宋体" w:cs="Times New Roman"/>
                <w:b/>
                <w:bCs/>
                <w:color w:val="auto"/>
                <w:spacing w:val="4"/>
                <w:sz w:val="20"/>
                <w:szCs w:val="20"/>
                <w:highlight w:val="none"/>
                <w:lang w:val="en-US" w:eastAsia="zh-CN"/>
              </w:rPr>
              <w:t>6</w:t>
            </w:r>
            <w:r>
              <w:rPr>
                <w:rFonts w:ascii="宋体" w:hAnsi="宋体" w:eastAsia="宋体" w:cs="宋体"/>
                <w:b/>
                <w:bCs/>
                <w:color w:val="auto"/>
                <w:spacing w:val="4"/>
                <w:sz w:val="20"/>
                <w:szCs w:val="20"/>
                <w:highlight w:val="none"/>
              </w:rPr>
              <w:t>年</w:t>
            </w:r>
            <w:r>
              <w:rPr>
                <w:rFonts w:ascii="宋体" w:hAnsi="宋体" w:eastAsia="宋体" w:cs="宋体"/>
                <w:color w:val="auto"/>
                <w:spacing w:val="-40"/>
                <w:sz w:val="20"/>
                <w:szCs w:val="20"/>
                <w:highlight w:val="none"/>
              </w:rPr>
              <w:t xml:space="preserve"> </w:t>
            </w:r>
            <w:r>
              <w:rPr>
                <w:rFonts w:ascii="Times New Roman" w:hAnsi="Times New Roman" w:eastAsia="Times New Roman" w:cs="Times New Roman"/>
                <w:b/>
                <w:bCs/>
                <w:color w:val="auto"/>
                <w:spacing w:val="4"/>
                <w:sz w:val="20"/>
                <w:szCs w:val="20"/>
                <w:highlight w:val="none"/>
                <w:u w:val="single" w:color="auto"/>
              </w:rPr>
              <w:t>4</w:t>
            </w:r>
            <w:r>
              <w:rPr>
                <w:rFonts w:ascii="Times New Roman" w:hAnsi="Times New Roman" w:eastAsia="Times New Roman" w:cs="Times New Roman"/>
                <w:b/>
                <w:bCs/>
                <w:color w:val="auto"/>
                <w:spacing w:val="17"/>
                <w:sz w:val="20"/>
                <w:szCs w:val="20"/>
                <w:highlight w:val="none"/>
                <w:u w:val="single" w:color="auto"/>
              </w:rPr>
              <w:t xml:space="preserve"> </w:t>
            </w:r>
            <w:r>
              <w:rPr>
                <w:rFonts w:ascii="宋体" w:hAnsi="宋体" w:eastAsia="宋体" w:cs="宋体"/>
                <w:b/>
                <w:bCs/>
                <w:color w:val="auto"/>
                <w:spacing w:val="4"/>
                <w:sz w:val="20"/>
                <w:szCs w:val="20"/>
                <w:highlight w:val="none"/>
              </w:rPr>
              <w:t>月</w:t>
            </w:r>
            <w:r>
              <w:rPr>
                <w:rFonts w:ascii="宋体" w:hAnsi="宋体" w:eastAsia="宋体" w:cs="宋体"/>
                <w:b/>
                <w:bCs/>
                <w:color w:val="auto"/>
                <w:spacing w:val="2"/>
                <w:sz w:val="20"/>
                <w:szCs w:val="20"/>
                <w:highlight w:val="none"/>
              </w:rPr>
              <w:t>至</w:t>
            </w:r>
            <w:r>
              <w:rPr>
                <w:rFonts w:ascii="宋体" w:hAnsi="宋体" w:eastAsia="宋体" w:cs="宋体"/>
                <w:color w:val="auto"/>
                <w:spacing w:val="-37"/>
                <w:sz w:val="20"/>
                <w:szCs w:val="20"/>
                <w:highlight w:val="none"/>
              </w:rPr>
              <w:t xml:space="preserve"> </w:t>
            </w:r>
            <w:r>
              <w:rPr>
                <w:rFonts w:ascii="Times New Roman" w:hAnsi="Times New Roman" w:eastAsia="Times New Roman" w:cs="Times New Roman"/>
                <w:b/>
                <w:bCs/>
                <w:color w:val="auto"/>
                <w:spacing w:val="2"/>
                <w:sz w:val="20"/>
                <w:szCs w:val="20"/>
                <w:highlight w:val="none"/>
                <w:u w:val="single" w:color="auto"/>
              </w:rPr>
              <w:t>6</w:t>
            </w:r>
            <w:r>
              <w:rPr>
                <w:rFonts w:ascii="Times New Roman" w:hAnsi="Times New Roman" w:eastAsia="Times New Roman" w:cs="Times New Roman"/>
                <w:b/>
                <w:bCs/>
                <w:color w:val="auto"/>
                <w:spacing w:val="14"/>
                <w:w w:val="101"/>
                <w:sz w:val="20"/>
                <w:szCs w:val="20"/>
                <w:highlight w:val="none"/>
                <w:u w:val="single" w:color="auto"/>
              </w:rPr>
              <w:t xml:space="preserve"> </w:t>
            </w:r>
            <w:r>
              <w:rPr>
                <w:rFonts w:ascii="宋体" w:hAnsi="宋体" w:eastAsia="宋体" w:cs="宋体"/>
                <w:b/>
                <w:bCs/>
                <w:color w:val="auto"/>
                <w:spacing w:val="2"/>
                <w:sz w:val="20"/>
                <w:szCs w:val="20"/>
                <w:highlight w:val="none"/>
              </w:rPr>
              <w:t>月社保等]。</w:t>
            </w:r>
          </w:p>
          <w:p w14:paraId="29302A6C">
            <w:pPr>
              <w:spacing w:before="2" w:line="288" w:lineRule="auto"/>
              <w:ind w:left="106" w:right="1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①本标项拟投入从事食品检验相关工作人员总数不低于</w:t>
            </w:r>
            <w:r>
              <w:rPr>
                <w:rFonts w:ascii="宋体" w:hAnsi="宋体" w:eastAsia="宋体" w:cs="宋体"/>
                <w:color w:val="auto"/>
                <w:spacing w:val="-16"/>
                <w:sz w:val="20"/>
                <w:szCs w:val="20"/>
                <w:highlight w:val="none"/>
              </w:rPr>
              <w:t xml:space="preserve"> </w:t>
            </w:r>
            <w:r>
              <w:rPr>
                <w:rFonts w:ascii="宋体" w:hAnsi="宋体" w:eastAsia="宋体" w:cs="宋体"/>
                <w:color w:val="auto"/>
                <w:spacing w:val="8"/>
                <w:sz w:val="20"/>
                <w:szCs w:val="20"/>
                <w:highlight w:val="none"/>
              </w:rPr>
              <w:t>10</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人，且直</w:t>
            </w:r>
            <w:r>
              <w:rPr>
                <w:rFonts w:ascii="宋体" w:hAnsi="宋体" w:eastAsia="宋体" w:cs="宋体"/>
                <w:color w:val="auto"/>
                <w:spacing w:val="9"/>
                <w:sz w:val="20"/>
                <w:szCs w:val="20"/>
                <w:highlight w:val="none"/>
              </w:rPr>
              <w:t>接从事食品检验工作满</w:t>
            </w:r>
            <w:r>
              <w:rPr>
                <w:rFonts w:ascii="宋体" w:hAnsi="宋体" w:eastAsia="宋体" w:cs="宋体"/>
                <w:color w:val="auto"/>
                <w:spacing w:val="-34"/>
                <w:sz w:val="20"/>
                <w:szCs w:val="20"/>
                <w:highlight w:val="none"/>
              </w:rPr>
              <w:t xml:space="preserve"> </w:t>
            </w:r>
            <w:r>
              <w:rPr>
                <w:rFonts w:ascii="宋体" w:hAnsi="宋体" w:eastAsia="宋体" w:cs="宋体"/>
                <w:color w:val="auto"/>
                <w:spacing w:val="9"/>
                <w:sz w:val="20"/>
                <w:szCs w:val="20"/>
                <w:highlight w:val="none"/>
              </w:rPr>
              <w:t>2</w:t>
            </w:r>
            <w:r>
              <w:rPr>
                <w:rFonts w:ascii="宋体" w:hAnsi="宋体" w:eastAsia="宋体" w:cs="宋体"/>
                <w:color w:val="auto"/>
                <w:spacing w:val="-37"/>
                <w:sz w:val="20"/>
                <w:szCs w:val="20"/>
                <w:highlight w:val="none"/>
              </w:rPr>
              <w:t xml:space="preserve"> </w:t>
            </w:r>
            <w:r>
              <w:rPr>
                <w:rFonts w:ascii="宋体" w:hAnsi="宋体" w:eastAsia="宋体" w:cs="宋体"/>
                <w:color w:val="auto"/>
                <w:spacing w:val="9"/>
                <w:sz w:val="20"/>
                <w:szCs w:val="20"/>
                <w:highlight w:val="none"/>
              </w:rPr>
              <w:t>年及以上的检验人</w:t>
            </w:r>
            <w:r>
              <w:rPr>
                <w:rFonts w:ascii="宋体" w:hAnsi="宋体" w:eastAsia="宋体" w:cs="宋体"/>
                <w:color w:val="auto"/>
                <w:spacing w:val="8"/>
                <w:sz w:val="20"/>
                <w:szCs w:val="20"/>
                <w:highlight w:val="none"/>
              </w:rPr>
              <w:t>员占直接从事食品检验</w:t>
            </w:r>
            <w:r>
              <w:rPr>
                <w:rFonts w:ascii="宋体" w:hAnsi="宋体" w:eastAsia="宋体" w:cs="宋体"/>
                <w:color w:val="auto"/>
                <w:spacing w:val="7"/>
                <w:sz w:val="20"/>
                <w:szCs w:val="20"/>
                <w:highlight w:val="none"/>
              </w:rPr>
              <w:t>人员总数的比例不低于</w:t>
            </w:r>
            <w:r>
              <w:rPr>
                <w:rFonts w:ascii="宋体" w:hAnsi="宋体" w:eastAsia="宋体" w:cs="宋体"/>
                <w:color w:val="auto"/>
                <w:spacing w:val="-33"/>
                <w:sz w:val="20"/>
                <w:szCs w:val="20"/>
                <w:highlight w:val="none"/>
              </w:rPr>
              <w:t xml:space="preserve"> </w:t>
            </w:r>
            <w:r>
              <w:rPr>
                <w:rFonts w:ascii="宋体" w:hAnsi="宋体" w:eastAsia="宋体" w:cs="宋体"/>
                <w:color w:val="auto"/>
                <w:spacing w:val="7"/>
                <w:sz w:val="20"/>
                <w:szCs w:val="20"/>
                <w:highlight w:val="none"/>
              </w:rPr>
              <w:t>50%（含</w:t>
            </w:r>
            <w:r>
              <w:rPr>
                <w:rFonts w:ascii="宋体" w:hAnsi="宋体" w:eastAsia="宋体" w:cs="宋体"/>
                <w:color w:val="auto"/>
                <w:spacing w:val="9"/>
                <w:sz w:val="20"/>
                <w:szCs w:val="20"/>
                <w:highlight w:val="none"/>
              </w:rPr>
              <w:t>），</w:t>
            </w:r>
            <w:r>
              <w:rPr>
                <w:rFonts w:ascii="宋体" w:hAnsi="宋体" w:eastAsia="宋体" w:cs="宋体"/>
                <w:color w:val="auto"/>
                <w:spacing w:val="7"/>
                <w:sz w:val="20"/>
                <w:szCs w:val="20"/>
                <w:highlight w:val="none"/>
              </w:rPr>
              <w:t>能保证食品抽样检验工作的连续</w:t>
            </w:r>
            <w:r>
              <w:rPr>
                <w:rFonts w:ascii="宋体" w:hAnsi="宋体" w:eastAsia="宋体" w:cs="宋体"/>
                <w:color w:val="auto"/>
                <w:spacing w:val="6"/>
                <w:sz w:val="20"/>
                <w:szCs w:val="20"/>
                <w:highlight w:val="none"/>
              </w:rPr>
              <w:t>性和稳定性。</w:t>
            </w:r>
            <w:r>
              <w:rPr>
                <w:rFonts w:ascii="宋体" w:hAnsi="宋体" w:eastAsia="宋体" w:cs="宋体"/>
                <w:color w:val="auto"/>
                <w:spacing w:val="-35"/>
                <w:sz w:val="20"/>
                <w:szCs w:val="20"/>
                <w:highlight w:val="none"/>
              </w:rPr>
              <w:t xml:space="preserve"> </w:t>
            </w:r>
            <w:r>
              <w:rPr>
                <w:rFonts w:ascii="宋体" w:hAnsi="宋体" w:eastAsia="宋体" w:cs="宋体"/>
                <w:b/>
                <w:bCs/>
                <w:color w:val="auto"/>
                <w:spacing w:val="6"/>
                <w:sz w:val="20"/>
                <w:szCs w:val="20"/>
                <w:highlight w:val="none"/>
              </w:rPr>
              <w:t>[响应文件中须提供工作满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2</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年及以上直接从事食品</w:t>
            </w:r>
            <w:r>
              <w:rPr>
                <w:rFonts w:ascii="宋体" w:hAnsi="宋体" w:eastAsia="宋体" w:cs="宋体"/>
                <w:b/>
                <w:bCs/>
                <w:color w:val="auto"/>
                <w:spacing w:val="8"/>
                <w:sz w:val="20"/>
                <w:szCs w:val="20"/>
                <w:highlight w:val="none"/>
              </w:rPr>
              <w:t>检验个人工作经历证明材料（如</w:t>
            </w:r>
            <w:r>
              <w:rPr>
                <w:rFonts w:hint="eastAsia" w:ascii="宋体" w:hAnsi="宋体" w:cs="宋体"/>
                <w:b/>
                <w:bCs/>
                <w:color w:val="auto"/>
                <w:spacing w:val="8"/>
                <w:sz w:val="20"/>
                <w:szCs w:val="20"/>
                <w:highlight w:val="none"/>
                <w:lang w:eastAsia="zh-CN"/>
              </w:rPr>
              <w:t>工资流水</w:t>
            </w:r>
            <w:r>
              <w:rPr>
                <w:rFonts w:hint="eastAsia" w:ascii="宋体" w:hAnsi="宋体" w:cs="宋体"/>
                <w:b/>
                <w:bCs/>
                <w:color w:val="auto"/>
                <w:spacing w:val="8"/>
                <w:sz w:val="20"/>
                <w:szCs w:val="20"/>
                <w:highlight w:val="none"/>
                <w:lang w:val="en-US" w:eastAsia="zh-CN"/>
              </w:rPr>
              <w:t>或</w:t>
            </w:r>
            <w:r>
              <w:rPr>
                <w:rFonts w:ascii="宋体" w:hAnsi="宋体" w:eastAsia="宋体" w:cs="宋体"/>
                <w:b/>
                <w:bCs/>
                <w:color w:val="auto"/>
                <w:spacing w:val="8"/>
                <w:sz w:val="20"/>
                <w:szCs w:val="20"/>
                <w:highlight w:val="none"/>
              </w:rPr>
              <w:t>社保证明或承诺等</w:t>
            </w:r>
            <w:r>
              <w:rPr>
                <w:rFonts w:ascii="宋体" w:hAnsi="宋体" w:eastAsia="宋体" w:cs="宋体"/>
                <w:b/>
                <w:bCs/>
                <w:color w:val="auto"/>
                <w:spacing w:val="15"/>
                <w:sz w:val="20"/>
                <w:szCs w:val="20"/>
                <w:highlight w:val="none"/>
              </w:rPr>
              <w:t>），</w:t>
            </w:r>
            <w:r>
              <w:rPr>
                <w:rFonts w:ascii="宋体" w:hAnsi="宋体" w:eastAsia="宋体" w:cs="宋体"/>
                <w:b/>
                <w:bCs/>
                <w:color w:val="auto"/>
                <w:spacing w:val="8"/>
                <w:sz w:val="20"/>
                <w:szCs w:val="20"/>
                <w:highlight w:val="none"/>
              </w:rPr>
              <w:t>并</w:t>
            </w:r>
            <w:r>
              <w:rPr>
                <w:rFonts w:ascii="宋体" w:hAnsi="宋体" w:eastAsia="宋体" w:cs="宋体"/>
                <w:b/>
                <w:bCs/>
                <w:color w:val="auto"/>
                <w:spacing w:val="7"/>
                <w:sz w:val="20"/>
                <w:szCs w:val="20"/>
                <w:highlight w:val="none"/>
              </w:rPr>
              <w:t>加盖供应商单位公章或电子签章]</w:t>
            </w:r>
          </w:p>
          <w:p w14:paraId="1CE5767F">
            <w:pPr>
              <w:spacing w:before="67" w:line="332" w:lineRule="auto"/>
              <w:ind w:left="108" w:right="109" w:hanging="2"/>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②要求检验和技术管理人员熟悉有关食品检验</w:t>
            </w:r>
            <w:r>
              <w:rPr>
                <w:rFonts w:ascii="宋体" w:hAnsi="宋体" w:eastAsia="宋体" w:cs="宋体"/>
                <w:color w:val="auto"/>
                <w:spacing w:val="9"/>
                <w:sz w:val="20"/>
                <w:szCs w:val="20"/>
                <w:highlight w:val="none"/>
              </w:rPr>
              <w:t>的标准、检验方法原</w:t>
            </w:r>
            <w:r>
              <w:rPr>
                <w:rFonts w:ascii="宋体" w:hAnsi="宋体" w:eastAsia="宋体" w:cs="宋体"/>
                <w:color w:val="auto"/>
                <w:spacing w:val="6"/>
                <w:sz w:val="20"/>
                <w:szCs w:val="20"/>
                <w:highlight w:val="none"/>
              </w:rPr>
              <w:t>理，掌握检验操作技能、标准操作程序、计量和数据处理知识等；技</w:t>
            </w:r>
            <w:r>
              <w:rPr>
                <w:rFonts w:ascii="宋体" w:hAnsi="宋体" w:eastAsia="宋体" w:cs="宋体"/>
                <w:color w:val="auto"/>
                <w:spacing w:val="9"/>
                <w:sz w:val="20"/>
                <w:szCs w:val="20"/>
                <w:highlight w:val="none"/>
              </w:rPr>
              <w:t>术负责人、质量负责人至少从事食品检验管理</w:t>
            </w:r>
            <w:r>
              <w:rPr>
                <w:rFonts w:ascii="宋体" w:hAnsi="宋体" w:eastAsia="宋体" w:cs="宋体"/>
                <w:color w:val="auto"/>
                <w:spacing w:val="8"/>
                <w:sz w:val="20"/>
                <w:szCs w:val="20"/>
                <w:highlight w:val="none"/>
              </w:rPr>
              <w:t>及相关工作</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年或以</w:t>
            </w:r>
            <w:r>
              <w:rPr>
                <w:rFonts w:ascii="宋体" w:hAnsi="宋体" w:eastAsia="宋体" w:cs="宋体"/>
                <w:color w:val="auto"/>
                <w:spacing w:val="5"/>
                <w:sz w:val="20"/>
                <w:szCs w:val="20"/>
                <w:highlight w:val="none"/>
              </w:rPr>
              <w:t>上；</w:t>
            </w:r>
            <w:r>
              <w:rPr>
                <w:rFonts w:ascii="宋体" w:hAnsi="宋体" w:eastAsia="宋体" w:cs="宋体"/>
                <w:b/>
                <w:bCs/>
                <w:color w:val="auto"/>
                <w:spacing w:val="5"/>
                <w:sz w:val="20"/>
                <w:szCs w:val="20"/>
                <w:highlight w:val="none"/>
              </w:rPr>
              <w:t>[响应文件中须提供工作满</w:t>
            </w:r>
            <w:r>
              <w:rPr>
                <w:rFonts w:ascii="宋体" w:hAnsi="宋体" w:eastAsia="宋体" w:cs="宋体"/>
                <w:color w:val="auto"/>
                <w:spacing w:val="5"/>
                <w:sz w:val="20"/>
                <w:szCs w:val="20"/>
                <w:highlight w:val="none"/>
              </w:rPr>
              <w:t xml:space="preserve"> </w:t>
            </w:r>
            <w:r>
              <w:rPr>
                <w:rFonts w:ascii="宋体" w:hAnsi="宋体" w:eastAsia="宋体" w:cs="宋体"/>
                <w:b/>
                <w:bCs/>
                <w:color w:val="auto"/>
                <w:spacing w:val="5"/>
                <w:sz w:val="20"/>
                <w:szCs w:val="20"/>
                <w:highlight w:val="none"/>
              </w:rPr>
              <w:t>2</w:t>
            </w:r>
            <w:r>
              <w:rPr>
                <w:rFonts w:ascii="宋体" w:hAnsi="宋体" w:eastAsia="宋体" w:cs="宋体"/>
                <w:color w:val="auto"/>
                <w:spacing w:val="-27"/>
                <w:sz w:val="20"/>
                <w:szCs w:val="20"/>
                <w:highlight w:val="none"/>
              </w:rPr>
              <w:t xml:space="preserve"> </w:t>
            </w:r>
            <w:r>
              <w:rPr>
                <w:rFonts w:ascii="宋体" w:hAnsi="宋体" w:eastAsia="宋体" w:cs="宋体"/>
                <w:b/>
                <w:bCs/>
                <w:color w:val="auto"/>
                <w:spacing w:val="5"/>
                <w:sz w:val="20"/>
                <w:szCs w:val="20"/>
                <w:highlight w:val="none"/>
              </w:rPr>
              <w:t>年及以上直接从事食品检验个人工</w:t>
            </w:r>
            <w:r>
              <w:rPr>
                <w:rFonts w:ascii="宋体" w:hAnsi="宋体" w:eastAsia="宋体" w:cs="宋体"/>
                <w:b/>
                <w:bCs/>
                <w:color w:val="auto"/>
                <w:spacing w:val="8"/>
                <w:sz w:val="20"/>
                <w:szCs w:val="20"/>
                <w:highlight w:val="none"/>
              </w:rPr>
              <w:t>作经历证明材料（如</w:t>
            </w:r>
            <w:r>
              <w:rPr>
                <w:rFonts w:hint="eastAsia" w:ascii="宋体" w:hAnsi="宋体" w:cs="宋体"/>
                <w:b/>
                <w:bCs/>
                <w:color w:val="auto"/>
                <w:spacing w:val="8"/>
                <w:sz w:val="20"/>
                <w:szCs w:val="20"/>
                <w:highlight w:val="none"/>
                <w:lang w:eastAsia="zh-CN"/>
              </w:rPr>
              <w:t>工资流水</w:t>
            </w:r>
            <w:r>
              <w:rPr>
                <w:rFonts w:hint="eastAsia" w:ascii="宋体" w:hAnsi="宋体" w:cs="宋体"/>
                <w:b/>
                <w:bCs/>
                <w:color w:val="auto"/>
                <w:spacing w:val="8"/>
                <w:sz w:val="20"/>
                <w:szCs w:val="20"/>
                <w:highlight w:val="none"/>
                <w:lang w:val="en-US" w:eastAsia="zh-CN"/>
              </w:rPr>
              <w:t>或</w:t>
            </w:r>
            <w:r>
              <w:rPr>
                <w:rFonts w:ascii="宋体" w:hAnsi="宋体" w:eastAsia="宋体" w:cs="宋体"/>
                <w:b/>
                <w:bCs/>
                <w:color w:val="auto"/>
                <w:spacing w:val="8"/>
                <w:sz w:val="20"/>
                <w:szCs w:val="20"/>
                <w:highlight w:val="none"/>
              </w:rPr>
              <w:t>社保证明或承诺等</w:t>
            </w:r>
            <w:r>
              <w:rPr>
                <w:rFonts w:ascii="宋体" w:hAnsi="宋体" w:eastAsia="宋体" w:cs="宋体"/>
                <w:b/>
                <w:bCs/>
                <w:color w:val="auto"/>
                <w:spacing w:val="16"/>
                <w:sz w:val="20"/>
                <w:szCs w:val="20"/>
                <w:highlight w:val="none"/>
              </w:rPr>
              <w:t>），</w:t>
            </w:r>
            <w:r>
              <w:rPr>
                <w:rFonts w:ascii="宋体" w:hAnsi="宋体" w:eastAsia="宋体" w:cs="宋体"/>
                <w:b/>
                <w:bCs/>
                <w:color w:val="auto"/>
                <w:spacing w:val="8"/>
                <w:sz w:val="20"/>
                <w:szCs w:val="20"/>
                <w:highlight w:val="none"/>
              </w:rPr>
              <w:t>并加</w:t>
            </w:r>
            <w:r>
              <w:rPr>
                <w:rFonts w:ascii="宋体" w:hAnsi="宋体" w:eastAsia="宋体" w:cs="宋体"/>
                <w:b/>
                <w:bCs/>
                <w:color w:val="auto"/>
                <w:spacing w:val="7"/>
                <w:sz w:val="20"/>
                <w:szCs w:val="20"/>
                <w:highlight w:val="none"/>
              </w:rPr>
              <w:t>盖供应商单位公章</w:t>
            </w:r>
            <w:r>
              <w:rPr>
                <w:rFonts w:ascii="宋体" w:hAnsi="宋体" w:eastAsia="宋体" w:cs="宋体"/>
                <w:b/>
                <w:bCs/>
                <w:color w:val="auto"/>
                <w:spacing w:val="6"/>
                <w:sz w:val="20"/>
                <w:szCs w:val="20"/>
                <w:highlight w:val="none"/>
              </w:rPr>
              <w:t>或电子签章]</w:t>
            </w:r>
          </w:p>
          <w:p w14:paraId="237D0734">
            <w:pPr>
              <w:spacing w:before="1" w:line="332" w:lineRule="auto"/>
              <w:ind w:left="107" w:right="108" w:hanging="1"/>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③从事食品检验工作满</w:t>
            </w:r>
            <w:r>
              <w:rPr>
                <w:rFonts w:ascii="宋体" w:hAnsi="宋体" w:eastAsia="宋体" w:cs="宋体"/>
                <w:color w:val="auto"/>
                <w:spacing w:val="-24"/>
                <w:sz w:val="20"/>
                <w:szCs w:val="20"/>
                <w:highlight w:val="none"/>
              </w:rPr>
              <w:t xml:space="preserve"> </w:t>
            </w:r>
            <w:r>
              <w:rPr>
                <w:rFonts w:ascii="宋体" w:hAnsi="宋体" w:eastAsia="宋体" w:cs="宋体"/>
                <w:color w:val="auto"/>
                <w:spacing w:val="5"/>
                <w:sz w:val="20"/>
                <w:szCs w:val="20"/>
                <w:highlight w:val="none"/>
              </w:rPr>
              <w:t>2</w:t>
            </w:r>
            <w:r>
              <w:rPr>
                <w:rFonts w:ascii="宋体" w:hAnsi="宋体" w:eastAsia="宋体" w:cs="宋体"/>
                <w:color w:val="auto"/>
                <w:spacing w:val="-37"/>
                <w:sz w:val="20"/>
                <w:szCs w:val="20"/>
                <w:highlight w:val="none"/>
              </w:rPr>
              <w:t xml:space="preserve"> </w:t>
            </w:r>
            <w:r>
              <w:rPr>
                <w:rFonts w:ascii="宋体" w:hAnsi="宋体" w:eastAsia="宋体" w:cs="宋体"/>
                <w:color w:val="auto"/>
                <w:spacing w:val="5"/>
                <w:sz w:val="20"/>
                <w:szCs w:val="20"/>
                <w:highlight w:val="none"/>
              </w:rPr>
              <w:t>年（含）以上具有中级或以上系列职称的技</w:t>
            </w:r>
            <w:r>
              <w:rPr>
                <w:rFonts w:ascii="宋体" w:hAnsi="宋体" w:eastAsia="宋体" w:cs="宋体"/>
                <w:color w:val="auto"/>
                <w:spacing w:val="6"/>
                <w:sz w:val="20"/>
                <w:szCs w:val="20"/>
                <w:highlight w:val="none"/>
              </w:rPr>
              <w:t>术人员不低于</w:t>
            </w:r>
            <w:r>
              <w:rPr>
                <w:rFonts w:ascii="宋体" w:hAnsi="宋体" w:eastAsia="宋体" w:cs="宋体"/>
                <w:color w:val="auto"/>
                <w:spacing w:val="-32"/>
                <w:sz w:val="20"/>
                <w:szCs w:val="20"/>
                <w:highlight w:val="none"/>
              </w:rPr>
              <w:t xml:space="preserve"> </w:t>
            </w:r>
            <w:r>
              <w:rPr>
                <w:rFonts w:ascii="宋体" w:hAnsi="宋体" w:eastAsia="宋体" w:cs="宋体"/>
                <w:color w:val="auto"/>
                <w:spacing w:val="6"/>
                <w:sz w:val="20"/>
                <w:szCs w:val="20"/>
                <w:highlight w:val="none"/>
              </w:rPr>
              <w:t>5</w:t>
            </w:r>
            <w:r>
              <w:rPr>
                <w:rFonts w:ascii="宋体" w:hAnsi="宋体" w:eastAsia="宋体" w:cs="宋体"/>
                <w:color w:val="auto"/>
                <w:spacing w:val="-36"/>
                <w:sz w:val="20"/>
                <w:szCs w:val="20"/>
                <w:highlight w:val="none"/>
              </w:rPr>
              <w:t xml:space="preserve"> </w:t>
            </w:r>
            <w:r>
              <w:rPr>
                <w:rFonts w:ascii="宋体" w:hAnsi="宋体" w:eastAsia="宋体" w:cs="宋体"/>
                <w:color w:val="auto"/>
                <w:spacing w:val="6"/>
                <w:sz w:val="20"/>
                <w:szCs w:val="20"/>
                <w:highlight w:val="none"/>
              </w:rPr>
              <w:t>名</w:t>
            </w:r>
            <w:r>
              <w:rPr>
                <w:rFonts w:ascii="宋体" w:hAnsi="宋体" w:eastAsia="宋体" w:cs="宋体"/>
                <w:color w:val="auto"/>
                <w:spacing w:val="-59"/>
                <w:sz w:val="20"/>
                <w:szCs w:val="20"/>
                <w:highlight w:val="none"/>
              </w:rPr>
              <w:t xml:space="preserve"> </w:t>
            </w:r>
            <w:r>
              <w:rPr>
                <w:rFonts w:ascii="宋体" w:hAnsi="宋体" w:eastAsia="宋体" w:cs="宋体"/>
                <w:b/>
                <w:bCs/>
                <w:color w:val="auto"/>
                <w:spacing w:val="6"/>
                <w:sz w:val="20"/>
                <w:szCs w:val="20"/>
                <w:highlight w:val="none"/>
              </w:rPr>
              <w:t>[响应文件中须提供工作满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2</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年</w:t>
            </w:r>
            <w:r>
              <w:rPr>
                <w:rFonts w:ascii="宋体" w:hAnsi="宋体" w:eastAsia="宋体" w:cs="宋体"/>
                <w:b/>
                <w:bCs/>
                <w:color w:val="auto"/>
                <w:spacing w:val="5"/>
                <w:sz w:val="20"/>
                <w:szCs w:val="20"/>
                <w:highlight w:val="none"/>
              </w:rPr>
              <w:t>及以上直接从事</w:t>
            </w:r>
            <w:r>
              <w:rPr>
                <w:rFonts w:ascii="宋体" w:hAnsi="宋体" w:eastAsia="宋体" w:cs="宋体"/>
                <w:b/>
                <w:bCs/>
                <w:color w:val="auto"/>
                <w:spacing w:val="7"/>
                <w:sz w:val="20"/>
                <w:szCs w:val="20"/>
                <w:highlight w:val="none"/>
              </w:rPr>
              <w:t>食品检验个人工作经历证明材料（如</w:t>
            </w:r>
            <w:r>
              <w:rPr>
                <w:rFonts w:hint="eastAsia" w:ascii="宋体" w:hAnsi="宋体" w:cs="宋体"/>
                <w:b/>
                <w:bCs/>
                <w:color w:val="auto"/>
                <w:spacing w:val="8"/>
                <w:sz w:val="20"/>
                <w:szCs w:val="20"/>
                <w:highlight w:val="none"/>
                <w:lang w:eastAsia="zh-CN"/>
              </w:rPr>
              <w:t>工资流水</w:t>
            </w:r>
            <w:r>
              <w:rPr>
                <w:rFonts w:hint="eastAsia" w:ascii="宋体" w:hAnsi="宋体" w:cs="宋体"/>
                <w:b/>
                <w:bCs/>
                <w:color w:val="auto"/>
                <w:spacing w:val="8"/>
                <w:sz w:val="20"/>
                <w:szCs w:val="20"/>
                <w:highlight w:val="none"/>
                <w:lang w:val="en-US" w:eastAsia="zh-CN"/>
              </w:rPr>
              <w:t>或</w:t>
            </w:r>
            <w:r>
              <w:rPr>
                <w:rFonts w:ascii="宋体" w:hAnsi="宋体" w:eastAsia="宋体" w:cs="宋体"/>
                <w:b/>
                <w:bCs/>
                <w:color w:val="auto"/>
                <w:spacing w:val="7"/>
                <w:sz w:val="20"/>
                <w:szCs w:val="20"/>
                <w:highlight w:val="none"/>
              </w:rPr>
              <w:t>社保证明或承诺等)、人力资源部门颁发的相关职称证明文件，并加盖供应商单位公章或电子签章]</w:t>
            </w:r>
          </w:p>
          <w:p w14:paraId="578C0F95">
            <w:pPr>
              <w:spacing w:before="2" w:line="332" w:lineRule="auto"/>
              <w:ind w:left="106" w:right="108"/>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④同时承担抽样任务的，具有与抽样工作相匹配的独立抽样人员、抽</w:t>
            </w:r>
            <w:r>
              <w:rPr>
                <w:rFonts w:ascii="宋体" w:hAnsi="宋体" w:eastAsia="宋体" w:cs="宋体"/>
                <w:color w:val="auto"/>
                <w:spacing w:val="7"/>
                <w:sz w:val="20"/>
                <w:szCs w:val="20"/>
                <w:highlight w:val="none"/>
              </w:rPr>
              <w:t>样工具、设备等条件；熟悉食品抽样程序，能按照要求派出不少于</w:t>
            </w:r>
            <w:r>
              <w:rPr>
                <w:rFonts w:ascii="宋体" w:hAnsi="宋体" w:eastAsia="宋体" w:cs="宋体"/>
                <w:color w:val="auto"/>
                <w:spacing w:val="-21"/>
                <w:sz w:val="20"/>
                <w:szCs w:val="20"/>
                <w:highlight w:val="none"/>
              </w:rPr>
              <w:t xml:space="preserve"> </w:t>
            </w:r>
            <w:r>
              <w:rPr>
                <w:rFonts w:ascii="宋体" w:hAnsi="宋体" w:eastAsia="宋体" w:cs="宋体"/>
                <w:color w:val="auto"/>
                <w:spacing w:val="7"/>
                <w:sz w:val="20"/>
                <w:szCs w:val="20"/>
                <w:highlight w:val="none"/>
              </w:rPr>
              <w:t>2</w:t>
            </w:r>
            <w:r>
              <w:rPr>
                <w:rFonts w:ascii="宋体" w:hAnsi="宋体" w:eastAsia="宋体" w:cs="宋体"/>
                <w:color w:val="auto"/>
                <w:spacing w:val="6"/>
                <w:sz w:val="20"/>
                <w:szCs w:val="20"/>
                <w:highlight w:val="none"/>
              </w:rPr>
              <w:t>人的抽样人员完成抽样工作，抽样人员熟悉相关法律、法规、规章和标准等有关规定。抽样人员使用规范的抽样文书，准确、完整记录抽</w:t>
            </w:r>
            <w:r>
              <w:rPr>
                <w:rFonts w:ascii="宋体" w:hAnsi="宋体" w:eastAsia="宋体" w:cs="宋体"/>
                <w:color w:val="auto"/>
                <w:spacing w:val="9"/>
                <w:sz w:val="20"/>
                <w:szCs w:val="20"/>
                <w:highlight w:val="none"/>
              </w:rPr>
              <w:t>样信息，抽样程序符合规定。</w:t>
            </w:r>
            <w:r>
              <w:rPr>
                <w:rFonts w:ascii="宋体" w:hAnsi="宋体" w:eastAsia="宋体" w:cs="宋体"/>
                <w:b/>
                <w:bCs/>
                <w:color w:val="auto"/>
                <w:spacing w:val="9"/>
                <w:sz w:val="20"/>
                <w:szCs w:val="20"/>
                <w:highlight w:val="none"/>
              </w:rPr>
              <w:t>（响应文件中须提供抽样工具，设备</w:t>
            </w:r>
            <w:r>
              <w:rPr>
                <w:rFonts w:ascii="宋体" w:hAnsi="宋体" w:eastAsia="宋体" w:cs="宋体"/>
                <w:b/>
                <w:bCs/>
                <w:color w:val="auto"/>
                <w:spacing w:val="8"/>
                <w:sz w:val="20"/>
                <w:szCs w:val="20"/>
                <w:highlight w:val="none"/>
              </w:rPr>
              <w:t>清单、专职抽样人员名单，及所属于供应商单位在职人员的相关证</w:t>
            </w:r>
            <w:r>
              <w:rPr>
                <w:rFonts w:ascii="宋体" w:hAnsi="宋体" w:eastAsia="宋体" w:cs="宋体"/>
                <w:b/>
                <w:bCs/>
                <w:color w:val="auto"/>
                <w:spacing w:val="4"/>
                <w:sz w:val="20"/>
                <w:szCs w:val="20"/>
                <w:highlight w:val="none"/>
              </w:rPr>
              <w:t>明材料，如</w:t>
            </w:r>
            <w:r>
              <w:rPr>
                <w:rFonts w:ascii="宋体" w:hAnsi="宋体" w:eastAsia="宋体" w:cs="宋体"/>
                <w:color w:val="auto"/>
                <w:spacing w:val="-40"/>
                <w:sz w:val="20"/>
                <w:szCs w:val="20"/>
                <w:highlight w:val="none"/>
              </w:rPr>
              <w:t xml:space="preserve"> </w:t>
            </w:r>
            <w:r>
              <w:rPr>
                <w:rFonts w:ascii="Times New Roman" w:hAnsi="Times New Roman" w:eastAsia="Times New Roman" w:cs="Times New Roman"/>
                <w:b/>
                <w:bCs/>
                <w:color w:val="auto"/>
                <w:spacing w:val="4"/>
                <w:sz w:val="20"/>
                <w:szCs w:val="20"/>
                <w:highlight w:val="none"/>
              </w:rPr>
              <w:t>202</w:t>
            </w:r>
            <w:r>
              <w:rPr>
                <w:rFonts w:hint="eastAsia" w:ascii="Times New Roman" w:hAnsi="Times New Roman" w:eastAsia="宋体" w:cs="Times New Roman"/>
                <w:b/>
                <w:bCs/>
                <w:color w:val="auto"/>
                <w:spacing w:val="4"/>
                <w:sz w:val="20"/>
                <w:szCs w:val="20"/>
                <w:highlight w:val="none"/>
                <w:lang w:val="en-US" w:eastAsia="zh-CN"/>
              </w:rPr>
              <w:t>6</w:t>
            </w:r>
            <w:r>
              <w:rPr>
                <w:rFonts w:ascii="Times New Roman" w:hAnsi="Times New Roman" w:eastAsia="Times New Roman" w:cs="Times New Roman"/>
                <w:b/>
                <w:bCs/>
                <w:color w:val="auto"/>
                <w:spacing w:val="4"/>
                <w:sz w:val="20"/>
                <w:szCs w:val="20"/>
                <w:highlight w:val="none"/>
              </w:rPr>
              <w:t xml:space="preserve"> </w:t>
            </w:r>
            <w:r>
              <w:rPr>
                <w:rFonts w:ascii="宋体" w:hAnsi="宋体" w:eastAsia="宋体" w:cs="宋体"/>
                <w:b/>
                <w:bCs/>
                <w:color w:val="auto"/>
                <w:spacing w:val="4"/>
                <w:sz w:val="20"/>
                <w:szCs w:val="20"/>
                <w:highlight w:val="none"/>
              </w:rPr>
              <w:t>年</w:t>
            </w:r>
            <w:r>
              <w:rPr>
                <w:rFonts w:hint="eastAsia" w:ascii="Times New Roman" w:hAnsi="Times New Roman" w:eastAsia="Times New Roman" w:cs="Times New Roman"/>
                <w:b/>
                <w:bCs/>
                <w:color w:val="auto"/>
                <w:spacing w:val="4"/>
                <w:sz w:val="20"/>
                <w:szCs w:val="20"/>
                <w:highlight w:val="none"/>
                <w:lang w:val="en-US" w:eastAsia="zh-CN"/>
              </w:rPr>
              <w:t>任意一个</w:t>
            </w:r>
            <w:r>
              <w:rPr>
                <w:rFonts w:ascii="Times New Roman" w:hAnsi="Times New Roman" w:eastAsia="Times New Roman" w:cs="Times New Roman"/>
                <w:b/>
                <w:bCs/>
                <w:color w:val="auto"/>
                <w:spacing w:val="4"/>
                <w:sz w:val="20"/>
                <w:szCs w:val="20"/>
                <w:highlight w:val="none"/>
              </w:rPr>
              <w:t>月</w:t>
            </w:r>
            <w:r>
              <w:rPr>
                <w:rFonts w:ascii="宋体" w:hAnsi="宋体" w:eastAsia="宋体" w:cs="宋体"/>
                <w:b/>
                <w:bCs/>
                <w:color w:val="auto"/>
                <w:spacing w:val="4"/>
                <w:sz w:val="20"/>
                <w:szCs w:val="20"/>
                <w:highlight w:val="none"/>
              </w:rPr>
              <w:t>工资流水或</w:t>
            </w:r>
            <w:r>
              <w:rPr>
                <w:rFonts w:ascii="宋体" w:hAnsi="宋体" w:eastAsia="宋体" w:cs="宋体"/>
                <w:color w:val="auto"/>
                <w:spacing w:val="-40"/>
                <w:sz w:val="20"/>
                <w:szCs w:val="20"/>
                <w:highlight w:val="none"/>
              </w:rPr>
              <w:t xml:space="preserve"> </w:t>
            </w:r>
            <w:r>
              <w:rPr>
                <w:rFonts w:ascii="Times New Roman" w:hAnsi="Times New Roman" w:eastAsia="Times New Roman" w:cs="Times New Roman"/>
                <w:b/>
                <w:bCs/>
                <w:color w:val="auto"/>
                <w:spacing w:val="4"/>
                <w:sz w:val="20"/>
                <w:szCs w:val="20"/>
                <w:highlight w:val="none"/>
              </w:rPr>
              <w:t>202</w:t>
            </w:r>
            <w:r>
              <w:rPr>
                <w:rFonts w:hint="eastAsia" w:ascii="Times New Roman" w:hAnsi="Times New Roman" w:eastAsia="宋体" w:cs="Times New Roman"/>
                <w:b/>
                <w:bCs/>
                <w:color w:val="auto"/>
                <w:spacing w:val="4"/>
                <w:sz w:val="20"/>
                <w:szCs w:val="20"/>
                <w:highlight w:val="none"/>
                <w:lang w:val="en-US" w:eastAsia="zh-CN"/>
              </w:rPr>
              <w:t>6</w:t>
            </w:r>
            <w:r>
              <w:rPr>
                <w:rFonts w:ascii="Times New Roman" w:hAnsi="Times New Roman" w:eastAsia="Times New Roman" w:cs="Times New Roman"/>
                <w:b/>
                <w:bCs/>
                <w:color w:val="auto"/>
                <w:spacing w:val="4"/>
                <w:sz w:val="20"/>
                <w:szCs w:val="20"/>
                <w:highlight w:val="none"/>
              </w:rPr>
              <w:t xml:space="preserve"> </w:t>
            </w:r>
            <w:r>
              <w:rPr>
                <w:rFonts w:ascii="宋体" w:hAnsi="宋体" w:eastAsia="宋体" w:cs="宋体"/>
                <w:b/>
                <w:bCs/>
                <w:color w:val="auto"/>
                <w:spacing w:val="4"/>
                <w:sz w:val="20"/>
                <w:szCs w:val="20"/>
                <w:highlight w:val="none"/>
              </w:rPr>
              <w:t>年</w:t>
            </w:r>
            <w:r>
              <w:rPr>
                <w:rFonts w:ascii="宋体" w:hAnsi="宋体" w:eastAsia="宋体" w:cs="宋体"/>
                <w:color w:val="auto"/>
                <w:spacing w:val="4"/>
                <w:sz w:val="20"/>
                <w:szCs w:val="20"/>
                <w:highlight w:val="none"/>
              </w:rPr>
              <w:t xml:space="preserve"> </w:t>
            </w:r>
            <w:r>
              <w:rPr>
                <w:rFonts w:ascii="Times New Roman" w:hAnsi="Times New Roman" w:eastAsia="Times New Roman" w:cs="Times New Roman"/>
                <w:b/>
                <w:bCs/>
                <w:color w:val="auto"/>
                <w:spacing w:val="4"/>
                <w:sz w:val="20"/>
                <w:szCs w:val="20"/>
                <w:highlight w:val="none"/>
                <w:u w:val="single" w:color="auto"/>
              </w:rPr>
              <w:t>4</w:t>
            </w:r>
            <w:r>
              <w:rPr>
                <w:rFonts w:ascii="Times New Roman" w:hAnsi="Times New Roman" w:eastAsia="Times New Roman" w:cs="Times New Roman"/>
                <w:b/>
                <w:bCs/>
                <w:color w:val="auto"/>
                <w:spacing w:val="17"/>
                <w:sz w:val="20"/>
                <w:szCs w:val="20"/>
                <w:highlight w:val="none"/>
                <w:u w:val="single" w:color="auto"/>
              </w:rPr>
              <w:t xml:space="preserve"> </w:t>
            </w:r>
            <w:r>
              <w:rPr>
                <w:rFonts w:ascii="宋体" w:hAnsi="宋体" w:eastAsia="宋体" w:cs="宋体"/>
                <w:b/>
                <w:bCs/>
                <w:color w:val="auto"/>
                <w:spacing w:val="4"/>
                <w:sz w:val="20"/>
                <w:szCs w:val="20"/>
                <w:highlight w:val="none"/>
              </w:rPr>
              <w:t>月至</w:t>
            </w:r>
            <w:r>
              <w:rPr>
                <w:rFonts w:ascii="Times New Roman" w:hAnsi="Times New Roman" w:eastAsia="Times New Roman" w:cs="Times New Roman"/>
                <w:b/>
                <w:bCs/>
                <w:color w:val="auto"/>
                <w:spacing w:val="3"/>
                <w:sz w:val="20"/>
                <w:szCs w:val="20"/>
                <w:highlight w:val="none"/>
                <w:u w:val="single" w:color="auto"/>
              </w:rPr>
              <w:t xml:space="preserve">  6</w:t>
            </w:r>
            <w:r>
              <w:rPr>
                <w:rFonts w:ascii="Times New Roman" w:hAnsi="Times New Roman" w:eastAsia="Times New Roman" w:cs="Times New Roman"/>
                <w:b/>
                <w:bCs/>
                <w:color w:val="auto"/>
                <w:spacing w:val="15"/>
                <w:sz w:val="20"/>
                <w:szCs w:val="20"/>
                <w:highlight w:val="none"/>
                <w:u w:val="single" w:color="auto"/>
              </w:rPr>
              <w:t xml:space="preserve"> </w:t>
            </w:r>
            <w:r>
              <w:rPr>
                <w:rFonts w:ascii="宋体" w:hAnsi="宋体" w:eastAsia="宋体" w:cs="宋体"/>
                <w:b/>
                <w:bCs/>
                <w:color w:val="auto"/>
                <w:spacing w:val="3"/>
                <w:sz w:val="20"/>
                <w:szCs w:val="20"/>
                <w:highlight w:val="none"/>
              </w:rPr>
              <w:t>月社保</w:t>
            </w:r>
            <w:r>
              <w:rPr>
                <w:rFonts w:ascii="宋体" w:hAnsi="宋体" w:eastAsia="宋体" w:cs="宋体"/>
                <w:b/>
                <w:bCs/>
                <w:color w:val="auto"/>
                <w:spacing w:val="-2"/>
                <w:sz w:val="20"/>
                <w:szCs w:val="20"/>
                <w:highlight w:val="none"/>
              </w:rPr>
              <w:t>等）</w:t>
            </w:r>
          </w:p>
          <w:p w14:paraId="06682B60">
            <w:pPr>
              <w:spacing w:before="2" w:line="332" w:lineRule="auto"/>
              <w:ind w:left="108" w:right="111" w:firstLine="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（3）能严格遵守检验工作委托时间进度安排和及时报送检验报告、</w:t>
            </w:r>
            <w:r>
              <w:rPr>
                <w:rFonts w:ascii="宋体" w:hAnsi="宋体" w:eastAsia="宋体" w:cs="宋体"/>
                <w:color w:val="auto"/>
                <w:spacing w:val="8"/>
                <w:sz w:val="20"/>
                <w:szCs w:val="20"/>
                <w:highlight w:val="none"/>
              </w:rPr>
              <w:t>质量分析报告等规定的材料。具体时限要求为：接到样品后</w:t>
            </w:r>
            <w:r>
              <w:rPr>
                <w:rFonts w:ascii="宋体" w:hAnsi="宋体" w:eastAsia="宋体" w:cs="宋体"/>
                <w:color w:val="auto"/>
                <w:spacing w:val="-18"/>
                <w:sz w:val="20"/>
                <w:szCs w:val="20"/>
                <w:highlight w:val="none"/>
              </w:rPr>
              <w:t xml:space="preserve"> </w:t>
            </w:r>
            <w:r>
              <w:rPr>
                <w:rFonts w:ascii="宋体" w:hAnsi="宋体" w:eastAsia="宋体" w:cs="宋体"/>
                <w:color w:val="auto"/>
                <w:spacing w:val="8"/>
                <w:sz w:val="20"/>
                <w:szCs w:val="20"/>
                <w:highlight w:val="none"/>
              </w:rPr>
              <w:t>20</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个工</w:t>
            </w:r>
            <w:r>
              <w:rPr>
                <w:rFonts w:ascii="宋体" w:hAnsi="宋体" w:eastAsia="宋体" w:cs="宋体"/>
                <w:color w:val="auto"/>
                <w:spacing w:val="7"/>
                <w:sz w:val="20"/>
                <w:szCs w:val="20"/>
                <w:highlight w:val="none"/>
              </w:rPr>
              <w:t>作日内完成检验工作并在“</w:t>
            </w:r>
            <w:r>
              <w:rPr>
                <w:rFonts w:ascii="宋体" w:hAnsi="宋体" w:eastAsia="宋体" w:cs="宋体"/>
                <w:color w:val="auto"/>
                <w:spacing w:val="-55"/>
                <w:sz w:val="20"/>
                <w:szCs w:val="20"/>
                <w:highlight w:val="none"/>
              </w:rPr>
              <w:t xml:space="preserve"> </w:t>
            </w:r>
            <w:r>
              <w:rPr>
                <w:rFonts w:ascii="宋体" w:hAnsi="宋体" w:eastAsia="宋体" w:cs="宋体"/>
                <w:color w:val="auto"/>
                <w:spacing w:val="7"/>
                <w:sz w:val="20"/>
                <w:szCs w:val="20"/>
                <w:highlight w:val="none"/>
              </w:rPr>
              <w:t>国家食品安全抽样检验信息系统</w:t>
            </w:r>
            <w:r>
              <w:rPr>
                <w:rFonts w:ascii="宋体" w:hAnsi="宋体" w:eastAsia="宋体" w:cs="宋体"/>
                <w:color w:val="auto"/>
                <w:spacing w:val="-69"/>
                <w:sz w:val="20"/>
                <w:szCs w:val="20"/>
                <w:highlight w:val="none"/>
              </w:rPr>
              <w:t xml:space="preserve"> </w:t>
            </w:r>
            <w:r>
              <w:rPr>
                <w:rFonts w:ascii="宋体" w:hAnsi="宋体" w:eastAsia="宋体" w:cs="宋体"/>
                <w:color w:val="auto"/>
                <w:spacing w:val="7"/>
                <w:sz w:val="20"/>
                <w:szCs w:val="20"/>
                <w:highlight w:val="none"/>
              </w:rPr>
              <w:t>”上出</w:t>
            </w:r>
            <w:r>
              <w:rPr>
                <w:rFonts w:ascii="宋体" w:hAnsi="宋体" w:eastAsia="宋体" w:cs="宋体"/>
                <w:color w:val="auto"/>
                <w:spacing w:val="9"/>
                <w:sz w:val="20"/>
                <w:szCs w:val="20"/>
                <w:highlight w:val="none"/>
              </w:rPr>
              <w:t>具通过</w:t>
            </w:r>
            <w:r>
              <w:rPr>
                <w:rFonts w:ascii="宋体" w:hAnsi="宋体" w:eastAsia="宋体" w:cs="宋体"/>
                <w:color w:val="auto"/>
                <w:spacing w:val="-30"/>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8"/>
                <w:sz w:val="20"/>
                <w:szCs w:val="20"/>
                <w:highlight w:val="none"/>
              </w:rPr>
              <w:t xml:space="preserve"> </w:t>
            </w:r>
            <w:r>
              <w:rPr>
                <w:rFonts w:ascii="宋体" w:hAnsi="宋体" w:eastAsia="宋体" w:cs="宋体"/>
                <w:color w:val="auto"/>
                <w:spacing w:val="9"/>
                <w:sz w:val="20"/>
                <w:szCs w:val="20"/>
                <w:highlight w:val="none"/>
              </w:rPr>
              <w:t>认证的电子检验报告书。监督抽检检验结论不合格的，应</w:t>
            </w:r>
            <w:r>
              <w:rPr>
                <w:rFonts w:ascii="宋体" w:hAnsi="宋体" w:eastAsia="宋体" w:cs="宋体"/>
                <w:color w:val="auto"/>
                <w:spacing w:val="8"/>
                <w:sz w:val="20"/>
                <w:szCs w:val="20"/>
                <w:highlight w:val="none"/>
              </w:rPr>
              <w:t>当在检验结论做出后</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个工作日内在“</w:t>
            </w:r>
            <w:r>
              <w:rPr>
                <w:rFonts w:ascii="宋体" w:hAnsi="宋体" w:eastAsia="宋体" w:cs="宋体"/>
                <w:color w:val="auto"/>
                <w:spacing w:val="-70"/>
                <w:sz w:val="20"/>
                <w:szCs w:val="20"/>
                <w:highlight w:val="none"/>
              </w:rPr>
              <w:t xml:space="preserve"> </w:t>
            </w:r>
            <w:r>
              <w:rPr>
                <w:rFonts w:ascii="宋体" w:hAnsi="宋体" w:eastAsia="宋体" w:cs="宋体"/>
                <w:color w:val="auto"/>
                <w:spacing w:val="8"/>
                <w:sz w:val="20"/>
                <w:szCs w:val="20"/>
                <w:highlight w:val="none"/>
              </w:rPr>
              <w:t>国家</w:t>
            </w:r>
            <w:r>
              <w:rPr>
                <w:rFonts w:ascii="宋体" w:hAnsi="宋体" w:eastAsia="宋体" w:cs="宋体"/>
                <w:color w:val="auto"/>
                <w:spacing w:val="7"/>
                <w:sz w:val="20"/>
                <w:szCs w:val="20"/>
                <w:highlight w:val="none"/>
              </w:rPr>
              <w:t>食品安全抽样检验信息</w:t>
            </w:r>
            <w:r>
              <w:rPr>
                <w:rFonts w:ascii="宋体" w:hAnsi="宋体" w:eastAsia="宋体" w:cs="宋体"/>
                <w:color w:val="auto"/>
                <w:spacing w:val="6"/>
                <w:sz w:val="20"/>
                <w:szCs w:val="20"/>
                <w:highlight w:val="none"/>
              </w:rPr>
              <w:t>系统</w:t>
            </w:r>
            <w:r>
              <w:rPr>
                <w:rFonts w:ascii="宋体" w:hAnsi="宋体" w:eastAsia="宋体" w:cs="宋体"/>
                <w:color w:val="auto"/>
                <w:spacing w:val="-56"/>
                <w:sz w:val="20"/>
                <w:szCs w:val="20"/>
                <w:highlight w:val="none"/>
              </w:rPr>
              <w:t xml:space="preserve"> </w:t>
            </w:r>
            <w:r>
              <w:rPr>
                <w:rFonts w:ascii="宋体" w:hAnsi="宋体" w:eastAsia="宋体" w:cs="宋体"/>
                <w:color w:val="auto"/>
                <w:spacing w:val="6"/>
                <w:sz w:val="20"/>
                <w:szCs w:val="20"/>
                <w:highlight w:val="none"/>
              </w:rPr>
              <w:t>”出具通过</w:t>
            </w:r>
            <w:r>
              <w:rPr>
                <w:rFonts w:ascii="宋体" w:hAnsi="宋体" w:eastAsia="宋体" w:cs="宋体"/>
                <w:color w:val="auto"/>
                <w:spacing w:val="-41"/>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认证的电子检验报告书。</w:t>
            </w:r>
          </w:p>
          <w:p w14:paraId="7F861F29">
            <w:pPr>
              <w:spacing w:before="1"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（4）24</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小时限时报告要求：发现不合格样品中含</w:t>
            </w:r>
            <w:r>
              <w:rPr>
                <w:rFonts w:ascii="宋体" w:hAnsi="宋体" w:eastAsia="宋体" w:cs="宋体"/>
                <w:color w:val="auto"/>
                <w:spacing w:val="6"/>
                <w:sz w:val="20"/>
                <w:szCs w:val="20"/>
                <w:highlight w:val="none"/>
              </w:rPr>
              <w:t>有非食用物质或其他可能对身体健康和生命安全造成严重危害的，应当在确认检验结果</w:t>
            </w:r>
            <w:r>
              <w:rPr>
                <w:rFonts w:ascii="宋体" w:hAnsi="宋体" w:eastAsia="宋体" w:cs="宋体"/>
                <w:color w:val="auto"/>
                <w:spacing w:val="8"/>
                <w:sz w:val="20"/>
                <w:szCs w:val="20"/>
                <w:highlight w:val="none"/>
              </w:rPr>
              <w:t>无误后</w:t>
            </w:r>
            <w:r>
              <w:rPr>
                <w:rFonts w:ascii="宋体" w:hAnsi="宋体" w:eastAsia="宋体" w:cs="宋体"/>
                <w:color w:val="auto"/>
                <w:spacing w:val="-34"/>
                <w:sz w:val="20"/>
                <w:szCs w:val="20"/>
                <w:highlight w:val="none"/>
              </w:rPr>
              <w:t xml:space="preserve"> </w:t>
            </w:r>
            <w:r>
              <w:rPr>
                <w:rFonts w:ascii="宋体" w:hAnsi="宋体" w:eastAsia="宋体" w:cs="宋体"/>
                <w:color w:val="auto"/>
                <w:spacing w:val="8"/>
                <w:sz w:val="20"/>
                <w:szCs w:val="20"/>
                <w:highlight w:val="none"/>
              </w:rPr>
              <w:t>24</w:t>
            </w:r>
            <w:r>
              <w:rPr>
                <w:rFonts w:ascii="宋体" w:hAnsi="宋体" w:eastAsia="宋体" w:cs="宋体"/>
                <w:color w:val="auto"/>
                <w:spacing w:val="-32"/>
                <w:sz w:val="20"/>
                <w:szCs w:val="20"/>
                <w:highlight w:val="none"/>
              </w:rPr>
              <w:t xml:space="preserve"> </w:t>
            </w:r>
            <w:r>
              <w:rPr>
                <w:rFonts w:ascii="宋体" w:hAnsi="宋体" w:eastAsia="宋体" w:cs="宋体"/>
                <w:color w:val="auto"/>
                <w:spacing w:val="8"/>
                <w:sz w:val="20"/>
                <w:szCs w:val="20"/>
                <w:highlight w:val="none"/>
              </w:rPr>
              <w:t>小时之内，将限时报告表上传系统，并报告采购人备案。</w:t>
            </w:r>
          </w:p>
          <w:p w14:paraId="6E8E8661">
            <w:pPr>
              <w:spacing w:line="215" w:lineRule="auto"/>
              <w:ind w:left="11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（5）拥有实验室信息化管理系统和信息分析汇总人员，能够完成食</w:t>
            </w:r>
          </w:p>
        </w:tc>
      </w:tr>
    </w:tbl>
    <w:p w14:paraId="0049A1FF">
      <w:pPr>
        <w:rPr>
          <w:rFonts w:ascii="Arial"/>
          <w:color w:val="auto"/>
          <w:sz w:val="21"/>
          <w:highlight w:val="none"/>
        </w:rPr>
      </w:pPr>
    </w:p>
    <w:p w14:paraId="09F1A5EA">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13B10603">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869"/>
        <w:gridCol w:w="658"/>
        <w:gridCol w:w="677"/>
        <w:gridCol w:w="6411"/>
      </w:tblGrid>
      <w:tr w14:paraId="6CE06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650" w:type="dxa"/>
            <w:vAlign w:val="top"/>
          </w:tcPr>
          <w:p w14:paraId="25431649">
            <w:pPr>
              <w:pStyle w:val="179"/>
              <w:rPr>
                <w:color w:val="auto"/>
                <w:highlight w:val="none"/>
              </w:rPr>
            </w:pPr>
          </w:p>
        </w:tc>
        <w:tc>
          <w:tcPr>
            <w:tcW w:w="869" w:type="dxa"/>
            <w:vAlign w:val="top"/>
          </w:tcPr>
          <w:p w14:paraId="381D1CA1">
            <w:pPr>
              <w:pStyle w:val="179"/>
              <w:rPr>
                <w:color w:val="auto"/>
                <w:highlight w:val="none"/>
              </w:rPr>
            </w:pPr>
          </w:p>
        </w:tc>
        <w:tc>
          <w:tcPr>
            <w:tcW w:w="658" w:type="dxa"/>
            <w:vAlign w:val="top"/>
          </w:tcPr>
          <w:p w14:paraId="146E041D">
            <w:pPr>
              <w:pStyle w:val="179"/>
              <w:rPr>
                <w:color w:val="auto"/>
                <w:highlight w:val="none"/>
              </w:rPr>
            </w:pPr>
          </w:p>
        </w:tc>
        <w:tc>
          <w:tcPr>
            <w:tcW w:w="677" w:type="dxa"/>
            <w:vAlign w:val="top"/>
          </w:tcPr>
          <w:p w14:paraId="004563D0">
            <w:pPr>
              <w:pStyle w:val="179"/>
              <w:rPr>
                <w:color w:val="auto"/>
                <w:highlight w:val="none"/>
              </w:rPr>
            </w:pPr>
          </w:p>
        </w:tc>
        <w:tc>
          <w:tcPr>
            <w:tcW w:w="6411" w:type="dxa"/>
            <w:vAlign w:val="top"/>
          </w:tcPr>
          <w:p w14:paraId="7357A165">
            <w:pPr>
              <w:spacing w:before="125" w:line="332" w:lineRule="auto"/>
              <w:ind w:left="106" w:right="40" w:firstLine="17"/>
              <w:jc w:val="both"/>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品安全抽检监测数据上报和结果分析工作；按照“谁采集、谁录入；</w:t>
            </w:r>
            <w:r>
              <w:rPr>
                <w:rFonts w:ascii="宋体" w:hAnsi="宋体" w:eastAsia="宋体" w:cs="宋体"/>
                <w:color w:val="auto"/>
                <w:spacing w:val="4"/>
                <w:sz w:val="20"/>
                <w:szCs w:val="20"/>
                <w:highlight w:val="none"/>
              </w:rPr>
              <w:t>谁检验、谁录入</w:t>
            </w:r>
            <w:r>
              <w:rPr>
                <w:rFonts w:ascii="宋体" w:hAnsi="宋体" w:eastAsia="宋体" w:cs="宋体"/>
                <w:color w:val="auto"/>
                <w:spacing w:val="-57"/>
                <w:sz w:val="20"/>
                <w:szCs w:val="20"/>
                <w:highlight w:val="none"/>
              </w:rPr>
              <w:t xml:space="preserve"> </w:t>
            </w:r>
            <w:r>
              <w:rPr>
                <w:rFonts w:ascii="宋体" w:hAnsi="宋体" w:eastAsia="宋体" w:cs="宋体"/>
                <w:color w:val="auto"/>
                <w:spacing w:val="4"/>
                <w:sz w:val="20"/>
                <w:szCs w:val="20"/>
                <w:highlight w:val="none"/>
              </w:rPr>
              <w:t>”的原则，应当在抽样完成</w:t>
            </w:r>
            <w:r>
              <w:rPr>
                <w:rFonts w:ascii="宋体" w:hAnsi="宋体" w:eastAsia="宋体" w:cs="宋体"/>
                <w:color w:val="auto"/>
                <w:spacing w:val="-37"/>
                <w:sz w:val="20"/>
                <w:szCs w:val="20"/>
                <w:highlight w:val="none"/>
              </w:rPr>
              <w:t xml:space="preserve"> </w:t>
            </w:r>
            <w:r>
              <w:rPr>
                <w:rFonts w:ascii="宋体" w:hAnsi="宋体" w:eastAsia="宋体" w:cs="宋体"/>
                <w:color w:val="auto"/>
                <w:spacing w:val="4"/>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4"/>
                <w:sz w:val="20"/>
                <w:szCs w:val="20"/>
                <w:highlight w:val="none"/>
              </w:rPr>
              <w:t>个工作日内将抽样信息</w:t>
            </w:r>
            <w:r>
              <w:rPr>
                <w:rFonts w:ascii="宋体" w:hAnsi="宋体" w:eastAsia="宋体" w:cs="宋体"/>
                <w:color w:val="auto"/>
                <w:spacing w:val="3"/>
                <w:sz w:val="20"/>
                <w:szCs w:val="20"/>
                <w:highlight w:val="none"/>
              </w:rPr>
              <w:t>录入“</w:t>
            </w:r>
            <w:r>
              <w:rPr>
                <w:rFonts w:ascii="宋体" w:hAnsi="宋体" w:eastAsia="宋体" w:cs="宋体"/>
                <w:color w:val="auto"/>
                <w:spacing w:val="-59"/>
                <w:sz w:val="20"/>
                <w:szCs w:val="20"/>
                <w:highlight w:val="none"/>
              </w:rPr>
              <w:t xml:space="preserve"> </w:t>
            </w:r>
            <w:r>
              <w:rPr>
                <w:rFonts w:ascii="宋体" w:hAnsi="宋体" w:eastAsia="宋体" w:cs="宋体"/>
                <w:color w:val="auto"/>
                <w:spacing w:val="3"/>
                <w:sz w:val="20"/>
                <w:szCs w:val="20"/>
                <w:highlight w:val="none"/>
              </w:rPr>
              <w:t>国家食品安全抽样检验信息系统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3"/>
                <w:sz w:val="20"/>
                <w:szCs w:val="20"/>
                <w:highlight w:val="none"/>
              </w:rPr>
              <w:t>”；检验结论做出后</w:t>
            </w:r>
            <w:r>
              <w:rPr>
                <w:rFonts w:ascii="宋体" w:hAnsi="宋体" w:eastAsia="宋体" w:cs="宋体"/>
                <w:color w:val="auto"/>
                <w:spacing w:val="-32"/>
                <w:sz w:val="20"/>
                <w:szCs w:val="20"/>
                <w:highlight w:val="none"/>
              </w:rPr>
              <w:t xml:space="preserve"> </w:t>
            </w:r>
            <w:r>
              <w:rPr>
                <w:rFonts w:ascii="宋体" w:hAnsi="宋体" w:eastAsia="宋体" w:cs="宋体"/>
                <w:color w:val="auto"/>
                <w:spacing w:val="3"/>
                <w:sz w:val="20"/>
                <w:szCs w:val="20"/>
                <w:highlight w:val="none"/>
              </w:rPr>
              <w:t>5</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个工作</w:t>
            </w:r>
            <w:r>
              <w:rPr>
                <w:rFonts w:ascii="宋体" w:hAnsi="宋体" w:eastAsia="宋体" w:cs="宋体"/>
                <w:color w:val="auto"/>
                <w:spacing w:val="6"/>
                <w:sz w:val="20"/>
                <w:szCs w:val="20"/>
                <w:highlight w:val="none"/>
              </w:rPr>
              <w:t>日内完成检验数据录入“</w:t>
            </w:r>
            <w:r>
              <w:rPr>
                <w:rFonts w:ascii="宋体" w:hAnsi="宋体" w:eastAsia="宋体" w:cs="宋体"/>
                <w:color w:val="auto"/>
                <w:spacing w:val="-53"/>
                <w:sz w:val="20"/>
                <w:szCs w:val="20"/>
                <w:highlight w:val="none"/>
              </w:rPr>
              <w:t xml:space="preserve"> </w:t>
            </w:r>
            <w:r>
              <w:rPr>
                <w:rFonts w:ascii="宋体" w:hAnsi="宋体" w:eastAsia="宋体" w:cs="宋体"/>
                <w:color w:val="auto"/>
                <w:spacing w:val="6"/>
                <w:sz w:val="20"/>
                <w:szCs w:val="20"/>
                <w:highlight w:val="none"/>
              </w:rPr>
              <w:t>国家食品安全抽样检验信息系统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6"/>
                <w:sz w:val="20"/>
                <w:szCs w:val="20"/>
                <w:highlight w:val="none"/>
              </w:rPr>
              <w:t>”的工作。</w:t>
            </w:r>
            <w:r>
              <w:rPr>
                <w:rFonts w:ascii="宋体" w:hAnsi="宋体" w:eastAsia="宋体" w:cs="宋体"/>
                <w:color w:val="auto"/>
                <w:spacing w:val="9"/>
                <w:sz w:val="20"/>
                <w:szCs w:val="20"/>
                <w:highlight w:val="none"/>
              </w:rPr>
              <w:t>录入的信息、数据应当及时、准确。</w:t>
            </w:r>
            <w:r>
              <w:rPr>
                <w:rFonts w:ascii="宋体" w:hAnsi="宋体" w:eastAsia="宋体" w:cs="宋体"/>
                <w:b/>
                <w:bCs/>
                <w:color w:val="auto"/>
                <w:spacing w:val="9"/>
                <w:sz w:val="20"/>
                <w:szCs w:val="20"/>
                <w:highlight w:val="none"/>
              </w:rPr>
              <w:t>（响应文件中须提供拟投入相</w:t>
            </w:r>
            <w:r>
              <w:rPr>
                <w:rFonts w:ascii="宋体" w:hAnsi="宋体" w:eastAsia="宋体" w:cs="宋体"/>
                <w:b/>
                <w:bCs/>
                <w:color w:val="auto"/>
                <w:spacing w:val="5"/>
                <w:sz w:val="20"/>
                <w:szCs w:val="20"/>
                <w:highlight w:val="none"/>
              </w:rPr>
              <w:t>关人员名单）</w:t>
            </w:r>
          </w:p>
          <w:p w14:paraId="2041C5A7">
            <w:pPr>
              <w:spacing w:line="332" w:lineRule="auto"/>
              <w:ind w:left="106" w:right="210" w:firstLine="1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（6）供应商必须通过</w:t>
            </w:r>
            <w:r>
              <w:rPr>
                <w:rFonts w:ascii="宋体" w:hAnsi="宋体" w:eastAsia="宋体" w:cs="宋体"/>
                <w:color w:val="auto"/>
                <w:spacing w:val="-34"/>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数字证书认证。</w:t>
            </w:r>
            <w:r>
              <w:rPr>
                <w:rFonts w:ascii="宋体" w:hAnsi="宋体" w:eastAsia="宋体" w:cs="宋体"/>
                <w:b/>
                <w:bCs/>
                <w:color w:val="auto"/>
                <w:spacing w:val="8"/>
                <w:sz w:val="20"/>
                <w:szCs w:val="20"/>
                <w:highlight w:val="none"/>
              </w:rPr>
              <w:t>（响应文件中须提供购买</w:t>
            </w:r>
            <w:r>
              <w:rPr>
                <w:rFonts w:ascii="宋体" w:hAnsi="宋体" w:eastAsia="宋体" w:cs="宋体"/>
                <w:b/>
                <w:bCs/>
                <w:color w:val="auto"/>
                <w:sz w:val="20"/>
                <w:szCs w:val="20"/>
                <w:highlight w:val="none"/>
              </w:rPr>
              <w:t>CA</w:t>
            </w:r>
            <w:r>
              <w:rPr>
                <w:rFonts w:ascii="宋体" w:hAnsi="宋体" w:eastAsia="宋体" w:cs="宋体"/>
                <w:color w:val="auto"/>
                <w:spacing w:val="-39"/>
                <w:sz w:val="20"/>
                <w:szCs w:val="20"/>
                <w:highlight w:val="none"/>
              </w:rPr>
              <w:t xml:space="preserve"> </w:t>
            </w:r>
            <w:r>
              <w:rPr>
                <w:rFonts w:ascii="宋体" w:hAnsi="宋体" w:eastAsia="宋体" w:cs="宋体"/>
                <w:b/>
                <w:bCs/>
                <w:color w:val="auto"/>
                <w:spacing w:val="8"/>
                <w:sz w:val="20"/>
                <w:szCs w:val="20"/>
                <w:highlight w:val="none"/>
              </w:rPr>
              <w:t>数字证书的发票或通过受理审批的数字证书申请表</w:t>
            </w:r>
            <w:r>
              <w:rPr>
                <w:rFonts w:ascii="宋体" w:hAnsi="宋体" w:eastAsia="宋体" w:cs="宋体"/>
                <w:b/>
                <w:bCs/>
                <w:color w:val="auto"/>
                <w:spacing w:val="7"/>
                <w:sz w:val="20"/>
                <w:szCs w:val="20"/>
                <w:highlight w:val="none"/>
              </w:rPr>
              <w:t>复印件）</w:t>
            </w:r>
          </w:p>
          <w:p w14:paraId="1D37F0AD">
            <w:pPr>
              <w:spacing w:line="229" w:lineRule="auto"/>
              <w:ind w:left="117"/>
              <w:rPr>
                <w:rFonts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（四）项目实施要求：</w:t>
            </w:r>
          </w:p>
          <w:p w14:paraId="105671C2">
            <w:pPr>
              <w:spacing w:before="112" w:line="228" w:lineRule="auto"/>
              <w:ind w:left="1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1、抽样进度安排</w:t>
            </w:r>
          </w:p>
          <w:p w14:paraId="677C2D75">
            <w:pPr>
              <w:spacing w:before="113" w:line="332" w:lineRule="auto"/>
              <w:ind w:left="106" w:right="114"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（1）抽检进度要按照防城港市市场监管局食品安全抽检检测工作实</w:t>
            </w:r>
            <w:r>
              <w:rPr>
                <w:rFonts w:ascii="宋体" w:hAnsi="宋体" w:eastAsia="宋体" w:cs="宋体"/>
                <w:color w:val="auto"/>
                <w:spacing w:val="3"/>
                <w:sz w:val="20"/>
                <w:szCs w:val="20"/>
                <w:highlight w:val="none"/>
              </w:rPr>
              <w:t>施方案要求时限完成，检验时限不得超过</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202</w:t>
            </w:r>
            <w:r>
              <w:rPr>
                <w:rFonts w:hint="eastAsia" w:ascii="宋体" w:hAnsi="宋体" w:eastAsia="宋体" w:cs="宋体"/>
                <w:color w:val="auto"/>
                <w:spacing w:val="3"/>
                <w:sz w:val="20"/>
                <w:szCs w:val="20"/>
                <w:highlight w:val="none"/>
                <w:lang w:val="en-US" w:eastAsia="zh-CN"/>
              </w:rPr>
              <w:t>6</w:t>
            </w:r>
            <w:r>
              <w:rPr>
                <w:rFonts w:ascii="宋体" w:hAnsi="宋体" w:eastAsia="宋体" w:cs="宋体"/>
                <w:color w:val="auto"/>
                <w:spacing w:val="-37"/>
                <w:sz w:val="20"/>
                <w:szCs w:val="20"/>
                <w:highlight w:val="none"/>
              </w:rPr>
              <w:t xml:space="preserve"> </w:t>
            </w:r>
            <w:r>
              <w:rPr>
                <w:rFonts w:ascii="宋体" w:hAnsi="宋体" w:eastAsia="宋体" w:cs="宋体"/>
                <w:color w:val="auto"/>
                <w:spacing w:val="3"/>
                <w:sz w:val="20"/>
                <w:szCs w:val="20"/>
                <w:highlight w:val="none"/>
              </w:rPr>
              <w:t>年</w:t>
            </w:r>
            <w:r>
              <w:rPr>
                <w:rFonts w:ascii="宋体" w:hAnsi="宋体" w:eastAsia="宋体" w:cs="宋体"/>
                <w:color w:val="auto"/>
                <w:spacing w:val="-24"/>
                <w:sz w:val="20"/>
                <w:szCs w:val="20"/>
                <w:highlight w:val="none"/>
              </w:rPr>
              <w:t xml:space="preserve"> </w:t>
            </w:r>
            <w:r>
              <w:rPr>
                <w:rFonts w:ascii="宋体" w:hAnsi="宋体" w:eastAsia="宋体" w:cs="宋体"/>
                <w:color w:val="auto"/>
                <w:spacing w:val="3"/>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3"/>
                <w:sz w:val="20"/>
                <w:szCs w:val="20"/>
                <w:highlight w:val="none"/>
              </w:rPr>
              <w:t>月</w:t>
            </w:r>
            <w:r>
              <w:rPr>
                <w:rFonts w:ascii="宋体" w:hAnsi="宋体" w:eastAsia="宋体" w:cs="宋体"/>
                <w:color w:val="auto"/>
                <w:spacing w:val="-23"/>
                <w:sz w:val="20"/>
                <w:szCs w:val="20"/>
                <w:highlight w:val="none"/>
              </w:rPr>
              <w:t xml:space="preserve"> </w:t>
            </w:r>
            <w:r>
              <w:rPr>
                <w:rFonts w:ascii="宋体" w:hAnsi="宋体" w:eastAsia="宋体" w:cs="宋体"/>
                <w:color w:val="auto"/>
                <w:spacing w:val="3"/>
                <w:sz w:val="20"/>
                <w:szCs w:val="20"/>
                <w:highlight w:val="none"/>
              </w:rPr>
              <w:t>10 日。</w:t>
            </w:r>
          </w:p>
          <w:p w14:paraId="0BB8764F">
            <w:pPr>
              <w:spacing w:line="228" w:lineRule="auto"/>
              <w:ind w:left="1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2、抽检分工</w:t>
            </w:r>
          </w:p>
          <w:p w14:paraId="14613FED">
            <w:pPr>
              <w:spacing w:before="113" w:line="332" w:lineRule="auto"/>
              <w:ind w:left="106" w:right="114"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（1）供应商须负责样品采集、检验、复核、信息汇总、抽检数据报</w:t>
            </w:r>
            <w:r>
              <w:rPr>
                <w:rFonts w:ascii="宋体" w:hAnsi="宋体" w:eastAsia="宋体" w:cs="宋体"/>
                <w:color w:val="auto"/>
                <w:spacing w:val="8"/>
                <w:sz w:val="20"/>
                <w:szCs w:val="20"/>
                <w:highlight w:val="none"/>
              </w:rPr>
              <w:t>送和检验报告等工作。</w:t>
            </w:r>
          </w:p>
          <w:p w14:paraId="4F04FB64">
            <w:pPr>
              <w:spacing w:before="1" w:line="332" w:lineRule="auto"/>
              <w:ind w:left="109" w:right="114"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（2）供应商抽检区域应覆盖防城区；抽检产品类别应覆盖本标项要</w:t>
            </w:r>
            <w:r>
              <w:rPr>
                <w:rFonts w:ascii="宋体" w:hAnsi="宋体" w:eastAsia="宋体" w:cs="宋体"/>
                <w:color w:val="auto"/>
                <w:spacing w:val="6"/>
                <w:sz w:val="20"/>
                <w:szCs w:val="20"/>
                <w:highlight w:val="none"/>
              </w:rPr>
              <w:t>求的食品品种。</w:t>
            </w:r>
          </w:p>
          <w:p w14:paraId="455B7EDC">
            <w:pPr>
              <w:spacing w:line="228" w:lineRule="auto"/>
              <w:ind w:left="11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3、抽样检验要求</w:t>
            </w:r>
          </w:p>
          <w:p w14:paraId="5FB994AF">
            <w:pPr>
              <w:spacing w:before="115" w:line="332" w:lineRule="auto"/>
              <w:ind w:left="106"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（1）供应商在抽检工作执行过程中要严格按照《中华人民共和国食</w:t>
            </w:r>
            <w:r>
              <w:rPr>
                <w:rFonts w:ascii="宋体" w:hAnsi="宋体" w:eastAsia="宋体" w:cs="宋体"/>
                <w:color w:val="auto"/>
                <w:spacing w:val="6"/>
                <w:sz w:val="20"/>
                <w:szCs w:val="20"/>
                <w:highlight w:val="none"/>
              </w:rPr>
              <w:t>品安全法》《中华人民共和国食品安全法实施条例》《食品安全抽样</w:t>
            </w:r>
            <w:r>
              <w:rPr>
                <w:rFonts w:ascii="宋体" w:hAnsi="宋体" w:eastAsia="宋体" w:cs="宋体"/>
                <w:color w:val="auto"/>
                <w:spacing w:val="9"/>
                <w:sz w:val="20"/>
                <w:szCs w:val="20"/>
                <w:highlight w:val="none"/>
              </w:rPr>
              <w:t>检验管理办法》《全国食品安全监督抽检实施细则（202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9"/>
                <w:sz w:val="20"/>
                <w:szCs w:val="20"/>
                <w:highlight w:val="none"/>
              </w:rPr>
              <w:t>年版）》</w:t>
            </w:r>
            <w:r>
              <w:rPr>
                <w:rFonts w:ascii="宋体" w:hAnsi="宋体" w:eastAsia="宋体" w:cs="宋体"/>
                <w:color w:val="auto"/>
                <w:spacing w:val="6"/>
                <w:sz w:val="20"/>
                <w:szCs w:val="20"/>
                <w:highlight w:val="none"/>
              </w:rPr>
              <w:t>及广西壮族自治区市场监督管理局《广西食品安全监督抽检实施细则</w:t>
            </w:r>
            <w:r>
              <w:rPr>
                <w:rFonts w:ascii="宋体" w:hAnsi="宋体" w:eastAsia="宋体" w:cs="宋体"/>
                <w:color w:val="auto"/>
                <w:spacing w:val="9"/>
                <w:sz w:val="20"/>
                <w:szCs w:val="20"/>
                <w:highlight w:val="none"/>
              </w:rPr>
              <w:t>（202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9"/>
                <w:sz w:val="20"/>
                <w:szCs w:val="20"/>
                <w:highlight w:val="none"/>
              </w:rPr>
              <w:t>年版）等有关法律法规、规章及相关规</w:t>
            </w:r>
            <w:r>
              <w:rPr>
                <w:rFonts w:ascii="宋体" w:hAnsi="宋体" w:eastAsia="宋体" w:cs="宋体"/>
                <w:color w:val="auto"/>
                <w:spacing w:val="8"/>
                <w:sz w:val="20"/>
                <w:szCs w:val="20"/>
                <w:highlight w:val="none"/>
              </w:rPr>
              <w:t>定，抽样过程严格按照监督抽检工作程序，履行法定手续。</w:t>
            </w:r>
          </w:p>
          <w:p w14:paraId="169CB7E9">
            <w:pPr>
              <w:spacing w:before="1" w:line="332" w:lineRule="auto"/>
              <w:ind w:left="106" w:right="109" w:firstLine="1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（2）供应商要严格按照《全国食品安全监督抽检实施细</w:t>
            </w:r>
            <w:r>
              <w:rPr>
                <w:rFonts w:ascii="宋体" w:hAnsi="宋体" w:eastAsia="宋体" w:cs="宋体"/>
                <w:color w:val="auto"/>
                <w:spacing w:val="6"/>
                <w:sz w:val="20"/>
                <w:szCs w:val="20"/>
                <w:highlight w:val="none"/>
              </w:rPr>
              <w:t>则（202</w:t>
            </w:r>
            <w:r>
              <w:rPr>
                <w:rFonts w:hint="eastAsia" w:ascii="宋体" w:hAnsi="宋体" w:eastAsia="宋体" w:cs="宋体"/>
                <w:color w:val="auto"/>
                <w:spacing w:val="6"/>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6"/>
                <w:sz w:val="20"/>
                <w:szCs w:val="20"/>
                <w:highlight w:val="none"/>
              </w:rPr>
              <w:t>年版）》及广西壮族自治区市场监督管理局《广西食品安全监督抽检实</w:t>
            </w:r>
            <w:r>
              <w:rPr>
                <w:rFonts w:ascii="宋体" w:hAnsi="宋体" w:eastAsia="宋体" w:cs="宋体"/>
                <w:color w:val="auto"/>
                <w:spacing w:val="9"/>
                <w:sz w:val="20"/>
                <w:szCs w:val="20"/>
                <w:highlight w:val="none"/>
              </w:rPr>
              <w:t>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9"/>
                <w:sz w:val="20"/>
                <w:szCs w:val="20"/>
                <w:highlight w:val="none"/>
              </w:rPr>
              <w:t>年版）的相关要求开展样品的采集、检</w:t>
            </w:r>
            <w:r>
              <w:rPr>
                <w:rFonts w:ascii="宋体" w:hAnsi="宋体" w:eastAsia="宋体" w:cs="宋体"/>
                <w:color w:val="auto"/>
                <w:spacing w:val="8"/>
                <w:sz w:val="20"/>
                <w:szCs w:val="20"/>
                <w:highlight w:val="none"/>
              </w:rPr>
              <w:t>验，数据审核</w:t>
            </w:r>
            <w:r>
              <w:rPr>
                <w:rFonts w:ascii="宋体" w:hAnsi="宋体" w:eastAsia="宋体" w:cs="宋体"/>
                <w:color w:val="auto"/>
                <w:spacing w:val="6"/>
                <w:sz w:val="20"/>
                <w:szCs w:val="20"/>
                <w:highlight w:val="none"/>
              </w:rPr>
              <w:t>报送、数据分析和研判等工作。抽样过程要保留现场抽样视频图像证</w:t>
            </w:r>
            <w:r>
              <w:rPr>
                <w:rFonts w:ascii="宋体" w:hAnsi="宋体" w:eastAsia="宋体" w:cs="宋体"/>
                <w:color w:val="auto"/>
                <w:spacing w:val="1"/>
                <w:sz w:val="20"/>
                <w:szCs w:val="20"/>
                <w:highlight w:val="none"/>
              </w:rPr>
              <w:t>据。</w:t>
            </w:r>
          </w:p>
          <w:p w14:paraId="6C1D1A7C">
            <w:pPr>
              <w:spacing w:before="1" w:line="332" w:lineRule="auto"/>
              <w:ind w:left="107" w:right="163" w:firstLine="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（3）供应商要严格按照食品安全标准和检验规范对食品进行检验，</w:t>
            </w:r>
            <w:r>
              <w:rPr>
                <w:rFonts w:ascii="宋体" w:hAnsi="宋体" w:eastAsia="宋体" w:cs="宋体"/>
                <w:color w:val="auto"/>
                <w:spacing w:val="8"/>
                <w:sz w:val="20"/>
                <w:szCs w:val="20"/>
                <w:highlight w:val="none"/>
              </w:rPr>
              <w:t>确保数据和结论客观、公正。</w:t>
            </w:r>
          </w:p>
          <w:p w14:paraId="6E2C933F">
            <w:pPr>
              <w:spacing w:before="1" w:line="332" w:lineRule="auto"/>
              <w:ind w:left="111" w:right="114"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（4）供应商采取人员比对、设备比对或实验室间比对等多种质控方</w:t>
            </w:r>
            <w:r>
              <w:rPr>
                <w:rFonts w:ascii="宋体" w:hAnsi="宋体" w:eastAsia="宋体" w:cs="宋体"/>
                <w:color w:val="auto"/>
                <w:spacing w:val="8"/>
                <w:sz w:val="20"/>
                <w:szCs w:val="20"/>
                <w:highlight w:val="none"/>
              </w:rPr>
              <w:t>式，确保抽检数据的准确性。</w:t>
            </w:r>
          </w:p>
          <w:p w14:paraId="15BC0BF7">
            <w:pPr>
              <w:spacing w:line="227" w:lineRule="auto"/>
              <w:ind w:right="15"/>
              <w:jc w:val="right"/>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（5）供应商对于不合格样品必须进行复核，确保检测结果准确可靠。</w:t>
            </w:r>
          </w:p>
          <w:p w14:paraId="231389FB">
            <w:pPr>
              <w:spacing w:before="114" w:line="332" w:lineRule="auto"/>
              <w:ind w:left="111" w:right="114" w:firstLine="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（6）供应商负责将所有抽检数据录入国家市场监管总局“</w:t>
            </w:r>
            <w:r>
              <w:rPr>
                <w:rFonts w:ascii="宋体" w:hAnsi="宋体" w:eastAsia="宋体" w:cs="宋体"/>
                <w:color w:val="auto"/>
                <w:spacing w:val="-68"/>
                <w:sz w:val="20"/>
                <w:szCs w:val="20"/>
                <w:highlight w:val="none"/>
              </w:rPr>
              <w:t xml:space="preserve"> </w:t>
            </w:r>
            <w:r>
              <w:rPr>
                <w:rFonts w:ascii="宋体" w:hAnsi="宋体" w:eastAsia="宋体" w:cs="宋体"/>
                <w:color w:val="auto"/>
                <w:spacing w:val="8"/>
                <w:sz w:val="20"/>
                <w:szCs w:val="20"/>
                <w:highlight w:val="none"/>
              </w:rPr>
              <w:t>国家食品</w:t>
            </w:r>
            <w:r>
              <w:rPr>
                <w:rFonts w:ascii="宋体" w:hAnsi="宋体" w:eastAsia="宋体" w:cs="宋体"/>
                <w:color w:val="auto"/>
                <w:spacing w:val="6"/>
                <w:sz w:val="20"/>
                <w:szCs w:val="20"/>
                <w:highlight w:val="none"/>
              </w:rPr>
              <w:t>安全抽样检验信息系统</w:t>
            </w:r>
            <w:r>
              <w:rPr>
                <w:rFonts w:ascii="宋体" w:hAnsi="宋体" w:eastAsia="宋体" w:cs="宋体"/>
                <w:color w:val="auto"/>
                <w:spacing w:val="-69"/>
                <w:sz w:val="20"/>
                <w:szCs w:val="20"/>
                <w:highlight w:val="none"/>
              </w:rPr>
              <w:t xml:space="preserve"> </w:t>
            </w:r>
            <w:r>
              <w:rPr>
                <w:rFonts w:ascii="宋体" w:hAnsi="宋体" w:eastAsia="宋体" w:cs="宋体"/>
                <w:color w:val="auto"/>
                <w:spacing w:val="6"/>
                <w:sz w:val="20"/>
                <w:szCs w:val="20"/>
                <w:highlight w:val="none"/>
              </w:rPr>
              <w:t>”平台。</w:t>
            </w:r>
          </w:p>
          <w:p w14:paraId="28417020">
            <w:pPr>
              <w:spacing w:before="2" w:line="226" w:lineRule="auto"/>
              <w:ind w:left="10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4、监督与评估</w:t>
            </w:r>
          </w:p>
          <w:p w14:paraId="1DD0C33C">
            <w:pPr>
              <w:spacing w:before="114" w:line="215" w:lineRule="auto"/>
              <w:ind w:left="11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（1）供应商对其出具的检验报告的真实性和准确性负责。供应商应</w:t>
            </w:r>
          </w:p>
        </w:tc>
      </w:tr>
    </w:tbl>
    <w:p w14:paraId="352BAA28">
      <w:pPr>
        <w:rPr>
          <w:rFonts w:ascii="Arial"/>
          <w:color w:val="auto"/>
          <w:sz w:val="21"/>
          <w:highlight w:val="none"/>
        </w:rPr>
      </w:pPr>
    </w:p>
    <w:p w14:paraId="4085366D">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3F5AD655">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869"/>
        <w:gridCol w:w="658"/>
        <w:gridCol w:w="677"/>
        <w:gridCol w:w="6411"/>
      </w:tblGrid>
      <w:tr w14:paraId="4CC091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7" w:hRule="atLeast"/>
        </w:trPr>
        <w:tc>
          <w:tcPr>
            <w:tcW w:w="650" w:type="dxa"/>
            <w:vAlign w:val="top"/>
          </w:tcPr>
          <w:p w14:paraId="02288617">
            <w:pPr>
              <w:pStyle w:val="179"/>
              <w:rPr>
                <w:color w:val="auto"/>
                <w:highlight w:val="none"/>
              </w:rPr>
            </w:pPr>
          </w:p>
        </w:tc>
        <w:tc>
          <w:tcPr>
            <w:tcW w:w="869" w:type="dxa"/>
            <w:vAlign w:val="top"/>
          </w:tcPr>
          <w:p w14:paraId="3C346D31">
            <w:pPr>
              <w:pStyle w:val="179"/>
              <w:rPr>
                <w:color w:val="auto"/>
                <w:highlight w:val="none"/>
              </w:rPr>
            </w:pPr>
          </w:p>
        </w:tc>
        <w:tc>
          <w:tcPr>
            <w:tcW w:w="658" w:type="dxa"/>
            <w:vAlign w:val="top"/>
          </w:tcPr>
          <w:p w14:paraId="3AC05FC5">
            <w:pPr>
              <w:pStyle w:val="179"/>
              <w:rPr>
                <w:color w:val="auto"/>
                <w:highlight w:val="none"/>
              </w:rPr>
            </w:pPr>
          </w:p>
        </w:tc>
        <w:tc>
          <w:tcPr>
            <w:tcW w:w="677" w:type="dxa"/>
            <w:vAlign w:val="top"/>
          </w:tcPr>
          <w:p w14:paraId="76F86AEC">
            <w:pPr>
              <w:pStyle w:val="179"/>
              <w:rPr>
                <w:color w:val="auto"/>
                <w:highlight w:val="none"/>
              </w:rPr>
            </w:pPr>
          </w:p>
        </w:tc>
        <w:tc>
          <w:tcPr>
            <w:tcW w:w="6411" w:type="dxa"/>
            <w:vAlign w:val="top"/>
          </w:tcPr>
          <w:p w14:paraId="6583B013">
            <w:pPr>
              <w:spacing w:before="124" w:line="332" w:lineRule="auto"/>
              <w:ind w:left="107" w:right="109" w:firstLine="13"/>
              <w:jc w:val="both"/>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当按规定的报告格式出具国家食品安全监督抽检检验报</w:t>
            </w:r>
            <w:r>
              <w:rPr>
                <w:rFonts w:ascii="宋体" w:hAnsi="宋体" w:eastAsia="宋体" w:cs="宋体"/>
                <w:color w:val="auto"/>
                <w:spacing w:val="5"/>
                <w:sz w:val="20"/>
                <w:szCs w:val="20"/>
                <w:highlight w:val="none"/>
              </w:rPr>
              <w:t>告，检验报告</w:t>
            </w:r>
            <w:r>
              <w:rPr>
                <w:rFonts w:ascii="宋体" w:hAnsi="宋体" w:eastAsia="宋体" w:cs="宋体"/>
                <w:color w:val="auto"/>
                <w:spacing w:val="6"/>
                <w:sz w:val="20"/>
                <w:szCs w:val="20"/>
                <w:highlight w:val="none"/>
              </w:rPr>
              <w:t xml:space="preserve">应当内容真实齐全、数据准确。供应商应在收到样品之日起 </w:t>
            </w:r>
            <w:r>
              <w:rPr>
                <w:rFonts w:ascii="宋体" w:hAnsi="宋体" w:eastAsia="宋体" w:cs="宋体"/>
                <w:color w:val="auto"/>
                <w:spacing w:val="5"/>
                <w:sz w:val="20"/>
                <w:szCs w:val="20"/>
                <w:highlight w:val="none"/>
              </w:rPr>
              <w:t>20 个工</w:t>
            </w:r>
            <w:r>
              <w:rPr>
                <w:rFonts w:ascii="宋体" w:hAnsi="宋体" w:eastAsia="宋体" w:cs="宋体"/>
                <w:color w:val="auto"/>
                <w:spacing w:val="8"/>
                <w:sz w:val="20"/>
                <w:szCs w:val="20"/>
                <w:highlight w:val="none"/>
              </w:rPr>
              <w:t>作日内出具检验报告。</w:t>
            </w:r>
          </w:p>
          <w:p w14:paraId="6DF422B3">
            <w:pPr>
              <w:spacing w:before="1"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（2）供应商应当依照有关法律、法规的规定，并按照食品安全标准</w:t>
            </w:r>
            <w:r>
              <w:rPr>
                <w:rFonts w:ascii="宋体" w:hAnsi="宋体" w:eastAsia="宋体" w:cs="宋体"/>
                <w:color w:val="auto"/>
                <w:spacing w:val="6"/>
                <w:sz w:val="20"/>
                <w:szCs w:val="20"/>
                <w:highlight w:val="none"/>
              </w:rPr>
              <w:t>和检验规范对食品进行检验，尊重科学，恪守职业道德，保证出具的</w:t>
            </w:r>
            <w:r>
              <w:rPr>
                <w:rFonts w:ascii="宋体" w:hAnsi="宋体" w:eastAsia="宋体" w:cs="宋体"/>
                <w:color w:val="auto"/>
                <w:spacing w:val="9"/>
                <w:sz w:val="20"/>
                <w:szCs w:val="20"/>
                <w:highlight w:val="none"/>
              </w:rPr>
              <w:t>检验数据和结论客观、公正，不得出具虚假检验报告。</w:t>
            </w:r>
          </w:p>
          <w:p w14:paraId="3DE89AB5">
            <w:pPr>
              <w:spacing w:line="332" w:lineRule="auto"/>
              <w:ind w:left="112" w:right="114"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（3）防城港市市场监督管理局负责食品安全抽检实施的监督管理和</w:t>
            </w:r>
            <w:r>
              <w:rPr>
                <w:rFonts w:ascii="宋体" w:hAnsi="宋体" w:eastAsia="宋体" w:cs="宋体"/>
                <w:color w:val="auto"/>
                <w:spacing w:val="6"/>
                <w:sz w:val="20"/>
                <w:szCs w:val="20"/>
                <w:highlight w:val="none"/>
              </w:rPr>
              <w:t>效果评价工作。</w:t>
            </w:r>
          </w:p>
          <w:p w14:paraId="2DF0598E">
            <w:pPr>
              <w:spacing w:line="332" w:lineRule="auto"/>
              <w:ind w:left="109" w:right="114"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（4）供应商不得私自泄露、擅自使用或对外发布食品安全抽样检验</w:t>
            </w:r>
            <w:r>
              <w:rPr>
                <w:rFonts w:ascii="宋体" w:hAnsi="宋体" w:eastAsia="宋体" w:cs="宋体"/>
                <w:color w:val="auto"/>
                <w:spacing w:val="7"/>
                <w:sz w:val="20"/>
                <w:szCs w:val="20"/>
                <w:highlight w:val="none"/>
              </w:rPr>
              <w:t>数据结果和相关信息。</w:t>
            </w:r>
          </w:p>
          <w:p w14:paraId="58835E15">
            <w:pPr>
              <w:spacing w:line="332" w:lineRule="auto"/>
              <w:ind w:left="106" w:right="114"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（5）供应商不得接受被抽样单位的馈赠，不得利用抽检结果开展有</w:t>
            </w:r>
            <w:r>
              <w:rPr>
                <w:rFonts w:ascii="宋体" w:hAnsi="宋体" w:eastAsia="宋体" w:cs="宋体"/>
                <w:color w:val="auto"/>
                <w:spacing w:val="8"/>
                <w:sz w:val="20"/>
                <w:szCs w:val="20"/>
                <w:highlight w:val="none"/>
              </w:rPr>
              <w:t>偿活动，谋取不正当利益。</w:t>
            </w:r>
          </w:p>
          <w:p w14:paraId="6E5330E0">
            <w:pPr>
              <w:spacing w:before="1" w:line="332" w:lineRule="auto"/>
              <w:ind w:left="107" w:right="114"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（6）供应商应严格遵守防城港市市场监督管理局食品安全抽检监测</w:t>
            </w:r>
            <w:r>
              <w:rPr>
                <w:rFonts w:ascii="宋体" w:hAnsi="宋体" w:eastAsia="宋体" w:cs="宋体"/>
                <w:color w:val="auto"/>
                <w:spacing w:val="8"/>
                <w:sz w:val="20"/>
                <w:szCs w:val="20"/>
                <w:highlight w:val="none"/>
              </w:rPr>
              <w:t>承检机构管理制度等相关规定。</w:t>
            </w:r>
          </w:p>
          <w:p w14:paraId="3E706935">
            <w:pPr>
              <w:spacing w:before="1" w:line="293" w:lineRule="auto"/>
              <w:ind w:left="106" w:right="109"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（7）在抽检服务过程中，采购人发现供应商出具虚假报告、透露检</w:t>
            </w:r>
            <w:r>
              <w:rPr>
                <w:rFonts w:ascii="宋体" w:hAnsi="宋体" w:eastAsia="宋体" w:cs="宋体"/>
                <w:color w:val="auto"/>
                <w:spacing w:val="6"/>
                <w:sz w:val="20"/>
                <w:szCs w:val="20"/>
                <w:highlight w:val="none"/>
              </w:rPr>
              <w:t>验结果的，采购人将对供应商不诚信行为进行通报并纳入信用记录上</w:t>
            </w:r>
            <w:r>
              <w:rPr>
                <w:rFonts w:ascii="宋体" w:hAnsi="宋体" w:eastAsia="宋体" w:cs="宋体"/>
                <w:color w:val="auto"/>
                <w:spacing w:val="7"/>
                <w:sz w:val="20"/>
                <w:szCs w:val="20"/>
                <w:highlight w:val="none"/>
              </w:rPr>
              <w:t>报财政部门。</w:t>
            </w:r>
          </w:p>
        </w:tc>
      </w:tr>
      <w:tr w14:paraId="5C50F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265" w:type="dxa"/>
            <w:gridSpan w:val="5"/>
            <w:vAlign w:val="top"/>
          </w:tcPr>
          <w:p w14:paraId="4FEC831C">
            <w:pPr>
              <w:spacing w:before="160" w:line="228" w:lineRule="auto"/>
              <w:ind w:left="117"/>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▲二、商务要求</w:t>
            </w:r>
          </w:p>
        </w:tc>
      </w:tr>
      <w:tr w14:paraId="7926F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2854" w:type="dxa"/>
            <w:gridSpan w:val="4"/>
            <w:vAlign w:val="top"/>
          </w:tcPr>
          <w:p w14:paraId="7F391ECD">
            <w:pPr>
              <w:spacing w:before="241" w:line="231" w:lineRule="auto"/>
              <w:ind w:left="101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合同签订</w:t>
            </w:r>
          </w:p>
        </w:tc>
        <w:tc>
          <w:tcPr>
            <w:tcW w:w="6411" w:type="dxa"/>
            <w:vAlign w:val="top"/>
          </w:tcPr>
          <w:p w14:paraId="4625076C">
            <w:pPr>
              <w:spacing w:before="241" w:line="228" w:lineRule="auto"/>
              <w:ind w:left="142"/>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自成交通知书发出之日起</w:t>
            </w:r>
            <w:r>
              <w:rPr>
                <w:rFonts w:ascii="宋体" w:hAnsi="宋体" w:eastAsia="宋体" w:cs="宋体"/>
                <w:color w:val="auto"/>
                <w:spacing w:val="-35"/>
                <w:sz w:val="20"/>
                <w:szCs w:val="20"/>
                <w:highlight w:val="none"/>
              </w:rPr>
              <w:t xml:space="preserve"> </w:t>
            </w:r>
            <w:r>
              <w:rPr>
                <w:rFonts w:ascii="宋体" w:hAnsi="宋体" w:eastAsia="宋体" w:cs="宋体"/>
                <w:color w:val="auto"/>
                <w:spacing w:val="2"/>
                <w:sz w:val="20"/>
                <w:szCs w:val="20"/>
                <w:highlight w:val="none"/>
              </w:rPr>
              <w:t>25 日内。</w:t>
            </w:r>
          </w:p>
        </w:tc>
      </w:tr>
      <w:tr w14:paraId="0A2A3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2854" w:type="dxa"/>
            <w:gridSpan w:val="4"/>
            <w:vAlign w:val="top"/>
          </w:tcPr>
          <w:p w14:paraId="1AB62949">
            <w:pPr>
              <w:pStyle w:val="179"/>
              <w:spacing w:line="323" w:lineRule="auto"/>
              <w:rPr>
                <w:color w:val="auto"/>
                <w:highlight w:val="none"/>
              </w:rPr>
            </w:pPr>
          </w:p>
          <w:p w14:paraId="47717F4A">
            <w:pPr>
              <w:pStyle w:val="179"/>
              <w:spacing w:line="324" w:lineRule="auto"/>
              <w:rPr>
                <w:color w:val="auto"/>
                <w:highlight w:val="none"/>
              </w:rPr>
            </w:pPr>
          </w:p>
          <w:p w14:paraId="0CF98C81">
            <w:pPr>
              <w:spacing w:before="65" w:line="228" w:lineRule="auto"/>
              <w:ind w:left="69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服务时间及地点</w:t>
            </w:r>
          </w:p>
        </w:tc>
        <w:tc>
          <w:tcPr>
            <w:tcW w:w="6411" w:type="dxa"/>
            <w:vAlign w:val="top"/>
          </w:tcPr>
          <w:p w14:paraId="65007295">
            <w:pPr>
              <w:spacing w:before="33" w:line="377" w:lineRule="auto"/>
              <w:ind w:left="110" w:right="109" w:firstLine="1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1、服务时间：自合同签订之日起开始提供服务，20</w:t>
            </w:r>
            <w:r>
              <w:rPr>
                <w:rFonts w:ascii="宋体" w:hAnsi="宋体" w:eastAsia="宋体" w:cs="宋体"/>
                <w:color w:val="auto"/>
                <w:spacing w:val="2"/>
                <w:sz w:val="20"/>
                <w:szCs w:val="20"/>
                <w:highlight w:val="none"/>
              </w:rPr>
              <w:t>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
                <w:sz w:val="20"/>
                <w:szCs w:val="20"/>
                <w:highlight w:val="none"/>
              </w:rPr>
              <w:t>年</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6"/>
                <w:sz w:val="20"/>
                <w:szCs w:val="20"/>
                <w:highlight w:val="none"/>
              </w:rPr>
              <w:t>前全部抽检完成并录入国抽系统，按具体方案时间节点要求提供质量</w:t>
            </w:r>
            <w:r>
              <w:rPr>
                <w:rFonts w:ascii="宋体" w:hAnsi="宋体" w:eastAsia="宋体" w:cs="宋体"/>
                <w:color w:val="auto"/>
                <w:spacing w:val="5"/>
                <w:sz w:val="20"/>
                <w:szCs w:val="20"/>
                <w:highlight w:val="none"/>
              </w:rPr>
              <w:t>分析报告。</w:t>
            </w:r>
          </w:p>
          <w:p w14:paraId="6286ACE7">
            <w:pPr>
              <w:spacing w:line="227" w:lineRule="auto"/>
              <w:ind w:left="11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2、服务地点：防城港市防城区内采购人指定地点。</w:t>
            </w:r>
          </w:p>
        </w:tc>
      </w:tr>
      <w:tr w14:paraId="790B9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8" w:hRule="atLeast"/>
        </w:trPr>
        <w:tc>
          <w:tcPr>
            <w:tcW w:w="2854" w:type="dxa"/>
            <w:gridSpan w:val="4"/>
            <w:vAlign w:val="top"/>
          </w:tcPr>
          <w:p w14:paraId="1ADD7F51">
            <w:pPr>
              <w:pStyle w:val="179"/>
              <w:spacing w:line="252" w:lineRule="auto"/>
              <w:rPr>
                <w:color w:val="auto"/>
                <w:highlight w:val="none"/>
              </w:rPr>
            </w:pPr>
          </w:p>
          <w:p w14:paraId="55D41059">
            <w:pPr>
              <w:pStyle w:val="179"/>
              <w:spacing w:line="252" w:lineRule="auto"/>
              <w:rPr>
                <w:color w:val="auto"/>
                <w:highlight w:val="none"/>
              </w:rPr>
            </w:pPr>
          </w:p>
          <w:p w14:paraId="68DC93AA">
            <w:pPr>
              <w:pStyle w:val="179"/>
              <w:spacing w:line="252" w:lineRule="auto"/>
              <w:rPr>
                <w:color w:val="auto"/>
                <w:highlight w:val="none"/>
              </w:rPr>
            </w:pPr>
          </w:p>
          <w:p w14:paraId="7519DCCC">
            <w:pPr>
              <w:pStyle w:val="179"/>
              <w:spacing w:line="252" w:lineRule="auto"/>
              <w:rPr>
                <w:color w:val="auto"/>
                <w:highlight w:val="none"/>
              </w:rPr>
            </w:pPr>
          </w:p>
          <w:p w14:paraId="7D55CC87">
            <w:pPr>
              <w:pStyle w:val="179"/>
              <w:spacing w:line="252" w:lineRule="auto"/>
              <w:rPr>
                <w:color w:val="auto"/>
                <w:highlight w:val="none"/>
              </w:rPr>
            </w:pPr>
          </w:p>
          <w:p w14:paraId="5587D8A0">
            <w:pPr>
              <w:pStyle w:val="179"/>
              <w:spacing w:line="253" w:lineRule="auto"/>
              <w:rPr>
                <w:color w:val="auto"/>
                <w:highlight w:val="none"/>
              </w:rPr>
            </w:pPr>
          </w:p>
          <w:p w14:paraId="30B64251">
            <w:pPr>
              <w:pStyle w:val="179"/>
              <w:spacing w:line="253" w:lineRule="auto"/>
              <w:rPr>
                <w:color w:val="auto"/>
                <w:highlight w:val="none"/>
              </w:rPr>
            </w:pPr>
          </w:p>
          <w:p w14:paraId="239B84FC">
            <w:pPr>
              <w:pStyle w:val="179"/>
              <w:spacing w:line="253" w:lineRule="auto"/>
              <w:rPr>
                <w:color w:val="auto"/>
                <w:highlight w:val="none"/>
              </w:rPr>
            </w:pPr>
          </w:p>
          <w:p w14:paraId="1D22D98C">
            <w:pPr>
              <w:pStyle w:val="179"/>
              <w:spacing w:line="253" w:lineRule="auto"/>
              <w:rPr>
                <w:color w:val="auto"/>
                <w:highlight w:val="none"/>
              </w:rPr>
            </w:pPr>
          </w:p>
          <w:p w14:paraId="64D96716">
            <w:pPr>
              <w:spacing w:before="65" w:line="227" w:lineRule="auto"/>
              <w:ind w:left="100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磋商报价</w:t>
            </w:r>
          </w:p>
        </w:tc>
        <w:tc>
          <w:tcPr>
            <w:tcW w:w="6411" w:type="dxa"/>
            <w:vAlign w:val="top"/>
          </w:tcPr>
          <w:p w14:paraId="5E881987">
            <w:pPr>
              <w:spacing w:before="35" w:line="377" w:lineRule="auto"/>
              <w:ind w:left="106" w:right="109" w:firstLine="1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1、磋商报价应遵照由广西壮族自治区物价局和广西壮族自治区财政</w:t>
            </w:r>
            <w:r>
              <w:rPr>
                <w:rFonts w:ascii="宋体" w:hAnsi="宋体" w:eastAsia="宋体" w:cs="宋体"/>
                <w:color w:val="auto"/>
                <w:spacing w:val="6"/>
                <w:sz w:val="20"/>
                <w:szCs w:val="20"/>
                <w:highlight w:val="none"/>
              </w:rPr>
              <w:t>厅发布的《关于正式核定全区产品质量检验收费项目和收费标准的通</w:t>
            </w:r>
            <w:r>
              <w:rPr>
                <w:rFonts w:ascii="宋体" w:hAnsi="宋体" w:eastAsia="宋体" w:cs="宋体"/>
                <w:color w:val="auto"/>
                <w:spacing w:val="8"/>
                <w:sz w:val="20"/>
                <w:szCs w:val="20"/>
                <w:highlight w:val="none"/>
              </w:rPr>
              <w:t>知》（桂价费〔2013〕16</w:t>
            </w:r>
            <w:r>
              <w:rPr>
                <w:rFonts w:ascii="宋体" w:hAnsi="宋体" w:eastAsia="宋体" w:cs="宋体"/>
                <w:color w:val="auto"/>
                <w:spacing w:val="-23"/>
                <w:sz w:val="20"/>
                <w:szCs w:val="20"/>
                <w:highlight w:val="none"/>
              </w:rPr>
              <w:t xml:space="preserve"> </w:t>
            </w:r>
            <w:r>
              <w:rPr>
                <w:rFonts w:ascii="宋体" w:hAnsi="宋体" w:eastAsia="宋体" w:cs="宋体"/>
                <w:color w:val="auto"/>
                <w:spacing w:val="8"/>
                <w:sz w:val="20"/>
                <w:szCs w:val="20"/>
                <w:highlight w:val="none"/>
              </w:rPr>
              <w:t>号）和《财政厅关于降低产品质量监督检验收费标准及有关问题的通知》（桂价费〔2015〕54</w:t>
            </w:r>
            <w:r>
              <w:rPr>
                <w:rFonts w:ascii="宋体" w:hAnsi="宋体" w:eastAsia="宋体" w:cs="宋体"/>
                <w:color w:val="auto"/>
                <w:spacing w:val="-34"/>
                <w:sz w:val="20"/>
                <w:szCs w:val="20"/>
                <w:highlight w:val="none"/>
              </w:rPr>
              <w:t xml:space="preserve"> </w:t>
            </w:r>
            <w:r>
              <w:rPr>
                <w:rFonts w:ascii="宋体" w:hAnsi="宋体" w:eastAsia="宋体" w:cs="宋体"/>
                <w:color w:val="auto"/>
                <w:spacing w:val="8"/>
                <w:sz w:val="20"/>
                <w:szCs w:val="20"/>
                <w:highlight w:val="none"/>
              </w:rPr>
              <w:t>号）的规定。</w:t>
            </w:r>
          </w:p>
          <w:p w14:paraId="77BB43ED">
            <w:pPr>
              <w:spacing w:before="5" w:line="372" w:lineRule="auto"/>
              <w:ind w:left="107" w:right="38" w:firstLine="2"/>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2、磋商报价包括但不限于：供应商完成本项目所有工作任务（出具</w:t>
            </w:r>
            <w:r>
              <w:rPr>
                <w:rFonts w:ascii="宋体" w:hAnsi="宋体" w:eastAsia="宋体" w:cs="宋体"/>
                <w:color w:val="auto"/>
                <w:spacing w:val="6"/>
                <w:sz w:val="20"/>
                <w:szCs w:val="20"/>
                <w:highlight w:val="none"/>
              </w:rPr>
              <w:t>成果文件）所需的一切费用（含完成项目过程中所需的劳务、技术服</w:t>
            </w:r>
            <w:r>
              <w:rPr>
                <w:rFonts w:ascii="宋体" w:hAnsi="宋体" w:eastAsia="宋体" w:cs="宋体"/>
                <w:color w:val="auto"/>
                <w:spacing w:val="8"/>
                <w:sz w:val="20"/>
                <w:szCs w:val="20"/>
                <w:highlight w:val="none"/>
              </w:rPr>
              <w:t>务费、交通差旅费、资料印刷费</w:t>
            </w:r>
            <w:r>
              <w:rPr>
                <w:rFonts w:hint="eastAsia" w:ascii="宋体" w:hAnsi="宋体" w:cs="宋体"/>
                <w:color w:val="auto"/>
                <w:spacing w:val="8"/>
                <w:sz w:val="20"/>
                <w:szCs w:val="20"/>
                <w:highlight w:val="none"/>
                <w:lang w:eastAsia="zh-CN"/>
              </w:rPr>
              <w:t>、</w:t>
            </w:r>
            <w:r>
              <w:rPr>
                <w:rFonts w:hint="eastAsia" w:ascii="宋体" w:hAnsi="宋体" w:cs="宋体"/>
                <w:color w:val="auto"/>
                <w:spacing w:val="8"/>
                <w:sz w:val="20"/>
                <w:szCs w:val="20"/>
                <w:highlight w:val="none"/>
                <w:lang w:val="en-US" w:eastAsia="zh-CN"/>
              </w:rPr>
              <w:t>招标代理费</w:t>
            </w:r>
            <w:r>
              <w:rPr>
                <w:rFonts w:ascii="宋体" w:hAnsi="宋体" w:eastAsia="宋体" w:cs="宋体"/>
                <w:color w:val="auto"/>
                <w:spacing w:val="8"/>
                <w:sz w:val="20"/>
                <w:szCs w:val="20"/>
                <w:highlight w:val="none"/>
              </w:rPr>
              <w:t>、调研、材料、设备、仪器、运输、</w:t>
            </w:r>
            <w:r>
              <w:rPr>
                <w:rFonts w:ascii="宋体" w:hAnsi="宋体" w:eastAsia="宋体" w:cs="宋体"/>
                <w:color w:val="auto"/>
                <w:spacing w:val="2"/>
                <w:sz w:val="20"/>
                <w:szCs w:val="20"/>
                <w:highlight w:val="none"/>
              </w:rPr>
              <w:t>检测与试验、应急抽检、验收、安全警戒、评审、咨询、会务</w:t>
            </w:r>
            <w:r>
              <w:rPr>
                <w:rFonts w:ascii="宋体" w:hAnsi="宋体" w:eastAsia="宋体" w:cs="宋体"/>
                <w:color w:val="auto"/>
                <w:spacing w:val="1"/>
                <w:sz w:val="20"/>
                <w:szCs w:val="20"/>
                <w:highlight w:val="none"/>
              </w:rPr>
              <w:t>、管理、</w:t>
            </w:r>
            <w:r>
              <w:rPr>
                <w:rFonts w:ascii="宋体" w:hAnsi="宋体" w:eastAsia="宋体" w:cs="宋体"/>
                <w:color w:val="auto"/>
                <w:spacing w:val="6"/>
                <w:sz w:val="20"/>
                <w:szCs w:val="20"/>
                <w:highlight w:val="none"/>
              </w:rPr>
              <w:t>保险、税费、利润等费用，以及合同明示或暗示的所有责任、义务和一般风险等的一切费用等各种费用在内）。合同价不因任何因素而调整。根据采购人的需要，供应商将无条件提供抽检合格备份样品给防</w:t>
            </w:r>
            <w:r>
              <w:rPr>
                <w:rFonts w:ascii="宋体" w:hAnsi="宋体" w:eastAsia="宋体" w:cs="宋体"/>
                <w:color w:val="auto"/>
                <w:spacing w:val="8"/>
                <w:sz w:val="20"/>
                <w:szCs w:val="20"/>
                <w:highlight w:val="none"/>
              </w:rPr>
              <w:t>城港市市场监督管理局。</w:t>
            </w:r>
          </w:p>
        </w:tc>
      </w:tr>
    </w:tbl>
    <w:p w14:paraId="4C8DB2A5">
      <w:pPr>
        <w:rPr>
          <w:rFonts w:ascii="Arial"/>
          <w:color w:val="auto"/>
          <w:sz w:val="21"/>
          <w:highlight w:val="none"/>
        </w:rPr>
      </w:pPr>
    </w:p>
    <w:p w14:paraId="62EA623E">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3F2E890F">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54"/>
        <w:gridCol w:w="108"/>
        <w:gridCol w:w="3015"/>
        <w:gridCol w:w="2322"/>
        <w:gridCol w:w="966"/>
      </w:tblGrid>
      <w:tr w14:paraId="7D8E96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2854" w:type="dxa"/>
            <w:vAlign w:val="top"/>
          </w:tcPr>
          <w:p w14:paraId="6FD630E5">
            <w:pPr>
              <w:spacing w:before="109" w:line="228" w:lineRule="auto"/>
              <w:ind w:left="90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检出率要求</w:t>
            </w:r>
          </w:p>
        </w:tc>
        <w:tc>
          <w:tcPr>
            <w:tcW w:w="6411" w:type="dxa"/>
            <w:gridSpan w:val="4"/>
            <w:vAlign w:val="top"/>
          </w:tcPr>
          <w:p w14:paraId="15BB4E77">
            <w:pPr>
              <w:spacing w:before="78" w:line="274" w:lineRule="exact"/>
              <w:ind w:left="108"/>
              <w:rPr>
                <w:rFonts w:ascii="宋体" w:hAnsi="宋体" w:eastAsia="宋体" w:cs="宋体"/>
                <w:color w:val="auto"/>
                <w:sz w:val="20"/>
                <w:szCs w:val="20"/>
                <w:highlight w:val="none"/>
              </w:rPr>
            </w:pPr>
            <w:r>
              <w:rPr>
                <w:rFonts w:ascii="宋体" w:hAnsi="宋体" w:eastAsia="宋体" w:cs="宋体"/>
                <w:color w:val="auto"/>
                <w:spacing w:val="8"/>
                <w:position w:val="1"/>
                <w:sz w:val="20"/>
                <w:szCs w:val="20"/>
                <w:highlight w:val="none"/>
              </w:rPr>
              <w:t>监督抽检不合格率检出率必须达到</w:t>
            </w:r>
            <w:r>
              <w:rPr>
                <w:rFonts w:ascii="宋体" w:hAnsi="宋体" w:eastAsia="宋体" w:cs="宋体"/>
                <w:color w:val="auto"/>
                <w:spacing w:val="-37"/>
                <w:position w:val="1"/>
                <w:sz w:val="20"/>
                <w:szCs w:val="20"/>
                <w:highlight w:val="none"/>
              </w:rPr>
              <w:t xml:space="preserve"> </w:t>
            </w:r>
            <w:r>
              <w:rPr>
                <w:rFonts w:ascii="Times New Roman" w:hAnsi="Times New Roman" w:eastAsia="Times New Roman" w:cs="Times New Roman"/>
                <w:color w:val="auto"/>
                <w:spacing w:val="8"/>
                <w:position w:val="1"/>
                <w:sz w:val="20"/>
                <w:szCs w:val="20"/>
                <w:highlight w:val="none"/>
              </w:rPr>
              <w:t>5%</w:t>
            </w:r>
            <w:r>
              <w:rPr>
                <w:rFonts w:ascii="宋体" w:hAnsi="宋体" w:eastAsia="宋体" w:cs="宋体"/>
                <w:color w:val="auto"/>
                <w:spacing w:val="8"/>
                <w:position w:val="1"/>
                <w:sz w:val="20"/>
                <w:szCs w:val="20"/>
                <w:highlight w:val="none"/>
              </w:rPr>
              <w:t>以上（含本数）。</w:t>
            </w:r>
          </w:p>
        </w:tc>
      </w:tr>
      <w:tr w14:paraId="17FED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7" w:hRule="atLeast"/>
        </w:trPr>
        <w:tc>
          <w:tcPr>
            <w:tcW w:w="2854" w:type="dxa"/>
            <w:vMerge w:val="restart"/>
            <w:tcBorders>
              <w:bottom w:val="nil"/>
            </w:tcBorders>
            <w:vAlign w:val="top"/>
          </w:tcPr>
          <w:p w14:paraId="72E08FB9">
            <w:pPr>
              <w:pStyle w:val="179"/>
              <w:spacing w:line="265" w:lineRule="auto"/>
              <w:rPr>
                <w:color w:val="auto"/>
                <w:highlight w:val="none"/>
              </w:rPr>
            </w:pPr>
          </w:p>
          <w:p w14:paraId="39FC75F5">
            <w:pPr>
              <w:pStyle w:val="179"/>
              <w:spacing w:line="266" w:lineRule="auto"/>
              <w:rPr>
                <w:color w:val="auto"/>
                <w:highlight w:val="none"/>
              </w:rPr>
            </w:pPr>
          </w:p>
          <w:p w14:paraId="69792409">
            <w:pPr>
              <w:pStyle w:val="179"/>
              <w:spacing w:line="266" w:lineRule="auto"/>
              <w:rPr>
                <w:color w:val="auto"/>
                <w:highlight w:val="none"/>
              </w:rPr>
            </w:pPr>
          </w:p>
          <w:p w14:paraId="3BE0AD2A">
            <w:pPr>
              <w:pStyle w:val="179"/>
              <w:spacing w:line="266" w:lineRule="auto"/>
              <w:rPr>
                <w:color w:val="auto"/>
                <w:highlight w:val="none"/>
              </w:rPr>
            </w:pPr>
          </w:p>
          <w:p w14:paraId="14BC5BA8">
            <w:pPr>
              <w:pStyle w:val="179"/>
              <w:spacing w:line="266" w:lineRule="auto"/>
              <w:rPr>
                <w:color w:val="auto"/>
                <w:highlight w:val="none"/>
              </w:rPr>
            </w:pPr>
          </w:p>
          <w:p w14:paraId="74DC7267">
            <w:pPr>
              <w:pStyle w:val="179"/>
              <w:spacing w:line="266" w:lineRule="auto"/>
              <w:rPr>
                <w:color w:val="auto"/>
                <w:highlight w:val="none"/>
              </w:rPr>
            </w:pPr>
          </w:p>
          <w:p w14:paraId="2A4C1EDC">
            <w:pPr>
              <w:pStyle w:val="179"/>
              <w:spacing w:line="266" w:lineRule="auto"/>
              <w:rPr>
                <w:color w:val="auto"/>
                <w:highlight w:val="none"/>
              </w:rPr>
            </w:pPr>
          </w:p>
          <w:p w14:paraId="557719B1">
            <w:pPr>
              <w:pStyle w:val="179"/>
              <w:spacing w:line="266" w:lineRule="auto"/>
              <w:rPr>
                <w:color w:val="auto"/>
                <w:highlight w:val="none"/>
              </w:rPr>
            </w:pPr>
          </w:p>
          <w:p w14:paraId="35B806C5">
            <w:pPr>
              <w:pStyle w:val="179"/>
              <w:spacing w:line="266" w:lineRule="auto"/>
              <w:rPr>
                <w:color w:val="auto"/>
                <w:highlight w:val="none"/>
              </w:rPr>
            </w:pPr>
          </w:p>
          <w:p w14:paraId="7785196E">
            <w:pPr>
              <w:spacing w:before="65" w:line="228" w:lineRule="auto"/>
              <w:ind w:left="10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付款条件</w:t>
            </w:r>
          </w:p>
        </w:tc>
        <w:tc>
          <w:tcPr>
            <w:tcW w:w="6411" w:type="dxa"/>
            <w:gridSpan w:val="4"/>
            <w:vAlign w:val="top"/>
          </w:tcPr>
          <w:p w14:paraId="7F20BB45">
            <w:pPr>
              <w:spacing w:before="51" w:line="228" w:lineRule="auto"/>
              <w:ind w:left="12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1、付款方式：</w:t>
            </w:r>
          </w:p>
          <w:p w14:paraId="13FFC5A9">
            <w:pPr>
              <w:spacing w:before="64" w:line="288" w:lineRule="auto"/>
              <w:ind w:left="106" w:right="109"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w:t>
            </w:r>
            <w:r>
              <w:rPr>
                <w:rFonts w:ascii="宋体" w:hAnsi="宋体" w:eastAsia="宋体" w:cs="宋体"/>
                <w:color w:val="auto"/>
                <w:spacing w:val="-38"/>
                <w:sz w:val="20"/>
                <w:szCs w:val="20"/>
                <w:highlight w:val="none"/>
              </w:rPr>
              <w:t xml:space="preserve"> </w:t>
            </w:r>
            <w:r>
              <w:rPr>
                <w:rFonts w:ascii="宋体" w:hAnsi="宋体" w:eastAsia="宋体" w:cs="宋体"/>
                <w:color w:val="auto"/>
                <w:spacing w:val="9"/>
                <w:sz w:val="20"/>
                <w:szCs w:val="20"/>
                <w:highlight w:val="none"/>
              </w:rPr>
              <w:t>自合同签订之日起且财政拨付项目预算款到位后</w:t>
            </w:r>
            <w:r>
              <w:rPr>
                <w:rFonts w:ascii="宋体" w:hAnsi="宋体" w:eastAsia="宋体" w:cs="宋体"/>
                <w:color w:val="auto"/>
                <w:spacing w:val="-19"/>
                <w:sz w:val="20"/>
                <w:szCs w:val="20"/>
                <w:highlight w:val="none"/>
              </w:rPr>
              <w:t xml:space="preserve"> </w:t>
            </w:r>
            <w:r>
              <w:rPr>
                <w:rFonts w:ascii="宋体" w:hAnsi="宋体" w:eastAsia="宋体" w:cs="宋体"/>
                <w:color w:val="auto"/>
                <w:spacing w:val="9"/>
                <w:sz w:val="20"/>
                <w:szCs w:val="20"/>
                <w:highlight w:val="none"/>
              </w:rPr>
              <w:t>10</w:t>
            </w:r>
            <w:r>
              <w:rPr>
                <w:rFonts w:ascii="宋体" w:hAnsi="宋体" w:eastAsia="宋体" w:cs="宋体"/>
                <w:color w:val="auto"/>
                <w:spacing w:val="-36"/>
                <w:sz w:val="20"/>
                <w:szCs w:val="20"/>
                <w:highlight w:val="none"/>
              </w:rPr>
              <w:t xml:space="preserve"> </w:t>
            </w:r>
            <w:r>
              <w:rPr>
                <w:rFonts w:ascii="宋体" w:hAnsi="宋体" w:eastAsia="宋体" w:cs="宋体"/>
                <w:color w:val="auto"/>
                <w:spacing w:val="9"/>
                <w:sz w:val="20"/>
                <w:szCs w:val="20"/>
                <w:highlight w:val="none"/>
              </w:rPr>
              <w:t>个工作日</w:t>
            </w:r>
            <w:r>
              <w:rPr>
                <w:rFonts w:ascii="宋体" w:hAnsi="宋体" w:eastAsia="宋体" w:cs="宋体"/>
                <w:color w:val="auto"/>
                <w:spacing w:val="7"/>
                <w:sz w:val="20"/>
                <w:szCs w:val="20"/>
                <w:highlight w:val="none"/>
              </w:rPr>
              <w:t>内，采购人向成交供应商支付成交金额的</w:t>
            </w:r>
            <w:r>
              <w:rPr>
                <w:rFonts w:ascii="宋体" w:hAnsi="宋体" w:eastAsia="宋体" w:cs="宋体"/>
                <w:color w:val="auto"/>
                <w:spacing w:val="-28"/>
                <w:sz w:val="20"/>
                <w:szCs w:val="20"/>
                <w:highlight w:val="none"/>
              </w:rPr>
              <w:t xml:space="preserve"> </w:t>
            </w:r>
            <w:r>
              <w:rPr>
                <w:rFonts w:ascii="宋体" w:hAnsi="宋体" w:eastAsia="宋体" w:cs="宋体"/>
                <w:color w:val="auto"/>
                <w:spacing w:val="7"/>
                <w:sz w:val="20"/>
                <w:szCs w:val="20"/>
                <w:highlight w:val="none"/>
              </w:rPr>
              <w:t>50%作为预付款；预付款申</w:t>
            </w:r>
            <w:r>
              <w:rPr>
                <w:rFonts w:ascii="宋体" w:hAnsi="宋体" w:eastAsia="宋体" w:cs="宋体"/>
                <w:color w:val="auto"/>
                <w:spacing w:val="9"/>
                <w:sz w:val="20"/>
                <w:szCs w:val="20"/>
                <w:highlight w:val="none"/>
              </w:rPr>
              <w:t>请时，成交供应商须开具相应金额的税额发票给采购人。</w:t>
            </w:r>
          </w:p>
          <w:p w14:paraId="35E78994">
            <w:pPr>
              <w:spacing w:before="3" w:line="287" w:lineRule="auto"/>
              <w:ind w:left="106" w:right="109" w:firstLine="1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（2）成交供应商提交最终检验结果后，</w:t>
            </w:r>
            <w:r>
              <w:rPr>
                <w:rFonts w:ascii="宋体" w:hAnsi="宋体" w:eastAsia="宋体" w:cs="宋体"/>
                <w:color w:val="auto"/>
                <w:spacing w:val="-59"/>
                <w:sz w:val="20"/>
                <w:szCs w:val="20"/>
                <w:highlight w:val="none"/>
              </w:rPr>
              <w:t xml:space="preserve"> </w:t>
            </w:r>
            <w:r>
              <w:rPr>
                <w:rFonts w:ascii="宋体" w:hAnsi="宋体" w:eastAsia="宋体" w:cs="宋体"/>
                <w:color w:val="auto"/>
                <w:spacing w:val="8"/>
                <w:sz w:val="20"/>
                <w:szCs w:val="20"/>
                <w:highlight w:val="none"/>
              </w:rPr>
              <w:t>由采购人按抽检批</w:t>
            </w:r>
            <w:r>
              <w:rPr>
                <w:rFonts w:ascii="宋体" w:hAnsi="宋体" w:eastAsia="宋体" w:cs="宋体"/>
                <w:color w:val="auto"/>
                <w:spacing w:val="7"/>
                <w:sz w:val="20"/>
                <w:szCs w:val="20"/>
                <w:highlight w:val="none"/>
              </w:rPr>
              <w:t>次及整个</w:t>
            </w:r>
            <w:r>
              <w:rPr>
                <w:rFonts w:ascii="宋体" w:hAnsi="宋体" w:eastAsia="宋体" w:cs="宋体"/>
                <w:color w:val="auto"/>
                <w:spacing w:val="6"/>
                <w:sz w:val="20"/>
                <w:szCs w:val="20"/>
                <w:highlight w:val="none"/>
              </w:rPr>
              <w:t>抽检不合格率支付剩余检测服务费。剩余检测服务费申请时，成交供</w:t>
            </w:r>
            <w:r>
              <w:rPr>
                <w:rFonts w:ascii="宋体" w:hAnsi="宋体" w:eastAsia="宋体" w:cs="宋体"/>
                <w:color w:val="auto"/>
                <w:spacing w:val="8"/>
                <w:sz w:val="20"/>
                <w:szCs w:val="20"/>
                <w:highlight w:val="none"/>
              </w:rPr>
              <w:t>应商须开具相应金额的税额发票给采购人。</w:t>
            </w:r>
          </w:p>
          <w:p w14:paraId="39427D6F">
            <w:pPr>
              <w:spacing w:before="1" w:line="277" w:lineRule="auto"/>
              <w:ind w:left="107" w:right="40" w:firstLine="2"/>
              <w:jc w:val="both"/>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2、付款条件：成交供应商须按采购人要求进行抽样检验。抽检不合</w:t>
            </w:r>
            <w:r>
              <w:rPr>
                <w:rFonts w:ascii="宋体" w:hAnsi="宋体" w:eastAsia="宋体" w:cs="宋体"/>
                <w:color w:val="auto"/>
                <w:spacing w:val="8"/>
                <w:sz w:val="20"/>
                <w:szCs w:val="20"/>
                <w:highlight w:val="none"/>
              </w:rPr>
              <w:t>格率</w:t>
            </w:r>
            <w:r>
              <w:rPr>
                <w:rFonts w:hint="eastAsia" w:ascii="东文宋体" w:hAnsi="东文宋体" w:eastAsia="东文宋体" w:cs="东文宋体"/>
                <w:color w:val="auto"/>
                <w:spacing w:val="8"/>
                <w:sz w:val="20"/>
                <w:szCs w:val="20"/>
                <w:highlight w:val="none"/>
              </w:rPr>
              <w:t>≥</w:t>
            </w:r>
            <w:r>
              <w:rPr>
                <w:rFonts w:ascii="宋体" w:hAnsi="宋体" w:eastAsia="宋体" w:cs="宋体"/>
                <w:color w:val="auto"/>
                <w:spacing w:val="8"/>
                <w:sz w:val="20"/>
                <w:szCs w:val="20"/>
                <w:highlight w:val="none"/>
              </w:rPr>
              <w:t>5%。若成交供应商达到工作要求，则采购人支付抽检服务款。</w:t>
            </w:r>
            <w:r>
              <w:rPr>
                <w:rFonts w:ascii="宋体" w:hAnsi="宋体" w:eastAsia="宋体" w:cs="宋体"/>
                <w:color w:val="auto"/>
                <w:spacing w:val="6"/>
                <w:sz w:val="20"/>
                <w:szCs w:val="20"/>
                <w:highlight w:val="none"/>
              </w:rPr>
              <w:t>若成交供应商未达到工作要求，则采购人按比例支付部分抽检服务款</w:t>
            </w:r>
            <w:r>
              <w:rPr>
                <w:rFonts w:ascii="宋体" w:hAnsi="宋体" w:eastAsia="宋体" w:cs="宋体"/>
                <w:color w:val="auto"/>
                <w:spacing w:val="9"/>
                <w:sz w:val="20"/>
                <w:szCs w:val="20"/>
                <w:highlight w:val="none"/>
              </w:rPr>
              <w:t>（最少不低于成交金额的90%）。实际支付的抽检服务款比例与工作</w:t>
            </w:r>
            <w:r>
              <w:rPr>
                <w:rFonts w:ascii="宋体" w:hAnsi="宋体" w:eastAsia="宋体" w:cs="宋体"/>
                <w:color w:val="auto"/>
                <w:spacing w:val="8"/>
                <w:sz w:val="20"/>
                <w:szCs w:val="20"/>
                <w:highlight w:val="none"/>
              </w:rPr>
              <w:t>要求的对应关系见下表。</w:t>
            </w:r>
          </w:p>
        </w:tc>
      </w:tr>
      <w:tr w14:paraId="2D0F4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2854" w:type="dxa"/>
            <w:vMerge w:val="continue"/>
            <w:tcBorders>
              <w:top w:val="nil"/>
              <w:bottom w:val="nil"/>
            </w:tcBorders>
            <w:vAlign w:val="top"/>
          </w:tcPr>
          <w:p w14:paraId="58BA2ADD">
            <w:pPr>
              <w:pStyle w:val="179"/>
              <w:rPr>
                <w:color w:val="auto"/>
                <w:highlight w:val="none"/>
              </w:rPr>
            </w:pPr>
          </w:p>
        </w:tc>
        <w:tc>
          <w:tcPr>
            <w:tcW w:w="108" w:type="dxa"/>
            <w:tcBorders>
              <w:top w:val="nil"/>
              <w:bottom w:val="nil"/>
            </w:tcBorders>
            <w:vAlign w:val="top"/>
          </w:tcPr>
          <w:p w14:paraId="3F68C466">
            <w:pPr>
              <w:pStyle w:val="179"/>
              <w:rPr>
                <w:color w:val="auto"/>
                <w:highlight w:val="none"/>
              </w:rPr>
            </w:pPr>
          </w:p>
        </w:tc>
        <w:tc>
          <w:tcPr>
            <w:tcW w:w="3015" w:type="dxa"/>
            <w:vAlign w:val="top"/>
          </w:tcPr>
          <w:p w14:paraId="6DF2D2BF">
            <w:pPr>
              <w:spacing w:before="170" w:line="228" w:lineRule="auto"/>
              <w:ind w:left="67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食品抽检不合格率</w:t>
            </w:r>
          </w:p>
        </w:tc>
        <w:tc>
          <w:tcPr>
            <w:tcW w:w="2322" w:type="dxa"/>
            <w:vAlign w:val="top"/>
          </w:tcPr>
          <w:p w14:paraId="63474BA2">
            <w:pPr>
              <w:spacing w:before="34" w:line="228" w:lineRule="auto"/>
              <w:ind w:left="12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实际支付抽检服务款比</w:t>
            </w:r>
          </w:p>
          <w:p w14:paraId="2B1BDCF8">
            <w:pPr>
              <w:spacing w:before="25" w:line="215" w:lineRule="auto"/>
              <w:ind w:left="1059"/>
              <w:rPr>
                <w:rFonts w:ascii="宋体" w:hAnsi="宋体" w:eastAsia="宋体" w:cs="宋体"/>
                <w:color w:val="auto"/>
                <w:sz w:val="20"/>
                <w:szCs w:val="20"/>
                <w:highlight w:val="none"/>
              </w:rPr>
            </w:pPr>
            <w:r>
              <w:rPr>
                <w:rFonts w:ascii="宋体" w:hAnsi="宋体" w:eastAsia="宋体" w:cs="宋体"/>
                <w:color w:val="auto"/>
                <w:sz w:val="20"/>
                <w:szCs w:val="20"/>
                <w:highlight w:val="none"/>
              </w:rPr>
              <w:t>例</w:t>
            </w:r>
          </w:p>
        </w:tc>
        <w:tc>
          <w:tcPr>
            <w:tcW w:w="966" w:type="dxa"/>
            <w:vMerge w:val="restart"/>
            <w:tcBorders>
              <w:top w:val="nil"/>
              <w:bottom w:val="nil"/>
            </w:tcBorders>
            <w:vAlign w:val="top"/>
          </w:tcPr>
          <w:p w14:paraId="2278AFF2">
            <w:pPr>
              <w:pStyle w:val="179"/>
              <w:rPr>
                <w:color w:val="auto"/>
                <w:highlight w:val="none"/>
              </w:rPr>
            </w:pPr>
          </w:p>
        </w:tc>
      </w:tr>
      <w:tr w14:paraId="49EFD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54" w:type="dxa"/>
            <w:vMerge w:val="continue"/>
            <w:tcBorders>
              <w:top w:val="nil"/>
              <w:bottom w:val="nil"/>
            </w:tcBorders>
            <w:vAlign w:val="top"/>
          </w:tcPr>
          <w:p w14:paraId="1ED0CFDB">
            <w:pPr>
              <w:pStyle w:val="179"/>
              <w:rPr>
                <w:color w:val="auto"/>
                <w:highlight w:val="none"/>
              </w:rPr>
            </w:pPr>
          </w:p>
        </w:tc>
        <w:tc>
          <w:tcPr>
            <w:tcW w:w="108" w:type="dxa"/>
            <w:tcBorders>
              <w:top w:val="nil"/>
              <w:bottom w:val="nil"/>
            </w:tcBorders>
            <w:vAlign w:val="top"/>
          </w:tcPr>
          <w:p w14:paraId="51AADA6B">
            <w:pPr>
              <w:pStyle w:val="179"/>
              <w:rPr>
                <w:color w:val="auto"/>
                <w:highlight w:val="none"/>
              </w:rPr>
            </w:pPr>
          </w:p>
        </w:tc>
        <w:tc>
          <w:tcPr>
            <w:tcW w:w="3015" w:type="dxa"/>
            <w:vAlign w:val="top"/>
          </w:tcPr>
          <w:p w14:paraId="29FB7108">
            <w:pPr>
              <w:spacing w:before="32" w:line="216" w:lineRule="auto"/>
              <w:ind w:left="884"/>
              <w:rPr>
                <w:rFonts w:ascii="宋体" w:hAnsi="宋体" w:eastAsia="宋体" w:cs="宋体"/>
                <w:color w:val="auto"/>
                <w:sz w:val="20"/>
                <w:szCs w:val="20"/>
                <w:highlight w:val="none"/>
              </w:rPr>
            </w:pPr>
            <w:r>
              <w:rPr>
                <w:rFonts w:ascii="宋体" w:hAnsi="宋体" w:eastAsia="宋体" w:cs="宋体"/>
                <w:color w:val="auto"/>
                <w:sz w:val="20"/>
                <w:szCs w:val="20"/>
                <w:highlight w:val="none"/>
              </w:rPr>
              <w:t>5%（含）</w:t>
            </w:r>
            <w:r>
              <w:rPr>
                <w:rFonts w:ascii="宋体" w:hAnsi="宋体" w:eastAsia="宋体" w:cs="宋体"/>
                <w:color w:val="auto"/>
                <w:spacing w:val="-54"/>
                <w:sz w:val="20"/>
                <w:szCs w:val="20"/>
                <w:highlight w:val="none"/>
              </w:rPr>
              <w:t xml:space="preserve"> </w:t>
            </w:r>
            <w:r>
              <w:rPr>
                <w:rFonts w:ascii="宋体" w:hAnsi="宋体" w:eastAsia="宋体" w:cs="宋体"/>
                <w:color w:val="auto"/>
                <w:sz w:val="20"/>
                <w:szCs w:val="20"/>
                <w:highlight w:val="none"/>
              </w:rPr>
              <w:t>以上</w:t>
            </w:r>
          </w:p>
        </w:tc>
        <w:tc>
          <w:tcPr>
            <w:tcW w:w="2322" w:type="dxa"/>
            <w:vAlign w:val="top"/>
          </w:tcPr>
          <w:p w14:paraId="7C1A3BB2">
            <w:pPr>
              <w:spacing w:before="32" w:line="216" w:lineRule="auto"/>
              <w:ind w:left="972"/>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100%</w:t>
            </w:r>
          </w:p>
        </w:tc>
        <w:tc>
          <w:tcPr>
            <w:tcW w:w="966" w:type="dxa"/>
            <w:vMerge w:val="continue"/>
            <w:tcBorders>
              <w:top w:val="nil"/>
              <w:bottom w:val="nil"/>
            </w:tcBorders>
            <w:vAlign w:val="top"/>
          </w:tcPr>
          <w:p w14:paraId="24EDD3C3">
            <w:pPr>
              <w:pStyle w:val="179"/>
              <w:rPr>
                <w:color w:val="auto"/>
                <w:highlight w:val="none"/>
              </w:rPr>
            </w:pPr>
          </w:p>
        </w:tc>
      </w:tr>
      <w:tr w14:paraId="38C56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54" w:type="dxa"/>
            <w:vMerge w:val="continue"/>
            <w:tcBorders>
              <w:top w:val="nil"/>
              <w:bottom w:val="nil"/>
            </w:tcBorders>
            <w:vAlign w:val="top"/>
          </w:tcPr>
          <w:p w14:paraId="2047864F">
            <w:pPr>
              <w:pStyle w:val="179"/>
              <w:rPr>
                <w:color w:val="auto"/>
                <w:highlight w:val="none"/>
              </w:rPr>
            </w:pPr>
          </w:p>
        </w:tc>
        <w:tc>
          <w:tcPr>
            <w:tcW w:w="108" w:type="dxa"/>
            <w:tcBorders>
              <w:top w:val="nil"/>
              <w:bottom w:val="nil"/>
            </w:tcBorders>
            <w:vAlign w:val="top"/>
          </w:tcPr>
          <w:p w14:paraId="3A31F543">
            <w:pPr>
              <w:pStyle w:val="179"/>
              <w:rPr>
                <w:color w:val="auto"/>
                <w:highlight w:val="none"/>
              </w:rPr>
            </w:pPr>
          </w:p>
        </w:tc>
        <w:tc>
          <w:tcPr>
            <w:tcW w:w="3015" w:type="dxa"/>
            <w:vAlign w:val="top"/>
          </w:tcPr>
          <w:p w14:paraId="346A651F">
            <w:pPr>
              <w:spacing w:before="34" w:line="215" w:lineRule="auto"/>
              <w:ind w:left="45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4%（含）—5%（不含）</w:t>
            </w:r>
          </w:p>
        </w:tc>
        <w:tc>
          <w:tcPr>
            <w:tcW w:w="2322" w:type="dxa"/>
            <w:vAlign w:val="top"/>
          </w:tcPr>
          <w:p w14:paraId="557B6F77">
            <w:pPr>
              <w:spacing w:before="34" w:line="215" w:lineRule="auto"/>
              <w:ind w:left="1007"/>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95%</w:t>
            </w:r>
          </w:p>
        </w:tc>
        <w:tc>
          <w:tcPr>
            <w:tcW w:w="966" w:type="dxa"/>
            <w:vMerge w:val="continue"/>
            <w:tcBorders>
              <w:top w:val="nil"/>
              <w:bottom w:val="nil"/>
            </w:tcBorders>
            <w:vAlign w:val="top"/>
          </w:tcPr>
          <w:p w14:paraId="7C32ACC3">
            <w:pPr>
              <w:pStyle w:val="179"/>
              <w:rPr>
                <w:color w:val="auto"/>
                <w:highlight w:val="none"/>
              </w:rPr>
            </w:pPr>
          </w:p>
        </w:tc>
      </w:tr>
      <w:tr w14:paraId="3313F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854" w:type="dxa"/>
            <w:vMerge w:val="continue"/>
            <w:tcBorders>
              <w:top w:val="nil"/>
            </w:tcBorders>
            <w:vAlign w:val="top"/>
          </w:tcPr>
          <w:p w14:paraId="702DB638">
            <w:pPr>
              <w:pStyle w:val="179"/>
              <w:rPr>
                <w:color w:val="auto"/>
                <w:highlight w:val="none"/>
              </w:rPr>
            </w:pPr>
          </w:p>
        </w:tc>
        <w:tc>
          <w:tcPr>
            <w:tcW w:w="108" w:type="dxa"/>
            <w:tcBorders>
              <w:top w:val="nil"/>
            </w:tcBorders>
            <w:vAlign w:val="top"/>
          </w:tcPr>
          <w:p w14:paraId="34B8E95A">
            <w:pPr>
              <w:pStyle w:val="179"/>
              <w:rPr>
                <w:color w:val="auto"/>
                <w:highlight w:val="none"/>
              </w:rPr>
            </w:pPr>
          </w:p>
        </w:tc>
        <w:tc>
          <w:tcPr>
            <w:tcW w:w="3015" w:type="dxa"/>
            <w:vAlign w:val="top"/>
          </w:tcPr>
          <w:p w14:paraId="05C36298">
            <w:pPr>
              <w:spacing w:before="35" w:line="213" w:lineRule="auto"/>
              <w:ind w:left="774"/>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4%（不含）</w:t>
            </w:r>
            <w:r>
              <w:rPr>
                <w:rFonts w:ascii="宋体" w:hAnsi="宋体" w:eastAsia="宋体" w:cs="宋体"/>
                <w:color w:val="auto"/>
                <w:spacing w:val="-56"/>
                <w:sz w:val="20"/>
                <w:szCs w:val="20"/>
                <w:highlight w:val="none"/>
              </w:rPr>
              <w:t xml:space="preserve"> </w:t>
            </w:r>
            <w:r>
              <w:rPr>
                <w:rFonts w:ascii="宋体" w:hAnsi="宋体" w:eastAsia="宋体" w:cs="宋体"/>
                <w:color w:val="auto"/>
                <w:spacing w:val="2"/>
                <w:sz w:val="20"/>
                <w:szCs w:val="20"/>
                <w:highlight w:val="none"/>
              </w:rPr>
              <w:t>以下</w:t>
            </w:r>
          </w:p>
        </w:tc>
        <w:tc>
          <w:tcPr>
            <w:tcW w:w="2322" w:type="dxa"/>
            <w:vAlign w:val="top"/>
          </w:tcPr>
          <w:p w14:paraId="025C6BBE">
            <w:pPr>
              <w:spacing w:before="35" w:line="213" w:lineRule="auto"/>
              <w:ind w:left="1007"/>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90%</w:t>
            </w:r>
          </w:p>
        </w:tc>
        <w:tc>
          <w:tcPr>
            <w:tcW w:w="966" w:type="dxa"/>
            <w:vMerge w:val="continue"/>
            <w:tcBorders>
              <w:top w:val="nil"/>
            </w:tcBorders>
            <w:vAlign w:val="top"/>
          </w:tcPr>
          <w:p w14:paraId="19B9DEDE">
            <w:pPr>
              <w:pStyle w:val="179"/>
              <w:rPr>
                <w:color w:val="auto"/>
                <w:highlight w:val="none"/>
              </w:rPr>
            </w:pPr>
          </w:p>
        </w:tc>
      </w:tr>
      <w:tr w14:paraId="2F3B0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7" w:hRule="atLeast"/>
        </w:trPr>
        <w:tc>
          <w:tcPr>
            <w:tcW w:w="2854" w:type="dxa"/>
            <w:vAlign w:val="top"/>
          </w:tcPr>
          <w:p w14:paraId="3E2CF9B5">
            <w:pPr>
              <w:pStyle w:val="179"/>
              <w:spacing w:line="258" w:lineRule="auto"/>
              <w:rPr>
                <w:color w:val="auto"/>
                <w:highlight w:val="none"/>
              </w:rPr>
            </w:pPr>
          </w:p>
          <w:p w14:paraId="551E2131">
            <w:pPr>
              <w:pStyle w:val="179"/>
              <w:spacing w:line="258" w:lineRule="auto"/>
              <w:rPr>
                <w:color w:val="auto"/>
                <w:highlight w:val="none"/>
              </w:rPr>
            </w:pPr>
          </w:p>
          <w:p w14:paraId="05A584B7">
            <w:pPr>
              <w:pStyle w:val="179"/>
              <w:spacing w:line="258" w:lineRule="auto"/>
              <w:rPr>
                <w:color w:val="auto"/>
                <w:highlight w:val="none"/>
              </w:rPr>
            </w:pPr>
          </w:p>
          <w:p w14:paraId="130FA1C9">
            <w:pPr>
              <w:pStyle w:val="179"/>
              <w:spacing w:line="258" w:lineRule="auto"/>
              <w:rPr>
                <w:color w:val="auto"/>
                <w:highlight w:val="none"/>
              </w:rPr>
            </w:pPr>
          </w:p>
          <w:p w14:paraId="1E784540">
            <w:pPr>
              <w:pStyle w:val="179"/>
              <w:spacing w:line="259" w:lineRule="auto"/>
              <w:rPr>
                <w:color w:val="auto"/>
                <w:highlight w:val="none"/>
              </w:rPr>
            </w:pPr>
          </w:p>
          <w:p w14:paraId="43930968">
            <w:pPr>
              <w:pStyle w:val="179"/>
              <w:spacing w:line="259" w:lineRule="auto"/>
              <w:rPr>
                <w:color w:val="auto"/>
                <w:highlight w:val="none"/>
              </w:rPr>
            </w:pPr>
          </w:p>
          <w:p w14:paraId="7758085F">
            <w:pPr>
              <w:pStyle w:val="179"/>
              <w:spacing w:line="259" w:lineRule="auto"/>
              <w:rPr>
                <w:color w:val="auto"/>
                <w:highlight w:val="none"/>
              </w:rPr>
            </w:pPr>
          </w:p>
          <w:p w14:paraId="595B237C">
            <w:pPr>
              <w:pStyle w:val="179"/>
              <w:spacing w:line="259" w:lineRule="auto"/>
              <w:rPr>
                <w:color w:val="auto"/>
                <w:highlight w:val="none"/>
              </w:rPr>
            </w:pPr>
          </w:p>
          <w:p w14:paraId="2969A36C">
            <w:pPr>
              <w:pStyle w:val="179"/>
              <w:spacing w:line="259" w:lineRule="auto"/>
              <w:rPr>
                <w:color w:val="auto"/>
                <w:highlight w:val="none"/>
              </w:rPr>
            </w:pPr>
          </w:p>
          <w:p w14:paraId="7D24AAB1">
            <w:pPr>
              <w:spacing w:before="65" w:line="228" w:lineRule="auto"/>
              <w:ind w:left="10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服务要求</w:t>
            </w:r>
          </w:p>
        </w:tc>
        <w:tc>
          <w:tcPr>
            <w:tcW w:w="6411" w:type="dxa"/>
            <w:gridSpan w:val="4"/>
            <w:vAlign w:val="top"/>
          </w:tcPr>
          <w:p w14:paraId="12E55AB8">
            <w:pPr>
              <w:spacing w:before="66" w:line="228" w:lineRule="auto"/>
              <w:ind w:left="1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1、能按时完成委托单位安排的临时性和应急性任务。</w:t>
            </w:r>
          </w:p>
          <w:p w14:paraId="0A7BC8C4">
            <w:pPr>
              <w:spacing w:before="64" w:line="288" w:lineRule="auto"/>
              <w:ind w:left="108" w:right="112"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2、负责样品的检验、检验报告的寄送、结果分析、异议处理和检验</w:t>
            </w:r>
            <w:r>
              <w:rPr>
                <w:rFonts w:ascii="宋体" w:hAnsi="宋体" w:eastAsia="宋体" w:cs="宋体"/>
                <w:color w:val="auto"/>
                <w:spacing w:val="8"/>
                <w:sz w:val="20"/>
                <w:szCs w:val="20"/>
                <w:highlight w:val="none"/>
              </w:rPr>
              <w:t>过程中技术问题的处理工作。</w:t>
            </w:r>
          </w:p>
          <w:p w14:paraId="39598BC9">
            <w:pPr>
              <w:spacing w:before="4" w:line="287" w:lineRule="auto"/>
              <w:ind w:left="110" w:right="109"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3、处理问题及响应时间：成交供应商接到采购人处理问题通知后 2</w:t>
            </w:r>
            <w:r>
              <w:rPr>
                <w:rFonts w:ascii="宋体" w:hAnsi="宋体" w:eastAsia="宋体" w:cs="宋体"/>
                <w:color w:val="auto"/>
                <w:spacing w:val="8"/>
                <w:sz w:val="20"/>
                <w:szCs w:val="20"/>
                <w:highlight w:val="none"/>
              </w:rPr>
              <w:t>小时内采取实质性响应措施，必须在</w:t>
            </w:r>
            <w:r>
              <w:rPr>
                <w:rFonts w:ascii="宋体" w:hAnsi="宋体" w:eastAsia="宋体" w:cs="宋体"/>
                <w:color w:val="auto"/>
                <w:spacing w:val="-25"/>
                <w:sz w:val="20"/>
                <w:szCs w:val="20"/>
                <w:highlight w:val="none"/>
              </w:rPr>
              <w:t xml:space="preserve"> </w:t>
            </w:r>
            <w:r>
              <w:rPr>
                <w:rFonts w:ascii="宋体" w:hAnsi="宋体" w:eastAsia="宋体" w:cs="宋体"/>
                <w:color w:val="auto"/>
                <w:spacing w:val="8"/>
                <w:sz w:val="20"/>
                <w:szCs w:val="20"/>
                <w:highlight w:val="none"/>
              </w:rPr>
              <w:t>24</w:t>
            </w:r>
            <w:r>
              <w:rPr>
                <w:rFonts w:ascii="宋体" w:hAnsi="宋体" w:eastAsia="宋体" w:cs="宋体"/>
                <w:color w:val="auto"/>
                <w:spacing w:val="-35"/>
                <w:sz w:val="20"/>
                <w:szCs w:val="20"/>
                <w:highlight w:val="none"/>
              </w:rPr>
              <w:t xml:space="preserve"> </w:t>
            </w:r>
            <w:r>
              <w:rPr>
                <w:rFonts w:ascii="宋体" w:hAnsi="宋体" w:eastAsia="宋体" w:cs="宋体"/>
                <w:color w:val="auto"/>
                <w:spacing w:val="8"/>
                <w:sz w:val="20"/>
                <w:szCs w:val="20"/>
                <w:highlight w:val="none"/>
              </w:rPr>
              <w:t>小时之内向采购人提交正式</w:t>
            </w:r>
            <w:r>
              <w:rPr>
                <w:rFonts w:ascii="宋体" w:hAnsi="宋体" w:eastAsia="宋体" w:cs="宋体"/>
                <w:color w:val="auto"/>
                <w:spacing w:val="6"/>
                <w:sz w:val="20"/>
                <w:szCs w:val="20"/>
                <w:highlight w:val="none"/>
              </w:rPr>
              <w:t>书面可行的解决方案，并在采购人指定的时间和地点对方案进行解释</w:t>
            </w:r>
            <w:r>
              <w:rPr>
                <w:rFonts w:ascii="宋体" w:hAnsi="宋体" w:eastAsia="宋体" w:cs="宋体"/>
                <w:color w:val="auto"/>
                <w:spacing w:val="2"/>
                <w:sz w:val="20"/>
                <w:szCs w:val="20"/>
                <w:highlight w:val="none"/>
              </w:rPr>
              <w:t>说明。</w:t>
            </w:r>
          </w:p>
          <w:p w14:paraId="1FDB17B2">
            <w:pPr>
              <w:spacing w:line="229" w:lineRule="auto"/>
              <w:ind w:left="10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4、定期回访。</w:t>
            </w:r>
          </w:p>
          <w:p w14:paraId="47817A00">
            <w:pPr>
              <w:spacing w:before="63" w:line="228" w:lineRule="auto"/>
              <w:ind w:left="11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5、供应商须在响应文件中提供具体的服务承诺。</w:t>
            </w:r>
          </w:p>
          <w:p w14:paraId="686E3D2E">
            <w:pPr>
              <w:spacing w:before="65" w:line="288" w:lineRule="auto"/>
              <w:ind w:left="106" w:right="109" w:firstLine="2"/>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6、供应商应于</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38"/>
                <w:sz w:val="20"/>
                <w:szCs w:val="20"/>
                <w:highlight w:val="none"/>
              </w:rPr>
              <w:t xml:space="preserve"> </w:t>
            </w:r>
            <w:r>
              <w:rPr>
                <w:rFonts w:ascii="宋体" w:hAnsi="宋体" w:eastAsia="宋体" w:cs="宋体"/>
                <w:color w:val="auto"/>
                <w:spacing w:val="4"/>
                <w:sz w:val="20"/>
                <w:szCs w:val="20"/>
                <w:highlight w:val="none"/>
              </w:rPr>
              <w:t>年</w:t>
            </w:r>
            <w:r>
              <w:rPr>
                <w:rFonts w:ascii="宋体" w:hAnsi="宋体" w:eastAsia="宋体" w:cs="宋体"/>
                <w:color w:val="auto"/>
                <w:spacing w:val="-23"/>
                <w:sz w:val="20"/>
                <w:szCs w:val="20"/>
                <w:highlight w:val="none"/>
              </w:rPr>
              <w:t xml:space="preserve"> </w:t>
            </w:r>
            <w:r>
              <w:rPr>
                <w:rFonts w:ascii="宋体" w:hAnsi="宋体" w:eastAsia="宋体" w:cs="宋体"/>
                <w:color w:val="auto"/>
                <w:spacing w:val="4"/>
                <w:sz w:val="20"/>
                <w:szCs w:val="20"/>
                <w:highlight w:val="none"/>
              </w:rPr>
              <w:t>12</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月</w:t>
            </w:r>
            <w:r>
              <w:rPr>
                <w:rFonts w:ascii="宋体" w:hAnsi="宋体" w:eastAsia="宋体" w:cs="宋体"/>
                <w:color w:val="auto"/>
                <w:spacing w:val="-23"/>
                <w:sz w:val="20"/>
                <w:szCs w:val="20"/>
                <w:highlight w:val="none"/>
              </w:rPr>
              <w:t xml:space="preserve"> </w:t>
            </w:r>
            <w:r>
              <w:rPr>
                <w:rFonts w:ascii="宋体" w:hAnsi="宋体" w:eastAsia="宋体" w:cs="宋体"/>
                <w:color w:val="auto"/>
                <w:spacing w:val="4"/>
                <w:sz w:val="20"/>
                <w:szCs w:val="20"/>
                <w:highlight w:val="none"/>
              </w:rPr>
              <w:t>10 日前完成抽样检测任务</w:t>
            </w:r>
            <w:r>
              <w:rPr>
                <w:rFonts w:ascii="宋体" w:hAnsi="宋体" w:eastAsia="宋体" w:cs="宋体"/>
                <w:color w:val="auto"/>
                <w:spacing w:val="3"/>
                <w:sz w:val="20"/>
                <w:szCs w:val="20"/>
                <w:highlight w:val="none"/>
              </w:rPr>
              <w:t>，并出具</w:t>
            </w:r>
            <w:r>
              <w:rPr>
                <w:rFonts w:ascii="宋体" w:hAnsi="宋体" w:eastAsia="宋体" w:cs="宋体"/>
                <w:color w:val="auto"/>
                <w:spacing w:val="-39"/>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5"/>
                <w:sz w:val="20"/>
                <w:szCs w:val="20"/>
                <w:highlight w:val="none"/>
              </w:rPr>
              <w:t>认证的电子检验报告书，并于</w:t>
            </w:r>
            <w:r>
              <w:rPr>
                <w:rFonts w:ascii="宋体" w:hAnsi="宋体" w:eastAsia="宋体" w:cs="宋体"/>
                <w:color w:val="auto"/>
                <w:spacing w:val="-37"/>
                <w:sz w:val="20"/>
                <w:szCs w:val="20"/>
                <w:highlight w:val="none"/>
              </w:rPr>
              <w:t xml:space="preserve"> </w:t>
            </w:r>
            <w:r>
              <w:rPr>
                <w:rFonts w:ascii="宋体" w:hAnsi="宋体" w:eastAsia="宋体" w:cs="宋体"/>
                <w:color w:val="auto"/>
                <w:spacing w:val="5"/>
                <w:sz w:val="20"/>
                <w:szCs w:val="20"/>
                <w:highlight w:val="none"/>
              </w:rPr>
              <w:t>202</w:t>
            </w:r>
            <w:r>
              <w:rPr>
                <w:rFonts w:hint="eastAsia" w:ascii="宋体" w:hAnsi="宋体" w:eastAsia="宋体" w:cs="宋体"/>
                <w:color w:val="auto"/>
                <w:spacing w:val="5"/>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5"/>
                <w:sz w:val="20"/>
                <w:szCs w:val="20"/>
                <w:highlight w:val="none"/>
              </w:rPr>
              <w:t>年</w:t>
            </w:r>
            <w:r>
              <w:rPr>
                <w:rFonts w:ascii="宋体" w:hAnsi="宋体" w:eastAsia="宋体" w:cs="宋体"/>
                <w:color w:val="auto"/>
                <w:spacing w:val="-24"/>
                <w:sz w:val="20"/>
                <w:szCs w:val="20"/>
                <w:highlight w:val="none"/>
              </w:rPr>
              <w:t xml:space="preserve"> </w:t>
            </w:r>
            <w:r>
              <w:rPr>
                <w:rFonts w:ascii="宋体" w:hAnsi="宋体" w:eastAsia="宋体" w:cs="宋体"/>
                <w:color w:val="auto"/>
                <w:spacing w:val="5"/>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5"/>
                <w:sz w:val="20"/>
                <w:szCs w:val="20"/>
                <w:highlight w:val="none"/>
              </w:rPr>
              <w:t>月</w:t>
            </w:r>
            <w:r>
              <w:rPr>
                <w:rFonts w:ascii="宋体" w:hAnsi="宋体" w:eastAsia="宋体" w:cs="宋体"/>
                <w:color w:val="auto"/>
                <w:spacing w:val="-37"/>
                <w:sz w:val="20"/>
                <w:szCs w:val="20"/>
                <w:highlight w:val="none"/>
              </w:rPr>
              <w:t xml:space="preserve"> </w:t>
            </w:r>
            <w:r>
              <w:rPr>
                <w:rFonts w:ascii="宋体" w:hAnsi="宋体" w:eastAsia="宋体" w:cs="宋体"/>
                <w:color w:val="auto"/>
                <w:spacing w:val="4"/>
                <w:sz w:val="20"/>
                <w:szCs w:val="20"/>
                <w:highlight w:val="none"/>
              </w:rPr>
              <w:t>20 日前，将本次任务检</w:t>
            </w:r>
            <w:r>
              <w:rPr>
                <w:rFonts w:ascii="宋体" w:hAnsi="宋体" w:eastAsia="宋体" w:cs="宋体"/>
                <w:color w:val="auto"/>
                <w:spacing w:val="6"/>
                <w:sz w:val="20"/>
                <w:szCs w:val="20"/>
                <w:highlight w:val="none"/>
              </w:rPr>
              <w:t>验分析报告、信息汇总表及问题样品信息汇总表寄送至防城港市市场监督管理局。</w:t>
            </w:r>
          </w:p>
          <w:p w14:paraId="0C13E05E">
            <w:pPr>
              <w:spacing w:before="1" w:line="269" w:lineRule="auto"/>
              <w:ind w:left="106" w:right="109"/>
              <w:rPr>
                <w:rFonts w:ascii="宋体" w:hAnsi="宋体" w:eastAsia="宋体" w:cs="宋体"/>
                <w:color w:val="auto"/>
                <w:sz w:val="20"/>
                <w:szCs w:val="20"/>
                <w:highlight w:val="none"/>
              </w:rPr>
            </w:pPr>
            <w:r>
              <w:rPr>
                <w:rFonts w:ascii="Times New Roman" w:hAnsi="Times New Roman" w:eastAsia="Times New Roman" w:cs="Times New Roman"/>
                <w:color w:val="auto"/>
                <w:spacing w:val="8"/>
                <w:sz w:val="20"/>
                <w:szCs w:val="20"/>
                <w:highlight w:val="none"/>
              </w:rPr>
              <w:t>7.</w:t>
            </w:r>
            <w:r>
              <w:rPr>
                <w:rFonts w:ascii="宋体" w:hAnsi="宋体" w:eastAsia="宋体" w:cs="宋体"/>
                <w:color w:val="auto"/>
                <w:spacing w:val="8"/>
                <w:sz w:val="20"/>
                <w:szCs w:val="20"/>
                <w:highlight w:val="none"/>
              </w:rPr>
              <w:t>供应商必须按照响应文件承诺的时效性开展</w:t>
            </w:r>
            <w:r>
              <w:rPr>
                <w:rFonts w:ascii="宋体" w:hAnsi="宋体" w:eastAsia="宋体" w:cs="宋体"/>
                <w:color w:val="auto"/>
                <w:spacing w:val="7"/>
                <w:sz w:val="20"/>
                <w:szCs w:val="20"/>
                <w:highlight w:val="none"/>
              </w:rPr>
              <w:t>食品抽检任务，如有一</w:t>
            </w:r>
            <w:r>
              <w:rPr>
                <w:rFonts w:ascii="宋体" w:hAnsi="宋体" w:eastAsia="宋体" w:cs="宋体"/>
                <w:color w:val="auto"/>
                <w:spacing w:val="8"/>
                <w:sz w:val="20"/>
                <w:szCs w:val="20"/>
                <w:highlight w:val="none"/>
              </w:rPr>
              <w:t>次未能按时完成抽检任务的扣</w:t>
            </w:r>
            <w:r>
              <w:rPr>
                <w:rFonts w:ascii="宋体" w:hAnsi="宋体" w:eastAsia="宋体" w:cs="宋体"/>
                <w:color w:val="auto"/>
                <w:spacing w:val="-23"/>
                <w:sz w:val="20"/>
                <w:szCs w:val="20"/>
                <w:highlight w:val="none"/>
              </w:rPr>
              <w:t xml:space="preserve"> </w:t>
            </w:r>
            <w:r>
              <w:rPr>
                <w:rFonts w:ascii="Times New Roman" w:hAnsi="Times New Roman" w:eastAsia="Times New Roman" w:cs="Times New Roman"/>
                <w:color w:val="auto"/>
                <w:spacing w:val="8"/>
                <w:sz w:val="20"/>
                <w:szCs w:val="20"/>
                <w:highlight w:val="none"/>
              </w:rPr>
              <w:t xml:space="preserve">5000 </w:t>
            </w:r>
            <w:r>
              <w:rPr>
                <w:rFonts w:ascii="宋体" w:hAnsi="宋体" w:eastAsia="宋体" w:cs="宋体"/>
                <w:color w:val="auto"/>
                <w:spacing w:val="8"/>
                <w:sz w:val="20"/>
                <w:szCs w:val="20"/>
                <w:highlight w:val="none"/>
              </w:rPr>
              <w:t>元，超过三次不能按时完成抽检任务的，采购人有权依法解除合同。</w:t>
            </w:r>
          </w:p>
        </w:tc>
      </w:tr>
      <w:tr w14:paraId="4A423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7" w:hRule="atLeast"/>
        </w:trPr>
        <w:tc>
          <w:tcPr>
            <w:tcW w:w="2854" w:type="dxa"/>
            <w:vAlign w:val="top"/>
          </w:tcPr>
          <w:p w14:paraId="2A7C85D5">
            <w:pPr>
              <w:pStyle w:val="179"/>
              <w:spacing w:line="277" w:lineRule="auto"/>
              <w:rPr>
                <w:color w:val="auto"/>
                <w:highlight w:val="none"/>
              </w:rPr>
            </w:pPr>
          </w:p>
          <w:p w14:paraId="52CD07E2">
            <w:pPr>
              <w:pStyle w:val="179"/>
              <w:spacing w:line="277" w:lineRule="auto"/>
              <w:rPr>
                <w:color w:val="auto"/>
                <w:highlight w:val="none"/>
              </w:rPr>
            </w:pPr>
          </w:p>
          <w:p w14:paraId="080428B6">
            <w:pPr>
              <w:pStyle w:val="179"/>
              <w:spacing w:line="277" w:lineRule="auto"/>
              <w:rPr>
                <w:color w:val="auto"/>
                <w:highlight w:val="none"/>
              </w:rPr>
            </w:pPr>
          </w:p>
          <w:p w14:paraId="12238E10">
            <w:pPr>
              <w:pStyle w:val="179"/>
              <w:spacing w:line="277" w:lineRule="auto"/>
              <w:rPr>
                <w:color w:val="auto"/>
                <w:highlight w:val="none"/>
              </w:rPr>
            </w:pPr>
          </w:p>
          <w:p w14:paraId="5A8F90C8">
            <w:pPr>
              <w:pStyle w:val="179"/>
              <w:spacing w:line="278" w:lineRule="auto"/>
              <w:rPr>
                <w:color w:val="auto"/>
                <w:highlight w:val="none"/>
              </w:rPr>
            </w:pPr>
          </w:p>
          <w:p w14:paraId="6131019B">
            <w:pPr>
              <w:spacing w:before="65" w:line="228" w:lineRule="auto"/>
              <w:ind w:left="100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验收标准</w:t>
            </w:r>
          </w:p>
        </w:tc>
        <w:tc>
          <w:tcPr>
            <w:tcW w:w="6411" w:type="dxa"/>
            <w:gridSpan w:val="4"/>
            <w:vAlign w:val="top"/>
          </w:tcPr>
          <w:p w14:paraId="1EB9CFC2">
            <w:pPr>
              <w:spacing w:before="56" w:line="288" w:lineRule="auto"/>
              <w:ind w:left="107" w:right="109"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1、合同履行过程中，由采购人根据供应商所提供的服务，对照竞争</w:t>
            </w:r>
            <w:r>
              <w:rPr>
                <w:rFonts w:ascii="宋体" w:hAnsi="宋体" w:eastAsia="宋体" w:cs="宋体"/>
                <w:color w:val="auto"/>
                <w:spacing w:val="6"/>
                <w:sz w:val="20"/>
                <w:szCs w:val="20"/>
                <w:highlight w:val="none"/>
              </w:rPr>
              <w:t>性磋商文件要求及供应商响应文件中的承诺进行检验并记录，如不符合竞争性磋商文件服务要求、商务要求以及提供虚假承诺的，按相关规定做违约处理，供应商承担所有责任和费用，采购人保留进一步追</w:t>
            </w:r>
            <w:r>
              <w:rPr>
                <w:rFonts w:ascii="宋体" w:hAnsi="宋体" w:eastAsia="宋体" w:cs="宋体"/>
                <w:color w:val="auto"/>
                <w:spacing w:val="7"/>
                <w:sz w:val="20"/>
                <w:szCs w:val="20"/>
                <w:highlight w:val="none"/>
              </w:rPr>
              <w:t>究责任的权利。</w:t>
            </w:r>
          </w:p>
          <w:p w14:paraId="5DAAB9E8">
            <w:pPr>
              <w:spacing w:line="288" w:lineRule="auto"/>
              <w:ind w:left="106" w:right="107"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2、供应商完成所有委托的抽检任务后，提供抽检项目品种数量明细</w:t>
            </w:r>
            <w:r>
              <w:rPr>
                <w:rFonts w:ascii="宋体" w:hAnsi="宋体" w:eastAsia="宋体" w:cs="宋体"/>
                <w:color w:val="auto"/>
                <w:spacing w:val="7"/>
                <w:sz w:val="20"/>
                <w:szCs w:val="20"/>
                <w:highlight w:val="none"/>
              </w:rPr>
              <w:t>及质量分析报告给采购人，</w:t>
            </w:r>
            <w:r>
              <w:rPr>
                <w:rFonts w:ascii="宋体" w:hAnsi="宋体" w:eastAsia="宋体" w:cs="宋体"/>
                <w:color w:val="auto"/>
                <w:spacing w:val="-46"/>
                <w:sz w:val="20"/>
                <w:szCs w:val="20"/>
                <w:highlight w:val="none"/>
              </w:rPr>
              <w:t xml:space="preserve"> </w:t>
            </w:r>
            <w:r>
              <w:rPr>
                <w:rFonts w:ascii="宋体" w:hAnsi="宋体" w:eastAsia="宋体" w:cs="宋体"/>
                <w:color w:val="auto"/>
                <w:spacing w:val="7"/>
                <w:sz w:val="20"/>
                <w:szCs w:val="20"/>
                <w:highlight w:val="none"/>
              </w:rPr>
              <w:t>由采购人组织专家进行验收。</w:t>
            </w:r>
          </w:p>
          <w:p w14:paraId="5977F70B">
            <w:pPr>
              <w:spacing w:line="228" w:lineRule="auto"/>
              <w:ind w:left="11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3、项目需求中有其他要求的按其要求。</w:t>
            </w:r>
          </w:p>
          <w:p w14:paraId="1F706034">
            <w:pPr>
              <w:spacing w:before="63" w:line="261" w:lineRule="auto"/>
              <w:ind w:left="110" w:right="112" w:hanging="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4、验收过程中所产生的一切费用均由供应商承担。报价时应考虑相</w:t>
            </w:r>
            <w:r>
              <w:rPr>
                <w:rFonts w:ascii="宋体" w:hAnsi="宋体" w:eastAsia="宋体" w:cs="宋体"/>
                <w:color w:val="auto"/>
                <w:spacing w:val="4"/>
                <w:sz w:val="20"/>
                <w:szCs w:val="20"/>
                <w:highlight w:val="none"/>
              </w:rPr>
              <w:t>关费用。</w:t>
            </w:r>
          </w:p>
        </w:tc>
      </w:tr>
    </w:tbl>
    <w:p w14:paraId="675D390F">
      <w:pPr>
        <w:rPr>
          <w:rFonts w:ascii="Arial"/>
          <w:color w:val="auto"/>
          <w:sz w:val="21"/>
          <w:highlight w:val="none"/>
        </w:rPr>
      </w:pPr>
    </w:p>
    <w:p w14:paraId="7D75E3AB">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02EBBE67">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54"/>
        <w:gridCol w:w="6411"/>
      </w:tblGrid>
      <w:tr w14:paraId="723A2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854" w:type="dxa"/>
            <w:vAlign w:val="top"/>
          </w:tcPr>
          <w:p w14:paraId="5CADF697">
            <w:pPr>
              <w:pStyle w:val="179"/>
              <w:rPr>
                <w:color w:val="auto"/>
                <w:highlight w:val="none"/>
              </w:rPr>
            </w:pPr>
          </w:p>
        </w:tc>
        <w:tc>
          <w:tcPr>
            <w:tcW w:w="6411" w:type="dxa"/>
            <w:vAlign w:val="top"/>
          </w:tcPr>
          <w:p w14:paraId="146E99C6">
            <w:pPr>
              <w:spacing w:before="57" w:line="261" w:lineRule="auto"/>
              <w:ind w:left="106" w:right="112"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5、验收标准：依据采购文件、响应文件及国家、行业现行法律法规</w:t>
            </w:r>
            <w:r>
              <w:rPr>
                <w:rFonts w:ascii="宋体" w:hAnsi="宋体" w:eastAsia="宋体" w:cs="宋体"/>
                <w:color w:val="auto"/>
                <w:spacing w:val="6"/>
                <w:sz w:val="20"/>
                <w:szCs w:val="20"/>
                <w:highlight w:val="none"/>
              </w:rPr>
              <w:t>进行验收。</w:t>
            </w:r>
          </w:p>
        </w:tc>
      </w:tr>
      <w:tr w14:paraId="42A7C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8" w:hRule="atLeast"/>
        </w:trPr>
        <w:tc>
          <w:tcPr>
            <w:tcW w:w="2854" w:type="dxa"/>
            <w:vAlign w:val="top"/>
          </w:tcPr>
          <w:p w14:paraId="16EFCBA6">
            <w:pPr>
              <w:pStyle w:val="179"/>
              <w:spacing w:line="249" w:lineRule="auto"/>
              <w:rPr>
                <w:color w:val="auto"/>
                <w:highlight w:val="none"/>
              </w:rPr>
            </w:pPr>
          </w:p>
          <w:p w14:paraId="2C0D19A3">
            <w:pPr>
              <w:pStyle w:val="179"/>
              <w:spacing w:line="249" w:lineRule="auto"/>
              <w:rPr>
                <w:color w:val="auto"/>
                <w:highlight w:val="none"/>
              </w:rPr>
            </w:pPr>
          </w:p>
          <w:p w14:paraId="539DC632">
            <w:pPr>
              <w:pStyle w:val="179"/>
              <w:spacing w:line="249" w:lineRule="auto"/>
              <w:rPr>
                <w:color w:val="auto"/>
                <w:highlight w:val="none"/>
              </w:rPr>
            </w:pPr>
          </w:p>
          <w:p w14:paraId="3CBA2173">
            <w:pPr>
              <w:pStyle w:val="179"/>
              <w:spacing w:line="249" w:lineRule="auto"/>
              <w:rPr>
                <w:color w:val="auto"/>
                <w:highlight w:val="none"/>
              </w:rPr>
            </w:pPr>
          </w:p>
          <w:p w14:paraId="677FEE86">
            <w:pPr>
              <w:pStyle w:val="179"/>
              <w:spacing w:line="249" w:lineRule="auto"/>
              <w:rPr>
                <w:color w:val="auto"/>
                <w:highlight w:val="none"/>
              </w:rPr>
            </w:pPr>
          </w:p>
          <w:p w14:paraId="449B430F">
            <w:pPr>
              <w:pStyle w:val="179"/>
              <w:spacing w:line="249" w:lineRule="auto"/>
              <w:rPr>
                <w:color w:val="auto"/>
                <w:highlight w:val="none"/>
              </w:rPr>
            </w:pPr>
          </w:p>
          <w:p w14:paraId="58896A8F">
            <w:pPr>
              <w:pStyle w:val="179"/>
              <w:spacing w:line="249" w:lineRule="auto"/>
              <w:rPr>
                <w:color w:val="auto"/>
                <w:highlight w:val="none"/>
              </w:rPr>
            </w:pPr>
          </w:p>
          <w:p w14:paraId="0B90DBB5">
            <w:pPr>
              <w:pStyle w:val="179"/>
              <w:spacing w:line="249" w:lineRule="auto"/>
              <w:rPr>
                <w:color w:val="auto"/>
                <w:highlight w:val="none"/>
              </w:rPr>
            </w:pPr>
          </w:p>
          <w:p w14:paraId="43057B3E">
            <w:pPr>
              <w:pStyle w:val="179"/>
              <w:spacing w:line="249" w:lineRule="auto"/>
              <w:rPr>
                <w:color w:val="auto"/>
                <w:highlight w:val="none"/>
              </w:rPr>
            </w:pPr>
          </w:p>
          <w:p w14:paraId="5496A34E">
            <w:pPr>
              <w:pStyle w:val="179"/>
              <w:spacing w:line="249" w:lineRule="auto"/>
              <w:rPr>
                <w:color w:val="auto"/>
                <w:highlight w:val="none"/>
              </w:rPr>
            </w:pPr>
          </w:p>
          <w:p w14:paraId="2F25B7D7">
            <w:pPr>
              <w:pStyle w:val="179"/>
              <w:spacing w:line="249" w:lineRule="auto"/>
              <w:rPr>
                <w:color w:val="auto"/>
                <w:highlight w:val="none"/>
              </w:rPr>
            </w:pPr>
          </w:p>
          <w:p w14:paraId="4F53B9ED">
            <w:pPr>
              <w:pStyle w:val="179"/>
              <w:spacing w:line="249" w:lineRule="auto"/>
              <w:rPr>
                <w:color w:val="auto"/>
                <w:highlight w:val="none"/>
              </w:rPr>
            </w:pPr>
          </w:p>
          <w:p w14:paraId="2AA08071">
            <w:pPr>
              <w:pStyle w:val="179"/>
              <w:spacing w:line="249" w:lineRule="auto"/>
              <w:rPr>
                <w:color w:val="auto"/>
                <w:highlight w:val="none"/>
              </w:rPr>
            </w:pPr>
          </w:p>
          <w:p w14:paraId="1433BDE1">
            <w:pPr>
              <w:pStyle w:val="179"/>
              <w:spacing w:line="249" w:lineRule="auto"/>
              <w:rPr>
                <w:color w:val="auto"/>
                <w:highlight w:val="none"/>
              </w:rPr>
            </w:pPr>
          </w:p>
          <w:p w14:paraId="7765E09D">
            <w:pPr>
              <w:spacing w:before="65" w:line="229" w:lineRule="auto"/>
              <w:ind w:left="80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三、其他要求</w:t>
            </w:r>
          </w:p>
        </w:tc>
        <w:tc>
          <w:tcPr>
            <w:tcW w:w="6411" w:type="dxa"/>
            <w:vAlign w:val="top"/>
          </w:tcPr>
          <w:p w14:paraId="25CAD7B9">
            <w:pPr>
              <w:spacing w:before="32" w:line="377" w:lineRule="auto"/>
              <w:ind w:left="107" w:right="112"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1、以上服务要求及商务要求均不允许负偏离，如有一项则按无效响</w:t>
            </w:r>
            <w:r>
              <w:rPr>
                <w:rFonts w:ascii="宋体" w:hAnsi="宋体" w:eastAsia="宋体" w:cs="宋体"/>
                <w:color w:val="auto"/>
                <w:spacing w:val="5"/>
                <w:sz w:val="20"/>
                <w:szCs w:val="20"/>
                <w:highlight w:val="none"/>
              </w:rPr>
              <w:t>应处理。</w:t>
            </w:r>
          </w:p>
          <w:p w14:paraId="15021EDC">
            <w:pPr>
              <w:spacing w:before="1" w:line="377" w:lineRule="auto"/>
              <w:ind w:left="106" w:right="107"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2、供应商要配合采购人开展复检。复检结果为最终结果。复检结果</w:t>
            </w:r>
            <w:r>
              <w:rPr>
                <w:rFonts w:ascii="宋体" w:hAnsi="宋体" w:eastAsia="宋体" w:cs="宋体"/>
                <w:color w:val="auto"/>
                <w:spacing w:val="6"/>
                <w:sz w:val="20"/>
                <w:szCs w:val="20"/>
                <w:highlight w:val="none"/>
              </w:rPr>
              <w:t>表明合格的，复检费用由抽样检验的部门承担；复检结论表明不合格</w:t>
            </w:r>
            <w:r>
              <w:rPr>
                <w:rFonts w:ascii="宋体" w:hAnsi="宋体" w:eastAsia="宋体" w:cs="宋体"/>
                <w:color w:val="auto"/>
                <w:spacing w:val="9"/>
                <w:sz w:val="20"/>
                <w:szCs w:val="20"/>
                <w:highlight w:val="none"/>
              </w:rPr>
              <w:t>的，复检费用由要求复检申请人或单位承担。</w:t>
            </w:r>
          </w:p>
          <w:p w14:paraId="53467F9B">
            <w:pPr>
              <w:spacing w:before="1" w:line="376" w:lineRule="auto"/>
              <w:ind w:left="106" w:right="112"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w:t>
            </w:r>
            <w:r>
              <w:rPr>
                <w:rFonts w:hint="eastAsia" w:ascii="宋体" w:hAnsi="宋体" w:eastAsia="宋体" w:cs="宋体"/>
                <w:color w:val="auto"/>
                <w:spacing w:val="9"/>
                <w:sz w:val="20"/>
                <w:szCs w:val="20"/>
                <w:highlight w:val="none"/>
                <w:lang w:eastAsia="zh-CN"/>
              </w:rPr>
              <w:t>供应商需额外计划支持不超过</w:t>
            </w:r>
            <w:r>
              <w:rPr>
                <w:rFonts w:hint="eastAsia" w:ascii="宋体" w:hAnsi="宋体" w:eastAsia="宋体" w:cs="宋体"/>
                <w:color w:val="auto"/>
                <w:spacing w:val="9"/>
                <w:sz w:val="20"/>
                <w:szCs w:val="20"/>
                <w:highlight w:val="none"/>
                <w:lang w:val="en-US" w:eastAsia="zh-CN"/>
              </w:rPr>
              <w:t>50批次的抽检批次作为采购方应急抽检任务使用，</w:t>
            </w:r>
            <w:r>
              <w:rPr>
                <w:rFonts w:ascii="宋体" w:hAnsi="宋体" w:eastAsia="宋体" w:cs="宋体"/>
                <w:color w:val="auto"/>
                <w:spacing w:val="9"/>
                <w:sz w:val="20"/>
                <w:szCs w:val="20"/>
                <w:highlight w:val="none"/>
              </w:rPr>
              <w:t>如采购人出现需要应急抽检的项目，成交供应商需无条件配合采购人的要求。</w:t>
            </w:r>
            <w:r>
              <w:rPr>
                <w:rFonts w:ascii="宋体" w:hAnsi="宋体" w:eastAsia="宋体" w:cs="宋体"/>
                <w:b/>
                <w:bCs/>
                <w:color w:val="auto"/>
                <w:spacing w:val="9"/>
                <w:sz w:val="20"/>
                <w:szCs w:val="20"/>
                <w:highlight w:val="none"/>
              </w:rPr>
              <w:t>（供应商须在响应文件中提供书</w:t>
            </w:r>
            <w:r>
              <w:rPr>
                <w:rFonts w:ascii="宋体" w:hAnsi="宋体" w:eastAsia="宋体" w:cs="宋体"/>
                <w:b/>
                <w:bCs/>
                <w:color w:val="auto"/>
                <w:spacing w:val="8"/>
                <w:sz w:val="20"/>
                <w:szCs w:val="20"/>
                <w:highlight w:val="none"/>
              </w:rPr>
              <w:t>面承诺并加盖供应商</w:t>
            </w:r>
            <w:r>
              <w:rPr>
                <w:rFonts w:ascii="宋体" w:hAnsi="宋体" w:eastAsia="宋体" w:cs="宋体"/>
                <w:b/>
                <w:bCs/>
                <w:color w:val="auto"/>
                <w:spacing w:val="7"/>
                <w:sz w:val="20"/>
                <w:szCs w:val="20"/>
                <w:highlight w:val="none"/>
              </w:rPr>
              <w:t>单位公章，否则按无效响应处理，格式自拟）</w:t>
            </w:r>
          </w:p>
          <w:p w14:paraId="2665B035">
            <w:pPr>
              <w:spacing w:before="1" w:line="377" w:lineRule="auto"/>
              <w:ind w:left="106" w:right="3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4、供应商结合自身能力，在响应文件中提供项目整体组织实施方案、</w:t>
            </w:r>
            <w:r>
              <w:rPr>
                <w:rFonts w:ascii="宋体" w:hAnsi="宋体" w:eastAsia="宋体" w:cs="宋体"/>
                <w:color w:val="auto"/>
                <w:spacing w:val="6"/>
                <w:sz w:val="20"/>
                <w:szCs w:val="20"/>
                <w:highlight w:val="none"/>
              </w:rPr>
              <w:t>抽样方案、检测方案、工作实施方案以供评审，具体要求详见评审标</w:t>
            </w:r>
            <w:r>
              <w:rPr>
                <w:rFonts w:ascii="宋体" w:hAnsi="宋体" w:eastAsia="宋体" w:cs="宋体"/>
                <w:color w:val="auto"/>
                <w:sz w:val="20"/>
                <w:szCs w:val="20"/>
                <w:highlight w:val="none"/>
              </w:rPr>
              <w:t>准。</w:t>
            </w:r>
          </w:p>
          <w:p w14:paraId="6F4411AF">
            <w:pPr>
              <w:spacing w:before="1" w:line="376" w:lineRule="auto"/>
              <w:ind w:left="107" w:right="114" w:firstLine="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5、供应商须在响应文件中提供《供应商可以承检的食品监督抽检品种及项目表》并加盖供应商单位电子签章，</w:t>
            </w:r>
            <w:r>
              <w:rPr>
                <w:rFonts w:ascii="宋体" w:hAnsi="宋体" w:eastAsia="宋体" w:cs="宋体"/>
                <w:b/>
                <w:bCs/>
                <w:color w:val="auto"/>
                <w:spacing w:val="9"/>
                <w:sz w:val="20"/>
                <w:szCs w:val="20"/>
                <w:highlight w:val="none"/>
              </w:rPr>
              <w:t>否则按无效响</w:t>
            </w:r>
            <w:r>
              <w:rPr>
                <w:rFonts w:ascii="宋体" w:hAnsi="宋体" w:eastAsia="宋体" w:cs="宋体"/>
                <w:b/>
                <w:bCs/>
                <w:color w:val="auto"/>
                <w:spacing w:val="8"/>
                <w:sz w:val="20"/>
                <w:szCs w:val="20"/>
                <w:highlight w:val="none"/>
              </w:rPr>
              <w:t>应处理。</w:t>
            </w:r>
          </w:p>
          <w:p w14:paraId="62205653">
            <w:pPr>
              <w:spacing w:before="2" w:line="370" w:lineRule="auto"/>
              <w:ind w:left="106" w:right="109" w:firstLine="2"/>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6、供应商的履约能力要求：投入人员配置、实验室食品能力验证情</w:t>
            </w:r>
            <w:r>
              <w:rPr>
                <w:rFonts w:ascii="宋体" w:hAnsi="宋体" w:eastAsia="宋体" w:cs="宋体"/>
                <w:color w:val="auto"/>
                <w:spacing w:val="6"/>
                <w:sz w:val="20"/>
                <w:szCs w:val="20"/>
                <w:highlight w:val="none"/>
              </w:rPr>
              <w:t>况、实验室综合能力证明开展食品抽检任务服务时效性、风险分析服</w:t>
            </w:r>
            <w:r>
              <w:rPr>
                <w:rFonts w:ascii="宋体" w:hAnsi="宋体" w:eastAsia="宋体" w:cs="宋体"/>
                <w:color w:val="auto"/>
                <w:spacing w:val="9"/>
                <w:sz w:val="20"/>
                <w:szCs w:val="20"/>
                <w:highlight w:val="none"/>
              </w:rPr>
              <w:t>务承诺、实验室内用于食品检验的大型检验仪器设备情</w:t>
            </w:r>
            <w:r>
              <w:rPr>
                <w:rFonts w:ascii="宋体" w:hAnsi="宋体" w:eastAsia="宋体" w:cs="宋体"/>
                <w:color w:val="auto"/>
                <w:spacing w:val="8"/>
                <w:sz w:val="20"/>
                <w:szCs w:val="20"/>
                <w:highlight w:val="none"/>
              </w:rPr>
              <w:t>况、202</w:t>
            </w:r>
            <w:r>
              <w:rPr>
                <w:rFonts w:hint="eastAsia" w:ascii="宋体" w:hAnsi="宋体" w:eastAsia="宋体" w:cs="宋体"/>
                <w:color w:val="auto"/>
                <w:spacing w:val="8"/>
                <w:sz w:val="20"/>
                <w:szCs w:val="20"/>
                <w:highlight w:val="none"/>
                <w:lang w:val="en-US" w:eastAsia="zh-CN"/>
              </w:rPr>
              <w:t>6</w:t>
            </w:r>
            <w:r>
              <w:rPr>
                <w:rFonts w:ascii="宋体" w:hAnsi="宋体" w:eastAsia="宋体" w:cs="宋体"/>
                <w:color w:val="auto"/>
                <w:spacing w:val="8"/>
                <w:sz w:val="20"/>
                <w:szCs w:val="20"/>
                <w:highlight w:val="none"/>
              </w:rPr>
              <w:t>年</w:t>
            </w:r>
            <w:r>
              <w:rPr>
                <w:rFonts w:ascii="宋体" w:hAnsi="宋体" w:eastAsia="宋体" w:cs="宋体"/>
                <w:color w:val="auto"/>
                <w:spacing w:val="6"/>
                <w:sz w:val="20"/>
                <w:szCs w:val="20"/>
                <w:highlight w:val="none"/>
              </w:rPr>
              <w:t>度食品（含普通食品和农产品）安全监督抽检情况、与项目相关的信誉及业绩（如有）。</w:t>
            </w:r>
          </w:p>
        </w:tc>
      </w:tr>
    </w:tbl>
    <w:p w14:paraId="32D0230D">
      <w:pPr>
        <w:rPr>
          <w:color w:val="auto"/>
          <w:szCs w:val="21"/>
          <w:highlight w:val="none"/>
        </w:rPr>
      </w:pPr>
      <w:r>
        <w:rPr>
          <w:color w:val="auto"/>
          <w:szCs w:val="21"/>
          <w:highlight w:val="none"/>
        </w:rPr>
        <w:br w:type="page"/>
      </w:r>
    </w:p>
    <w:p w14:paraId="43A66DF4">
      <w:pPr>
        <w:pStyle w:val="19"/>
        <w:spacing w:line="229" w:lineRule="auto"/>
        <w:ind w:left="560"/>
        <w:rPr>
          <w:color w:val="auto"/>
          <w:highlight w:val="none"/>
        </w:rPr>
      </w:pPr>
      <w:r>
        <w:rPr>
          <w:b/>
          <w:bCs/>
          <w:color w:val="auto"/>
          <w:spacing w:val="3"/>
          <w:highlight w:val="none"/>
        </w:rPr>
        <w:t>标项二：</w:t>
      </w:r>
    </w:p>
    <w:p w14:paraId="2E28CC4D">
      <w:pPr>
        <w:spacing w:line="92" w:lineRule="exact"/>
        <w:rPr>
          <w:color w:val="auto"/>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8"/>
        <w:gridCol w:w="678"/>
        <w:gridCol w:w="108"/>
        <w:gridCol w:w="424"/>
        <w:gridCol w:w="480"/>
        <w:gridCol w:w="570"/>
        <w:gridCol w:w="466"/>
        <w:gridCol w:w="541"/>
        <w:gridCol w:w="604"/>
        <w:gridCol w:w="450"/>
        <w:gridCol w:w="637"/>
        <w:gridCol w:w="562"/>
        <w:gridCol w:w="1115"/>
        <w:gridCol w:w="449"/>
      </w:tblGrid>
      <w:tr w14:paraId="1A113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265" w:type="dxa"/>
            <w:gridSpan w:val="16"/>
            <w:vAlign w:val="top"/>
          </w:tcPr>
          <w:p w14:paraId="478B9CB2">
            <w:pPr>
              <w:spacing w:before="135" w:line="228" w:lineRule="auto"/>
              <w:ind w:left="11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w:t>
            </w:r>
            <w:r>
              <w:rPr>
                <w:rFonts w:ascii="宋体" w:hAnsi="宋体" w:eastAsia="宋体" w:cs="宋体"/>
                <w:b/>
                <w:bCs/>
                <w:color w:val="auto"/>
                <w:spacing w:val="6"/>
                <w:sz w:val="20"/>
                <w:szCs w:val="20"/>
                <w:highlight w:val="none"/>
              </w:rPr>
              <w:t>一、技术要求</w:t>
            </w:r>
          </w:p>
        </w:tc>
      </w:tr>
      <w:tr w14:paraId="47F9E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652" w:type="dxa"/>
            <w:vAlign w:val="top"/>
          </w:tcPr>
          <w:p w14:paraId="4BA4CE90">
            <w:pPr>
              <w:pStyle w:val="179"/>
              <w:spacing w:line="265" w:lineRule="auto"/>
              <w:rPr>
                <w:color w:val="auto"/>
                <w:highlight w:val="none"/>
              </w:rPr>
            </w:pPr>
          </w:p>
          <w:p w14:paraId="2471469B">
            <w:pPr>
              <w:pStyle w:val="179"/>
              <w:spacing w:line="265" w:lineRule="auto"/>
              <w:rPr>
                <w:color w:val="auto"/>
                <w:highlight w:val="none"/>
              </w:rPr>
            </w:pPr>
          </w:p>
          <w:p w14:paraId="459E2D40">
            <w:pPr>
              <w:spacing w:before="65" w:line="230" w:lineRule="auto"/>
              <w:ind w:left="11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序号</w:t>
            </w:r>
          </w:p>
        </w:tc>
        <w:tc>
          <w:tcPr>
            <w:tcW w:w="871" w:type="dxa"/>
            <w:vAlign w:val="top"/>
          </w:tcPr>
          <w:p w14:paraId="397892C5">
            <w:pPr>
              <w:pStyle w:val="179"/>
              <w:spacing w:line="297" w:lineRule="auto"/>
              <w:rPr>
                <w:color w:val="auto"/>
                <w:highlight w:val="none"/>
              </w:rPr>
            </w:pPr>
          </w:p>
          <w:p w14:paraId="0DE68067">
            <w:pPr>
              <w:spacing w:before="65" w:line="434" w:lineRule="auto"/>
              <w:ind w:left="228" w:right="124" w:hanging="10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标的的</w:t>
            </w:r>
            <w:r>
              <w:rPr>
                <w:rFonts w:ascii="宋体" w:hAnsi="宋体" w:eastAsia="宋体" w:cs="宋体"/>
                <w:color w:val="auto"/>
                <w:spacing w:val="3"/>
                <w:sz w:val="20"/>
                <w:szCs w:val="20"/>
                <w:highlight w:val="none"/>
              </w:rPr>
              <w:t>名称</w:t>
            </w:r>
          </w:p>
        </w:tc>
        <w:tc>
          <w:tcPr>
            <w:tcW w:w="658" w:type="dxa"/>
            <w:vAlign w:val="top"/>
          </w:tcPr>
          <w:p w14:paraId="4862B3C6">
            <w:pPr>
              <w:spacing w:before="131" w:line="228" w:lineRule="auto"/>
              <w:ind w:left="12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数量</w:t>
            </w:r>
          </w:p>
          <w:p w14:paraId="4168FE1A">
            <w:pPr>
              <w:spacing w:before="220" w:line="369" w:lineRule="auto"/>
              <w:ind w:left="226" w:right="122" w:hanging="10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及单</w:t>
            </w:r>
            <w:r>
              <w:rPr>
                <w:rFonts w:ascii="宋体" w:hAnsi="宋体" w:eastAsia="宋体" w:cs="宋体"/>
                <w:color w:val="auto"/>
                <w:sz w:val="20"/>
                <w:szCs w:val="20"/>
                <w:highlight w:val="none"/>
              </w:rPr>
              <w:t>位</w:t>
            </w:r>
          </w:p>
        </w:tc>
        <w:tc>
          <w:tcPr>
            <w:tcW w:w="678" w:type="dxa"/>
            <w:vAlign w:val="top"/>
          </w:tcPr>
          <w:p w14:paraId="03D07447">
            <w:pPr>
              <w:pStyle w:val="179"/>
              <w:spacing w:line="296" w:lineRule="auto"/>
              <w:rPr>
                <w:color w:val="auto"/>
                <w:highlight w:val="none"/>
              </w:rPr>
            </w:pPr>
          </w:p>
          <w:p w14:paraId="5593A5E4">
            <w:pPr>
              <w:spacing w:before="65" w:line="434" w:lineRule="auto"/>
              <w:ind w:left="135" w:right="130" w:hanging="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所属</w:t>
            </w:r>
            <w:r>
              <w:rPr>
                <w:rFonts w:ascii="宋体" w:hAnsi="宋体" w:eastAsia="宋体" w:cs="宋体"/>
                <w:color w:val="auto"/>
                <w:spacing w:val="3"/>
                <w:sz w:val="20"/>
                <w:szCs w:val="20"/>
                <w:highlight w:val="none"/>
              </w:rPr>
              <w:t>行业</w:t>
            </w:r>
          </w:p>
        </w:tc>
        <w:tc>
          <w:tcPr>
            <w:tcW w:w="6406" w:type="dxa"/>
            <w:gridSpan w:val="12"/>
            <w:vAlign w:val="top"/>
          </w:tcPr>
          <w:p w14:paraId="2BC3B0B6">
            <w:pPr>
              <w:pStyle w:val="179"/>
              <w:spacing w:line="265" w:lineRule="auto"/>
              <w:rPr>
                <w:color w:val="auto"/>
                <w:highlight w:val="none"/>
              </w:rPr>
            </w:pPr>
          </w:p>
          <w:p w14:paraId="0679D777">
            <w:pPr>
              <w:pStyle w:val="179"/>
              <w:spacing w:line="266" w:lineRule="auto"/>
              <w:rPr>
                <w:color w:val="auto"/>
                <w:highlight w:val="none"/>
              </w:rPr>
            </w:pPr>
          </w:p>
          <w:p w14:paraId="5640DDB6">
            <w:pPr>
              <w:spacing w:before="65" w:line="228" w:lineRule="auto"/>
              <w:ind w:left="2785"/>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服务要求</w:t>
            </w:r>
          </w:p>
        </w:tc>
      </w:tr>
      <w:tr w14:paraId="6A10D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52" w:type="dxa"/>
            <w:vMerge w:val="restart"/>
            <w:tcBorders>
              <w:bottom w:val="nil"/>
            </w:tcBorders>
            <w:vAlign w:val="top"/>
          </w:tcPr>
          <w:p w14:paraId="4AA12EA3">
            <w:pPr>
              <w:pStyle w:val="179"/>
              <w:spacing w:line="255" w:lineRule="auto"/>
              <w:rPr>
                <w:color w:val="auto"/>
                <w:highlight w:val="none"/>
              </w:rPr>
            </w:pPr>
          </w:p>
          <w:p w14:paraId="1923B057">
            <w:pPr>
              <w:pStyle w:val="179"/>
              <w:spacing w:line="255" w:lineRule="auto"/>
              <w:rPr>
                <w:color w:val="auto"/>
                <w:highlight w:val="none"/>
              </w:rPr>
            </w:pPr>
          </w:p>
          <w:p w14:paraId="53E8247C">
            <w:pPr>
              <w:pStyle w:val="179"/>
              <w:spacing w:line="255" w:lineRule="auto"/>
              <w:rPr>
                <w:color w:val="auto"/>
                <w:highlight w:val="none"/>
              </w:rPr>
            </w:pPr>
          </w:p>
          <w:p w14:paraId="54A34CCE">
            <w:pPr>
              <w:pStyle w:val="179"/>
              <w:spacing w:line="255" w:lineRule="auto"/>
              <w:rPr>
                <w:color w:val="auto"/>
                <w:highlight w:val="none"/>
              </w:rPr>
            </w:pPr>
          </w:p>
          <w:p w14:paraId="3A65BEC1">
            <w:pPr>
              <w:pStyle w:val="179"/>
              <w:spacing w:line="255" w:lineRule="auto"/>
              <w:rPr>
                <w:color w:val="auto"/>
                <w:highlight w:val="none"/>
              </w:rPr>
            </w:pPr>
          </w:p>
          <w:p w14:paraId="3B5365B4">
            <w:pPr>
              <w:pStyle w:val="179"/>
              <w:spacing w:line="256" w:lineRule="auto"/>
              <w:rPr>
                <w:color w:val="auto"/>
                <w:highlight w:val="none"/>
              </w:rPr>
            </w:pPr>
          </w:p>
          <w:p w14:paraId="43D40128">
            <w:pPr>
              <w:pStyle w:val="179"/>
              <w:spacing w:line="256" w:lineRule="auto"/>
              <w:rPr>
                <w:color w:val="auto"/>
                <w:highlight w:val="none"/>
              </w:rPr>
            </w:pPr>
          </w:p>
          <w:p w14:paraId="0B1CF252">
            <w:pPr>
              <w:pStyle w:val="179"/>
              <w:spacing w:line="256" w:lineRule="auto"/>
              <w:rPr>
                <w:color w:val="auto"/>
                <w:highlight w:val="none"/>
              </w:rPr>
            </w:pPr>
          </w:p>
          <w:p w14:paraId="20FA99C6">
            <w:pPr>
              <w:spacing w:before="65" w:line="271" w:lineRule="exact"/>
              <w:ind w:left="291"/>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1</w:t>
            </w:r>
          </w:p>
        </w:tc>
        <w:tc>
          <w:tcPr>
            <w:tcW w:w="871" w:type="dxa"/>
            <w:vMerge w:val="restart"/>
            <w:tcBorders>
              <w:bottom w:val="nil"/>
            </w:tcBorders>
            <w:vAlign w:val="top"/>
          </w:tcPr>
          <w:p w14:paraId="211F3FA9">
            <w:pPr>
              <w:pStyle w:val="179"/>
              <w:spacing w:line="293" w:lineRule="auto"/>
              <w:rPr>
                <w:color w:val="auto"/>
                <w:highlight w:val="none"/>
              </w:rPr>
            </w:pPr>
          </w:p>
          <w:p w14:paraId="4423C937">
            <w:pPr>
              <w:pStyle w:val="179"/>
              <w:spacing w:line="293" w:lineRule="auto"/>
              <w:rPr>
                <w:color w:val="auto"/>
                <w:highlight w:val="none"/>
              </w:rPr>
            </w:pPr>
          </w:p>
          <w:p w14:paraId="00B491A6">
            <w:pPr>
              <w:pStyle w:val="179"/>
              <w:spacing w:line="293" w:lineRule="auto"/>
              <w:rPr>
                <w:color w:val="auto"/>
                <w:highlight w:val="none"/>
              </w:rPr>
            </w:pPr>
          </w:p>
          <w:p w14:paraId="275CBCB6">
            <w:pPr>
              <w:spacing w:before="65" w:line="228" w:lineRule="auto"/>
              <w:ind w:left="109"/>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202</w:t>
            </w:r>
            <w:r>
              <w:rPr>
                <w:rFonts w:hint="eastAsia" w:ascii="宋体" w:hAnsi="宋体" w:eastAsia="宋体" w:cs="宋体"/>
                <w:color w:val="auto"/>
                <w:spacing w:val="1"/>
                <w:sz w:val="20"/>
                <w:szCs w:val="20"/>
                <w:highlight w:val="none"/>
                <w:lang w:val="en-US" w:eastAsia="zh-CN"/>
              </w:rPr>
              <w:t>6</w:t>
            </w:r>
            <w:r>
              <w:rPr>
                <w:rFonts w:ascii="宋体" w:hAnsi="宋体" w:eastAsia="宋体" w:cs="宋体"/>
                <w:color w:val="auto"/>
                <w:spacing w:val="1"/>
                <w:sz w:val="20"/>
                <w:szCs w:val="20"/>
                <w:highlight w:val="none"/>
              </w:rPr>
              <w:t>东</w:t>
            </w:r>
          </w:p>
          <w:p w14:paraId="4C64972E">
            <w:pPr>
              <w:spacing w:before="220" w:line="229" w:lineRule="auto"/>
              <w:ind w:left="12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兴片区</w:t>
            </w:r>
          </w:p>
          <w:p w14:paraId="642E55F0">
            <w:pPr>
              <w:spacing w:before="219" w:line="229" w:lineRule="auto"/>
              <w:ind w:left="12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食品安</w:t>
            </w:r>
          </w:p>
          <w:p w14:paraId="6D1B71F4">
            <w:pPr>
              <w:spacing w:before="220" w:line="230" w:lineRule="auto"/>
              <w:ind w:left="12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全监督</w:t>
            </w:r>
          </w:p>
          <w:p w14:paraId="3026D0DF">
            <w:pPr>
              <w:spacing w:before="219" w:line="228" w:lineRule="auto"/>
              <w:ind w:left="12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抽检服</w:t>
            </w:r>
          </w:p>
          <w:p w14:paraId="171DFD9D">
            <w:pPr>
              <w:spacing w:before="221" w:line="228" w:lineRule="auto"/>
              <w:ind w:left="333"/>
              <w:rPr>
                <w:rFonts w:ascii="宋体" w:hAnsi="宋体" w:eastAsia="宋体" w:cs="宋体"/>
                <w:color w:val="auto"/>
                <w:sz w:val="20"/>
                <w:szCs w:val="20"/>
                <w:highlight w:val="none"/>
              </w:rPr>
            </w:pPr>
            <w:r>
              <w:rPr>
                <w:rFonts w:ascii="宋体" w:hAnsi="宋体" w:eastAsia="宋体" w:cs="宋体"/>
                <w:color w:val="auto"/>
                <w:sz w:val="20"/>
                <w:szCs w:val="20"/>
                <w:highlight w:val="none"/>
              </w:rPr>
              <w:t>务</w:t>
            </w:r>
          </w:p>
        </w:tc>
        <w:tc>
          <w:tcPr>
            <w:tcW w:w="658" w:type="dxa"/>
            <w:vMerge w:val="restart"/>
            <w:tcBorders>
              <w:bottom w:val="nil"/>
            </w:tcBorders>
            <w:vAlign w:val="top"/>
          </w:tcPr>
          <w:p w14:paraId="409056E8">
            <w:pPr>
              <w:pStyle w:val="179"/>
              <w:spacing w:line="255" w:lineRule="auto"/>
              <w:rPr>
                <w:color w:val="auto"/>
                <w:highlight w:val="none"/>
              </w:rPr>
            </w:pPr>
          </w:p>
          <w:p w14:paraId="3FB42AEE">
            <w:pPr>
              <w:pStyle w:val="179"/>
              <w:spacing w:line="255" w:lineRule="auto"/>
              <w:rPr>
                <w:color w:val="auto"/>
                <w:highlight w:val="none"/>
              </w:rPr>
            </w:pPr>
          </w:p>
          <w:p w14:paraId="35CF0983">
            <w:pPr>
              <w:pStyle w:val="179"/>
              <w:spacing w:line="255" w:lineRule="auto"/>
              <w:rPr>
                <w:color w:val="auto"/>
                <w:highlight w:val="none"/>
              </w:rPr>
            </w:pPr>
          </w:p>
          <w:p w14:paraId="57C398D3">
            <w:pPr>
              <w:pStyle w:val="179"/>
              <w:spacing w:line="255" w:lineRule="auto"/>
              <w:rPr>
                <w:color w:val="auto"/>
                <w:highlight w:val="none"/>
              </w:rPr>
            </w:pPr>
          </w:p>
          <w:p w14:paraId="47EEEDA5">
            <w:pPr>
              <w:pStyle w:val="179"/>
              <w:spacing w:line="255" w:lineRule="auto"/>
              <w:rPr>
                <w:color w:val="auto"/>
                <w:highlight w:val="none"/>
              </w:rPr>
            </w:pPr>
          </w:p>
          <w:p w14:paraId="3658A1F2">
            <w:pPr>
              <w:pStyle w:val="179"/>
              <w:spacing w:line="256" w:lineRule="auto"/>
              <w:rPr>
                <w:color w:val="auto"/>
                <w:highlight w:val="none"/>
              </w:rPr>
            </w:pPr>
          </w:p>
          <w:p w14:paraId="673DC676">
            <w:pPr>
              <w:pStyle w:val="179"/>
              <w:spacing w:line="256" w:lineRule="auto"/>
              <w:rPr>
                <w:color w:val="auto"/>
                <w:highlight w:val="none"/>
              </w:rPr>
            </w:pPr>
          </w:p>
          <w:p w14:paraId="7ECEDC2B">
            <w:pPr>
              <w:pStyle w:val="179"/>
              <w:spacing w:line="256" w:lineRule="auto"/>
              <w:rPr>
                <w:color w:val="auto"/>
                <w:highlight w:val="none"/>
              </w:rPr>
            </w:pPr>
          </w:p>
          <w:p w14:paraId="6E7DE800">
            <w:pPr>
              <w:spacing w:before="65" w:line="229" w:lineRule="auto"/>
              <w:ind w:left="163"/>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1</w:t>
            </w:r>
            <w:r>
              <w:rPr>
                <w:rFonts w:ascii="宋体" w:hAnsi="宋体" w:eastAsia="宋体" w:cs="宋体"/>
                <w:color w:val="auto"/>
                <w:spacing w:val="-35"/>
                <w:sz w:val="20"/>
                <w:szCs w:val="20"/>
                <w:highlight w:val="none"/>
              </w:rPr>
              <w:t xml:space="preserve"> </w:t>
            </w:r>
            <w:r>
              <w:rPr>
                <w:rFonts w:ascii="宋体" w:hAnsi="宋体" w:eastAsia="宋体" w:cs="宋体"/>
                <w:color w:val="auto"/>
                <w:spacing w:val="-10"/>
                <w:sz w:val="20"/>
                <w:szCs w:val="20"/>
                <w:highlight w:val="none"/>
              </w:rPr>
              <w:t>项</w:t>
            </w:r>
          </w:p>
        </w:tc>
        <w:tc>
          <w:tcPr>
            <w:tcW w:w="678" w:type="dxa"/>
            <w:vMerge w:val="restart"/>
            <w:tcBorders>
              <w:bottom w:val="nil"/>
            </w:tcBorders>
            <w:vAlign w:val="top"/>
          </w:tcPr>
          <w:p w14:paraId="27F0637E">
            <w:pPr>
              <w:pStyle w:val="179"/>
              <w:spacing w:line="268" w:lineRule="auto"/>
              <w:rPr>
                <w:color w:val="auto"/>
                <w:highlight w:val="none"/>
              </w:rPr>
            </w:pPr>
          </w:p>
          <w:p w14:paraId="481D4D59">
            <w:pPr>
              <w:pStyle w:val="179"/>
              <w:spacing w:line="268" w:lineRule="auto"/>
              <w:rPr>
                <w:color w:val="auto"/>
                <w:highlight w:val="none"/>
              </w:rPr>
            </w:pPr>
          </w:p>
          <w:p w14:paraId="008AB72B">
            <w:pPr>
              <w:pStyle w:val="179"/>
              <w:spacing w:line="269" w:lineRule="auto"/>
              <w:rPr>
                <w:color w:val="auto"/>
                <w:highlight w:val="none"/>
              </w:rPr>
            </w:pPr>
          </w:p>
          <w:p w14:paraId="11A433B2">
            <w:pPr>
              <w:pStyle w:val="179"/>
              <w:spacing w:line="269" w:lineRule="auto"/>
              <w:rPr>
                <w:color w:val="auto"/>
                <w:highlight w:val="none"/>
              </w:rPr>
            </w:pPr>
          </w:p>
          <w:p w14:paraId="1C62B11E">
            <w:pPr>
              <w:pStyle w:val="179"/>
              <w:spacing w:line="269" w:lineRule="auto"/>
              <w:rPr>
                <w:color w:val="auto"/>
                <w:highlight w:val="none"/>
              </w:rPr>
            </w:pPr>
          </w:p>
          <w:p w14:paraId="25727EBF">
            <w:pPr>
              <w:spacing w:before="65" w:line="436" w:lineRule="auto"/>
              <w:ind w:left="135" w:right="130" w:hanging="2"/>
              <w:jc w:val="both"/>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其他</w:t>
            </w:r>
            <w:r>
              <w:rPr>
                <w:rFonts w:ascii="宋体" w:hAnsi="宋体" w:eastAsia="宋体" w:cs="宋体"/>
                <w:color w:val="auto"/>
                <w:spacing w:val="3"/>
                <w:sz w:val="20"/>
                <w:szCs w:val="20"/>
                <w:highlight w:val="none"/>
              </w:rPr>
              <w:t>未列明行业</w:t>
            </w:r>
          </w:p>
        </w:tc>
        <w:tc>
          <w:tcPr>
            <w:tcW w:w="5957" w:type="dxa"/>
            <w:gridSpan w:val="11"/>
            <w:tcBorders>
              <w:right w:val="nil"/>
            </w:tcBorders>
            <w:vAlign w:val="top"/>
          </w:tcPr>
          <w:p w14:paraId="4648C8E5">
            <w:pPr>
              <w:spacing w:before="122" w:line="215" w:lineRule="auto"/>
              <w:ind w:left="120"/>
              <w:rPr>
                <w:rFonts w:ascii="宋体" w:hAnsi="宋体" w:eastAsia="宋体" w:cs="宋体"/>
                <w:color w:val="auto"/>
                <w:sz w:val="20"/>
                <w:szCs w:val="20"/>
                <w:highlight w:val="none"/>
              </w:rPr>
            </w:pPr>
            <w:r>
              <w:rPr>
                <w:rFonts w:ascii="宋体" w:hAnsi="宋体" w:eastAsia="宋体" w:cs="宋体"/>
                <w:b/>
                <w:bCs/>
                <w:color w:val="auto"/>
                <w:spacing w:val="8"/>
                <w:sz w:val="20"/>
                <w:szCs w:val="20"/>
                <w:highlight w:val="none"/>
              </w:rPr>
              <w:t>（一）抽检监测任务分配</w:t>
            </w:r>
            <w:r>
              <w:rPr>
                <w:rFonts w:ascii="宋体" w:hAnsi="宋体" w:eastAsia="宋体" w:cs="宋体"/>
                <w:b/>
                <w:bCs/>
                <w:color w:val="auto"/>
                <w:spacing w:val="-2"/>
                <w:sz w:val="20"/>
                <w:szCs w:val="20"/>
                <w:highlight w:val="none"/>
              </w:rPr>
              <w:t>：（</w:t>
            </w:r>
            <w:r>
              <w:rPr>
                <w:rFonts w:ascii="宋体" w:hAnsi="宋体" w:eastAsia="宋体" w:cs="宋体"/>
                <w:b/>
                <w:bCs/>
                <w:color w:val="auto"/>
                <w:spacing w:val="8"/>
                <w:sz w:val="20"/>
                <w:szCs w:val="20"/>
                <w:highlight w:val="none"/>
              </w:rPr>
              <w:t>单位：批次）</w:t>
            </w:r>
          </w:p>
        </w:tc>
        <w:tc>
          <w:tcPr>
            <w:tcW w:w="449" w:type="dxa"/>
            <w:vMerge w:val="restart"/>
            <w:tcBorders>
              <w:bottom w:val="nil"/>
            </w:tcBorders>
            <w:vAlign w:val="top"/>
          </w:tcPr>
          <w:p w14:paraId="14C7E695">
            <w:pPr>
              <w:pStyle w:val="179"/>
              <w:rPr>
                <w:color w:val="auto"/>
                <w:highlight w:val="none"/>
              </w:rPr>
            </w:pPr>
          </w:p>
        </w:tc>
      </w:tr>
      <w:tr w14:paraId="47F3ED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652" w:type="dxa"/>
            <w:vMerge w:val="continue"/>
            <w:tcBorders>
              <w:top w:val="nil"/>
              <w:bottom w:val="nil"/>
            </w:tcBorders>
            <w:vAlign w:val="top"/>
          </w:tcPr>
          <w:p w14:paraId="1DC36CDC">
            <w:pPr>
              <w:pStyle w:val="179"/>
              <w:rPr>
                <w:color w:val="auto"/>
                <w:highlight w:val="none"/>
              </w:rPr>
            </w:pPr>
          </w:p>
        </w:tc>
        <w:tc>
          <w:tcPr>
            <w:tcW w:w="871" w:type="dxa"/>
            <w:vMerge w:val="continue"/>
            <w:tcBorders>
              <w:top w:val="nil"/>
              <w:bottom w:val="nil"/>
            </w:tcBorders>
            <w:vAlign w:val="top"/>
          </w:tcPr>
          <w:p w14:paraId="252B50A9">
            <w:pPr>
              <w:pStyle w:val="179"/>
              <w:rPr>
                <w:color w:val="auto"/>
                <w:highlight w:val="none"/>
              </w:rPr>
            </w:pPr>
          </w:p>
        </w:tc>
        <w:tc>
          <w:tcPr>
            <w:tcW w:w="658" w:type="dxa"/>
            <w:vMerge w:val="continue"/>
            <w:tcBorders>
              <w:top w:val="nil"/>
              <w:bottom w:val="nil"/>
            </w:tcBorders>
            <w:vAlign w:val="top"/>
          </w:tcPr>
          <w:p w14:paraId="71733B4B">
            <w:pPr>
              <w:pStyle w:val="179"/>
              <w:rPr>
                <w:color w:val="auto"/>
                <w:highlight w:val="none"/>
              </w:rPr>
            </w:pPr>
          </w:p>
        </w:tc>
        <w:tc>
          <w:tcPr>
            <w:tcW w:w="678" w:type="dxa"/>
            <w:vMerge w:val="continue"/>
            <w:tcBorders>
              <w:top w:val="nil"/>
              <w:bottom w:val="nil"/>
            </w:tcBorders>
            <w:vAlign w:val="top"/>
          </w:tcPr>
          <w:p w14:paraId="645D7A3A">
            <w:pPr>
              <w:pStyle w:val="179"/>
              <w:rPr>
                <w:color w:val="auto"/>
                <w:highlight w:val="none"/>
              </w:rPr>
            </w:pPr>
          </w:p>
        </w:tc>
        <w:tc>
          <w:tcPr>
            <w:tcW w:w="108" w:type="dxa"/>
            <w:tcBorders>
              <w:top w:val="nil"/>
              <w:bottom w:val="nil"/>
            </w:tcBorders>
            <w:vAlign w:val="top"/>
          </w:tcPr>
          <w:p w14:paraId="7A291E32">
            <w:pPr>
              <w:pStyle w:val="179"/>
              <w:rPr>
                <w:color w:val="auto"/>
                <w:highlight w:val="none"/>
              </w:rPr>
            </w:pPr>
          </w:p>
        </w:tc>
        <w:tc>
          <w:tcPr>
            <w:tcW w:w="424" w:type="dxa"/>
            <w:textDirection w:val="tbRlV"/>
            <w:vAlign w:val="top"/>
          </w:tcPr>
          <w:p w14:paraId="4BD9B873">
            <w:pPr>
              <w:spacing w:before="107" w:line="218" w:lineRule="auto"/>
              <w:ind w:left="67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序 号</w:t>
            </w:r>
          </w:p>
        </w:tc>
        <w:tc>
          <w:tcPr>
            <w:tcW w:w="480" w:type="dxa"/>
            <w:textDirection w:val="tbRlV"/>
            <w:vAlign w:val="top"/>
          </w:tcPr>
          <w:p w14:paraId="7882BAF3">
            <w:pPr>
              <w:spacing w:before="134"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任 务 类 型</w:t>
            </w:r>
          </w:p>
        </w:tc>
        <w:tc>
          <w:tcPr>
            <w:tcW w:w="570" w:type="dxa"/>
            <w:textDirection w:val="tbRlV"/>
            <w:vAlign w:val="top"/>
          </w:tcPr>
          <w:p w14:paraId="0D05BF69">
            <w:pPr>
              <w:spacing w:before="180"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生 产 环 节</w:t>
            </w:r>
          </w:p>
        </w:tc>
        <w:tc>
          <w:tcPr>
            <w:tcW w:w="466" w:type="dxa"/>
            <w:textDirection w:val="tbRlV"/>
            <w:vAlign w:val="top"/>
          </w:tcPr>
          <w:p w14:paraId="4DAEB516">
            <w:pPr>
              <w:spacing w:before="129"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销 售 环 节</w:t>
            </w:r>
          </w:p>
        </w:tc>
        <w:tc>
          <w:tcPr>
            <w:tcW w:w="541" w:type="dxa"/>
            <w:textDirection w:val="tbRlV"/>
            <w:vAlign w:val="top"/>
          </w:tcPr>
          <w:p w14:paraId="20D29923">
            <w:pPr>
              <w:spacing w:before="165"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餐 饮 环 节</w:t>
            </w:r>
          </w:p>
        </w:tc>
        <w:tc>
          <w:tcPr>
            <w:tcW w:w="604" w:type="dxa"/>
            <w:textDirection w:val="tbRlV"/>
            <w:vAlign w:val="top"/>
          </w:tcPr>
          <w:p w14:paraId="51E04A4D">
            <w:pPr>
              <w:spacing w:before="195" w:line="216" w:lineRule="auto"/>
              <w:ind w:left="21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区 级 农 产 品</w:t>
            </w:r>
          </w:p>
        </w:tc>
        <w:tc>
          <w:tcPr>
            <w:tcW w:w="450" w:type="dxa"/>
            <w:textDirection w:val="tbRlV"/>
            <w:vAlign w:val="top"/>
          </w:tcPr>
          <w:p w14:paraId="790BBCBB">
            <w:pPr>
              <w:spacing w:before="120" w:line="216" w:lineRule="auto"/>
              <w:ind w:left="5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市 级 农 产 品</w:t>
            </w:r>
          </w:p>
        </w:tc>
        <w:tc>
          <w:tcPr>
            <w:tcW w:w="637" w:type="dxa"/>
            <w:textDirection w:val="tbRlV"/>
            <w:vAlign w:val="top"/>
          </w:tcPr>
          <w:p w14:paraId="6F252780">
            <w:pPr>
              <w:spacing w:before="179" w:line="216" w:lineRule="auto"/>
              <w:ind w:left="5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市 级 普 通 食 品</w:t>
            </w:r>
          </w:p>
        </w:tc>
        <w:tc>
          <w:tcPr>
            <w:tcW w:w="562" w:type="dxa"/>
            <w:textDirection w:val="tbRlV"/>
            <w:vAlign w:val="top"/>
          </w:tcPr>
          <w:p w14:paraId="3E7E249A">
            <w:pPr>
              <w:spacing w:before="208" w:line="217" w:lineRule="auto"/>
              <w:ind w:left="67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合 计</w:t>
            </w:r>
          </w:p>
        </w:tc>
        <w:tc>
          <w:tcPr>
            <w:tcW w:w="1115" w:type="dxa"/>
            <w:vAlign w:val="top"/>
          </w:tcPr>
          <w:p w14:paraId="6F20090C">
            <w:pPr>
              <w:pStyle w:val="179"/>
              <w:spacing w:line="254" w:lineRule="auto"/>
              <w:rPr>
                <w:color w:val="auto"/>
                <w:highlight w:val="none"/>
              </w:rPr>
            </w:pPr>
          </w:p>
          <w:p w14:paraId="5006E520">
            <w:pPr>
              <w:pStyle w:val="179"/>
              <w:spacing w:line="255" w:lineRule="auto"/>
              <w:rPr>
                <w:color w:val="auto"/>
                <w:highlight w:val="none"/>
              </w:rPr>
            </w:pPr>
          </w:p>
          <w:p w14:paraId="29981ECF">
            <w:pPr>
              <w:pStyle w:val="179"/>
              <w:spacing w:line="255" w:lineRule="auto"/>
              <w:rPr>
                <w:color w:val="auto"/>
                <w:highlight w:val="none"/>
              </w:rPr>
            </w:pPr>
          </w:p>
          <w:p w14:paraId="76957895">
            <w:pPr>
              <w:spacing w:before="65" w:line="230" w:lineRule="auto"/>
              <w:ind w:left="353"/>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备注</w:t>
            </w:r>
          </w:p>
        </w:tc>
        <w:tc>
          <w:tcPr>
            <w:tcW w:w="449" w:type="dxa"/>
            <w:vMerge w:val="continue"/>
            <w:tcBorders>
              <w:top w:val="nil"/>
              <w:bottom w:val="nil"/>
            </w:tcBorders>
            <w:vAlign w:val="top"/>
          </w:tcPr>
          <w:p w14:paraId="1C0F3A79">
            <w:pPr>
              <w:pStyle w:val="179"/>
              <w:rPr>
                <w:color w:val="auto"/>
                <w:highlight w:val="none"/>
              </w:rPr>
            </w:pPr>
          </w:p>
        </w:tc>
      </w:tr>
      <w:tr w14:paraId="3F66A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652" w:type="dxa"/>
            <w:vMerge w:val="continue"/>
            <w:tcBorders>
              <w:top w:val="nil"/>
              <w:bottom w:val="nil"/>
            </w:tcBorders>
            <w:vAlign w:val="top"/>
          </w:tcPr>
          <w:p w14:paraId="7EAFD50C">
            <w:pPr>
              <w:pStyle w:val="179"/>
              <w:rPr>
                <w:color w:val="auto"/>
                <w:highlight w:val="none"/>
              </w:rPr>
            </w:pPr>
          </w:p>
        </w:tc>
        <w:tc>
          <w:tcPr>
            <w:tcW w:w="871" w:type="dxa"/>
            <w:vMerge w:val="continue"/>
            <w:tcBorders>
              <w:top w:val="nil"/>
              <w:bottom w:val="nil"/>
            </w:tcBorders>
            <w:vAlign w:val="top"/>
          </w:tcPr>
          <w:p w14:paraId="3243C8D2">
            <w:pPr>
              <w:pStyle w:val="179"/>
              <w:rPr>
                <w:color w:val="auto"/>
                <w:highlight w:val="none"/>
              </w:rPr>
            </w:pPr>
          </w:p>
        </w:tc>
        <w:tc>
          <w:tcPr>
            <w:tcW w:w="658" w:type="dxa"/>
            <w:vMerge w:val="continue"/>
            <w:tcBorders>
              <w:top w:val="nil"/>
              <w:bottom w:val="nil"/>
            </w:tcBorders>
            <w:vAlign w:val="top"/>
          </w:tcPr>
          <w:p w14:paraId="6B892D76">
            <w:pPr>
              <w:pStyle w:val="179"/>
              <w:rPr>
                <w:color w:val="auto"/>
                <w:highlight w:val="none"/>
              </w:rPr>
            </w:pPr>
          </w:p>
        </w:tc>
        <w:tc>
          <w:tcPr>
            <w:tcW w:w="678" w:type="dxa"/>
            <w:vMerge w:val="continue"/>
            <w:tcBorders>
              <w:top w:val="nil"/>
              <w:bottom w:val="nil"/>
            </w:tcBorders>
            <w:vAlign w:val="top"/>
          </w:tcPr>
          <w:p w14:paraId="4BB69D93">
            <w:pPr>
              <w:pStyle w:val="179"/>
              <w:rPr>
                <w:color w:val="auto"/>
                <w:highlight w:val="none"/>
              </w:rPr>
            </w:pPr>
          </w:p>
        </w:tc>
        <w:tc>
          <w:tcPr>
            <w:tcW w:w="108" w:type="dxa"/>
            <w:tcBorders>
              <w:top w:val="nil"/>
              <w:bottom w:val="nil"/>
            </w:tcBorders>
            <w:vAlign w:val="top"/>
          </w:tcPr>
          <w:p w14:paraId="6C796B79">
            <w:pPr>
              <w:pStyle w:val="179"/>
              <w:rPr>
                <w:color w:val="auto"/>
                <w:highlight w:val="none"/>
              </w:rPr>
            </w:pPr>
          </w:p>
        </w:tc>
        <w:tc>
          <w:tcPr>
            <w:tcW w:w="424" w:type="dxa"/>
            <w:vAlign w:val="top"/>
          </w:tcPr>
          <w:p w14:paraId="6B944B2C">
            <w:pPr>
              <w:pStyle w:val="179"/>
              <w:spacing w:line="305" w:lineRule="auto"/>
              <w:rPr>
                <w:color w:val="auto"/>
                <w:highlight w:val="none"/>
              </w:rPr>
            </w:pPr>
          </w:p>
          <w:p w14:paraId="3B50F033">
            <w:pPr>
              <w:pStyle w:val="179"/>
              <w:spacing w:line="306" w:lineRule="auto"/>
              <w:rPr>
                <w:color w:val="auto"/>
                <w:highlight w:val="none"/>
              </w:rPr>
            </w:pPr>
          </w:p>
          <w:p w14:paraId="431C0D9E">
            <w:pPr>
              <w:spacing w:before="65" w:line="270" w:lineRule="exact"/>
              <w:ind w:left="178"/>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1</w:t>
            </w:r>
          </w:p>
        </w:tc>
        <w:tc>
          <w:tcPr>
            <w:tcW w:w="480" w:type="dxa"/>
            <w:textDirection w:val="tbRlV"/>
            <w:vAlign w:val="top"/>
          </w:tcPr>
          <w:p w14:paraId="56680D81">
            <w:pPr>
              <w:spacing w:before="134" w:line="207" w:lineRule="auto"/>
              <w:ind w:left="55"/>
              <w:rPr>
                <w:rFonts w:ascii="宋体" w:hAnsi="宋体" w:eastAsia="宋体" w:cs="宋体"/>
                <w:color w:val="auto"/>
                <w:sz w:val="20"/>
                <w:szCs w:val="20"/>
                <w:highlight w:val="none"/>
              </w:rPr>
            </w:pPr>
            <w:r>
              <w:rPr>
                <w:rFonts w:ascii="宋体" w:hAnsi="宋体" w:eastAsia="宋体" w:cs="宋体"/>
                <w:color w:val="auto"/>
                <w:spacing w:val="6"/>
                <w:position w:val="1"/>
                <w:sz w:val="20"/>
                <w:szCs w:val="20"/>
                <w:highlight w:val="none"/>
              </w:rPr>
              <w:t xml:space="preserve">自 </w:t>
            </w:r>
            <w:r>
              <w:rPr>
                <w:rFonts w:ascii="宋体" w:hAnsi="宋体" w:eastAsia="宋体" w:cs="宋体"/>
                <w:color w:val="auto"/>
                <w:spacing w:val="6"/>
                <w:sz w:val="20"/>
                <w:szCs w:val="20"/>
                <w:highlight w:val="none"/>
              </w:rPr>
              <w:t>治 区 转 移</w:t>
            </w:r>
          </w:p>
        </w:tc>
        <w:tc>
          <w:tcPr>
            <w:tcW w:w="570" w:type="dxa"/>
            <w:vAlign w:val="top"/>
          </w:tcPr>
          <w:p w14:paraId="13453331">
            <w:pPr>
              <w:pStyle w:val="179"/>
              <w:spacing w:line="305" w:lineRule="auto"/>
              <w:rPr>
                <w:color w:val="auto"/>
                <w:highlight w:val="none"/>
              </w:rPr>
            </w:pPr>
          </w:p>
          <w:p w14:paraId="574AFF16">
            <w:pPr>
              <w:pStyle w:val="179"/>
              <w:spacing w:line="306" w:lineRule="auto"/>
              <w:rPr>
                <w:color w:val="auto"/>
                <w:highlight w:val="none"/>
              </w:rPr>
            </w:pPr>
          </w:p>
          <w:p w14:paraId="4D159495">
            <w:pPr>
              <w:spacing w:before="65" w:line="269" w:lineRule="exact"/>
              <w:ind w:left="147"/>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81</w:t>
            </w:r>
          </w:p>
        </w:tc>
        <w:tc>
          <w:tcPr>
            <w:tcW w:w="466" w:type="dxa"/>
            <w:vAlign w:val="top"/>
          </w:tcPr>
          <w:p w14:paraId="1725D595">
            <w:pPr>
              <w:pStyle w:val="179"/>
              <w:spacing w:line="305" w:lineRule="auto"/>
              <w:rPr>
                <w:color w:val="auto"/>
                <w:highlight w:val="none"/>
              </w:rPr>
            </w:pPr>
          </w:p>
          <w:p w14:paraId="38DE78EF">
            <w:pPr>
              <w:pStyle w:val="179"/>
              <w:spacing w:line="306" w:lineRule="auto"/>
              <w:rPr>
                <w:color w:val="auto"/>
                <w:highlight w:val="none"/>
              </w:rPr>
            </w:pPr>
          </w:p>
          <w:p w14:paraId="60B2F1E0">
            <w:pPr>
              <w:spacing w:before="65" w:line="269" w:lineRule="exact"/>
              <w:ind w:left="185"/>
              <w:rPr>
                <w:rFonts w:hint="default" w:ascii="宋体" w:hAnsi="宋体" w:eastAsia="宋体" w:cs="宋体"/>
                <w:color w:val="auto"/>
                <w:sz w:val="20"/>
                <w:szCs w:val="20"/>
                <w:highlight w:val="none"/>
                <w:lang w:val="en-US" w:eastAsia="zh-CN"/>
              </w:rPr>
            </w:pPr>
            <w:r>
              <w:rPr>
                <w:rFonts w:hint="eastAsia" w:ascii="宋体" w:hAnsi="宋体" w:eastAsia="宋体" w:cs="宋体"/>
                <w:color w:val="auto"/>
                <w:position w:val="1"/>
                <w:sz w:val="20"/>
                <w:szCs w:val="20"/>
                <w:highlight w:val="none"/>
                <w:lang w:val="en-US" w:eastAsia="zh-CN"/>
              </w:rPr>
              <w:t>42</w:t>
            </w:r>
          </w:p>
        </w:tc>
        <w:tc>
          <w:tcPr>
            <w:tcW w:w="541" w:type="dxa"/>
            <w:vAlign w:val="top"/>
          </w:tcPr>
          <w:p w14:paraId="61DBCBAD">
            <w:pPr>
              <w:pStyle w:val="179"/>
              <w:spacing w:line="305" w:lineRule="auto"/>
              <w:rPr>
                <w:color w:val="auto"/>
                <w:highlight w:val="none"/>
              </w:rPr>
            </w:pPr>
          </w:p>
          <w:p w14:paraId="110176D9">
            <w:pPr>
              <w:pStyle w:val="179"/>
              <w:spacing w:line="306" w:lineRule="auto"/>
              <w:rPr>
                <w:color w:val="auto"/>
                <w:highlight w:val="none"/>
              </w:rPr>
            </w:pPr>
          </w:p>
          <w:p w14:paraId="75EC3272">
            <w:pPr>
              <w:spacing w:before="65" w:line="269" w:lineRule="exact"/>
              <w:ind w:left="173"/>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2"/>
                <w:position w:val="1"/>
                <w:sz w:val="20"/>
                <w:szCs w:val="20"/>
                <w:highlight w:val="none"/>
                <w:lang w:val="en-US" w:eastAsia="zh-CN"/>
              </w:rPr>
              <w:t>35</w:t>
            </w:r>
          </w:p>
        </w:tc>
        <w:tc>
          <w:tcPr>
            <w:tcW w:w="604" w:type="dxa"/>
            <w:vAlign w:val="top"/>
          </w:tcPr>
          <w:p w14:paraId="10E39A4A">
            <w:pPr>
              <w:pStyle w:val="179"/>
              <w:spacing w:line="305" w:lineRule="auto"/>
              <w:rPr>
                <w:color w:val="auto"/>
                <w:highlight w:val="none"/>
              </w:rPr>
            </w:pPr>
          </w:p>
          <w:p w14:paraId="4BE245A4">
            <w:pPr>
              <w:pStyle w:val="179"/>
              <w:spacing w:line="306" w:lineRule="auto"/>
              <w:rPr>
                <w:color w:val="auto"/>
                <w:highlight w:val="none"/>
              </w:rPr>
            </w:pPr>
          </w:p>
          <w:p w14:paraId="2D786BF2">
            <w:pPr>
              <w:spacing w:before="65" w:line="269" w:lineRule="exact"/>
              <w:ind w:left="151"/>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1"/>
                <w:position w:val="1"/>
                <w:sz w:val="20"/>
                <w:szCs w:val="20"/>
                <w:highlight w:val="none"/>
                <w:lang w:val="en-US" w:eastAsia="zh-CN"/>
              </w:rPr>
              <w:t>187</w:t>
            </w:r>
          </w:p>
        </w:tc>
        <w:tc>
          <w:tcPr>
            <w:tcW w:w="450" w:type="dxa"/>
            <w:vAlign w:val="top"/>
          </w:tcPr>
          <w:p w14:paraId="68FB636A">
            <w:pPr>
              <w:pStyle w:val="179"/>
              <w:rPr>
                <w:color w:val="auto"/>
                <w:highlight w:val="none"/>
              </w:rPr>
            </w:pPr>
          </w:p>
        </w:tc>
        <w:tc>
          <w:tcPr>
            <w:tcW w:w="637" w:type="dxa"/>
            <w:vAlign w:val="top"/>
          </w:tcPr>
          <w:p w14:paraId="5235DC47">
            <w:pPr>
              <w:pStyle w:val="179"/>
              <w:rPr>
                <w:color w:val="auto"/>
                <w:highlight w:val="none"/>
              </w:rPr>
            </w:pPr>
          </w:p>
        </w:tc>
        <w:tc>
          <w:tcPr>
            <w:tcW w:w="562" w:type="dxa"/>
            <w:vAlign w:val="top"/>
          </w:tcPr>
          <w:p w14:paraId="33FB456C">
            <w:pPr>
              <w:pStyle w:val="179"/>
              <w:spacing w:line="305" w:lineRule="auto"/>
              <w:rPr>
                <w:color w:val="auto"/>
                <w:highlight w:val="none"/>
              </w:rPr>
            </w:pPr>
          </w:p>
          <w:p w14:paraId="3C83A121">
            <w:pPr>
              <w:pStyle w:val="179"/>
              <w:spacing w:line="306" w:lineRule="auto"/>
              <w:rPr>
                <w:color w:val="auto"/>
                <w:highlight w:val="none"/>
              </w:rPr>
            </w:pPr>
          </w:p>
          <w:p w14:paraId="4CF193AB">
            <w:pPr>
              <w:spacing w:before="65" w:line="269" w:lineRule="exact"/>
              <w:ind w:left="160"/>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2"/>
                <w:position w:val="1"/>
                <w:sz w:val="20"/>
                <w:szCs w:val="20"/>
                <w:highlight w:val="none"/>
                <w:lang w:val="en-US" w:eastAsia="zh-CN"/>
              </w:rPr>
              <w:t>345</w:t>
            </w:r>
          </w:p>
        </w:tc>
        <w:tc>
          <w:tcPr>
            <w:tcW w:w="1115" w:type="dxa"/>
            <w:vAlign w:val="top"/>
          </w:tcPr>
          <w:p w14:paraId="769C8AEE">
            <w:pPr>
              <w:pStyle w:val="179"/>
              <w:rPr>
                <w:color w:val="auto"/>
                <w:highlight w:val="none"/>
              </w:rPr>
            </w:pPr>
          </w:p>
          <w:p w14:paraId="79C42D36">
            <w:pPr>
              <w:spacing w:before="65" w:line="289" w:lineRule="auto"/>
              <w:ind w:left="108" w:right="104"/>
              <w:jc w:val="both"/>
              <w:rPr>
                <w:rFonts w:ascii="宋体" w:hAnsi="宋体" w:eastAsia="宋体" w:cs="宋体"/>
                <w:color w:val="auto"/>
                <w:sz w:val="20"/>
                <w:szCs w:val="20"/>
                <w:highlight w:val="none"/>
              </w:rPr>
            </w:pPr>
            <w:r>
              <w:rPr>
                <w:rFonts w:ascii="宋体" w:hAnsi="宋体" w:eastAsia="宋体" w:cs="宋体"/>
                <w:color w:val="auto"/>
                <w:spacing w:val="24"/>
                <w:sz w:val="20"/>
                <w:szCs w:val="20"/>
                <w:highlight w:val="none"/>
              </w:rPr>
              <w:t>包含普通食品和食</w:t>
            </w:r>
            <w:r>
              <w:rPr>
                <w:rFonts w:ascii="宋体" w:hAnsi="宋体" w:eastAsia="宋体" w:cs="宋体"/>
                <w:color w:val="auto"/>
                <w:spacing w:val="7"/>
                <w:sz w:val="20"/>
                <w:szCs w:val="20"/>
                <w:highlight w:val="none"/>
              </w:rPr>
              <w:t>用农产品</w:t>
            </w:r>
          </w:p>
        </w:tc>
        <w:tc>
          <w:tcPr>
            <w:tcW w:w="449" w:type="dxa"/>
            <w:vMerge w:val="continue"/>
            <w:tcBorders>
              <w:top w:val="nil"/>
              <w:bottom w:val="nil"/>
            </w:tcBorders>
            <w:vAlign w:val="top"/>
          </w:tcPr>
          <w:p w14:paraId="751C5D73">
            <w:pPr>
              <w:pStyle w:val="179"/>
              <w:rPr>
                <w:color w:val="auto"/>
                <w:highlight w:val="none"/>
              </w:rPr>
            </w:pPr>
          </w:p>
        </w:tc>
      </w:tr>
      <w:tr w14:paraId="6E63BD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52" w:type="dxa"/>
            <w:vMerge w:val="continue"/>
            <w:tcBorders>
              <w:top w:val="nil"/>
            </w:tcBorders>
            <w:vAlign w:val="top"/>
          </w:tcPr>
          <w:p w14:paraId="65287BAD">
            <w:pPr>
              <w:pStyle w:val="179"/>
              <w:rPr>
                <w:color w:val="auto"/>
                <w:highlight w:val="none"/>
              </w:rPr>
            </w:pPr>
          </w:p>
        </w:tc>
        <w:tc>
          <w:tcPr>
            <w:tcW w:w="871" w:type="dxa"/>
            <w:vMerge w:val="continue"/>
            <w:tcBorders>
              <w:top w:val="nil"/>
            </w:tcBorders>
            <w:vAlign w:val="top"/>
          </w:tcPr>
          <w:p w14:paraId="0D86003A">
            <w:pPr>
              <w:pStyle w:val="179"/>
              <w:rPr>
                <w:color w:val="auto"/>
                <w:highlight w:val="none"/>
              </w:rPr>
            </w:pPr>
          </w:p>
        </w:tc>
        <w:tc>
          <w:tcPr>
            <w:tcW w:w="658" w:type="dxa"/>
            <w:vMerge w:val="continue"/>
            <w:tcBorders>
              <w:top w:val="nil"/>
            </w:tcBorders>
            <w:vAlign w:val="top"/>
          </w:tcPr>
          <w:p w14:paraId="6122F321">
            <w:pPr>
              <w:pStyle w:val="179"/>
              <w:rPr>
                <w:color w:val="auto"/>
                <w:highlight w:val="none"/>
              </w:rPr>
            </w:pPr>
          </w:p>
        </w:tc>
        <w:tc>
          <w:tcPr>
            <w:tcW w:w="678" w:type="dxa"/>
            <w:vMerge w:val="continue"/>
            <w:tcBorders>
              <w:top w:val="nil"/>
            </w:tcBorders>
            <w:vAlign w:val="top"/>
          </w:tcPr>
          <w:p w14:paraId="796A69A3">
            <w:pPr>
              <w:pStyle w:val="179"/>
              <w:rPr>
                <w:color w:val="auto"/>
                <w:highlight w:val="none"/>
              </w:rPr>
            </w:pPr>
          </w:p>
        </w:tc>
        <w:tc>
          <w:tcPr>
            <w:tcW w:w="108" w:type="dxa"/>
            <w:tcBorders>
              <w:top w:val="nil"/>
            </w:tcBorders>
            <w:vAlign w:val="top"/>
          </w:tcPr>
          <w:p w14:paraId="324977C0">
            <w:pPr>
              <w:pStyle w:val="179"/>
              <w:rPr>
                <w:color w:val="auto"/>
                <w:highlight w:val="none"/>
              </w:rPr>
            </w:pPr>
          </w:p>
        </w:tc>
        <w:tc>
          <w:tcPr>
            <w:tcW w:w="424" w:type="dxa"/>
            <w:vAlign w:val="top"/>
          </w:tcPr>
          <w:p w14:paraId="5298AE10">
            <w:pPr>
              <w:spacing w:before="212" w:line="271" w:lineRule="exact"/>
              <w:ind w:left="165"/>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2</w:t>
            </w:r>
          </w:p>
        </w:tc>
        <w:tc>
          <w:tcPr>
            <w:tcW w:w="480" w:type="dxa"/>
            <w:textDirection w:val="tbRlV"/>
            <w:vAlign w:val="top"/>
          </w:tcPr>
          <w:p w14:paraId="04FA55A5">
            <w:pPr>
              <w:spacing w:before="134" w:line="214" w:lineRule="auto"/>
              <w:ind w:left="5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市 本</w:t>
            </w:r>
          </w:p>
        </w:tc>
        <w:tc>
          <w:tcPr>
            <w:tcW w:w="570" w:type="dxa"/>
            <w:vAlign w:val="top"/>
          </w:tcPr>
          <w:p w14:paraId="0A3813DA">
            <w:pPr>
              <w:spacing w:before="212" w:line="233" w:lineRule="auto"/>
              <w:ind w:left="237"/>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466" w:type="dxa"/>
            <w:vAlign w:val="top"/>
          </w:tcPr>
          <w:p w14:paraId="7CC72921">
            <w:pPr>
              <w:spacing w:before="212" w:line="233" w:lineRule="auto"/>
              <w:ind w:left="183"/>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541" w:type="dxa"/>
            <w:vAlign w:val="top"/>
          </w:tcPr>
          <w:p w14:paraId="47AF441B">
            <w:pPr>
              <w:spacing w:before="212" w:line="233" w:lineRule="auto"/>
              <w:ind w:left="221"/>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604" w:type="dxa"/>
            <w:vAlign w:val="top"/>
          </w:tcPr>
          <w:p w14:paraId="1C40D646">
            <w:pPr>
              <w:spacing w:before="212" w:line="233" w:lineRule="auto"/>
              <w:ind w:left="253"/>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450" w:type="dxa"/>
            <w:vAlign w:val="top"/>
          </w:tcPr>
          <w:p w14:paraId="7F894CEA">
            <w:pPr>
              <w:spacing w:before="212" w:line="269" w:lineRule="exact"/>
              <w:ind w:left="124"/>
              <w:rPr>
                <w:rFonts w:ascii="宋体" w:hAnsi="宋体" w:eastAsia="宋体" w:cs="宋体"/>
                <w:color w:val="auto"/>
                <w:sz w:val="20"/>
                <w:szCs w:val="20"/>
                <w:highlight w:val="none"/>
              </w:rPr>
            </w:pPr>
          </w:p>
        </w:tc>
        <w:tc>
          <w:tcPr>
            <w:tcW w:w="637" w:type="dxa"/>
            <w:vAlign w:val="top"/>
          </w:tcPr>
          <w:p w14:paraId="400BC35D">
            <w:pPr>
              <w:spacing w:before="212" w:line="269" w:lineRule="exact"/>
              <w:ind w:left="147"/>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236</w:t>
            </w:r>
          </w:p>
        </w:tc>
        <w:tc>
          <w:tcPr>
            <w:tcW w:w="562" w:type="dxa"/>
            <w:vAlign w:val="top"/>
          </w:tcPr>
          <w:p w14:paraId="6E6A4CCD">
            <w:pPr>
              <w:spacing w:before="212" w:line="269" w:lineRule="exact"/>
              <w:ind w:left="164"/>
              <w:rPr>
                <w:rFonts w:ascii="宋体" w:hAnsi="宋体" w:eastAsia="宋体" w:cs="宋体"/>
                <w:color w:val="auto"/>
                <w:sz w:val="20"/>
                <w:szCs w:val="20"/>
                <w:highlight w:val="none"/>
              </w:rPr>
            </w:pPr>
            <w:r>
              <w:rPr>
                <w:rFonts w:ascii="宋体" w:hAnsi="宋体" w:eastAsia="宋体" w:cs="宋体"/>
                <w:color w:val="auto"/>
                <w:spacing w:val="1"/>
                <w:position w:val="1"/>
                <w:sz w:val="20"/>
                <w:szCs w:val="20"/>
                <w:highlight w:val="none"/>
              </w:rPr>
              <w:t>236</w:t>
            </w:r>
          </w:p>
        </w:tc>
        <w:tc>
          <w:tcPr>
            <w:tcW w:w="1115" w:type="dxa"/>
            <w:vAlign w:val="top"/>
          </w:tcPr>
          <w:p w14:paraId="346B2491">
            <w:pPr>
              <w:spacing w:before="56" w:line="228" w:lineRule="auto"/>
              <w:ind w:left="108"/>
              <w:rPr>
                <w:rFonts w:ascii="宋体" w:hAnsi="宋体" w:eastAsia="宋体" w:cs="宋体"/>
                <w:color w:val="auto"/>
                <w:sz w:val="20"/>
                <w:szCs w:val="20"/>
                <w:highlight w:val="none"/>
              </w:rPr>
            </w:pPr>
            <w:r>
              <w:rPr>
                <w:rFonts w:ascii="宋体" w:hAnsi="宋体" w:eastAsia="宋体" w:cs="宋体"/>
                <w:color w:val="auto"/>
                <w:spacing w:val="24"/>
                <w:sz w:val="20"/>
                <w:szCs w:val="20"/>
                <w:highlight w:val="none"/>
              </w:rPr>
              <w:t>包含普通</w:t>
            </w:r>
          </w:p>
          <w:p w14:paraId="775FCA34">
            <w:pPr>
              <w:spacing w:before="64" w:line="229" w:lineRule="auto"/>
              <w:ind w:left="108"/>
              <w:rPr>
                <w:rFonts w:ascii="宋体" w:hAnsi="宋体" w:eastAsia="宋体" w:cs="宋体"/>
                <w:color w:val="auto"/>
                <w:sz w:val="20"/>
                <w:szCs w:val="20"/>
                <w:highlight w:val="none"/>
              </w:rPr>
            </w:pPr>
            <w:r>
              <w:rPr>
                <w:rFonts w:ascii="宋体" w:hAnsi="宋体" w:eastAsia="宋体" w:cs="宋体"/>
                <w:color w:val="auto"/>
                <w:spacing w:val="24"/>
                <w:sz w:val="20"/>
                <w:szCs w:val="20"/>
                <w:highlight w:val="none"/>
              </w:rPr>
              <w:t>食品和食</w:t>
            </w:r>
          </w:p>
        </w:tc>
        <w:tc>
          <w:tcPr>
            <w:tcW w:w="449" w:type="dxa"/>
            <w:vMerge w:val="continue"/>
            <w:tcBorders>
              <w:top w:val="nil"/>
            </w:tcBorders>
            <w:vAlign w:val="top"/>
          </w:tcPr>
          <w:p w14:paraId="1B62BC98">
            <w:pPr>
              <w:pStyle w:val="179"/>
              <w:rPr>
                <w:color w:val="auto"/>
                <w:highlight w:val="none"/>
              </w:rPr>
            </w:pPr>
          </w:p>
        </w:tc>
      </w:tr>
    </w:tbl>
    <w:p w14:paraId="24FEB6D5">
      <w:pPr>
        <w:rPr>
          <w:rFonts w:ascii="Arial"/>
          <w:color w:val="auto"/>
          <w:sz w:val="21"/>
          <w:highlight w:val="none"/>
        </w:rPr>
      </w:pPr>
    </w:p>
    <w:p w14:paraId="4C2DCBBE">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0916751E">
      <w:pPr>
        <w:spacing w:line="91" w:lineRule="auto"/>
        <w:rPr>
          <w:rFonts w:ascii="Arial"/>
          <w:color w:val="auto"/>
          <w:sz w:val="2"/>
          <w:highlight w:val="none"/>
        </w:rPr>
      </w:pPr>
      <w:r>
        <w:rPr>
          <w:color w:val="auto"/>
          <w:highlight w:val="none"/>
        </w:rPr>
        <mc:AlternateContent>
          <mc:Choice Requires="wps">
            <w:drawing>
              <wp:anchor distT="0" distB="0" distL="114300" distR="114300" simplePos="0" relativeHeight="251662336" behindDoc="0" locked="0" layoutInCell="0" allowOverlap="1">
                <wp:simplePos x="0" y="0"/>
                <wp:positionH relativeFrom="page">
                  <wp:posOffset>2819400</wp:posOffset>
                </wp:positionH>
                <wp:positionV relativeFrom="page">
                  <wp:posOffset>920750</wp:posOffset>
                </wp:positionV>
                <wp:extent cx="6350" cy="753745"/>
                <wp:effectExtent l="1905" t="0" r="6985" b="8255"/>
                <wp:wrapNone/>
                <wp:docPr id="6" name="任意多边形 6"/>
                <wp:cNvGraphicFramePr/>
                <a:graphic xmlns:a="http://schemas.openxmlformats.org/drawingml/2006/main">
                  <a:graphicData uri="http://schemas.microsoft.com/office/word/2010/wordprocessingShape">
                    <wps:wsp>
                      <wps:cNvSpPr/>
                      <wps:spPr>
                        <a:xfrm>
                          <a:off x="0" y="0"/>
                          <a:ext cx="6350" cy="753745"/>
                        </a:xfrm>
                        <a:custGeom>
                          <a:avLst/>
                          <a:gdLst/>
                          <a:ahLst/>
                          <a:cxnLst/>
                          <a:pathLst>
                            <a:path w="10" h="1186">
                              <a:moveTo>
                                <a:pt x="4" y="0"/>
                              </a:moveTo>
                              <a:lnTo>
                                <a:pt x="4" y="1186"/>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222pt;margin-top:72.5pt;height:59.35pt;width:0.5pt;mso-position-horizontal-relative:page;mso-position-vertical-relative:page;z-index:251662336;mso-width-relative:page;mso-height-relative:page;" filled="f" stroked="t" coordsize="10,1186" o:allowincell="f" o:gfxdata="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ZNR/bWAAAACwEAAA8AAAAAAAAAAQAgAAAAIgAAAGRycy9kb3du&#10;cmV2LnhtbFBLAQIUABQAAAAIAIdO4kAGZ3nFOgIAAJUEAAAOAAAAAAAAAAEAIAAAACUBAABkcnMv&#10;ZTJvRG9jLnhtbFBLBQYAAAAABgAGAFkBAADRBQAAAAA=&#10;" path="m4,0l4,1186e">
                <v:fill on="f" focussize="0,0"/>
                <v:stroke weight="0.48pt" color="#000000" joinstyle="bevel"/>
                <v:imagedata o:title=""/>
                <o:lock v:ext="edit" aspectratio="f"/>
              </v:shape>
            </w:pict>
          </mc:Fallback>
        </mc:AlternateContent>
      </w: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8"/>
        <w:gridCol w:w="678"/>
        <w:gridCol w:w="532"/>
        <w:gridCol w:w="480"/>
        <w:gridCol w:w="570"/>
        <w:gridCol w:w="466"/>
        <w:gridCol w:w="541"/>
        <w:gridCol w:w="604"/>
        <w:gridCol w:w="450"/>
        <w:gridCol w:w="570"/>
        <w:gridCol w:w="629"/>
        <w:gridCol w:w="1115"/>
        <w:gridCol w:w="449"/>
      </w:tblGrid>
      <w:tr w14:paraId="174EF3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6" w:hRule="atLeast"/>
        </w:trPr>
        <w:tc>
          <w:tcPr>
            <w:tcW w:w="652" w:type="dxa"/>
            <w:vMerge w:val="restart"/>
            <w:tcBorders>
              <w:bottom w:val="nil"/>
            </w:tcBorders>
            <w:vAlign w:val="top"/>
          </w:tcPr>
          <w:p w14:paraId="52DFF95B">
            <w:pPr>
              <w:pStyle w:val="179"/>
              <w:rPr>
                <w:color w:val="auto"/>
                <w:highlight w:val="none"/>
              </w:rPr>
            </w:pPr>
          </w:p>
        </w:tc>
        <w:tc>
          <w:tcPr>
            <w:tcW w:w="871" w:type="dxa"/>
            <w:vMerge w:val="restart"/>
            <w:tcBorders>
              <w:bottom w:val="nil"/>
            </w:tcBorders>
            <w:vAlign w:val="top"/>
          </w:tcPr>
          <w:p w14:paraId="15D12B2F">
            <w:pPr>
              <w:pStyle w:val="179"/>
              <w:rPr>
                <w:color w:val="auto"/>
                <w:highlight w:val="none"/>
              </w:rPr>
            </w:pPr>
          </w:p>
        </w:tc>
        <w:tc>
          <w:tcPr>
            <w:tcW w:w="658" w:type="dxa"/>
            <w:vMerge w:val="restart"/>
            <w:tcBorders>
              <w:bottom w:val="nil"/>
            </w:tcBorders>
            <w:vAlign w:val="top"/>
          </w:tcPr>
          <w:p w14:paraId="70C386CA">
            <w:pPr>
              <w:pStyle w:val="179"/>
              <w:rPr>
                <w:color w:val="auto"/>
                <w:highlight w:val="none"/>
              </w:rPr>
            </w:pPr>
          </w:p>
        </w:tc>
        <w:tc>
          <w:tcPr>
            <w:tcW w:w="678" w:type="dxa"/>
            <w:vMerge w:val="restart"/>
            <w:tcBorders>
              <w:bottom w:val="nil"/>
            </w:tcBorders>
            <w:vAlign w:val="top"/>
          </w:tcPr>
          <w:p w14:paraId="45D3C002">
            <w:pPr>
              <w:pStyle w:val="179"/>
              <w:rPr>
                <w:color w:val="auto"/>
                <w:highlight w:val="none"/>
              </w:rPr>
            </w:pPr>
          </w:p>
        </w:tc>
        <w:tc>
          <w:tcPr>
            <w:tcW w:w="532" w:type="dxa"/>
            <w:vAlign w:val="top"/>
          </w:tcPr>
          <w:p w14:paraId="32D35B53">
            <w:pPr>
              <w:pStyle w:val="179"/>
              <w:rPr>
                <w:color w:val="auto"/>
                <w:highlight w:val="none"/>
              </w:rPr>
            </w:pPr>
          </w:p>
        </w:tc>
        <w:tc>
          <w:tcPr>
            <w:tcW w:w="480" w:type="dxa"/>
            <w:vAlign w:val="top"/>
          </w:tcPr>
          <w:p w14:paraId="7EC9ED0F">
            <w:pPr>
              <w:spacing w:before="65" w:line="231" w:lineRule="auto"/>
              <w:ind w:left="142"/>
              <w:rPr>
                <w:rFonts w:ascii="宋体" w:hAnsi="宋体" w:eastAsia="宋体" w:cs="宋体"/>
                <w:color w:val="auto"/>
                <w:sz w:val="20"/>
                <w:szCs w:val="20"/>
                <w:highlight w:val="none"/>
              </w:rPr>
            </w:pPr>
            <w:r>
              <w:rPr>
                <w:rFonts w:ascii="宋体" w:hAnsi="宋体" w:eastAsia="宋体" w:cs="宋体"/>
                <w:color w:val="auto"/>
                <w:sz w:val="20"/>
                <w:szCs w:val="20"/>
                <w:highlight w:val="none"/>
              </w:rPr>
              <w:t>级</w:t>
            </w:r>
          </w:p>
        </w:tc>
        <w:tc>
          <w:tcPr>
            <w:tcW w:w="570" w:type="dxa"/>
            <w:vAlign w:val="top"/>
          </w:tcPr>
          <w:p w14:paraId="332C96AC">
            <w:pPr>
              <w:pStyle w:val="179"/>
              <w:rPr>
                <w:color w:val="auto"/>
                <w:highlight w:val="none"/>
              </w:rPr>
            </w:pPr>
          </w:p>
        </w:tc>
        <w:tc>
          <w:tcPr>
            <w:tcW w:w="466" w:type="dxa"/>
            <w:vAlign w:val="top"/>
          </w:tcPr>
          <w:p w14:paraId="38D12946">
            <w:pPr>
              <w:pStyle w:val="179"/>
              <w:rPr>
                <w:color w:val="auto"/>
                <w:highlight w:val="none"/>
              </w:rPr>
            </w:pPr>
          </w:p>
        </w:tc>
        <w:tc>
          <w:tcPr>
            <w:tcW w:w="541" w:type="dxa"/>
            <w:vAlign w:val="top"/>
          </w:tcPr>
          <w:p w14:paraId="6FE6E20A">
            <w:pPr>
              <w:pStyle w:val="179"/>
              <w:rPr>
                <w:color w:val="auto"/>
                <w:highlight w:val="none"/>
              </w:rPr>
            </w:pPr>
          </w:p>
        </w:tc>
        <w:tc>
          <w:tcPr>
            <w:tcW w:w="604" w:type="dxa"/>
            <w:vAlign w:val="top"/>
          </w:tcPr>
          <w:p w14:paraId="2E6DE224">
            <w:pPr>
              <w:pStyle w:val="179"/>
              <w:rPr>
                <w:color w:val="auto"/>
                <w:highlight w:val="none"/>
              </w:rPr>
            </w:pPr>
          </w:p>
        </w:tc>
        <w:tc>
          <w:tcPr>
            <w:tcW w:w="450" w:type="dxa"/>
            <w:vAlign w:val="top"/>
          </w:tcPr>
          <w:p w14:paraId="72CB19A2">
            <w:pPr>
              <w:pStyle w:val="179"/>
              <w:rPr>
                <w:color w:val="auto"/>
                <w:highlight w:val="none"/>
              </w:rPr>
            </w:pPr>
          </w:p>
        </w:tc>
        <w:tc>
          <w:tcPr>
            <w:tcW w:w="570" w:type="dxa"/>
            <w:vAlign w:val="top"/>
          </w:tcPr>
          <w:p w14:paraId="071C7E4A">
            <w:pPr>
              <w:pStyle w:val="179"/>
              <w:rPr>
                <w:color w:val="auto"/>
                <w:highlight w:val="none"/>
              </w:rPr>
            </w:pPr>
          </w:p>
        </w:tc>
        <w:tc>
          <w:tcPr>
            <w:tcW w:w="629" w:type="dxa"/>
            <w:vAlign w:val="top"/>
          </w:tcPr>
          <w:p w14:paraId="02A8F47E">
            <w:pPr>
              <w:pStyle w:val="179"/>
              <w:rPr>
                <w:color w:val="auto"/>
                <w:highlight w:val="none"/>
              </w:rPr>
            </w:pPr>
          </w:p>
        </w:tc>
        <w:tc>
          <w:tcPr>
            <w:tcW w:w="1115" w:type="dxa"/>
            <w:vAlign w:val="top"/>
          </w:tcPr>
          <w:p w14:paraId="7F7E0076">
            <w:pPr>
              <w:spacing w:before="66" w:line="228" w:lineRule="auto"/>
              <w:ind w:left="11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用农产品</w:t>
            </w:r>
          </w:p>
        </w:tc>
        <w:tc>
          <w:tcPr>
            <w:tcW w:w="449" w:type="dxa"/>
            <w:vMerge w:val="restart"/>
            <w:tcBorders>
              <w:bottom w:val="nil"/>
            </w:tcBorders>
            <w:vAlign w:val="top"/>
          </w:tcPr>
          <w:p w14:paraId="7D9CDDEE">
            <w:pPr>
              <w:pStyle w:val="179"/>
              <w:rPr>
                <w:color w:val="auto"/>
                <w:highlight w:val="none"/>
              </w:rPr>
            </w:pPr>
          </w:p>
        </w:tc>
      </w:tr>
      <w:tr w14:paraId="6D619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652" w:type="dxa"/>
            <w:vMerge w:val="continue"/>
            <w:tcBorders>
              <w:top w:val="nil"/>
              <w:bottom w:val="nil"/>
            </w:tcBorders>
            <w:vAlign w:val="top"/>
          </w:tcPr>
          <w:p w14:paraId="5AF50D38">
            <w:pPr>
              <w:pStyle w:val="179"/>
              <w:rPr>
                <w:color w:val="auto"/>
                <w:highlight w:val="none"/>
              </w:rPr>
            </w:pPr>
          </w:p>
        </w:tc>
        <w:tc>
          <w:tcPr>
            <w:tcW w:w="871" w:type="dxa"/>
            <w:vMerge w:val="continue"/>
            <w:tcBorders>
              <w:top w:val="nil"/>
              <w:bottom w:val="nil"/>
            </w:tcBorders>
            <w:vAlign w:val="top"/>
          </w:tcPr>
          <w:p w14:paraId="4C5258D8">
            <w:pPr>
              <w:pStyle w:val="179"/>
              <w:rPr>
                <w:color w:val="auto"/>
                <w:highlight w:val="none"/>
              </w:rPr>
            </w:pPr>
          </w:p>
        </w:tc>
        <w:tc>
          <w:tcPr>
            <w:tcW w:w="658" w:type="dxa"/>
            <w:vMerge w:val="continue"/>
            <w:tcBorders>
              <w:top w:val="nil"/>
              <w:bottom w:val="nil"/>
            </w:tcBorders>
            <w:vAlign w:val="top"/>
          </w:tcPr>
          <w:p w14:paraId="30A59481">
            <w:pPr>
              <w:pStyle w:val="179"/>
              <w:rPr>
                <w:color w:val="auto"/>
                <w:highlight w:val="none"/>
              </w:rPr>
            </w:pPr>
          </w:p>
        </w:tc>
        <w:tc>
          <w:tcPr>
            <w:tcW w:w="678" w:type="dxa"/>
            <w:vMerge w:val="continue"/>
            <w:tcBorders>
              <w:top w:val="nil"/>
              <w:bottom w:val="nil"/>
            </w:tcBorders>
            <w:vAlign w:val="top"/>
          </w:tcPr>
          <w:p w14:paraId="162525BF">
            <w:pPr>
              <w:pStyle w:val="179"/>
              <w:rPr>
                <w:color w:val="auto"/>
                <w:highlight w:val="none"/>
              </w:rPr>
            </w:pPr>
          </w:p>
        </w:tc>
        <w:tc>
          <w:tcPr>
            <w:tcW w:w="1012" w:type="dxa"/>
            <w:gridSpan w:val="2"/>
            <w:vAlign w:val="top"/>
          </w:tcPr>
          <w:p w14:paraId="272D4CAB">
            <w:pPr>
              <w:spacing w:before="302" w:line="230" w:lineRule="auto"/>
              <w:ind w:left="360"/>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小计</w:t>
            </w:r>
          </w:p>
        </w:tc>
        <w:tc>
          <w:tcPr>
            <w:tcW w:w="570" w:type="dxa"/>
            <w:vAlign w:val="top"/>
          </w:tcPr>
          <w:p w14:paraId="20999E90">
            <w:pPr>
              <w:spacing w:before="302" w:line="269" w:lineRule="exact"/>
              <w:ind w:left="147"/>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81</w:t>
            </w:r>
          </w:p>
        </w:tc>
        <w:tc>
          <w:tcPr>
            <w:tcW w:w="466" w:type="dxa"/>
            <w:vAlign w:val="top"/>
          </w:tcPr>
          <w:p w14:paraId="2CB1FD3A">
            <w:pPr>
              <w:spacing w:before="302" w:line="269" w:lineRule="exact"/>
              <w:ind w:left="185"/>
              <w:rPr>
                <w:rFonts w:hint="default" w:ascii="宋体" w:hAnsi="宋体" w:eastAsia="宋体" w:cs="宋体"/>
                <w:color w:val="auto"/>
                <w:sz w:val="20"/>
                <w:szCs w:val="20"/>
                <w:highlight w:val="none"/>
                <w:lang w:val="en-US" w:eastAsia="zh-CN"/>
              </w:rPr>
            </w:pPr>
            <w:r>
              <w:rPr>
                <w:rFonts w:hint="eastAsia" w:ascii="宋体" w:hAnsi="宋体" w:eastAsia="宋体" w:cs="宋体"/>
                <w:color w:val="auto"/>
                <w:position w:val="1"/>
                <w:sz w:val="20"/>
                <w:szCs w:val="20"/>
                <w:highlight w:val="none"/>
                <w:lang w:val="en-US" w:eastAsia="zh-CN"/>
              </w:rPr>
              <w:t>42</w:t>
            </w:r>
          </w:p>
        </w:tc>
        <w:tc>
          <w:tcPr>
            <w:tcW w:w="541" w:type="dxa"/>
            <w:vAlign w:val="top"/>
          </w:tcPr>
          <w:p w14:paraId="531EF15A">
            <w:pPr>
              <w:spacing w:before="302" w:line="269" w:lineRule="exact"/>
              <w:ind w:left="173"/>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2"/>
                <w:position w:val="1"/>
                <w:sz w:val="20"/>
                <w:szCs w:val="20"/>
                <w:highlight w:val="none"/>
                <w:lang w:val="en-US" w:eastAsia="zh-CN"/>
              </w:rPr>
              <w:t>35</w:t>
            </w:r>
          </w:p>
        </w:tc>
        <w:tc>
          <w:tcPr>
            <w:tcW w:w="604" w:type="dxa"/>
            <w:vAlign w:val="top"/>
          </w:tcPr>
          <w:p w14:paraId="0B056618">
            <w:pPr>
              <w:spacing w:before="302" w:line="269" w:lineRule="exact"/>
              <w:ind w:left="151"/>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1"/>
                <w:position w:val="1"/>
                <w:sz w:val="20"/>
                <w:szCs w:val="20"/>
                <w:highlight w:val="none"/>
                <w:lang w:val="en-US" w:eastAsia="zh-CN"/>
              </w:rPr>
              <w:t>187</w:t>
            </w:r>
          </w:p>
        </w:tc>
        <w:tc>
          <w:tcPr>
            <w:tcW w:w="450" w:type="dxa"/>
            <w:vAlign w:val="top"/>
          </w:tcPr>
          <w:p w14:paraId="53C40904">
            <w:pPr>
              <w:spacing w:before="302" w:line="269" w:lineRule="exact"/>
              <w:ind w:left="124"/>
              <w:rPr>
                <w:rFonts w:ascii="宋体" w:hAnsi="宋体" w:eastAsia="宋体" w:cs="宋体"/>
                <w:color w:val="auto"/>
                <w:sz w:val="20"/>
                <w:szCs w:val="20"/>
                <w:highlight w:val="none"/>
              </w:rPr>
            </w:pPr>
          </w:p>
        </w:tc>
        <w:tc>
          <w:tcPr>
            <w:tcW w:w="570" w:type="dxa"/>
            <w:vAlign w:val="top"/>
          </w:tcPr>
          <w:p w14:paraId="181847A5">
            <w:pPr>
              <w:spacing w:before="302" w:line="269" w:lineRule="exact"/>
              <w:ind w:left="147"/>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236</w:t>
            </w:r>
          </w:p>
        </w:tc>
        <w:tc>
          <w:tcPr>
            <w:tcW w:w="629" w:type="dxa"/>
            <w:vAlign w:val="top"/>
          </w:tcPr>
          <w:p w14:paraId="5BBFC876">
            <w:pPr>
              <w:spacing w:before="302" w:line="269" w:lineRule="exact"/>
              <w:ind w:left="163"/>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1"/>
                <w:position w:val="1"/>
                <w:sz w:val="20"/>
                <w:szCs w:val="20"/>
                <w:highlight w:val="none"/>
                <w:lang w:val="en-US" w:eastAsia="zh-CN"/>
              </w:rPr>
              <w:t>581</w:t>
            </w:r>
          </w:p>
        </w:tc>
        <w:tc>
          <w:tcPr>
            <w:tcW w:w="1115" w:type="dxa"/>
            <w:vAlign w:val="top"/>
          </w:tcPr>
          <w:p w14:paraId="5D8FB5CF">
            <w:pPr>
              <w:pStyle w:val="179"/>
              <w:rPr>
                <w:color w:val="auto"/>
                <w:highlight w:val="none"/>
              </w:rPr>
            </w:pPr>
          </w:p>
        </w:tc>
        <w:tc>
          <w:tcPr>
            <w:tcW w:w="449" w:type="dxa"/>
            <w:vMerge w:val="continue"/>
            <w:tcBorders>
              <w:top w:val="nil"/>
              <w:bottom w:val="nil"/>
            </w:tcBorders>
            <w:vAlign w:val="top"/>
          </w:tcPr>
          <w:p w14:paraId="12001C92">
            <w:pPr>
              <w:pStyle w:val="179"/>
              <w:rPr>
                <w:color w:val="auto"/>
                <w:highlight w:val="none"/>
              </w:rPr>
            </w:pPr>
          </w:p>
        </w:tc>
      </w:tr>
      <w:tr w14:paraId="4AEC4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3" w:hRule="atLeast"/>
        </w:trPr>
        <w:tc>
          <w:tcPr>
            <w:tcW w:w="652" w:type="dxa"/>
            <w:vMerge w:val="continue"/>
            <w:tcBorders>
              <w:top w:val="nil"/>
            </w:tcBorders>
            <w:vAlign w:val="top"/>
          </w:tcPr>
          <w:p w14:paraId="5249591B">
            <w:pPr>
              <w:pStyle w:val="179"/>
              <w:rPr>
                <w:color w:val="auto"/>
                <w:highlight w:val="none"/>
              </w:rPr>
            </w:pPr>
          </w:p>
        </w:tc>
        <w:tc>
          <w:tcPr>
            <w:tcW w:w="871" w:type="dxa"/>
            <w:vMerge w:val="continue"/>
            <w:tcBorders>
              <w:top w:val="nil"/>
            </w:tcBorders>
            <w:vAlign w:val="top"/>
          </w:tcPr>
          <w:p w14:paraId="0E298AAD">
            <w:pPr>
              <w:pStyle w:val="179"/>
              <w:rPr>
                <w:color w:val="auto"/>
                <w:highlight w:val="none"/>
              </w:rPr>
            </w:pPr>
          </w:p>
        </w:tc>
        <w:tc>
          <w:tcPr>
            <w:tcW w:w="658" w:type="dxa"/>
            <w:vMerge w:val="continue"/>
            <w:tcBorders>
              <w:top w:val="nil"/>
            </w:tcBorders>
            <w:vAlign w:val="top"/>
          </w:tcPr>
          <w:p w14:paraId="4D4AE129">
            <w:pPr>
              <w:pStyle w:val="179"/>
              <w:rPr>
                <w:color w:val="auto"/>
                <w:highlight w:val="none"/>
              </w:rPr>
            </w:pPr>
          </w:p>
        </w:tc>
        <w:tc>
          <w:tcPr>
            <w:tcW w:w="678" w:type="dxa"/>
            <w:vMerge w:val="continue"/>
            <w:tcBorders>
              <w:top w:val="nil"/>
            </w:tcBorders>
            <w:vAlign w:val="top"/>
          </w:tcPr>
          <w:p w14:paraId="7B428CD5">
            <w:pPr>
              <w:pStyle w:val="179"/>
              <w:rPr>
                <w:color w:val="auto"/>
                <w:highlight w:val="none"/>
              </w:rPr>
            </w:pPr>
          </w:p>
        </w:tc>
        <w:tc>
          <w:tcPr>
            <w:tcW w:w="6406" w:type="dxa"/>
            <w:gridSpan w:val="11"/>
            <w:vAlign w:val="top"/>
          </w:tcPr>
          <w:p w14:paraId="4897C8D6">
            <w:pPr>
              <w:spacing w:before="121" w:line="228" w:lineRule="auto"/>
              <w:ind w:left="120"/>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（二）承检服务技术要求：</w:t>
            </w:r>
          </w:p>
          <w:p w14:paraId="4E1B827C">
            <w:pPr>
              <w:spacing w:before="114" w:line="332" w:lineRule="auto"/>
              <w:ind w:left="109" w:right="109" w:firstLine="1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1、在东兴市范围内开展食品（含食用农产品，下同）抽</w:t>
            </w:r>
            <w:r>
              <w:rPr>
                <w:rFonts w:ascii="宋体" w:hAnsi="宋体" w:eastAsia="宋体" w:cs="宋体"/>
                <w:color w:val="auto"/>
                <w:spacing w:val="8"/>
                <w:sz w:val="20"/>
                <w:szCs w:val="20"/>
                <w:highlight w:val="none"/>
              </w:rPr>
              <w:t>检任务。具体需提供的抽检、监测品种及检验项目详见附件</w:t>
            </w:r>
            <w:r>
              <w:rPr>
                <w:rFonts w:ascii="宋体" w:hAnsi="宋体" w:eastAsia="宋体" w:cs="宋体"/>
                <w:color w:val="auto"/>
                <w:spacing w:val="-24"/>
                <w:sz w:val="20"/>
                <w:szCs w:val="20"/>
                <w:highlight w:val="none"/>
              </w:rPr>
              <w:t xml:space="preserve"> </w:t>
            </w:r>
            <w:r>
              <w:rPr>
                <w:rFonts w:ascii="宋体" w:hAnsi="宋体" w:eastAsia="宋体" w:cs="宋体"/>
                <w:color w:val="auto"/>
                <w:spacing w:val="8"/>
                <w:sz w:val="20"/>
                <w:szCs w:val="20"/>
                <w:highlight w:val="none"/>
              </w:rPr>
              <w:t>1</w:t>
            </w:r>
            <w:r>
              <w:rPr>
                <w:rFonts w:ascii="宋体" w:hAnsi="宋体" w:eastAsia="宋体" w:cs="宋体"/>
                <w:color w:val="auto"/>
                <w:spacing w:val="5"/>
                <w:sz w:val="20"/>
                <w:szCs w:val="20"/>
                <w:highlight w:val="none"/>
              </w:rPr>
              <w:t>《</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年自治区转</w:t>
            </w:r>
            <w:r>
              <w:rPr>
                <w:rFonts w:ascii="宋体" w:hAnsi="宋体" w:eastAsia="宋体" w:cs="宋体"/>
                <w:color w:val="auto"/>
                <w:spacing w:val="6"/>
                <w:sz w:val="20"/>
                <w:szCs w:val="20"/>
                <w:highlight w:val="none"/>
              </w:rPr>
              <w:t>移支付</w:t>
            </w:r>
            <w:r>
              <w:rPr>
                <w:rFonts w:hint="eastAsia" w:ascii="宋体" w:hAnsi="宋体" w:eastAsia="宋体" w:cs="宋体"/>
                <w:color w:val="auto"/>
                <w:spacing w:val="6"/>
                <w:sz w:val="20"/>
                <w:szCs w:val="20"/>
                <w:highlight w:val="none"/>
                <w:lang w:eastAsia="zh-CN"/>
              </w:rPr>
              <w:t>各市加工</w:t>
            </w:r>
            <w:r>
              <w:rPr>
                <w:rFonts w:ascii="宋体" w:hAnsi="宋体" w:eastAsia="宋体" w:cs="宋体"/>
                <w:color w:val="auto"/>
                <w:spacing w:val="7"/>
                <w:sz w:val="20"/>
                <w:szCs w:val="20"/>
                <w:highlight w:val="none"/>
              </w:rPr>
              <w:t>食品</w:t>
            </w:r>
            <w:r>
              <w:rPr>
                <w:rFonts w:hint="eastAsia" w:ascii="宋体" w:hAnsi="宋体" w:eastAsia="宋体" w:cs="宋体"/>
                <w:color w:val="auto"/>
                <w:spacing w:val="6"/>
                <w:sz w:val="20"/>
                <w:szCs w:val="20"/>
                <w:highlight w:val="none"/>
                <w:lang w:eastAsia="zh-CN"/>
              </w:rPr>
              <w:t>监督抽检</w:t>
            </w:r>
            <w:r>
              <w:rPr>
                <w:rFonts w:ascii="宋体" w:hAnsi="宋体" w:eastAsia="宋体" w:cs="宋体"/>
                <w:color w:val="auto"/>
                <w:spacing w:val="6"/>
                <w:sz w:val="20"/>
                <w:szCs w:val="20"/>
                <w:highlight w:val="none"/>
              </w:rPr>
              <w:t>品种及项目表》和附件</w:t>
            </w:r>
            <w:r>
              <w:rPr>
                <w:rFonts w:ascii="宋体" w:hAnsi="宋体" w:eastAsia="宋体" w:cs="宋体"/>
                <w:color w:val="auto"/>
                <w:spacing w:val="7"/>
                <w:sz w:val="20"/>
                <w:szCs w:val="20"/>
                <w:highlight w:val="none"/>
              </w:rPr>
              <w:t>2《202</w:t>
            </w:r>
            <w:r>
              <w:rPr>
                <w:rFonts w:hint="eastAsia" w:ascii="宋体" w:hAnsi="宋体" w:eastAsia="宋体" w:cs="宋体"/>
                <w:color w:val="auto"/>
                <w:spacing w:val="7"/>
                <w:sz w:val="20"/>
                <w:szCs w:val="20"/>
                <w:highlight w:val="none"/>
                <w:lang w:val="en-US" w:eastAsia="zh-CN"/>
              </w:rPr>
              <w:t>6</w:t>
            </w:r>
            <w:r>
              <w:rPr>
                <w:rFonts w:ascii="宋体" w:hAnsi="宋体" w:eastAsia="宋体" w:cs="宋体"/>
                <w:color w:val="auto"/>
                <w:spacing w:val="-23"/>
                <w:sz w:val="20"/>
                <w:szCs w:val="20"/>
                <w:highlight w:val="none"/>
              </w:rPr>
              <w:t xml:space="preserve"> </w:t>
            </w:r>
            <w:r>
              <w:rPr>
                <w:rFonts w:ascii="宋体" w:hAnsi="宋体" w:eastAsia="宋体" w:cs="宋体"/>
                <w:color w:val="auto"/>
                <w:spacing w:val="7"/>
                <w:sz w:val="20"/>
                <w:szCs w:val="20"/>
                <w:highlight w:val="none"/>
              </w:rPr>
              <w:t>年自治区转移支付</w:t>
            </w:r>
            <w:r>
              <w:rPr>
                <w:rFonts w:hint="eastAsia" w:ascii="宋体" w:hAnsi="宋体" w:eastAsia="宋体" w:cs="宋体"/>
                <w:color w:val="auto"/>
                <w:spacing w:val="7"/>
                <w:sz w:val="20"/>
                <w:szCs w:val="20"/>
                <w:highlight w:val="none"/>
                <w:lang w:eastAsia="zh-CN"/>
              </w:rPr>
              <w:t>各市</w:t>
            </w:r>
            <w:r>
              <w:rPr>
                <w:rFonts w:ascii="宋体" w:hAnsi="宋体" w:eastAsia="宋体" w:cs="宋体"/>
                <w:color w:val="auto"/>
                <w:spacing w:val="6"/>
                <w:sz w:val="20"/>
                <w:szCs w:val="20"/>
                <w:highlight w:val="none"/>
              </w:rPr>
              <w:t>食用农产品</w:t>
            </w:r>
            <w:r>
              <w:rPr>
                <w:rFonts w:ascii="宋体" w:hAnsi="宋体" w:eastAsia="宋体" w:cs="宋体"/>
                <w:color w:val="auto"/>
                <w:spacing w:val="7"/>
                <w:sz w:val="20"/>
                <w:szCs w:val="20"/>
                <w:highlight w:val="none"/>
              </w:rPr>
              <w:t>抽检品种及项目表》</w:t>
            </w:r>
            <w:r>
              <w:rPr>
                <w:rFonts w:ascii="宋体" w:hAnsi="宋体" w:eastAsia="宋体" w:cs="宋体"/>
                <w:color w:val="auto"/>
                <w:spacing w:val="10"/>
                <w:sz w:val="20"/>
                <w:szCs w:val="20"/>
                <w:highlight w:val="none"/>
              </w:rPr>
              <w:t>。同时在合同期内须按要求完成国家市</w:t>
            </w:r>
            <w:r>
              <w:rPr>
                <w:rFonts w:ascii="宋体" w:hAnsi="宋体" w:eastAsia="宋体" w:cs="宋体"/>
                <w:color w:val="auto"/>
                <w:spacing w:val="9"/>
                <w:sz w:val="20"/>
                <w:szCs w:val="20"/>
                <w:highlight w:val="none"/>
              </w:rPr>
              <w:t>场监督管理总局或自治区市场监督局安排的抽检工作，及防城港市市场监督管理局根据工</w:t>
            </w:r>
            <w:r>
              <w:rPr>
                <w:rFonts w:ascii="宋体" w:hAnsi="宋体" w:eastAsia="宋体" w:cs="宋体"/>
                <w:color w:val="auto"/>
                <w:spacing w:val="8"/>
                <w:sz w:val="20"/>
                <w:szCs w:val="20"/>
                <w:highlight w:val="none"/>
              </w:rPr>
              <w:t>作需要安排的食品、食用农产品检测工作。</w:t>
            </w:r>
          </w:p>
          <w:p w14:paraId="6E6D8A07">
            <w:pPr>
              <w:spacing w:before="1" w:line="332" w:lineRule="auto"/>
              <w:ind w:left="111" w:right="1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2、抽样办法、检测方法及检验依据以《食品安全抽样检测管理办法》</w:t>
            </w:r>
            <w:r>
              <w:rPr>
                <w:rFonts w:ascii="宋体" w:hAnsi="宋体" w:eastAsia="宋体" w:cs="宋体"/>
                <w:color w:val="auto"/>
                <w:spacing w:val="16"/>
                <w:sz w:val="20"/>
                <w:szCs w:val="20"/>
                <w:highlight w:val="none"/>
              </w:rPr>
              <w:t xml:space="preserve"> </w:t>
            </w:r>
            <w:r>
              <w:rPr>
                <w:rFonts w:ascii="宋体" w:hAnsi="宋体" w:eastAsia="宋体" w:cs="宋体"/>
                <w:color w:val="auto"/>
                <w:spacing w:val="8"/>
                <w:sz w:val="20"/>
                <w:szCs w:val="20"/>
                <w:highlight w:val="none"/>
              </w:rPr>
              <w:t>（国家市场监督管理总局令第</w:t>
            </w:r>
            <w:r>
              <w:rPr>
                <w:rFonts w:ascii="宋体" w:hAnsi="宋体" w:eastAsia="宋体" w:cs="宋体"/>
                <w:color w:val="auto"/>
                <w:spacing w:val="-24"/>
                <w:sz w:val="20"/>
                <w:szCs w:val="20"/>
                <w:highlight w:val="none"/>
              </w:rPr>
              <w:t xml:space="preserve"> </w:t>
            </w:r>
            <w:r>
              <w:rPr>
                <w:rFonts w:ascii="宋体" w:hAnsi="宋体" w:eastAsia="宋体" w:cs="宋体"/>
                <w:color w:val="auto"/>
                <w:spacing w:val="8"/>
                <w:sz w:val="20"/>
                <w:szCs w:val="20"/>
                <w:highlight w:val="none"/>
              </w:rPr>
              <w:t>15</w:t>
            </w:r>
            <w:r>
              <w:rPr>
                <w:rFonts w:ascii="宋体" w:hAnsi="宋体" w:eastAsia="宋体" w:cs="宋体"/>
                <w:color w:val="auto"/>
                <w:spacing w:val="-33"/>
                <w:sz w:val="20"/>
                <w:szCs w:val="20"/>
                <w:highlight w:val="none"/>
              </w:rPr>
              <w:t xml:space="preserve"> </w:t>
            </w:r>
            <w:r>
              <w:rPr>
                <w:rFonts w:ascii="宋体" w:hAnsi="宋体" w:eastAsia="宋体" w:cs="宋体"/>
                <w:color w:val="auto"/>
                <w:spacing w:val="8"/>
                <w:sz w:val="20"/>
                <w:szCs w:val="20"/>
                <w:highlight w:val="none"/>
              </w:rPr>
              <w:t>号）和国家市场监督管</w:t>
            </w:r>
            <w:r>
              <w:rPr>
                <w:rFonts w:ascii="宋体" w:hAnsi="宋体" w:eastAsia="宋体" w:cs="宋体"/>
                <w:color w:val="auto"/>
                <w:spacing w:val="7"/>
                <w:sz w:val="20"/>
                <w:szCs w:val="20"/>
                <w:highlight w:val="none"/>
              </w:rPr>
              <w:t>理总局《全</w:t>
            </w:r>
            <w:r>
              <w:rPr>
                <w:rFonts w:ascii="宋体" w:hAnsi="宋体" w:eastAsia="宋体" w:cs="宋体"/>
                <w:color w:val="auto"/>
                <w:spacing w:val="9"/>
                <w:sz w:val="20"/>
                <w:szCs w:val="20"/>
                <w:highlight w:val="none"/>
              </w:rPr>
              <w:t>国食品安全监督抽检实施细则（202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9"/>
                <w:sz w:val="20"/>
                <w:szCs w:val="20"/>
                <w:highlight w:val="none"/>
              </w:rPr>
              <w:t>年版）》</w:t>
            </w:r>
            <w:r>
              <w:rPr>
                <w:rFonts w:ascii="宋体" w:hAnsi="宋体" w:eastAsia="宋体" w:cs="宋体"/>
                <w:color w:val="auto"/>
                <w:spacing w:val="8"/>
                <w:sz w:val="20"/>
                <w:szCs w:val="20"/>
                <w:highlight w:val="none"/>
              </w:rPr>
              <w:t>以及广西壮族自治区</w:t>
            </w:r>
            <w:r>
              <w:rPr>
                <w:rFonts w:ascii="宋体" w:hAnsi="宋体" w:eastAsia="宋体" w:cs="宋体"/>
                <w:color w:val="auto"/>
                <w:spacing w:val="9"/>
                <w:sz w:val="20"/>
                <w:szCs w:val="20"/>
                <w:highlight w:val="none"/>
              </w:rPr>
              <w:t>市场监督管理局《广西食品安全监督抽检实施</w:t>
            </w:r>
            <w:r>
              <w:rPr>
                <w:rFonts w:ascii="宋体" w:hAnsi="宋体" w:eastAsia="宋体" w:cs="宋体"/>
                <w:color w:val="auto"/>
                <w:spacing w:val="8"/>
                <w:sz w:val="20"/>
                <w:szCs w:val="20"/>
                <w:highlight w:val="none"/>
              </w:rPr>
              <w:t>细则（202</w:t>
            </w:r>
            <w:r>
              <w:rPr>
                <w:rFonts w:hint="eastAsia" w:ascii="宋体" w:hAnsi="宋体" w:eastAsia="宋体" w:cs="宋体"/>
                <w:color w:val="auto"/>
                <w:spacing w:val="8"/>
                <w:sz w:val="20"/>
                <w:szCs w:val="20"/>
                <w:highlight w:val="none"/>
                <w:lang w:val="en-US" w:eastAsia="zh-CN"/>
              </w:rPr>
              <w:t>6</w:t>
            </w:r>
            <w:r>
              <w:rPr>
                <w:rFonts w:ascii="宋体" w:hAnsi="宋体" w:eastAsia="宋体" w:cs="宋体"/>
                <w:color w:val="auto"/>
                <w:spacing w:val="8"/>
                <w:sz w:val="20"/>
                <w:szCs w:val="20"/>
                <w:highlight w:val="none"/>
              </w:rPr>
              <w:t>年版）为</w:t>
            </w:r>
            <w:r>
              <w:rPr>
                <w:rFonts w:ascii="宋体" w:hAnsi="宋体" w:eastAsia="宋体" w:cs="宋体"/>
                <w:color w:val="auto"/>
                <w:spacing w:val="-1"/>
                <w:sz w:val="20"/>
                <w:szCs w:val="20"/>
                <w:highlight w:val="none"/>
              </w:rPr>
              <w:t>准。</w:t>
            </w:r>
          </w:p>
          <w:p w14:paraId="2AAD5F5E">
            <w:pPr>
              <w:spacing w:line="332" w:lineRule="auto"/>
              <w:ind w:left="111" w:right="103" w:firstLine="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3、成果要求：202</w:t>
            </w:r>
            <w:r>
              <w:rPr>
                <w:rFonts w:hint="eastAsia" w:ascii="宋体" w:hAnsi="宋体" w:eastAsia="宋体" w:cs="宋体"/>
                <w:color w:val="auto"/>
                <w:spacing w:val="3"/>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年</w:t>
            </w:r>
            <w:r>
              <w:rPr>
                <w:rFonts w:ascii="宋体" w:hAnsi="宋体" w:eastAsia="宋体" w:cs="宋体"/>
                <w:color w:val="auto"/>
                <w:spacing w:val="-22"/>
                <w:sz w:val="20"/>
                <w:szCs w:val="20"/>
                <w:highlight w:val="none"/>
              </w:rPr>
              <w:t xml:space="preserve"> </w:t>
            </w:r>
            <w:r>
              <w:rPr>
                <w:rFonts w:ascii="宋体" w:hAnsi="宋体" w:eastAsia="宋体" w:cs="宋体"/>
                <w:color w:val="auto"/>
                <w:spacing w:val="3"/>
                <w:sz w:val="20"/>
                <w:szCs w:val="20"/>
                <w:highlight w:val="none"/>
              </w:rPr>
              <w:t>12</w:t>
            </w:r>
            <w:r>
              <w:rPr>
                <w:rFonts w:ascii="宋体" w:hAnsi="宋体" w:eastAsia="宋体" w:cs="宋体"/>
                <w:color w:val="auto"/>
                <w:spacing w:val="-35"/>
                <w:sz w:val="20"/>
                <w:szCs w:val="20"/>
                <w:highlight w:val="none"/>
              </w:rPr>
              <w:t xml:space="preserve"> </w:t>
            </w:r>
            <w:r>
              <w:rPr>
                <w:rFonts w:ascii="宋体" w:hAnsi="宋体" w:eastAsia="宋体" w:cs="宋体"/>
                <w:color w:val="auto"/>
                <w:spacing w:val="3"/>
                <w:sz w:val="20"/>
                <w:szCs w:val="20"/>
                <w:highlight w:val="none"/>
              </w:rPr>
              <w:t>月</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10 日前全部抽检完成并录入国抽</w:t>
            </w:r>
            <w:r>
              <w:rPr>
                <w:rFonts w:ascii="宋体" w:hAnsi="宋体" w:eastAsia="宋体" w:cs="宋体"/>
                <w:color w:val="auto"/>
                <w:spacing w:val="2"/>
                <w:sz w:val="20"/>
                <w:szCs w:val="20"/>
                <w:highlight w:val="none"/>
              </w:rPr>
              <w:t>系统，</w:t>
            </w:r>
            <w:r>
              <w:rPr>
                <w:rFonts w:ascii="宋体" w:hAnsi="宋体" w:eastAsia="宋体" w:cs="宋体"/>
                <w:color w:val="auto"/>
                <w:spacing w:val="8"/>
                <w:sz w:val="20"/>
                <w:szCs w:val="20"/>
                <w:highlight w:val="none"/>
              </w:rPr>
              <w:t>按具体方案时间节点要求提供质量分析报告。</w:t>
            </w:r>
          </w:p>
          <w:p w14:paraId="3D7C9529">
            <w:pPr>
              <w:spacing w:line="228" w:lineRule="auto"/>
              <w:ind w:left="1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4、服务工作要求</w:t>
            </w:r>
          </w:p>
          <w:p w14:paraId="29FFE08E">
            <w:pPr>
              <w:spacing w:before="114" w:line="332" w:lineRule="auto"/>
              <w:ind w:left="109"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（1）要求供应商严格遵守法律、法规的规定和检验工作有关纪律要</w:t>
            </w:r>
            <w:r>
              <w:rPr>
                <w:rFonts w:ascii="宋体" w:hAnsi="宋体" w:eastAsia="宋体" w:cs="宋体"/>
                <w:color w:val="auto"/>
                <w:spacing w:val="10"/>
                <w:sz w:val="20"/>
                <w:szCs w:val="20"/>
                <w:highlight w:val="none"/>
              </w:rPr>
              <w:t>求，确保检验结果真实有效；检验活动中无</w:t>
            </w:r>
            <w:r>
              <w:rPr>
                <w:rFonts w:ascii="宋体" w:hAnsi="宋体" w:eastAsia="宋体" w:cs="宋体"/>
                <w:color w:val="auto"/>
                <w:spacing w:val="9"/>
                <w:sz w:val="20"/>
                <w:szCs w:val="20"/>
                <w:highlight w:val="none"/>
              </w:rPr>
              <w:t>重大差错，能够保证检</w:t>
            </w:r>
            <w:r>
              <w:rPr>
                <w:rFonts w:ascii="宋体" w:hAnsi="宋体" w:eastAsia="宋体" w:cs="宋体"/>
                <w:color w:val="auto"/>
                <w:spacing w:val="10"/>
                <w:sz w:val="20"/>
                <w:szCs w:val="20"/>
                <w:highlight w:val="none"/>
              </w:rPr>
              <w:t>验结果质量；检测范围涵盖承担的食品安全</w:t>
            </w:r>
            <w:r>
              <w:rPr>
                <w:rFonts w:ascii="宋体" w:hAnsi="宋体" w:eastAsia="宋体" w:cs="宋体"/>
                <w:color w:val="auto"/>
                <w:spacing w:val="9"/>
                <w:sz w:val="20"/>
                <w:szCs w:val="20"/>
                <w:highlight w:val="none"/>
              </w:rPr>
              <w:t>抽检监测任务中相应的</w:t>
            </w:r>
            <w:r>
              <w:rPr>
                <w:rFonts w:ascii="宋体" w:hAnsi="宋体" w:eastAsia="宋体" w:cs="宋体"/>
                <w:color w:val="auto"/>
                <w:spacing w:val="8"/>
                <w:sz w:val="20"/>
                <w:szCs w:val="20"/>
                <w:highlight w:val="none"/>
              </w:rPr>
              <w:t>食品品种和检验项目；</w:t>
            </w:r>
          </w:p>
          <w:p w14:paraId="2EDF87B8">
            <w:pPr>
              <w:spacing w:before="1" w:line="332" w:lineRule="auto"/>
              <w:ind w:left="111" w:right="109"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（2）供应商负责样品的抽样检验、检验报告的寄送、结果分析、异</w:t>
            </w:r>
            <w:r>
              <w:rPr>
                <w:rFonts w:ascii="宋体" w:hAnsi="宋体" w:eastAsia="宋体" w:cs="宋体"/>
                <w:color w:val="auto"/>
                <w:spacing w:val="8"/>
                <w:sz w:val="20"/>
                <w:szCs w:val="20"/>
                <w:highlight w:val="none"/>
              </w:rPr>
              <w:t>议处理和检验过程中技术问题的处理工作；</w:t>
            </w:r>
          </w:p>
          <w:p w14:paraId="53EE20FF">
            <w:pPr>
              <w:spacing w:line="332" w:lineRule="auto"/>
              <w:ind w:left="112" w:right="109" w:firstLine="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（3）供应商必须接受采购人对承担检验任务工作质量情况的监督检查和考核，积极参加与检验任务相关的能力验证并取得满意结果；</w:t>
            </w:r>
          </w:p>
          <w:p w14:paraId="4F89BA8F">
            <w:pPr>
              <w:spacing w:before="1" w:line="227" w:lineRule="auto"/>
              <w:ind w:left="12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（4）能按时完成采购人安排的临时性和应急性任务。</w:t>
            </w:r>
          </w:p>
          <w:p w14:paraId="57EBA212">
            <w:pPr>
              <w:spacing w:before="114" w:line="229" w:lineRule="auto"/>
              <w:ind w:left="120"/>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（三）其他要求：</w:t>
            </w:r>
          </w:p>
          <w:p w14:paraId="11ABCBD1">
            <w:pPr>
              <w:spacing w:before="113" w:line="332" w:lineRule="auto"/>
              <w:ind w:left="109" w:right="139" w:firstLine="16"/>
              <w:jc w:val="both"/>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1、要求供应商具有与能承担食品监督抽检任务相匹配的</w:t>
            </w:r>
            <w:r>
              <w:rPr>
                <w:rFonts w:ascii="宋体" w:hAnsi="宋体" w:eastAsia="宋体" w:cs="宋体"/>
                <w:color w:val="auto"/>
                <w:spacing w:val="7"/>
                <w:sz w:val="20"/>
                <w:szCs w:val="20"/>
                <w:highlight w:val="none"/>
              </w:rPr>
              <w:t>工作人员、</w:t>
            </w:r>
            <w:r>
              <w:rPr>
                <w:rFonts w:ascii="宋体" w:hAnsi="宋体" w:eastAsia="宋体" w:cs="宋体"/>
                <w:color w:val="auto"/>
                <w:spacing w:val="10"/>
                <w:sz w:val="20"/>
                <w:szCs w:val="20"/>
                <w:highlight w:val="none"/>
              </w:rPr>
              <w:t>仪器设备、实验室环境设施；拥有运行良好</w:t>
            </w:r>
            <w:r>
              <w:rPr>
                <w:rFonts w:ascii="宋体" w:hAnsi="宋体" w:eastAsia="宋体" w:cs="宋体"/>
                <w:color w:val="auto"/>
                <w:spacing w:val="9"/>
                <w:sz w:val="20"/>
                <w:szCs w:val="20"/>
                <w:highlight w:val="none"/>
              </w:rPr>
              <w:t>的实验室管理体系，授</w:t>
            </w:r>
            <w:r>
              <w:rPr>
                <w:rFonts w:ascii="宋体" w:hAnsi="宋体" w:eastAsia="宋体" w:cs="宋体"/>
                <w:color w:val="auto"/>
                <w:spacing w:val="10"/>
                <w:sz w:val="20"/>
                <w:szCs w:val="20"/>
                <w:highlight w:val="none"/>
              </w:rPr>
              <w:t>权范围涵盖本标项食品监督抽检监测任务中</w:t>
            </w:r>
            <w:r>
              <w:rPr>
                <w:rFonts w:ascii="宋体" w:hAnsi="宋体" w:eastAsia="宋体" w:cs="宋体"/>
                <w:color w:val="auto"/>
                <w:spacing w:val="9"/>
                <w:sz w:val="20"/>
                <w:szCs w:val="20"/>
                <w:highlight w:val="none"/>
              </w:rPr>
              <w:t>相应的食品品种和监督</w:t>
            </w:r>
            <w:r>
              <w:rPr>
                <w:rFonts w:ascii="宋体" w:hAnsi="宋体" w:eastAsia="宋体" w:cs="宋体"/>
                <w:color w:val="auto"/>
                <w:spacing w:val="10"/>
                <w:sz w:val="20"/>
                <w:szCs w:val="20"/>
                <w:highlight w:val="none"/>
              </w:rPr>
              <w:t>抽检项目。具有相应的检验和质量分析人员</w:t>
            </w:r>
            <w:r>
              <w:rPr>
                <w:rFonts w:ascii="宋体" w:hAnsi="宋体" w:eastAsia="宋体" w:cs="宋体"/>
                <w:color w:val="auto"/>
                <w:spacing w:val="9"/>
                <w:sz w:val="20"/>
                <w:szCs w:val="20"/>
                <w:highlight w:val="none"/>
              </w:rPr>
              <w:t>，参与检验的有关人员</w:t>
            </w:r>
            <w:r>
              <w:rPr>
                <w:rFonts w:ascii="宋体" w:hAnsi="宋体" w:eastAsia="宋体" w:cs="宋体"/>
                <w:color w:val="auto"/>
                <w:spacing w:val="10"/>
                <w:sz w:val="20"/>
                <w:szCs w:val="20"/>
                <w:highlight w:val="none"/>
              </w:rPr>
              <w:t>具有检验员证或上岗证，并具备相应的专业</w:t>
            </w:r>
            <w:r>
              <w:rPr>
                <w:rFonts w:ascii="宋体" w:hAnsi="宋体" w:eastAsia="宋体" w:cs="宋体"/>
                <w:color w:val="auto"/>
                <w:spacing w:val="9"/>
                <w:sz w:val="20"/>
                <w:szCs w:val="20"/>
                <w:highlight w:val="none"/>
              </w:rPr>
              <w:t>知识和能力，具体要求</w:t>
            </w:r>
            <w:r>
              <w:rPr>
                <w:rFonts w:ascii="宋体" w:hAnsi="宋体" w:eastAsia="宋体" w:cs="宋体"/>
                <w:color w:val="auto"/>
                <w:sz w:val="20"/>
                <w:szCs w:val="20"/>
                <w:highlight w:val="none"/>
              </w:rPr>
              <w:t>为：</w:t>
            </w:r>
          </w:p>
          <w:p w14:paraId="51768CBF">
            <w:pPr>
              <w:spacing w:before="1" w:line="293" w:lineRule="auto"/>
              <w:ind w:left="110" w:right="37" w:firstLine="9"/>
              <w:jc w:val="both"/>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（1）具有固定且能够独立运行的检验工作场所以及能满足本项目检测所需的抽样、检验检测、运输贮存（冷藏和冷冻）、数据处理与</w:t>
            </w:r>
            <w:r>
              <w:rPr>
                <w:rFonts w:ascii="宋体" w:hAnsi="宋体" w:eastAsia="宋体" w:cs="宋体"/>
                <w:color w:val="auto"/>
                <w:spacing w:val="8"/>
                <w:sz w:val="20"/>
                <w:szCs w:val="20"/>
                <w:highlight w:val="none"/>
              </w:rPr>
              <w:t>分析、信息传输等设施设备，能够满足本标项要求的承检任务需要。</w:t>
            </w:r>
          </w:p>
        </w:tc>
      </w:tr>
    </w:tbl>
    <w:p w14:paraId="2083A283">
      <w:pPr>
        <w:rPr>
          <w:rFonts w:ascii="Arial"/>
          <w:color w:val="auto"/>
          <w:sz w:val="21"/>
          <w:highlight w:val="none"/>
        </w:rPr>
      </w:pPr>
    </w:p>
    <w:p w14:paraId="23703F92">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44E151CF">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9"/>
        <w:gridCol w:w="679"/>
        <w:gridCol w:w="6404"/>
      </w:tblGrid>
      <w:tr w14:paraId="27F02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59" w:hRule="atLeast"/>
        </w:trPr>
        <w:tc>
          <w:tcPr>
            <w:tcW w:w="652" w:type="dxa"/>
            <w:vAlign w:val="top"/>
          </w:tcPr>
          <w:p w14:paraId="0B5CDC24">
            <w:pPr>
              <w:pStyle w:val="179"/>
              <w:rPr>
                <w:color w:val="auto"/>
                <w:highlight w:val="none"/>
              </w:rPr>
            </w:pPr>
          </w:p>
        </w:tc>
        <w:tc>
          <w:tcPr>
            <w:tcW w:w="871" w:type="dxa"/>
            <w:vAlign w:val="top"/>
          </w:tcPr>
          <w:p w14:paraId="35911145">
            <w:pPr>
              <w:pStyle w:val="179"/>
              <w:rPr>
                <w:color w:val="auto"/>
                <w:highlight w:val="none"/>
              </w:rPr>
            </w:pPr>
          </w:p>
        </w:tc>
        <w:tc>
          <w:tcPr>
            <w:tcW w:w="659" w:type="dxa"/>
            <w:vAlign w:val="top"/>
          </w:tcPr>
          <w:p w14:paraId="3DF4AB1A">
            <w:pPr>
              <w:pStyle w:val="179"/>
              <w:rPr>
                <w:color w:val="auto"/>
                <w:highlight w:val="none"/>
              </w:rPr>
            </w:pPr>
          </w:p>
        </w:tc>
        <w:tc>
          <w:tcPr>
            <w:tcW w:w="679" w:type="dxa"/>
            <w:vAlign w:val="top"/>
          </w:tcPr>
          <w:p w14:paraId="11728026">
            <w:pPr>
              <w:pStyle w:val="179"/>
              <w:rPr>
                <w:color w:val="auto"/>
                <w:highlight w:val="none"/>
              </w:rPr>
            </w:pPr>
          </w:p>
        </w:tc>
        <w:tc>
          <w:tcPr>
            <w:tcW w:w="6404" w:type="dxa"/>
            <w:vAlign w:val="top"/>
          </w:tcPr>
          <w:p w14:paraId="11945234">
            <w:pPr>
              <w:spacing w:before="124" w:line="332" w:lineRule="auto"/>
              <w:ind w:left="108" w:right="186" w:firstLine="9"/>
              <w:jc w:val="both"/>
              <w:rPr>
                <w:rFonts w:ascii="宋体" w:hAnsi="宋体" w:eastAsia="宋体" w:cs="宋体"/>
                <w:color w:val="auto"/>
                <w:sz w:val="20"/>
                <w:szCs w:val="20"/>
                <w:highlight w:val="none"/>
              </w:rPr>
            </w:pPr>
            <w:r>
              <w:rPr>
                <w:rFonts w:ascii="宋体" w:hAnsi="宋体" w:eastAsia="宋体" w:cs="宋体"/>
                <w:b/>
                <w:bCs/>
                <w:color w:val="auto"/>
                <w:spacing w:val="8"/>
                <w:sz w:val="20"/>
                <w:szCs w:val="20"/>
                <w:highlight w:val="none"/>
              </w:rPr>
              <w:t>（响应文件中须提供供应商检验工作场所实验室平面图及供应商拥有的相关检验、检测设施和设备清单，并附供应商实验室有效的房</w:t>
            </w:r>
            <w:r>
              <w:rPr>
                <w:rFonts w:ascii="宋体" w:hAnsi="宋体" w:eastAsia="宋体" w:cs="宋体"/>
                <w:b/>
                <w:bCs/>
                <w:color w:val="auto"/>
                <w:spacing w:val="7"/>
                <w:sz w:val="20"/>
                <w:szCs w:val="20"/>
                <w:highlight w:val="none"/>
              </w:rPr>
              <w:t>屋产权使用证明或租赁合同及仪器设备购置一览表。）</w:t>
            </w:r>
          </w:p>
          <w:p w14:paraId="419B20E0">
            <w:pPr>
              <w:spacing w:before="3" w:line="316" w:lineRule="auto"/>
              <w:ind w:left="110" w:right="108" w:firstLine="7"/>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（2）具有稳定的抽样、检验和技术管理人员</w:t>
            </w:r>
            <w:r>
              <w:rPr>
                <w:rFonts w:ascii="宋体" w:hAnsi="宋体" w:eastAsia="宋体" w:cs="宋体"/>
                <w:b/>
                <w:bCs/>
                <w:color w:val="auto"/>
                <w:spacing w:val="8"/>
                <w:sz w:val="20"/>
                <w:szCs w:val="20"/>
                <w:highlight w:val="none"/>
              </w:rPr>
              <w:t>[响应文件中须提供拟投入人员名单、职称（资格）证书、及所属于供应商单位在职人员</w:t>
            </w:r>
            <w:r>
              <w:rPr>
                <w:rFonts w:ascii="宋体" w:hAnsi="宋体" w:eastAsia="宋体" w:cs="宋体"/>
                <w:b/>
                <w:bCs/>
                <w:color w:val="auto"/>
                <w:spacing w:val="4"/>
                <w:sz w:val="20"/>
                <w:szCs w:val="20"/>
                <w:highlight w:val="none"/>
              </w:rPr>
              <w:t>的相关证明材料，如</w:t>
            </w:r>
            <w:r>
              <w:rPr>
                <w:rFonts w:ascii="宋体" w:hAnsi="宋体" w:eastAsia="宋体" w:cs="宋体"/>
                <w:color w:val="auto"/>
                <w:spacing w:val="-42"/>
                <w:sz w:val="20"/>
                <w:szCs w:val="20"/>
                <w:highlight w:val="none"/>
              </w:rPr>
              <w:t xml:space="preserve"> </w:t>
            </w:r>
            <w:r>
              <w:rPr>
                <w:rFonts w:ascii="宋体" w:hAnsi="宋体" w:eastAsia="宋体" w:cs="宋体"/>
                <w:b/>
                <w:bCs/>
                <w:color w:val="auto"/>
                <w:spacing w:val="4"/>
                <w:sz w:val="20"/>
                <w:szCs w:val="20"/>
                <w:highlight w:val="none"/>
              </w:rPr>
              <w:t>202</w:t>
            </w:r>
            <w:r>
              <w:rPr>
                <w:rFonts w:hint="eastAsia" w:ascii="宋体" w:hAnsi="宋体" w:eastAsia="宋体" w:cs="宋体"/>
                <w:b/>
                <w:bCs/>
                <w:color w:val="auto"/>
                <w:spacing w:val="4"/>
                <w:sz w:val="20"/>
                <w:szCs w:val="20"/>
                <w:highlight w:val="none"/>
                <w:lang w:val="en-US" w:eastAsia="zh-CN"/>
              </w:rPr>
              <w:t>6</w:t>
            </w:r>
            <w:r>
              <w:rPr>
                <w:rFonts w:ascii="宋体" w:hAnsi="宋体" w:eastAsia="宋体" w:cs="宋体"/>
                <w:b/>
                <w:bCs/>
                <w:color w:val="auto"/>
                <w:spacing w:val="4"/>
                <w:sz w:val="20"/>
                <w:szCs w:val="20"/>
                <w:highlight w:val="none"/>
              </w:rPr>
              <w:t>年</w:t>
            </w:r>
            <w:r>
              <w:rPr>
                <w:rFonts w:hint="eastAsia" w:ascii="Times New Roman" w:hAnsi="Times New Roman" w:eastAsia="Times New Roman" w:cs="Times New Roman"/>
                <w:b/>
                <w:bCs/>
                <w:color w:val="auto"/>
                <w:spacing w:val="4"/>
                <w:sz w:val="20"/>
                <w:szCs w:val="20"/>
                <w:highlight w:val="none"/>
                <w:lang w:val="en-US" w:eastAsia="zh-CN"/>
              </w:rPr>
              <w:t>任意一个</w:t>
            </w:r>
            <w:r>
              <w:rPr>
                <w:rFonts w:ascii="宋体" w:hAnsi="宋体" w:eastAsia="宋体" w:cs="宋体"/>
                <w:color w:val="auto"/>
                <w:spacing w:val="-47"/>
                <w:sz w:val="20"/>
                <w:szCs w:val="20"/>
                <w:highlight w:val="none"/>
                <w:u w:val="single" w:color="auto"/>
              </w:rPr>
              <w:t xml:space="preserve"> </w:t>
            </w:r>
            <w:r>
              <w:rPr>
                <w:rFonts w:ascii="宋体" w:hAnsi="宋体" w:eastAsia="宋体" w:cs="宋体"/>
                <w:b/>
                <w:bCs/>
                <w:color w:val="auto"/>
                <w:spacing w:val="4"/>
                <w:sz w:val="20"/>
                <w:szCs w:val="20"/>
                <w:highlight w:val="none"/>
              </w:rPr>
              <w:t>月工资流水或</w:t>
            </w:r>
            <w:r>
              <w:rPr>
                <w:rFonts w:ascii="宋体" w:hAnsi="宋体" w:eastAsia="宋体" w:cs="宋体"/>
                <w:color w:val="auto"/>
                <w:spacing w:val="-49"/>
                <w:sz w:val="20"/>
                <w:szCs w:val="20"/>
                <w:highlight w:val="none"/>
              </w:rPr>
              <w:t xml:space="preserve"> </w:t>
            </w:r>
            <w:r>
              <w:rPr>
                <w:rFonts w:ascii="宋体" w:hAnsi="宋体" w:eastAsia="宋体" w:cs="宋体"/>
                <w:b/>
                <w:bCs/>
                <w:color w:val="auto"/>
                <w:spacing w:val="4"/>
                <w:sz w:val="20"/>
                <w:szCs w:val="20"/>
                <w:highlight w:val="none"/>
              </w:rPr>
              <w:t>202</w:t>
            </w:r>
            <w:r>
              <w:rPr>
                <w:rFonts w:hint="eastAsia" w:ascii="宋体" w:hAnsi="宋体" w:eastAsia="宋体" w:cs="宋体"/>
                <w:b/>
                <w:bCs/>
                <w:color w:val="auto"/>
                <w:spacing w:val="4"/>
                <w:sz w:val="20"/>
                <w:szCs w:val="20"/>
                <w:highlight w:val="none"/>
                <w:lang w:val="en-US" w:eastAsia="zh-CN"/>
              </w:rPr>
              <w:t>6</w:t>
            </w:r>
            <w:r>
              <w:rPr>
                <w:rFonts w:ascii="宋体" w:hAnsi="宋体" w:eastAsia="宋体" w:cs="宋体"/>
                <w:b/>
                <w:bCs/>
                <w:color w:val="auto"/>
                <w:spacing w:val="4"/>
                <w:sz w:val="20"/>
                <w:szCs w:val="20"/>
                <w:highlight w:val="none"/>
              </w:rPr>
              <w:t>年</w:t>
            </w:r>
            <w:r>
              <w:rPr>
                <w:rFonts w:ascii="宋体" w:hAnsi="宋体" w:eastAsia="宋体" w:cs="宋体"/>
                <w:b/>
                <w:bCs/>
                <w:color w:val="auto"/>
                <w:spacing w:val="4"/>
                <w:sz w:val="20"/>
                <w:szCs w:val="20"/>
                <w:highlight w:val="none"/>
                <w:u w:val="single" w:color="auto"/>
              </w:rPr>
              <w:t>4</w:t>
            </w:r>
            <w:r>
              <w:rPr>
                <w:rFonts w:ascii="宋体" w:hAnsi="宋体" w:eastAsia="宋体" w:cs="宋体"/>
                <w:color w:val="auto"/>
                <w:spacing w:val="-48"/>
                <w:sz w:val="20"/>
                <w:szCs w:val="20"/>
                <w:highlight w:val="none"/>
                <w:u w:val="single" w:color="auto"/>
              </w:rPr>
              <w:t xml:space="preserve"> </w:t>
            </w:r>
            <w:r>
              <w:rPr>
                <w:rFonts w:ascii="宋体" w:hAnsi="宋体" w:eastAsia="宋体" w:cs="宋体"/>
                <w:b/>
                <w:bCs/>
                <w:color w:val="auto"/>
                <w:spacing w:val="4"/>
                <w:sz w:val="20"/>
                <w:szCs w:val="20"/>
                <w:highlight w:val="none"/>
              </w:rPr>
              <w:t>月至</w:t>
            </w:r>
            <w:r>
              <w:rPr>
                <w:rFonts w:ascii="宋体" w:hAnsi="宋体" w:eastAsia="宋体" w:cs="宋体"/>
                <w:color w:val="auto"/>
                <w:spacing w:val="4"/>
                <w:sz w:val="20"/>
                <w:szCs w:val="20"/>
                <w:highlight w:val="none"/>
                <w:u w:val="single" w:color="auto"/>
              </w:rPr>
              <w:t xml:space="preserve">  </w:t>
            </w:r>
            <w:r>
              <w:rPr>
                <w:rFonts w:ascii="宋体" w:hAnsi="宋体" w:eastAsia="宋体" w:cs="宋体"/>
                <w:b/>
                <w:bCs/>
                <w:color w:val="auto"/>
                <w:spacing w:val="4"/>
                <w:sz w:val="20"/>
                <w:szCs w:val="20"/>
                <w:highlight w:val="none"/>
                <w:u w:val="single" w:color="auto"/>
              </w:rPr>
              <w:t>6</w:t>
            </w:r>
            <w:r>
              <w:rPr>
                <w:rFonts w:ascii="宋体" w:hAnsi="宋体" w:eastAsia="宋体" w:cs="宋体"/>
                <w:b/>
                <w:bCs/>
                <w:color w:val="auto"/>
                <w:spacing w:val="3"/>
                <w:sz w:val="20"/>
                <w:szCs w:val="20"/>
                <w:highlight w:val="none"/>
              </w:rPr>
              <w:t>月社保等]。</w:t>
            </w:r>
          </w:p>
          <w:p w14:paraId="71440FD0">
            <w:pPr>
              <w:spacing w:before="2" w:line="288" w:lineRule="auto"/>
              <w:ind w:left="107" w:right="1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①本标项拟投入从事食品检验相关工作人员总数不低于</w:t>
            </w:r>
            <w:r>
              <w:rPr>
                <w:rFonts w:ascii="宋体" w:hAnsi="宋体" w:eastAsia="宋体" w:cs="宋体"/>
                <w:color w:val="auto"/>
                <w:spacing w:val="-20"/>
                <w:sz w:val="20"/>
                <w:szCs w:val="20"/>
                <w:highlight w:val="none"/>
              </w:rPr>
              <w:t xml:space="preserve"> </w:t>
            </w:r>
            <w:r>
              <w:rPr>
                <w:rFonts w:ascii="宋体" w:hAnsi="宋体" w:eastAsia="宋体" w:cs="宋体"/>
                <w:color w:val="auto"/>
                <w:spacing w:val="8"/>
                <w:sz w:val="20"/>
                <w:szCs w:val="20"/>
                <w:highlight w:val="none"/>
              </w:rPr>
              <w:t>10</w:t>
            </w:r>
            <w:r>
              <w:rPr>
                <w:rFonts w:ascii="宋体" w:hAnsi="宋体" w:eastAsia="宋体" w:cs="宋体"/>
                <w:color w:val="auto"/>
                <w:spacing w:val="-39"/>
                <w:sz w:val="20"/>
                <w:szCs w:val="20"/>
                <w:highlight w:val="none"/>
              </w:rPr>
              <w:t xml:space="preserve"> </w:t>
            </w:r>
            <w:r>
              <w:rPr>
                <w:rFonts w:ascii="宋体" w:hAnsi="宋体" w:eastAsia="宋体" w:cs="宋体"/>
                <w:color w:val="auto"/>
                <w:spacing w:val="8"/>
                <w:sz w:val="20"/>
                <w:szCs w:val="20"/>
                <w:highlight w:val="none"/>
              </w:rPr>
              <w:t>人，且直</w:t>
            </w:r>
            <w:r>
              <w:rPr>
                <w:rFonts w:ascii="宋体" w:hAnsi="宋体" w:eastAsia="宋体" w:cs="宋体"/>
                <w:color w:val="auto"/>
                <w:spacing w:val="9"/>
                <w:sz w:val="20"/>
                <w:szCs w:val="20"/>
                <w:highlight w:val="none"/>
              </w:rPr>
              <w:t>接从事食品检验工作满</w:t>
            </w:r>
            <w:r>
              <w:rPr>
                <w:rFonts w:ascii="宋体" w:hAnsi="宋体" w:eastAsia="宋体" w:cs="宋体"/>
                <w:color w:val="auto"/>
                <w:spacing w:val="-34"/>
                <w:sz w:val="20"/>
                <w:szCs w:val="20"/>
                <w:highlight w:val="none"/>
              </w:rPr>
              <w:t xml:space="preserve"> </w:t>
            </w:r>
            <w:r>
              <w:rPr>
                <w:rFonts w:ascii="宋体" w:hAnsi="宋体" w:eastAsia="宋体" w:cs="宋体"/>
                <w:color w:val="auto"/>
                <w:spacing w:val="9"/>
                <w:sz w:val="20"/>
                <w:szCs w:val="20"/>
                <w:highlight w:val="none"/>
              </w:rPr>
              <w:t>2</w:t>
            </w:r>
            <w:r>
              <w:rPr>
                <w:rFonts w:ascii="宋体" w:hAnsi="宋体" w:eastAsia="宋体" w:cs="宋体"/>
                <w:color w:val="auto"/>
                <w:spacing w:val="-39"/>
                <w:sz w:val="20"/>
                <w:szCs w:val="20"/>
                <w:highlight w:val="none"/>
              </w:rPr>
              <w:t xml:space="preserve"> </w:t>
            </w:r>
            <w:r>
              <w:rPr>
                <w:rFonts w:ascii="宋体" w:hAnsi="宋体" w:eastAsia="宋体" w:cs="宋体"/>
                <w:color w:val="auto"/>
                <w:spacing w:val="9"/>
                <w:sz w:val="20"/>
                <w:szCs w:val="20"/>
                <w:highlight w:val="none"/>
              </w:rPr>
              <w:t>年及以上的检验人</w:t>
            </w:r>
            <w:r>
              <w:rPr>
                <w:rFonts w:ascii="宋体" w:hAnsi="宋体" w:eastAsia="宋体" w:cs="宋体"/>
                <w:color w:val="auto"/>
                <w:spacing w:val="8"/>
                <w:sz w:val="20"/>
                <w:szCs w:val="20"/>
                <w:highlight w:val="none"/>
              </w:rPr>
              <w:t>员占直接从事食品检验</w:t>
            </w:r>
            <w:r>
              <w:rPr>
                <w:rFonts w:ascii="宋体" w:hAnsi="宋体" w:eastAsia="宋体" w:cs="宋体"/>
                <w:color w:val="auto"/>
                <w:spacing w:val="7"/>
                <w:sz w:val="20"/>
                <w:szCs w:val="20"/>
                <w:highlight w:val="none"/>
              </w:rPr>
              <w:t>人员总数的比例不低于</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50%（含</w:t>
            </w:r>
            <w:r>
              <w:rPr>
                <w:rFonts w:ascii="宋体" w:hAnsi="宋体" w:eastAsia="宋体" w:cs="宋体"/>
                <w:color w:val="auto"/>
                <w:spacing w:val="5"/>
                <w:sz w:val="20"/>
                <w:szCs w:val="20"/>
                <w:highlight w:val="none"/>
              </w:rPr>
              <w:t>），</w:t>
            </w:r>
            <w:r>
              <w:rPr>
                <w:rFonts w:ascii="宋体" w:hAnsi="宋体" w:eastAsia="宋体" w:cs="宋体"/>
                <w:color w:val="auto"/>
                <w:spacing w:val="7"/>
                <w:sz w:val="20"/>
                <w:szCs w:val="20"/>
                <w:highlight w:val="none"/>
              </w:rPr>
              <w:t>能保证食品抽样检验工作的连续性和稳定性。</w:t>
            </w:r>
            <w:r>
              <w:rPr>
                <w:rFonts w:ascii="宋体" w:hAnsi="宋体" w:eastAsia="宋体" w:cs="宋体"/>
                <w:color w:val="auto"/>
                <w:spacing w:val="-52"/>
                <w:sz w:val="20"/>
                <w:szCs w:val="20"/>
                <w:highlight w:val="none"/>
              </w:rPr>
              <w:t xml:space="preserve"> </w:t>
            </w:r>
            <w:r>
              <w:rPr>
                <w:rFonts w:ascii="宋体" w:hAnsi="宋体" w:eastAsia="宋体" w:cs="宋体"/>
                <w:color w:val="auto"/>
                <w:spacing w:val="7"/>
                <w:sz w:val="20"/>
                <w:szCs w:val="20"/>
                <w:highlight w:val="none"/>
              </w:rPr>
              <w:t>[</w:t>
            </w:r>
            <w:r>
              <w:rPr>
                <w:rFonts w:ascii="宋体" w:hAnsi="宋体" w:eastAsia="宋体" w:cs="宋体"/>
                <w:b/>
                <w:bCs/>
                <w:color w:val="auto"/>
                <w:spacing w:val="7"/>
                <w:sz w:val="20"/>
                <w:szCs w:val="20"/>
                <w:highlight w:val="none"/>
              </w:rPr>
              <w:t>响应文件中须提供工作满</w:t>
            </w:r>
            <w:r>
              <w:rPr>
                <w:rFonts w:ascii="宋体" w:hAnsi="宋体" w:eastAsia="宋体" w:cs="宋体"/>
                <w:color w:val="auto"/>
                <w:spacing w:val="7"/>
                <w:sz w:val="20"/>
                <w:szCs w:val="20"/>
                <w:highlight w:val="none"/>
              </w:rPr>
              <w:t xml:space="preserve"> </w:t>
            </w:r>
            <w:r>
              <w:rPr>
                <w:rFonts w:ascii="宋体" w:hAnsi="宋体" w:eastAsia="宋体" w:cs="宋体"/>
                <w:b/>
                <w:bCs/>
                <w:color w:val="auto"/>
                <w:spacing w:val="6"/>
                <w:sz w:val="20"/>
                <w:szCs w:val="20"/>
                <w:highlight w:val="none"/>
              </w:rPr>
              <w:t>2</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年及以上直接从事食品</w:t>
            </w:r>
            <w:r>
              <w:rPr>
                <w:rFonts w:ascii="宋体" w:hAnsi="宋体" w:eastAsia="宋体" w:cs="宋体"/>
                <w:b/>
                <w:bCs/>
                <w:color w:val="auto"/>
                <w:spacing w:val="8"/>
                <w:sz w:val="20"/>
                <w:szCs w:val="20"/>
                <w:highlight w:val="none"/>
              </w:rPr>
              <w:t>检验个人工作经历证明材料（如</w:t>
            </w:r>
            <w:r>
              <w:rPr>
                <w:rFonts w:hint="eastAsia" w:ascii="宋体" w:hAnsi="宋体" w:cs="宋体"/>
                <w:b/>
                <w:bCs/>
                <w:color w:val="auto"/>
                <w:spacing w:val="8"/>
                <w:sz w:val="20"/>
                <w:szCs w:val="20"/>
                <w:highlight w:val="none"/>
                <w:lang w:val="en-US" w:eastAsia="zh-CN"/>
              </w:rPr>
              <w:t>工资流水或</w:t>
            </w:r>
            <w:r>
              <w:rPr>
                <w:rFonts w:ascii="宋体" w:hAnsi="宋体" w:eastAsia="宋体" w:cs="宋体"/>
                <w:b/>
                <w:bCs/>
                <w:color w:val="auto"/>
                <w:spacing w:val="8"/>
                <w:sz w:val="20"/>
                <w:szCs w:val="20"/>
                <w:highlight w:val="none"/>
              </w:rPr>
              <w:t>社保证明或承诺等</w:t>
            </w:r>
            <w:r>
              <w:rPr>
                <w:rFonts w:ascii="宋体" w:hAnsi="宋体" w:eastAsia="宋体" w:cs="宋体"/>
                <w:b/>
                <w:bCs/>
                <w:color w:val="auto"/>
                <w:spacing w:val="15"/>
                <w:sz w:val="20"/>
                <w:szCs w:val="20"/>
                <w:highlight w:val="none"/>
              </w:rPr>
              <w:t>），</w:t>
            </w:r>
            <w:r>
              <w:rPr>
                <w:rFonts w:ascii="宋体" w:hAnsi="宋体" w:eastAsia="宋体" w:cs="宋体"/>
                <w:b/>
                <w:bCs/>
                <w:color w:val="auto"/>
                <w:spacing w:val="8"/>
                <w:sz w:val="20"/>
                <w:szCs w:val="20"/>
                <w:highlight w:val="none"/>
              </w:rPr>
              <w:t>并</w:t>
            </w:r>
            <w:r>
              <w:rPr>
                <w:rFonts w:ascii="宋体" w:hAnsi="宋体" w:eastAsia="宋体" w:cs="宋体"/>
                <w:b/>
                <w:bCs/>
                <w:color w:val="auto"/>
                <w:spacing w:val="7"/>
                <w:sz w:val="20"/>
                <w:szCs w:val="20"/>
                <w:highlight w:val="none"/>
              </w:rPr>
              <w:t>加盖供应商单位公章或电子签章]</w:t>
            </w:r>
          </w:p>
          <w:p w14:paraId="193E54A5">
            <w:pPr>
              <w:spacing w:before="65" w:line="332" w:lineRule="auto"/>
              <w:ind w:left="110" w:right="212" w:hanging="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②要求检验和技术管理人员熟悉有关食品检验的标准、检验方法原理，掌握检验操作技能、标准操作程序、计量和数据处理知识等；</w:t>
            </w:r>
          </w:p>
          <w:p w14:paraId="170A9BE3">
            <w:pPr>
              <w:spacing w:before="1" w:line="332" w:lineRule="auto"/>
              <w:ind w:left="109" w:right="109" w:hanging="1"/>
              <w:rPr>
                <w:rFonts w:ascii="宋体" w:hAnsi="宋体" w:eastAsia="宋体" w:cs="宋体"/>
                <w:b/>
                <w:bCs/>
                <w:color w:val="auto"/>
                <w:sz w:val="20"/>
                <w:szCs w:val="20"/>
                <w:highlight w:val="none"/>
              </w:rPr>
            </w:pPr>
            <w:r>
              <w:rPr>
                <w:rFonts w:ascii="宋体" w:hAnsi="宋体" w:eastAsia="宋体" w:cs="宋体"/>
                <w:color w:val="auto"/>
                <w:spacing w:val="8"/>
                <w:sz w:val="20"/>
                <w:szCs w:val="20"/>
                <w:highlight w:val="none"/>
              </w:rPr>
              <w:t>技术负责人、质量负责人至少从事食品检验管理及相关工作</w:t>
            </w:r>
            <w:r>
              <w:rPr>
                <w:rFonts w:ascii="宋体" w:hAnsi="宋体" w:eastAsia="宋体" w:cs="宋体"/>
                <w:color w:val="auto"/>
                <w:spacing w:val="-16"/>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年或</w:t>
            </w:r>
            <w:r>
              <w:rPr>
                <w:rFonts w:ascii="宋体" w:hAnsi="宋体" w:eastAsia="宋体" w:cs="宋体"/>
                <w:color w:val="auto"/>
                <w:spacing w:val="7"/>
                <w:sz w:val="20"/>
                <w:szCs w:val="20"/>
                <w:highlight w:val="none"/>
              </w:rPr>
              <w:t>以上；</w:t>
            </w:r>
            <w:r>
              <w:rPr>
                <w:rFonts w:ascii="宋体" w:hAnsi="宋体" w:eastAsia="宋体" w:cs="宋体"/>
                <w:b/>
                <w:bCs/>
                <w:color w:val="auto"/>
                <w:spacing w:val="7"/>
                <w:sz w:val="20"/>
                <w:szCs w:val="20"/>
                <w:highlight w:val="none"/>
              </w:rPr>
              <w:t>[响应文件中须提供工作满 2</w:t>
            </w:r>
            <w:r>
              <w:rPr>
                <w:rFonts w:ascii="宋体" w:hAnsi="宋体" w:eastAsia="宋体" w:cs="宋体"/>
                <w:b/>
                <w:bCs/>
                <w:color w:val="auto"/>
                <w:spacing w:val="-37"/>
                <w:sz w:val="20"/>
                <w:szCs w:val="20"/>
                <w:highlight w:val="none"/>
              </w:rPr>
              <w:t xml:space="preserve"> </w:t>
            </w:r>
            <w:r>
              <w:rPr>
                <w:rFonts w:ascii="宋体" w:hAnsi="宋体" w:eastAsia="宋体" w:cs="宋体"/>
                <w:b/>
                <w:bCs/>
                <w:color w:val="auto"/>
                <w:spacing w:val="7"/>
                <w:sz w:val="20"/>
                <w:szCs w:val="20"/>
                <w:highlight w:val="none"/>
              </w:rPr>
              <w:t>年及以上直接从事食品检验</w:t>
            </w:r>
            <w:r>
              <w:rPr>
                <w:rFonts w:ascii="宋体" w:hAnsi="宋体" w:eastAsia="宋体" w:cs="宋体"/>
                <w:b/>
                <w:bCs/>
                <w:color w:val="auto"/>
                <w:spacing w:val="6"/>
                <w:sz w:val="20"/>
                <w:szCs w:val="20"/>
                <w:highlight w:val="none"/>
              </w:rPr>
              <w:t>个人</w:t>
            </w:r>
            <w:r>
              <w:rPr>
                <w:rFonts w:ascii="宋体" w:hAnsi="宋体" w:eastAsia="宋体" w:cs="宋体"/>
                <w:b/>
                <w:bCs/>
                <w:color w:val="auto"/>
                <w:spacing w:val="9"/>
                <w:sz w:val="20"/>
                <w:szCs w:val="20"/>
                <w:highlight w:val="none"/>
              </w:rPr>
              <w:t>工作经历证明材料（如</w:t>
            </w:r>
            <w:r>
              <w:rPr>
                <w:rFonts w:hint="eastAsia" w:ascii="宋体" w:hAnsi="宋体" w:cs="宋体"/>
                <w:b/>
                <w:bCs/>
                <w:color w:val="auto"/>
                <w:spacing w:val="9"/>
                <w:sz w:val="20"/>
                <w:szCs w:val="20"/>
                <w:highlight w:val="none"/>
                <w:lang w:val="en-US" w:eastAsia="zh-CN"/>
              </w:rPr>
              <w:t>工资流水或</w:t>
            </w:r>
            <w:r>
              <w:rPr>
                <w:rFonts w:ascii="宋体" w:hAnsi="宋体" w:eastAsia="宋体" w:cs="宋体"/>
                <w:b/>
                <w:bCs/>
                <w:color w:val="auto"/>
                <w:spacing w:val="9"/>
                <w:sz w:val="20"/>
                <w:szCs w:val="20"/>
                <w:highlight w:val="none"/>
              </w:rPr>
              <w:t>社保证明或承诺等</w:t>
            </w:r>
            <w:r>
              <w:rPr>
                <w:rFonts w:ascii="宋体" w:hAnsi="宋体" w:eastAsia="宋体" w:cs="宋体"/>
                <w:b/>
                <w:bCs/>
                <w:color w:val="auto"/>
                <w:spacing w:val="18"/>
                <w:sz w:val="20"/>
                <w:szCs w:val="20"/>
                <w:highlight w:val="none"/>
              </w:rPr>
              <w:t>），</w:t>
            </w:r>
            <w:r>
              <w:rPr>
                <w:rFonts w:ascii="宋体" w:hAnsi="宋体" w:eastAsia="宋体" w:cs="宋体"/>
                <w:b/>
                <w:bCs/>
                <w:color w:val="auto"/>
                <w:spacing w:val="9"/>
                <w:sz w:val="20"/>
                <w:szCs w:val="20"/>
                <w:highlight w:val="none"/>
              </w:rPr>
              <w:t>并加盖供应商单</w:t>
            </w:r>
            <w:r>
              <w:rPr>
                <w:rFonts w:ascii="宋体" w:hAnsi="宋体" w:eastAsia="宋体" w:cs="宋体"/>
                <w:b/>
                <w:bCs/>
                <w:color w:val="auto"/>
                <w:spacing w:val="8"/>
                <w:sz w:val="20"/>
                <w:szCs w:val="20"/>
                <w:highlight w:val="none"/>
              </w:rPr>
              <w:t>位公</w:t>
            </w:r>
            <w:r>
              <w:rPr>
                <w:rFonts w:ascii="宋体" w:hAnsi="宋体" w:eastAsia="宋体" w:cs="宋体"/>
                <w:b/>
                <w:bCs/>
                <w:color w:val="auto"/>
                <w:spacing w:val="7"/>
                <w:sz w:val="20"/>
                <w:szCs w:val="20"/>
                <w:highlight w:val="none"/>
              </w:rPr>
              <w:t>章或电子签章]</w:t>
            </w:r>
          </w:p>
          <w:p w14:paraId="0E117261">
            <w:pPr>
              <w:spacing w:before="1" w:line="332" w:lineRule="auto"/>
              <w:ind w:left="106" w:right="10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③从事食品检验工作满</w:t>
            </w:r>
            <w:r>
              <w:rPr>
                <w:rFonts w:ascii="宋体" w:hAnsi="宋体" w:eastAsia="宋体" w:cs="宋体"/>
                <w:color w:val="auto"/>
                <w:spacing w:val="-28"/>
                <w:sz w:val="20"/>
                <w:szCs w:val="20"/>
                <w:highlight w:val="none"/>
              </w:rPr>
              <w:t xml:space="preserve"> </w:t>
            </w:r>
            <w:r>
              <w:rPr>
                <w:rFonts w:ascii="宋体" w:hAnsi="宋体" w:eastAsia="宋体" w:cs="宋体"/>
                <w:color w:val="auto"/>
                <w:spacing w:val="7"/>
                <w:sz w:val="20"/>
                <w:szCs w:val="20"/>
                <w:highlight w:val="none"/>
              </w:rPr>
              <w:t>2</w:t>
            </w:r>
            <w:r>
              <w:rPr>
                <w:rFonts w:ascii="宋体" w:hAnsi="宋体" w:eastAsia="宋体" w:cs="宋体"/>
                <w:color w:val="auto"/>
                <w:spacing w:val="-39"/>
                <w:sz w:val="20"/>
                <w:szCs w:val="20"/>
                <w:highlight w:val="none"/>
              </w:rPr>
              <w:t xml:space="preserve"> </w:t>
            </w:r>
            <w:r>
              <w:rPr>
                <w:rFonts w:ascii="宋体" w:hAnsi="宋体" w:eastAsia="宋体" w:cs="宋体"/>
                <w:color w:val="auto"/>
                <w:spacing w:val="7"/>
                <w:sz w:val="20"/>
                <w:szCs w:val="20"/>
                <w:highlight w:val="none"/>
              </w:rPr>
              <w:t>年（含）</w:t>
            </w:r>
            <w:r>
              <w:rPr>
                <w:rFonts w:ascii="宋体" w:hAnsi="宋体" w:eastAsia="宋体" w:cs="宋体"/>
                <w:color w:val="auto"/>
                <w:spacing w:val="-58"/>
                <w:sz w:val="20"/>
                <w:szCs w:val="20"/>
                <w:highlight w:val="none"/>
              </w:rPr>
              <w:t xml:space="preserve"> </w:t>
            </w:r>
            <w:r>
              <w:rPr>
                <w:rFonts w:ascii="宋体" w:hAnsi="宋体" w:eastAsia="宋体" w:cs="宋体"/>
                <w:color w:val="auto"/>
                <w:spacing w:val="7"/>
                <w:sz w:val="20"/>
                <w:szCs w:val="20"/>
                <w:highlight w:val="none"/>
              </w:rPr>
              <w:t>以上具有中级或以上系列职称的</w:t>
            </w:r>
            <w:r>
              <w:rPr>
                <w:rFonts w:ascii="宋体" w:hAnsi="宋体" w:eastAsia="宋体" w:cs="宋体"/>
                <w:color w:val="auto"/>
                <w:spacing w:val="6"/>
                <w:sz w:val="20"/>
                <w:szCs w:val="20"/>
                <w:highlight w:val="none"/>
              </w:rPr>
              <w:t>技术人员不低于</w:t>
            </w:r>
            <w:r>
              <w:rPr>
                <w:rFonts w:ascii="宋体" w:hAnsi="宋体" w:eastAsia="宋体" w:cs="宋体"/>
                <w:color w:val="auto"/>
                <w:spacing w:val="-36"/>
                <w:sz w:val="20"/>
                <w:szCs w:val="20"/>
                <w:highlight w:val="none"/>
              </w:rPr>
              <w:t xml:space="preserve"> </w:t>
            </w:r>
            <w:r>
              <w:rPr>
                <w:rFonts w:ascii="宋体" w:hAnsi="宋体" w:eastAsia="宋体" w:cs="宋体"/>
                <w:color w:val="auto"/>
                <w:spacing w:val="6"/>
                <w:sz w:val="20"/>
                <w:szCs w:val="20"/>
                <w:highlight w:val="none"/>
              </w:rPr>
              <w:t>5</w:t>
            </w:r>
            <w:r>
              <w:rPr>
                <w:rFonts w:ascii="宋体" w:hAnsi="宋体" w:eastAsia="宋体" w:cs="宋体"/>
                <w:color w:val="auto"/>
                <w:spacing w:val="-36"/>
                <w:sz w:val="20"/>
                <w:szCs w:val="20"/>
                <w:highlight w:val="none"/>
              </w:rPr>
              <w:t xml:space="preserve"> </w:t>
            </w:r>
            <w:r>
              <w:rPr>
                <w:rFonts w:ascii="宋体" w:hAnsi="宋体" w:eastAsia="宋体" w:cs="宋体"/>
                <w:color w:val="auto"/>
                <w:spacing w:val="6"/>
                <w:sz w:val="20"/>
                <w:szCs w:val="20"/>
                <w:highlight w:val="none"/>
              </w:rPr>
              <w:t>名</w:t>
            </w:r>
            <w:r>
              <w:rPr>
                <w:rFonts w:ascii="宋体" w:hAnsi="宋体" w:eastAsia="宋体" w:cs="宋体"/>
                <w:color w:val="auto"/>
                <w:spacing w:val="-59"/>
                <w:sz w:val="20"/>
                <w:szCs w:val="20"/>
                <w:highlight w:val="none"/>
              </w:rPr>
              <w:t xml:space="preserve"> </w:t>
            </w:r>
            <w:r>
              <w:rPr>
                <w:rFonts w:ascii="宋体" w:hAnsi="宋体" w:eastAsia="宋体" w:cs="宋体"/>
                <w:b/>
                <w:bCs/>
                <w:color w:val="auto"/>
                <w:spacing w:val="6"/>
                <w:sz w:val="20"/>
                <w:szCs w:val="20"/>
                <w:highlight w:val="none"/>
              </w:rPr>
              <w:t>[响应文件中须提供工作满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2</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年及以上直接从</w:t>
            </w:r>
            <w:r>
              <w:rPr>
                <w:rFonts w:ascii="宋体" w:hAnsi="宋体" w:eastAsia="宋体" w:cs="宋体"/>
                <w:b/>
                <w:bCs/>
                <w:color w:val="auto"/>
                <w:spacing w:val="7"/>
                <w:sz w:val="20"/>
                <w:szCs w:val="20"/>
                <w:highlight w:val="none"/>
              </w:rPr>
              <w:t>事食品检验个人工作经历证明材料（如</w:t>
            </w:r>
            <w:r>
              <w:rPr>
                <w:rFonts w:hint="eastAsia" w:ascii="宋体" w:hAnsi="宋体" w:cs="宋体"/>
                <w:b/>
                <w:bCs/>
                <w:color w:val="auto"/>
                <w:spacing w:val="7"/>
                <w:sz w:val="20"/>
                <w:szCs w:val="20"/>
                <w:highlight w:val="none"/>
                <w:lang w:val="en-US" w:eastAsia="zh-CN"/>
              </w:rPr>
              <w:t>工资流水或</w:t>
            </w:r>
            <w:r>
              <w:rPr>
                <w:rFonts w:ascii="宋体" w:hAnsi="宋体" w:eastAsia="宋体" w:cs="宋体"/>
                <w:b/>
                <w:bCs/>
                <w:color w:val="auto"/>
                <w:spacing w:val="7"/>
                <w:sz w:val="20"/>
                <w:szCs w:val="20"/>
                <w:highlight w:val="none"/>
              </w:rPr>
              <w:t>社保证明或承诺等)、人力资</w:t>
            </w:r>
            <w:r>
              <w:rPr>
                <w:rFonts w:ascii="宋体" w:hAnsi="宋体" w:eastAsia="宋体" w:cs="宋体"/>
                <w:b/>
                <w:bCs/>
                <w:color w:val="auto"/>
                <w:spacing w:val="8"/>
                <w:sz w:val="20"/>
                <w:szCs w:val="20"/>
                <w:highlight w:val="none"/>
              </w:rPr>
              <w:t>源部门颁发的相关职称证明文件，并加盖供应商单位公章或电子签</w:t>
            </w:r>
            <w:r>
              <w:rPr>
                <w:rFonts w:ascii="宋体" w:hAnsi="宋体" w:eastAsia="宋体" w:cs="宋体"/>
                <w:b/>
                <w:bCs/>
                <w:color w:val="auto"/>
                <w:spacing w:val="-1"/>
                <w:sz w:val="20"/>
                <w:szCs w:val="20"/>
                <w:highlight w:val="none"/>
              </w:rPr>
              <w:t>章]。</w:t>
            </w:r>
          </w:p>
          <w:p w14:paraId="22B7B6DB">
            <w:pPr>
              <w:spacing w:before="1" w:line="226" w:lineRule="auto"/>
              <w:ind w:left="10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④同时承担抽样任务的，具有与抽样工作相匹配的独立抽样人员、</w:t>
            </w:r>
          </w:p>
          <w:p w14:paraId="54993614">
            <w:pPr>
              <w:spacing w:before="115" w:line="332" w:lineRule="auto"/>
              <w:ind w:left="111" w:right="210" w:hanging="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抽样工具、设备等条件；熟悉食品抽样程序</w:t>
            </w:r>
            <w:r>
              <w:rPr>
                <w:rFonts w:ascii="宋体" w:hAnsi="宋体" w:eastAsia="宋体" w:cs="宋体"/>
                <w:color w:val="auto"/>
                <w:spacing w:val="9"/>
                <w:sz w:val="20"/>
                <w:szCs w:val="20"/>
                <w:highlight w:val="none"/>
              </w:rPr>
              <w:t>，能按照要求派出不少</w:t>
            </w:r>
            <w:r>
              <w:rPr>
                <w:rFonts w:ascii="宋体" w:hAnsi="宋体" w:eastAsia="宋体" w:cs="宋体"/>
                <w:color w:val="auto"/>
                <w:spacing w:val="8"/>
                <w:sz w:val="20"/>
                <w:szCs w:val="20"/>
                <w:highlight w:val="none"/>
              </w:rPr>
              <w:t>于</w:t>
            </w:r>
            <w:r>
              <w:rPr>
                <w:rFonts w:ascii="宋体" w:hAnsi="宋体" w:eastAsia="宋体" w:cs="宋体"/>
                <w:color w:val="auto"/>
                <w:spacing w:val="-31"/>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人的抽样人员完成抽样工作，抽样人员熟悉相关法律、法规、</w:t>
            </w:r>
          </w:p>
          <w:p w14:paraId="3418AD54">
            <w:pPr>
              <w:spacing w:before="2" w:line="332" w:lineRule="auto"/>
              <w:ind w:left="108" w:right="10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规章和标准等有关规定。抽样人员使用规范的抽样文书，准确、完整记录抽样信息，抽样程序符合规定。</w:t>
            </w:r>
            <w:r>
              <w:rPr>
                <w:rFonts w:ascii="宋体" w:hAnsi="宋体" w:eastAsia="宋体" w:cs="宋体"/>
                <w:b/>
                <w:bCs/>
                <w:color w:val="auto"/>
                <w:spacing w:val="9"/>
                <w:sz w:val="20"/>
                <w:szCs w:val="20"/>
                <w:highlight w:val="none"/>
              </w:rPr>
              <w:t>（响应文件中须提供抽样工</w:t>
            </w:r>
            <w:r>
              <w:rPr>
                <w:rFonts w:ascii="宋体" w:hAnsi="宋体" w:eastAsia="宋体" w:cs="宋体"/>
                <w:b/>
                <w:bCs/>
                <w:color w:val="auto"/>
                <w:spacing w:val="8"/>
                <w:sz w:val="20"/>
                <w:szCs w:val="20"/>
                <w:highlight w:val="none"/>
              </w:rPr>
              <w:t>具，设备清单、专职抽样人员名单，及所属于供应商单位在职人员</w:t>
            </w:r>
            <w:r>
              <w:rPr>
                <w:rFonts w:ascii="宋体" w:hAnsi="宋体" w:eastAsia="宋体" w:cs="宋体"/>
                <w:b/>
                <w:bCs/>
                <w:color w:val="auto"/>
                <w:spacing w:val="4"/>
                <w:sz w:val="20"/>
                <w:szCs w:val="20"/>
                <w:highlight w:val="none"/>
              </w:rPr>
              <w:t>的相关证明材料，如</w:t>
            </w:r>
            <w:r>
              <w:rPr>
                <w:rFonts w:ascii="宋体" w:hAnsi="宋体" w:eastAsia="宋体" w:cs="宋体"/>
                <w:color w:val="auto"/>
                <w:spacing w:val="-40"/>
                <w:sz w:val="20"/>
                <w:szCs w:val="20"/>
                <w:highlight w:val="none"/>
              </w:rPr>
              <w:t xml:space="preserve"> </w:t>
            </w:r>
            <w:r>
              <w:rPr>
                <w:rFonts w:ascii="宋体" w:hAnsi="宋体" w:eastAsia="宋体" w:cs="宋体"/>
                <w:b/>
                <w:bCs/>
                <w:color w:val="auto"/>
                <w:spacing w:val="4"/>
                <w:sz w:val="20"/>
                <w:szCs w:val="20"/>
                <w:highlight w:val="none"/>
              </w:rPr>
              <w:t>202</w:t>
            </w:r>
            <w:r>
              <w:rPr>
                <w:rFonts w:hint="eastAsia" w:ascii="宋体" w:hAnsi="宋体" w:eastAsia="宋体" w:cs="宋体"/>
                <w:b/>
                <w:bCs/>
                <w:color w:val="auto"/>
                <w:spacing w:val="4"/>
                <w:sz w:val="20"/>
                <w:szCs w:val="20"/>
                <w:highlight w:val="none"/>
                <w:lang w:val="en-US" w:eastAsia="zh-CN"/>
              </w:rPr>
              <w:t>6</w:t>
            </w:r>
            <w:r>
              <w:rPr>
                <w:rFonts w:ascii="宋体" w:hAnsi="宋体" w:eastAsia="宋体" w:cs="宋体"/>
                <w:color w:val="auto"/>
                <w:spacing w:val="-51"/>
                <w:sz w:val="20"/>
                <w:szCs w:val="20"/>
                <w:highlight w:val="none"/>
              </w:rPr>
              <w:t xml:space="preserve"> </w:t>
            </w:r>
            <w:r>
              <w:rPr>
                <w:rFonts w:ascii="宋体" w:hAnsi="宋体" w:eastAsia="宋体" w:cs="宋体"/>
                <w:b/>
                <w:bCs/>
                <w:color w:val="auto"/>
                <w:spacing w:val="4"/>
                <w:sz w:val="20"/>
                <w:szCs w:val="20"/>
                <w:highlight w:val="none"/>
              </w:rPr>
              <w:t>年</w:t>
            </w:r>
            <w:r>
              <w:rPr>
                <w:rFonts w:hint="eastAsia" w:ascii="Times New Roman" w:hAnsi="Times New Roman" w:eastAsia="Times New Roman" w:cs="Times New Roman"/>
                <w:b/>
                <w:bCs/>
                <w:color w:val="auto"/>
                <w:spacing w:val="4"/>
                <w:sz w:val="20"/>
                <w:szCs w:val="20"/>
                <w:highlight w:val="none"/>
                <w:lang w:val="en-US" w:eastAsia="zh-CN"/>
              </w:rPr>
              <w:t>任意一个</w:t>
            </w:r>
            <w:r>
              <w:rPr>
                <w:rFonts w:ascii="宋体" w:hAnsi="宋体" w:eastAsia="宋体" w:cs="宋体"/>
                <w:b/>
                <w:bCs/>
                <w:color w:val="auto"/>
                <w:spacing w:val="4"/>
                <w:sz w:val="20"/>
                <w:szCs w:val="20"/>
                <w:highlight w:val="none"/>
              </w:rPr>
              <w:t>月工资流水或</w:t>
            </w:r>
            <w:r>
              <w:rPr>
                <w:rFonts w:ascii="宋体" w:hAnsi="宋体" w:eastAsia="宋体" w:cs="宋体"/>
                <w:color w:val="auto"/>
                <w:spacing w:val="-48"/>
                <w:sz w:val="20"/>
                <w:szCs w:val="20"/>
                <w:highlight w:val="none"/>
              </w:rPr>
              <w:t xml:space="preserve"> </w:t>
            </w:r>
            <w:r>
              <w:rPr>
                <w:rFonts w:ascii="宋体" w:hAnsi="宋体" w:eastAsia="宋体" w:cs="宋体"/>
                <w:b/>
                <w:bCs/>
                <w:color w:val="auto"/>
                <w:spacing w:val="4"/>
                <w:sz w:val="20"/>
                <w:szCs w:val="20"/>
                <w:highlight w:val="none"/>
              </w:rPr>
              <w:t>202</w:t>
            </w:r>
            <w:r>
              <w:rPr>
                <w:rFonts w:hint="eastAsia" w:ascii="宋体" w:hAnsi="宋体" w:eastAsia="宋体" w:cs="宋体"/>
                <w:b/>
                <w:bCs/>
                <w:color w:val="auto"/>
                <w:spacing w:val="4"/>
                <w:sz w:val="20"/>
                <w:szCs w:val="20"/>
                <w:highlight w:val="none"/>
                <w:lang w:val="en-US" w:eastAsia="zh-CN"/>
              </w:rPr>
              <w:t>6</w:t>
            </w:r>
            <w:r>
              <w:rPr>
                <w:rFonts w:ascii="宋体" w:hAnsi="宋体" w:eastAsia="宋体" w:cs="宋体"/>
                <w:color w:val="auto"/>
                <w:spacing w:val="-50"/>
                <w:sz w:val="20"/>
                <w:szCs w:val="20"/>
                <w:highlight w:val="none"/>
              </w:rPr>
              <w:t xml:space="preserve"> </w:t>
            </w:r>
            <w:r>
              <w:rPr>
                <w:rFonts w:ascii="宋体" w:hAnsi="宋体" w:eastAsia="宋体" w:cs="宋体"/>
                <w:b/>
                <w:bCs/>
                <w:color w:val="auto"/>
                <w:spacing w:val="4"/>
                <w:sz w:val="20"/>
                <w:szCs w:val="20"/>
                <w:highlight w:val="none"/>
              </w:rPr>
              <w:t>年</w:t>
            </w:r>
            <w:r>
              <w:rPr>
                <w:rFonts w:ascii="宋体" w:hAnsi="宋体" w:eastAsia="宋体" w:cs="宋体"/>
                <w:b/>
                <w:bCs/>
                <w:color w:val="auto"/>
                <w:spacing w:val="4"/>
                <w:sz w:val="20"/>
                <w:szCs w:val="20"/>
                <w:highlight w:val="none"/>
                <w:u w:val="single" w:color="auto"/>
              </w:rPr>
              <w:t>4</w:t>
            </w:r>
            <w:r>
              <w:rPr>
                <w:rFonts w:ascii="宋体" w:hAnsi="宋体" w:eastAsia="宋体" w:cs="宋体"/>
                <w:color w:val="auto"/>
                <w:spacing w:val="-47"/>
                <w:sz w:val="20"/>
                <w:szCs w:val="20"/>
                <w:highlight w:val="none"/>
                <w:u w:val="single" w:color="auto"/>
              </w:rPr>
              <w:t xml:space="preserve"> </w:t>
            </w:r>
            <w:r>
              <w:rPr>
                <w:rFonts w:ascii="宋体" w:hAnsi="宋体" w:eastAsia="宋体" w:cs="宋体"/>
                <w:b/>
                <w:bCs/>
                <w:color w:val="auto"/>
                <w:spacing w:val="4"/>
                <w:sz w:val="20"/>
                <w:szCs w:val="20"/>
                <w:highlight w:val="none"/>
              </w:rPr>
              <w:t>月至</w:t>
            </w:r>
            <w:r>
              <w:rPr>
                <w:rFonts w:ascii="宋体" w:hAnsi="宋体" w:eastAsia="宋体" w:cs="宋体"/>
                <w:color w:val="auto"/>
                <w:spacing w:val="4"/>
                <w:sz w:val="20"/>
                <w:szCs w:val="20"/>
                <w:highlight w:val="none"/>
                <w:u w:val="single" w:color="auto"/>
              </w:rPr>
              <w:t xml:space="preserve">  </w:t>
            </w:r>
            <w:r>
              <w:rPr>
                <w:rFonts w:ascii="宋体" w:hAnsi="宋体" w:eastAsia="宋体" w:cs="宋体"/>
                <w:b/>
                <w:bCs/>
                <w:color w:val="auto"/>
                <w:spacing w:val="4"/>
                <w:sz w:val="20"/>
                <w:szCs w:val="20"/>
                <w:highlight w:val="none"/>
                <w:u w:val="single" w:color="auto"/>
              </w:rPr>
              <w:t>6</w:t>
            </w:r>
            <w:r>
              <w:rPr>
                <w:rFonts w:ascii="宋体" w:hAnsi="宋体" w:eastAsia="宋体" w:cs="宋体"/>
                <w:b/>
                <w:bCs/>
                <w:color w:val="auto"/>
                <w:spacing w:val="4"/>
                <w:sz w:val="20"/>
                <w:szCs w:val="20"/>
                <w:highlight w:val="none"/>
              </w:rPr>
              <w:t>月社保等）</w:t>
            </w:r>
          </w:p>
          <w:p w14:paraId="3639DB48">
            <w:pPr>
              <w:spacing w:before="2" w:line="332" w:lineRule="auto"/>
              <w:ind w:left="108" w:right="109" w:firstLine="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（3）能严格遵守检验工作委托时间进度安排和及时报送检验报告、</w:t>
            </w:r>
            <w:r>
              <w:rPr>
                <w:rFonts w:ascii="宋体" w:hAnsi="宋体" w:eastAsia="宋体" w:cs="宋体"/>
                <w:color w:val="auto"/>
                <w:spacing w:val="8"/>
                <w:sz w:val="20"/>
                <w:szCs w:val="20"/>
                <w:highlight w:val="none"/>
              </w:rPr>
              <w:t>质量分析报告等规定的材料。具体时限要求为：接到样品后</w:t>
            </w:r>
            <w:r>
              <w:rPr>
                <w:rFonts w:ascii="宋体" w:hAnsi="宋体" w:eastAsia="宋体" w:cs="宋体"/>
                <w:color w:val="auto"/>
                <w:spacing w:val="-23"/>
                <w:sz w:val="20"/>
                <w:szCs w:val="20"/>
                <w:highlight w:val="none"/>
              </w:rPr>
              <w:t xml:space="preserve"> </w:t>
            </w:r>
            <w:r>
              <w:rPr>
                <w:rFonts w:ascii="宋体" w:hAnsi="宋体" w:eastAsia="宋体" w:cs="宋体"/>
                <w:color w:val="auto"/>
                <w:spacing w:val="8"/>
                <w:sz w:val="20"/>
                <w:szCs w:val="20"/>
                <w:highlight w:val="none"/>
              </w:rPr>
              <w:t>20</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个工</w:t>
            </w:r>
            <w:r>
              <w:rPr>
                <w:rFonts w:ascii="宋体" w:hAnsi="宋体" w:eastAsia="宋体" w:cs="宋体"/>
                <w:color w:val="auto"/>
                <w:spacing w:val="7"/>
                <w:sz w:val="20"/>
                <w:szCs w:val="20"/>
                <w:highlight w:val="none"/>
              </w:rPr>
              <w:t>作日内完成检验工作并在“</w:t>
            </w:r>
            <w:r>
              <w:rPr>
                <w:rFonts w:ascii="宋体" w:hAnsi="宋体" w:eastAsia="宋体" w:cs="宋体"/>
                <w:color w:val="auto"/>
                <w:spacing w:val="-57"/>
                <w:sz w:val="20"/>
                <w:szCs w:val="20"/>
                <w:highlight w:val="none"/>
              </w:rPr>
              <w:t xml:space="preserve"> </w:t>
            </w:r>
            <w:r>
              <w:rPr>
                <w:rFonts w:ascii="宋体" w:hAnsi="宋体" w:eastAsia="宋体" w:cs="宋体"/>
                <w:color w:val="auto"/>
                <w:spacing w:val="7"/>
                <w:sz w:val="20"/>
                <w:szCs w:val="20"/>
                <w:highlight w:val="none"/>
              </w:rPr>
              <w:t>国家食品安全抽样检验信息系统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7"/>
                <w:sz w:val="20"/>
                <w:szCs w:val="20"/>
                <w:highlight w:val="none"/>
              </w:rPr>
              <w:t>”上出</w:t>
            </w:r>
            <w:r>
              <w:rPr>
                <w:rFonts w:ascii="宋体" w:hAnsi="宋体" w:eastAsia="宋体" w:cs="宋体"/>
                <w:color w:val="auto"/>
                <w:spacing w:val="9"/>
                <w:sz w:val="20"/>
                <w:szCs w:val="20"/>
                <w:highlight w:val="none"/>
              </w:rPr>
              <w:t>具通过</w:t>
            </w:r>
            <w:r>
              <w:rPr>
                <w:rFonts w:ascii="宋体" w:hAnsi="宋体" w:eastAsia="宋体" w:cs="宋体"/>
                <w:color w:val="auto"/>
                <w:spacing w:val="-35"/>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8"/>
                <w:sz w:val="20"/>
                <w:szCs w:val="20"/>
                <w:highlight w:val="none"/>
              </w:rPr>
              <w:t xml:space="preserve"> </w:t>
            </w:r>
            <w:r>
              <w:rPr>
                <w:rFonts w:ascii="宋体" w:hAnsi="宋体" w:eastAsia="宋体" w:cs="宋体"/>
                <w:color w:val="auto"/>
                <w:spacing w:val="9"/>
                <w:sz w:val="20"/>
                <w:szCs w:val="20"/>
                <w:highlight w:val="none"/>
              </w:rPr>
              <w:t>认证的电子检验报告书。监督抽检检验结论不合格的，应</w:t>
            </w:r>
            <w:r>
              <w:rPr>
                <w:rFonts w:ascii="宋体" w:hAnsi="宋体" w:eastAsia="宋体" w:cs="宋体"/>
                <w:color w:val="auto"/>
                <w:spacing w:val="8"/>
                <w:sz w:val="20"/>
                <w:szCs w:val="20"/>
                <w:highlight w:val="none"/>
              </w:rPr>
              <w:t>当在检验结论做出后</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个工作日内在“</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国家</w:t>
            </w:r>
            <w:r>
              <w:rPr>
                <w:rFonts w:ascii="宋体" w:hAnsi="宋体" w:eastAsia="宋体" w:cs="宋体"/>
                <w:color w:val="auto"/>
                <w:spacing w:val="7"/>
                <w:sz w:val="20"/>
                <w:szCs w:val="20"/>
                <w:highlight w:val="none"/>
              </w:rPr>
              <w:t>食品安全抽样检验信息</w:t>
            </w:r>
            <w:r>
              <w:rPr>
                <w:rFonts w:ascii="宋体" w:hAnsi="宋体" w:eastAsia="宋体" w:cs="宋体"/>
                <w:color w:val="auto"/>
                <w:spacing w:val="6"/>
                <w:sz w:val="20"/>
                <w:szCs w:val="20"/>
                <w:highlight w:val="none"/>
              </w:rPr>
              <w:t>系统</w:t>
            </w:r>
            <w:r>
              <w:rPr>
                <w:rFonts w:ascii="宋体" w:hAnsi="宋体" w:eastAsia="宋体" w:cs="宋体"/>
                <w:color w:val="auto"/>
                <w:spacing w:val="-59"/>
                <w:sz w:val="20"/>
                <w:szCs w:val="20"/>
                <w:highlight w:val="none"/>
              </w:rPr>
              <w:t xml:space="preserve"> </w:t>
            </w:r>
            <w:r>
              <w:rPr>
                <w:rFonts w:ascii="宋体" w:hAnsi="宋体" w:eastAsia="宋体" w:cs="宋体"/>
                <w:color w:val="auto"/>
                <w:spacing w:val="6"/>
                <w:sz w:val="20"/>
                <w:szCs w:val="20"/>
                <w:highlight w:val="none"/>
              </w:rPr>
              <w:t>”出具通过</w:t>
            </w:r>
            <w:r>
              <w:rPr>
                <w:rFonts w:ascii="宋体" w:hAnsi="宋体" w:eastAsia="宋体" w:cs="宋体"/>
                <w:color w:val="auto"/>
                <w:spacing w:val="-38"/>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认证的电子检验报告书。</w:t>
            </w:r>
          </w:p>
          <w:p w14:paraId="31BD8385">
            <w:pPr>
              <w:spacing w:line="215" w:lineRule="auto"/>
              <w:ind w:left="11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（4）24</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小时限时报告要求：发现不合格</w:t>
            </w:r>
            <w:r>
              <w:rPr>
                <w:rFonts w:ascii="宋体" w:hAnsi="宋体" w:eastAsia="宋体" w:cs="宋体"/>
                <w:color w:val="auto"/>
                <w:spacing w:val="6"/>
                <w:sz w:val="20"/>
                <w:szCs w:val="20"/>
                <w:highlight w:val="none"/>
              </w:rPr>
              <w:t>样品中含有非食用物质或其</w:t>
            </w:r>
          </w:p>
        </w:tc>
      </w:tr>
    </w:tbl>
    <w:p w14:paraId="3CCBD7A4">
      <w:pPr>
        <w:rPr>
          <w:rFonts w:ascii="Arial"/>
          <w:color w:val="auto"/>
          <w:sz w:val="21"/>
          <w:highlight w:val="none"/>
        </w:rPr>
      </w:pPr>
    </w:p>
    <w:p w14:paraId="37756CA8">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49159E28">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9"/>
        <w:gridCol w:w="679"/>
        <w:gridCol w:w="6404"/>
      </w:tblGrid>
      <w:tr w14:paraId="7A358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652" w:type="dxa"/>
            <w:vAlign w:val="top"/>
          </w:tcPr>
          <w:p w14:paraId="640F1972">
            <w:pPr>
              <w:pStyle w:val="179"/>
              <w:rPr>
                <w:color w:val="auto"/>
                <w:highlight w:val="none"/>
              </w:rPr>
            </w:pPr>
          </w:p>
        </w:tc>
        <w:tc>
          <w:tcPr>
            <w:tcW w:w="871" w:type="dxa"/>
            <w:vAlign w:val="top"/>
          </w:tcPr>
          <w:p w14:paraId="6809AC16">
            <w:pPr>
              <w:pStyle w:val="179"/>
              <w:rPr>
                <w:color w:val="auto"/>
                <w:highlight w:val="none"/>
              </w:rPr>
            </w:pPr>
          </w:p>
        </w:tc>
        <w:tc>
          <w:tcPr>
            <w:tcW w:w="659" w:type="dxa"/>
            <w:vAlign w:val="top"/>
          </w:tcPr>
          <w:p w14:paraId="1875CFB6">
            <w:pPr>
              <w:pStyle w:val="179"/>
              <w:rPr>
                <w:color w:val="auto"/>
                <w:highlight w:val="none"/>
              </w:rPr>
            </w:pPr>
          </w:p>
        </w:tc>
        <w:tc>
          <w:tcPr>
            <w:tcW w:w="679" w:type="dxa"/>
            <w:vAlign w:val="top"/>
          </w:tcPr>
          <w:p w14:paraId="53C21729">
            <w:pPr>
              <w:pStyle w:val="179"/>
              <w:rPr>
                <w:color w:val="auto"/>
                <w:highlight w:val="none"/>
              </w:rPr>
            </w:pPr>
          </w:p>
        </w:tc>
        <w:tc>
          <w:tcPr>
            <w:tcW w:w="6404" w:type="dxa"/>
            <w:vAlign w:val="top"/>
          </w:tcPr>
          <w:p w14:paraId="61F92F00">
            <w:pPr>
              <w:spacing w:before="124" w:line="332" w:lineRule="auto"/>
              <w:ind w:left="111" w:right="37" w:hanging="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他可能对身体健康和生命安全造成严重危害的，应当在确认检验结</w:t>
            </w:r>
            <w:r>
              <w:rPr>
                <w:rFonts w:ascii="宋体" w:hAnsi="宋体" w:eastAsia="宋体" w:cs="宋体"/>
                <w:color w:val="auto"/>
                <w:spacing w:val="4"/>
                <w:sz w:val="20"/>
                <w:szCs w:val="20"/>
                <w:highlight w:val="none"/>
              </w:rPr>
              <w:t>果无误后</w:t>
            </w:r>
            <w:r>
              <w:rPr>
                <w:rFonts w:ascii="宋体" w:hAnsi="宋体" w:eastAsia="宋体" w:cs="宋体"/>
                <w:color w:val="auto"/>
                <w:spacing w:val="-35"/>
                <w:sz w:val="20"/>
                <w:szCs w:val="20"/>
                <w:highlight w:val="none"/>
              </w:rPr>
              <w:t xml:space="preserve"> </w:t>
            </w:r>
            <w:r>
              <w:rPr>
                <w:rFonts w:ascii="宋体" w:hAnsi="宋体" w:eastAsia="宋体" w:cs="宋体"/>
                <w:color w:val="auto"/>
                <w:spacing w:val="4"/>
                <w:sz w:val="20"/>
                <w:szCs w:val="20"/>
                <w:highlight w:val="none"/>
              </w:rPr>
              <w:t>24</w:t>
            </w:r>
            <w:r>
              <w:rPr>
                <w:rFonts w:ascii="宋体" w:hAnsi="宋体" w:eastAsia="宋体" w:cs="宋体"/>
                <w:color w:val="auto"/>
                <w:spacing w:val="-34"/>
                <w:sz w:val="20"/>
                <w:szCs w:val="20"/>
                <w:highlight w:val="none"/>
              </w:rPr>
              <w:t xml:space="preserve"> </w:t>
            </w:r>
            <w:r>
              <w:rPr>
                <w:rFonts w:ascii="宋体" w:hAnsi="宋体" w:eastAsia="宋体" w:cs="宋体"/>
                <w:color w:val="auto"/>
                <w:spacing w:val="4"/>
                <w:sz w:val="20"/>
                <w:szCs w:val="20"/>
                <w:highlight w:val="none"/>
              </w:rPr>
              <w:t>小时之内，将限时报告表上传系统，并报</w:t>
            </w:r>
            <w:r>
              <w:rPr>
                <w:rFonts w:ascii="宋体" w:hAnsi="宋体" w:eastAsia="宋体" w:cs="宋体"/>
                <w:color w:val="auto"/>
                <w:spacing w:val="3"/>
                <w:sz w:val="20"/>
                <w:szCs w:val="20"/>
                <w:highlight w:val="none"/>
              </w:rPr>
              <w:t>告采购人备案。</w:t>
            </w:r>
          </w:p>
          <w:p w14:paraId="4544F3F8">
            <w:pPr>
              <w:spacing w:before="2" w:line="332" w:lineRule="auto"/>
              <w:ind w:left="107" w:right="56"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（5）拥有实验室信息化管理系统和信息分析汇总人员，能够完成食</w:t>
            </w:r>
            <w:r>
              <w:rPr>
                <w:rFonts w:ascii="宋体" w:hAnsi="宋体" w:eastAsia="宋体" w:cs="宋体"/>
                <w:color w:val="auto"/>
                <w:spacing w:val="8"/>
                <w:sz w:val="20"/>
                <w:szCs w:val="20"/>
                <w:highlight w:val="none"/>
              </w:rPr>
              <w:t>品安全抽检监测数据上报和结果分析工作；按照“谁采</w:t>
            </w:r>
            <w:r>
              <w:rPr>
                <w:rFonts w:ascii="宋体" w:hAnsi="宋体" w:eastAsia="宋体" w:cs="宋体"/>
                <w:color w:val="auto"/>
                <w:spacing w:val="7"/>
                <w:sz w:val="20"/>
                <w:szCs w:val="20"/>
                <w:highlight w:val="none"/>
              </w:rPr>
              <w:t>集、谁录入；</w:t>
            </w:r>
            <w:r>
              <w:rPr>
                <w:rFonts w:ascii="宋体" w:hAnsi="宋体" w:eastAsia="宋体" w:cs="宋体"/>
                <w:color w:val="auto"/>
                <w:spacing w:val="8"/>
                <w:sz w:val="20"/>
                <w:szCs w:val="20"/>
                <w:highlight w:val="none"/>
              </w:rPr>
              <w:t>谁检验、谁录入</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”的原则，应当在抽样完成</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个工作日</w:t>
            </w:r>
            <w:r>
              <w:rPr>
                <w:rFonts w:ascii="宋体" w:hAnsi="宋体" w:eastAsia="宋体" w:cs="宋体"/>
                <w:color w:val="auto"/>
                <w:spacing w:val="7"/>
                <w:sz w:val="20"/>
                <w:szCs w:val="20"/>
                <w:highlight w:val="none"/>
              </w:rPr>
              <w:t>内将抽样信</w:t>
            </w:r>
            <w:r>
              <w:rPr>
                <w:rFonts w:ascii="宋体" w:hAnsi="宋体" w:eastAsia="宋体" w:cs="宋体"/>
                <w:color w:val="auto"/>
                <w:spacing w:val="6"/>
                <w:sz w:val="20"/>
                <w:szCs w:val="20"/>
                <w:highlight w:val="none"/>
              </w:rPr>
              <w:t>息录入“</w:t>
            </w:r>
            <w:r>
              <w:rPr>
                <w:rFonts w:ascii="宋体" w:hAnsi="宋体" w:eastAsia="宋体" w:cs="宋体"/>
                <w:color w:val="auto"/>
                <w:spacing w:val="-53"/>
                <w:sz w:val="20"/>
                <w:szCs w:val="20"/>
                <w:highlight w:val="none"/>
              </w:rPr>
              <w:t xml:space="preserve"> </w:t>
            </w:r>
            <w:r>
              <w:rPr>
                <w:rFonts w:ascii="宋体" w:hAnsi="宋体" w:eastAsia="宋体" w:cs="宋体"/>
                <w:color w:val="auto"/>
                <w:spacing w:val="6"/>
                <w:sz w:val="20"/>
                <w:szCs w:val="20"/>
                <w:highlight w:val="none"/>
              </w:rPr>
              <w:t>国家食品安全抽样检验信息系统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6"/>
                <w:sz w:val="20"/>
                <w:szCs w:val="20"/>
                <w:highlight w:val="none"/>
              </w:rPr>
              <w:t>”；检验结论做出后</w:t>
            </w:r>
            <w:r>
              <w:rPr>
                <w:rFonts w:ascii="宋体" w:hAnsi="宋体" w:eastAsia="宋体" w:cs="宋体"/>
                <w:color w:val="auto"/>
                <w:spacing w:val="-33"/>
                <w:sz w:val="20"/>
                <w:szCs w:val="20"/>
                <w:highlight w:val="none"/>
              </w:rPr>
              <w:t xml:space="preserve"> </w:t>
            </w:r>
            <w:r>
              <w:rPr>
                <w:rFonts w:ascii="宋体" w:hAnsi="宋体" w:eastAsia="宋体" w:cs="宋体"/>
                <w:color w:val="auto"/>
                <w:spacing w:val="6"/>
                <w:sz w:val="20"/>
                <w:szCs w:val="20"/>
                <w:highlight w:val="none"/>
              </w:rPr>
              <w:t>5</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个</w:t>
            </w:r>
            <w:r>
              <w:rPr>
                <w:rFonts w:ascii="宋体" w:hAnsi="宋体" w:eastAsia="宋体" w:cs="宋体"/>
                <w:color w:val="auto"/>
                <w:spacing w:val="8"/>
                <w:sz w:val="20"/>
                <w:szCs w:val="20"/>
                <w:highlight w:val="none"/>
              </w:rPr>
              <w:t>工作日内完成检验数据录入“</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国家食品安全</w:t>
            </w:r>
            <w:r>
              <w:rPr>
                <w:rFonts w:ascii="宋体" w:hAnsi="宋体" w:eastAsia="宋体" w:cs="宋体"/>
                <w:color w:val="auto"/>
                <w:spacing w:val="7"/>
                <w:sz w:val="20"/>
                <w:szCs w:val="20"/>
                <w:highlight w:val="none"/>
              </w:rPr>
              <w:t>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7"/>
                <w:sz w:val="20"/>
                <w:szCs w:val="20"/>
                <w:highlight w:val="none"/>
              </w:rPr>
              <w:t>”的</w:t>
            </w:r>
            <w:r>
              <w:rPr>
                <w:rFonts w:ascii="宋体" w:hAnsi="宋体" w:eastAsia="宋体" w:cs="宋体"/>
                <w:color w:val="auto"/>
                <w:spacing w:val="9"/>
                <w:sz w:val="20"/>
                <w:szCs w:val="20"/>
                <w:highlight w:val="none"/>
              </w:rPr>
              <w:t>工作。录入的信息、数据应当及时、准确。</w:t>
            </w:r>
            <w:r>
              <w:rPr>
                <w:rFonts w:ascii="宋体" w:hAnsi="宋体" w:eastAsia="宋体" w:cs="宋体"/>
                <w:b/>
                <w:bCs/>
                <w:color w:val="auto"/>
                <w:spacing w:val="9"/>
                <w:sz w:val="20"/>
                <w:szCs w:val="20"/>
                <w:highlight w:val="none"/>
              </w:rPr>
              <w:t>（响应文件中须提供拟</w:t>
            </w:r>
            <w:r>
              <w:rPr>
                <w:rFonts w:ascii="宋体" w:hAnsi="宋体" w:eastAsia="宋体" w:cs="宋体"/>
                <w:b/>
                <w:bCs/>
                <w:color w:val="auto"/>
                <w:spacing w:val="6"/>
                <w:sz w:val="20"/>
                <w:szCs w:val="20"/>
                <w:highlight w:val="none"/>
              </w:rPr>
              <w:t>投入相关人员名单）</w:t>
            </w:r>
          </w:p>
          <w:p w14:paraId="2C33A685">
            <w:pPr>
              <w:spacing w:line="332" w:lineRule="auto"/>
              <w:ind w:left="106" w:right="203" w:firstLine="1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（6）供应商必须通过</w:t>
            </w:r>
            <w:r>
              <w:rPr>
                <w:rFonts w:ascii="宋体" w:hAnsi="宋体" w:eastAsia="宋体" w:cs="宋体"/>
                <w:color w:val="auto"/>
                <w:spacing w:val="-32"/>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9"/>
                <w:sz w:val="20"/>
                <w:szCs w:val="20"/>
                <w:highlight w:val="none"/>
              </w:rPr>
              <w:t xml:space="preserve"> </w:t>
            </w:r>
            <w:r>
              <w:rPr>
                <w:rFonts w:ascii="宋体" w:hAnsi="宋体" w:eastAsia="宋体" w:cs="宋体"/>
                <w:color w:val="auto"/>
                <w:spacing w:val="8"/>
                <w:sz w:val="20"/>
                <w:szCs w:val="20"/>
                <w:highlight w:val="none"/>
              </w:rPr>
              <w:t>数字证书认证。</w:t>
            </w:r>
            <w:r>
              <w:rPr>
                <w:rFonts w:ascii="宋体" w:hAnsi="宋体" w:eastAsia="宋体" w:cs="宋体"/>
                <w:b/>
                <w:bCs/>
                <w:color w:val="auto"/>
                <w:spacing w:val="8"/>
                <w:sz w:val="20"/>
                <w:szCs w:val="20"/>
                <w:highlight w:val="none"/>
              </w:rPr>
              <w:t>（响应文件中须提供购买</w:t>
            </w:r>
            <w:r>
              <w:rPr>
                <w:rFonts w:ascii="宋体" w:hAnsi="宋体" w:eastAsia="宋体" w:cs="宋体"/>
                <w:b/>
                <w:bCs/>
                <w:color w:val="auto"/>
                <w:sz w:val="20"/>
                <w:szCs w:val="20"/>
                <w:highlight w:val="none"/>
              </w:rPr>
              <w:t>CA</w:t>
            </w:r>
            <w:r>
              <w:rPr>
                <w:rFonts w:ascii="宋体" w:hAnsi="宋体" w:eastAsia="宋体" w:cs="宋体"/>
                <w:color w:val="auto"/>
                <w:spacing w:val="-39"/>
                <w:sz w:val="20"/>
                <w:szCs w:val="20"/>
                <w:highlight w:val="none"/>
              </w:rPr>
              <w:t xml:space="preserve"> </w:t>
            </w:r>
            <w:r>
              <w:rPr>
                <w:rFonts w:ascii="宋体" w:hAnsi="宋体" w:eastAsia="宋体" w:cs="宋体"/>
                <w:b/>
                <w:bCs/>
                <w:color w:val="auto"/>
                <w:spacing w:val="8"/>
                <w:sz w:val="20"/>
                <w:szCs w:val="20"/>
                <w:highlight w:val="none"/>
              </w:rPr>
              <w:t>数字证书的发票或通过受理审批的数字证书申请表</w:t>
            </w:r>
            <w:r>
              <w:rPr>
                <w:rFonts w:ascii="宋体" w:hAnsi="宋体" w:eastAsia="宋体" w:cs="宋体"/>
                <w:b/>
                <w:bCs/>
                <w:color w:val="auto"/>
                <w:spacing w:val="7"/>
                <w:sz w:val="20"/>
                <w:szCs w:val="20"/>
                <w:highlight w:val="none"/>
              </w:rPr>
              <w:t>复印件）</w:t>
            </w:r>
          </w:p>
          <w:p w14:paraId="2CD13BCF">
            <w:pPr>
              <w:spacing w:line="229" w:lineRule="auto"/>
              <w:ind w:left="118"/>
              <w:rPr>
                <w:rFonts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（四）项目实施要求：</w:t>
            </w:r>
          </w:p>
          <w:p w14:paraId="04F2C29D">
            <w:pPr>
              <w:spacing w:before="112" w:line="228" w:lineRule="auto"/>
              <w:ind w:left="1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1、抽样进度安排</w:t>
            </w:r>
          </w:p>
          <w:p w14:paraId="50E4FD80">
            <w:pPr>
              <w:spacing w:before="113"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（1）抽检进度要按照防城港市市场监管局食品安全抽检检测工作实</w:t>
            </w:r>
            <w:r>
              <w:rPr>
                <w:rFonts w:ascii="宋体" w:hAnsi="宋体" w:eastAsia="宋体" w:cs="宋体"/>
                <w:color w:val="auto"/>
                <w:spacing w:val="3"/>
                <w:sz w:val="20"/>
                <w:szCs w:val="20"/>
                <w:highlight w:val="none"/>
              </w:rPr>
              <w:t>施方案要求时限完成，检验时限不得超过</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202</w:t>
            </w:r>
            <w:r>
              <w:rPr>
                <w:rFonts w:hint="eastAsia" w:ascii="宋体" w:hAnsi="宋体" w:eastAsia="宋体" w:cs="宋体"/>
                <w:color w:val="auto"/>
                <w:spacing w:val="3"/>
                <w:sz w:val="20"/>
                <w:szCs w:val="20"/>
                <w:highlight w:val="none"/>
                <w:lang w:val="en-US" w:eastAsia="zh-CN"/>
              </w:rPr>
              <w:t>6</w:t>
            </w:r>
            <w:r>
              <w:rPr>
                <w:rFonts w:ascii="宋体" w:hAnsi="宋体" w:eastAsia="宋体" w:cs="宋体"/>
                <w:color w:val="auto"/>
                <w:spacing w:val="-37"/>
                <w:sz w:val="20"/>
                <w:szCs w:val="20"/>
                <w:highlight w:val="none"/>
              </w:rPr>
              <w:t xml:space="preserve"> </w:t>
            </w:r>
            <w:r>
              <w:rPr>
                <w:rFonts w:ascii="宋体" w:hAnsi="宋体" w:eastAsia="宋体" w:cs="宋体"/>
                <w:color w:val="auto"/>
                <w:spacing w:val="3"/>
                <w:sz w:val="20"/>
                <w:szCs w:val="20"/>
                <w:highlight w:val="none"/>
              </w:rPr>
              <w:t>年</w:t>
            </w:r>
            <w:r>
              <w:rPr>
                <w:rFonts w:ascii="宋体" w:hAnsi="宋体" w:eastAsia="宋体" w:cs="宋体"/>
                <w:color w:val="auto"/>
                <w:spacing w:val="-24"/>
                <w:sz w:val="20"/>
                <w:szCs w:val="20"/>
                <w:highlight w:val="none"/>
              </w:rPr>
              <w:t xml:space="preserve"> </w:t>
            </w:r>
            <w:r>
              <w:rPr>
                <w:rFonts w:ascii="宋体" w:hAnsi="宋体" w:eastAsia="宋体" w:cs="宋体"/>
                <w:color w:val="auto"/>
                <w:spacing w:val="3"/>
                <w:sz w:val="20"/>
                <w:szCs w:val="20"/>
                <w:highlight w:val="none"/>
              </w:rPr>
              <w:t>12</w:t>
            </w:r>
            <w:r>
              <w:rPr>
                <w:rFonts w:ascii="宋体" w:hAnsi="宋体" w:eastAsia="宋体" w:cs="宋体"/>
                <w:color w:val="auto"/>
                <w:spacing w:val="-35"/>
                <w:sz w:val="20"/>
                <w:szCs w:val="20"/>
                <w:highlight w:val="none"/>
              </w:rPr>
              <w:t xml:space="preserve"> </w:t>
            </w:r>
            <w:r>
              <w:rPr>
                <w:rFonts w:ascii="宋体" w:hAnsi="宋体" w:eastAsia="宋体" w:cs="宋体"/>
                <w:color w:val="auto"/>
                <w:spacing w:val="3"/>
                <w:sz w:val="20"/>
                <w:szCs w:val="20"/>
                <w:highlight w:val="none"/>
              </w:rPr>
              <w:t>月</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10 日。</w:t>
            </w:r>
          </w:p>
          <w:p w14:paraId="151B12B0">
            <w:pPr>
              <w:spacing w:line="228" w:lineRule="auto"/>
              <w:ind w:left="1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2、抽检分工</w:t>
            </w:r>
          </w:p>
          <w:p w14:paraId="27F340CA">
            <w:pPr>
              <w:spacing w:before="113" w:line="332" w:lineRule="auto"/>
              <w:ind w:left="106" w:right="109"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（1）供应商须负责样品采集、检验、复核、信息汇总、抽检数据报</w:t>
            </w:r>
            <w:r>
              <w:rPr>
                <w:rFonts w:ascii="宋体" w:hAnsi="宋体" w:eastAsia="宋体" w:cs="宋体"/>
                <w:color w:val="auto"/>
                <w:spacing w:val="8"/>
                <w:sz w:val="20"/>
                <w:szCs w:val="20"/>
                <w:highlight w:val="none"/>
              </w:rPr>
              <w:t>送和检验报告等工作。</w:t>
            </w:r>
          </w:p>
          <w:p w14:paraId="76565358">
            <w:pPr>
              <w:spacing w:before="1" w:line="332" w:lineRule="auto"/>
              <w:ind w:left="109" w:right="109"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（2）供应商抽检区域应覆盖东兴市；抽检产品类别应覆盖本标项要</w:t>
            </w:r>
            <w:r>
              <w:rPr>
                <w:rFonts w:ascii="宋体" w:hAnsi="宋体" w:eastAsia="宋体" w:cs="宋体"/>
                <w:color w:val="auto"/>
                <w:spacing w:val="6"/>
                <w:sz w:val="20"/>
                <w:szCs w:val="20"/>
                <w:highlight w:val="none"/>
              </w:rPr>
              <w:t>求的食品品种。</w:t>
            </w:r>
          </w:p>
          <w:p w14:paraId="0C49CA14">
            <w:pPr>
              <w:spacing w:line="228" w:lineRule="auto"/>
              <w:ind w:left="1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3、抽样检验要求</w:t>
            </w:r>
          </w:p>
          <w:p w14:paraId="1C4C8085">
            <w:pPr>
              <w:spacing w:before="115" w:line="332" w:lineRule="auto"/>
              <w:ind w:left="107" w:right="16"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（1）供应商在抽检工作执行过程中要严格按照《中华人民共和国食</w:t>
            </w:r>
            <w:r>
              <w:rPr>
                <w:rFonts w:ascii="宋体" w:hAnsi="宋体" w:eastAsia="宋体" w:cs="宋体"/>
                <w:color w:val="auto"/>
                <w:spacing w:val="10"/>
                <w:sz w:val="20"/>
                <w:szCs w:val="20"/>
                <w:highlight w:val="none"/>
              </w:rPr>
              <w:t>品安全法》《中华人民共和国食品安全法实</w:t>
            </w:r>
            <w:r>
              <w:rPr>
                <w:rFonts w:ascii="宋体" w:hAnsi="宋体" w:eastAsia="宋体" w:cs="宋体"/>
                <w:color w:val="auto"/>
                <w:spacing w:val="9"/>
                <w:sz w:val="20"/>
                <w:szCs w:val="20"/>
                <w:highlight w:val="none"/>
              </w:rPr>
              <w:t>施条例》《食品安全抽</w:t>
            </w:r>
            <w:r>
              <w:rPr>
                <w:rFonts w:ascii="宋体" w:hAnsi="宋体" w:eastAsia="宋体" w:cs="宋体"/>
                <w:color w:val="auto"/>
                <w:spacing w:val="7"/>
                <w:sz w:val="20"/>
                <w:szCs w:val="20"/>
                <w:highlight w:val="none"/>
              </w:rPr>
              <w:t>样检验管理办法》《全国食品安全监督抽检实施</w:t>
            </w:r>
            <w:r>
              <w:rPr>
                <w:rFonts w:ascii="宋体" w:hAnsi="宋体" w:eastAsia="宋体" w:cs="宋体"/>
                <w:color w:val="auto"/>
                <w:spacing w:val="6"/>
                <w:sz w:val="20"/>
                <w:szCs w:val="20"/>
                <w:highlight w:val="none"/>
              </w:rPr>
              <w:t>细则（202</w:t>
            </w:r>
            <w:r>
              <w:rPr>
                <w:rFonts w:hint="eastAsia" w:ascii="宋体" w:hAnsi="宋体" w:eastAsia="宋体" w:cs="宋体"/>
                <w:color w:val="auto"/>
                <w:spacing w:val="6"/>
                <w:sz w:val="20"/>
                <w:szCs w:val="20"/>
                <w:highlight w:val="none"/>
                <w:lang w:val="en-US" w:eastAsia="zh-CN"/>
              </w:rPr>
              <w:t>6</w:t>
            </w:r>
            <w:r>
              <w:rPr>
                <w:rFonts w:ascii="宋体" w:hAnsi="宋体" w:eastAsia="宋体" w:cs="宋体"/>
                <w:color w:val="auto"/>
                <w:spacing w:val="6"/>
                <w:sz w:val="20"/>
                <w:szCs w:val="20"/>
                <w:highlight w:val="none"/>
              </w:rPr>
              <w:t>年版）》</w:t>
            </w:r>
            <w:r>
              <w:rPr>
                <w:rFonts w:ascii="宋体" w:hAnsi="宋体" w:eastAsia="宋体" w:cs="宋体"/>
                <w:color w:val="auto"/>
                <w:spacing w:val="10"/>
                <w:sz w:val="20"/>
                <w:szCs w:val="20"/>
                <w:highlight w:val="none"/>
              </w:rPr>
              <w:t>及广西壮族自治区市场监督管理局《广西食</w:t>
            </w:r>
            <w:r>
              <w:rPr>
                <w:rFonts w:ascii="宋体" w:hAnsi="宋体" w:eastAsia="宋体" w:cs="宋体"/>
                <w:color w:val="auto"/>
                <w:spacing w:val="9"/>
                <w:sz w:val="20"/>
                <w:szCs w:val="20"/>
                <w:highlight w:val="none"/>
              </w:rPr>
              <w:t>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9"/>
                <w:sz w:val="20"/>
                <w:szCs w:val="20"/>
                <w:highlight w:val="none"/>
              </w:rPr>
              <w:t>年版）等有关法律法规、规章及相关规定</w:t>
            </w:r>
            <w:r>
              <w:rPr>
                <w:rFonts w:ascii="宋体" w:hAnsi="宋体" w:eastAsia="宋体" w:cs="宋体"/>
                <w:color w:val="auto"/>
                <w:spacing w:val="8"/>
                <w:sz w:val="20"/>
                <w:szCs w:val="20"/>
                <w:highlight w:val="none"/>
              </w:rPr>
              <w:t>，抽样过程严格按照监督抽检工作程序，履行法定手续。</w:t>
            </w:r>
          </w:p>
          <w:p w14:paraId="6D9B0C6B">
            <w:pPr>
              <w:spacing w:before="1"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（2）供应商要严格按照《全国食品安全监督抽检实施细则（202</w:t>
            </w:r>
            <w:r>
              <w:rPr>
                <w:rFonts w:hint="eastAsia" w:ascii="宋体" w:hAnsi="宋体" w:eastAsia="宋体" w:cs="宋体"/>
                <w:color w:val="auto"/>
                <w:spacing w:val="6"/>
                <w:sz w:val="20"/>
                <w:szCs w:val="20"/>
                <w:highlight w:val="none"/>
                <w:lang w:val="en-US" w:eastAsia="zh-CN"/>
              </w:rPr>
              <w:t>6</w:t>
            </w:r>
            <w:r>
              <w:rPr>
                <w:rFonts w:ascii="宋体" w:hAnsi="宋体" w:eastAsia="宋体" w:cs="宋体"/>
                <w:color w:val="auto"/>
                <w:spacing w:val="-22"/>
                <w:sz w:val="20"/>
                <w:szCs w:val="20"/>
                <w:highlight w:val="none"/>
              </w:rPr>
              <w:t xml:space="preserve"> </w:t>
            </w:r>
            <w:r>
              <w:rPr>
                <w:rFonts w:ascii="宋体" w:hAnsi="宋体" w:eastAsia="宋体" w:cs="宋体"/>
                <w:color w:val="auto"/>
                <w:spacing w:val="6"/>
                <w:sz w:val="20"/>
                <w:szCs w:val="20"/>
                <w:highlight w:val="none"/>
              </w:rPr>
              <w:t>年</w:t>
            </w:r>
            <w:r>
              <w:rPr>
                <w:rFonts w:ascii="宋体" w:hAnsi="宋体" w:eastAsia="宋体" w:cs="宋体"/>
                <w:color w:val="auto"/>
                <w:spacing w:val="9"/>
                <w:sz w:val="20"/>
                <w:szCs w:val="20"/>
                <w:highlight w:val="none"/>
              </w:rPr>
              <w:t>版）》及广西壮族自治区市场监督管理局《广西食品安全监督抽检实施细则（202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9"/>
                <w:sz w:val="20"/>
                <w:szCs w:val="20"/>
                <w:highlight w:val="none"/>
              </w:rPr>
              <w:t>年版）的相关要求开展样品</w:t>
            </w:r>
            <w:r>
              <w:rPr>
                <w:rFonts w:ascii="宋体" w:hAnsi="宋体" w:eastAsia="宋体" w:cs="宋体"/>
                <w:color w:val="auto"/>
                <w:spacing w:val="8"/>
                <w:sz w:val="20"/>
                <w:szCs w:val="20"/>
                <w:highlight w:val="none"/>
              </w:rPr>
              <w:t>的采集、检验，数据审</w:t>
            </w:r>
            <w:r>
              <w:rPr>
                <w:rFonts w:ascii="宋体" w:hAnsi="宋体" w:eastAsia="宋体" w:cs="宋体"/>
                <w:color w:val="auto"/>
                <w:spacing w:val="9"/>
                <w:sz w:val="20"/>
                <w:szCs w:val="20"/>
                <w:highlight w:val="none"/>
              </w:rPr>
              <w:t>核报送、数据分析和研判等工作。抽样过程要保留现场抽样视频图</w:t>
            </w:r>
            <w:r>
              <w:rPr>
                <w:rFonts w:ascii="宋体" w:hAnsi="宋体" w:eastAsia="宋体" w:cs="宋体"/>
                <w:color w:val="auto"/>
                <w:spacing w:val="5"/>
                <w:sz w:val="20"/>
                <w:szCs w:val="20"/>
                <w:highlight w:val="none"/>
              </w:rPr>
              <w:t>像证据。</w:t>
            </w:r>
          </w:p>
          <w:p w14:paraId="2C7B7544">
            <w:pPr>
              <w:spacing w:before="1" w:line="332" w:lineRule="auto"/>
              <w:ind w:left="107" w:right="154" w:firstLine="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（3）供应商要严格按照食品安全标准和检验规范对食品进行检验，</w:t>
            </w:r>
            <w:r>
              <w:rPr>
                <w:rFonts w:ascii="宋体" w:hAnsi="宋体" w:eastAsia="宋体" w:cs="宋体"/>
                <w:color w:val="auto"/>
                <w:spacing w:val="8"/>
                <w:sz w:val="20"/>
                <w:szCs w:val="20"/>
                <w:highlight w:val="none"/>
              </w:rPr>
              <w:t>确保数据和结论客观、公正。</w:t>
            </w:r>
          </w:p>
          <w:p w14:paraId="4F690C32">
            <w:pPr>
              <w:spacing w:before="1" w:line="332" w:lineRule="auto"/>
              <w:ind w:left="112"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（4）供应商采取人员比对、设备比对或实验室间比对等多种质控方</w:t>
            </w:r>
            <w:r>
              <w:rPr>
                <w:rFonts w:ascii="宋体" w:hAnsi="宋体" w:eastAsia="宋体" w:cs="宋体"/>
                <w:color w:val="auto"/>
                <w:spacing w:val="8"/>
                <w:sz w:val="20"/>
                <w:szCs w:val="20"/>
                <w:highlight w:val="none"/>
              </w:rPr>
              <w:t>式，确保抽检数据的准确性。</w:t>
            </w:r>
          </w:p>
          <w:p w14:paraId="13E3D030">
            <w:pPr>
              <w:spacing w:line="227" w:lineRule="auto"/>
              <w:ind w:right="15"/>
              <w:jc w:val="right"/>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（5）供应商对于不合格样品必须进行复核，确保检测结果准确可靠。</w:t>
            </w:r>
          </w:p>
          <w:p w14:paraId="548B2E03">
            <w:pPr>
              <w:spacing w:before="114" w:line="215" w:lineRule="auto"/>
              <w:ind w:left="11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（6）供应商负责将所有抽检数据录入国家市场监管总局“</w:t>
            </w:r>
            <w:r>
              <w:rPr>
                <w:rFonts w:ascii="宋体" w:hAnsi="宋体" w:eastAsia="宋体" w:cs="宋体"/>
                <w:color w:val="auto"/>
                <w:spacing w:val="-70"/>
                <w:sz w:val="20"/>
                <w:szCs w:val="20"/>
                <w:highlight w:val="none"/>
              </w:rPr>
              <w:t xml:space="preserve"> </w:t>
            </w:r>
            <w:r>
              <w:rPr>
                <w:rFonts w:ascii="宋体" w:hAnsi="宋体" w:eastAsia="宋体" w:cs="宋体"/>
                <w:color w:val="auto"/>
                <w:spacing w:val="8"/>
                <w:sz w:val="20"/>
                <w:szCs w:val="20"/>
                <w:highlight w:val="none"/>
              </w:rPr>
              <w:t>国家食品</w:t>
            </w:r>
          </w:p>
        </w:tc>
      </w:tr>
    </w:tbl>
    <w:p w14:paraId="4417240E">
      <w:pPr>
        <w:rPr>
          <w:rFonts w:ascii="Arial"/>
          <w:color w:val="auto"/>
          <w:sz w:val="21"/>
          <w:highlight w:val="none"/>
        </w:rPr>
      </w:pPr>
    </w:p>
    <w:p w14:paraId="64CD8AA5">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2E8A9DF0">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9"/>
        <w:gridCol w:w="679"/>
        <w:gridCol w:w="6404"/>
      </w:tblGrid>
      <w:tr w14:paraId="08FC9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7" w:hRule="atLeast"/>
        </w:trPr>
        <w:tc>
          <w:tcPr>
            <w:tcW w:w="652" w:type="dxa"/>
            <w:vAlign w:val="top"/>
          </w:tcPr>
          <w:p w14:paraId="6F3FB538">
            <w:pPr>
              <w:pStyle w:val="179"/>
              <w:rPr>
                <w:color w:val="auto"/>
                <w:highlight w:val="none"/>
              </w:rPr>
            </w:pPr>
          </w:p>
        </w:tc>
        <w:tc>
          <w:tcPr>
            <w:tcW w:w="871" w:type="dxa"/>
            <w:vAlign w:val="top"/>
          </w:tcPr>
          <w:p w14:paraId="08D36D45">
            <w:pPr>
              <w:pStyle w:val="179"/>
              <w:rPr>
                <w:color w:val="auto"/>
                <w:highlight w:val="none"/>
              </w:rPr>
            </w:pPr>
          </w:p>
        </w:tc>
        <w:tc>
          <w:tcPr>
            <w:tcW w:w="659" w:type="dxa"/>
            <w:vAlign w:val="top"/>
          </w:tcPr>
          <w:p w14:paraId="5342C36F">
            <w:pPr>
              <w:pStyle w:val="179"/>
              <w:rPr>
                <w:color w:val="auto"/>
                <w:highlight w:val="none"/>
              </w:rPr>
            </w:pPr>
          </w:p>
        </w:tc>
        <w:tc>
          <w:tcPr>
            <w:tcW w:w="679" w:type="dxa"/>
            <w:vAlign w:val="top"/>
          </w:tcPr>
          <w:p w14:paraId="7B01C98B">
            <w:pPr>
              <w:pStyle w:val="179"/>
              <w:rPr>
                <w:color w:val="auto"/>
                <w:highlight w:val="none"/>
              </w:rPr>
            </w:pPr>
          </w:p>
        </w:tc>
        <w:tc>
          <w:tcPr>
            <w:tcW w:w="6404" w:type="dxa"/>
            <w:vAlign w:val="top"/>
          </w:tcPr>
          <w:p w14:paraId="5A70E07D">
            <w:pPr>
              <w:spacing w:before="124" w:line="228" w:lineRule="auto"/>
              <w:ind w:left="112"/>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6"/>
                <w:sz w:val="20"/>
                <w:szCs w:val="20"/>
                <w:highlight w:val="none"/>
              </w:rPr>
              <w:t>”平台。</w:t>
            </w:r>
          </w:p>
          <w:p w14:paraId="7A3F6DD2">
            <w:pPr>
              <w:spacing w:before="112" w:line="227" w:lineRule="auto"/>
              <w:ind w:left="107"/>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4、监督与评估</w:t>
            </w:r>
          </w:p>
          <w:p w14:paraId="02C6F2CC">
            <w:pPr>
              <w:spacing w:before="115" w:line="332" w:lineRule="auto"/>
              <w:ind w:left="110" w:right="109" w:firstLine="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（1）供应商对其出具的检验报告的真实性和准确性负责。供应商应当按规定的报告格式出具国家食品安全监督抽检检验报告，检验报</w:t>
            </w:r>
            <w:r>
              <w:rPr>
                <w:rFonts w:ascii="宋体" w:hAnsi="宋体" w:eastAsia="宋体" w:cs="宋体"/>
                <w:color w:val="auto"/>
                <w:spacing w:val="5"/>
                <w:sz w:val="20"/>
                <w:szCs w:val="20"/>
                <w:highlight w:val="none"/>
              </w:rPr>
              <w:t>告应当内容真实齐全、数据准确。供应商应在收到样品之日起 20 个</w:t>
            </w:r>
            <w:r>
              <w:rPr>
                <w:rFonts w:ascii="宋体" w:hAnsi="宋体" w:eastAsia="宋体" w:cs="宋体"/>
                <w:color w:val="auto"/>
                <w:spacing w:val="7"/>
                <w:sz w:val="20"/>
                <w:szCs w:val="20"/>
                <w:highlight w:val="none"/>
              </w:rPr>
              <w:t>工作日内出具检验报告。</w:t>
            </w:r>
          </w:p>
          <w:p w14:paraId="0FAC5CB2">
            <w:pPr>
              <w:spacing w:before="1" w:line="332" w:lineRule="auto"/>
              <w:ind w:left="108" w:right="109" w:firstLine="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（2）供应商应当依照有关法律、法规的规定，并按照食品安全标准和检验规范对食品进行检验，尊重科学，恪守职业道德，保证出具的检验数据和结论客观、公正，不得出具虚假检验报告。</w:t>
            </w:r>
          </w:p>
          <w:p w14:paraId="542FE2C2">
            <w:pPr>
              <w:spacing w:line="332" w:lineRule="auto"/>
              <w:ind w:left="112"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（3）防城港市市场监督管理局负责食品安全抽检实施的监督管理和</w:t>
            </w:r>
            <w:r>
              <w:rPr>
                <w:rFonts w:ascii="宋体" w:hAnsi="宋体" w:eastAsia="宋体" w:cs="宋体"/>
                <w:color w:val="auto"/>
                <w:spacing w:val="6"/>
                <w:sz w:val="20"/>
                <w:szCs w:val="20"/>
                <w:highlight w:val="none"/>
              </w:rPr>
              <w:t>效果评价工作。</w:t>
            </w:r>
          </w:p>
          <w:p w14:paraId="356D4C48">
            <w:pPr>
              <w:spacing w:line="332" w:lineRule="auto"/>
              <w:ind w:left="109" w:right="109"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（4）供应商不得私自泄露、擅自使用或对外发布食品安全抽样检验</w:t>
            </w:r>
            <w:r>
              <w:rPr>
                <w:rFonts w:ascii="宋体" w:hAnsi="宋体" w:eastAsia="宋体" w:cs="宋体"/>
                <w:color w:val="auto"/>
                <w:spacing w:val="7"/>
                <w:sz w:val="20"/>
                <w:szCs w:val="20"/>
                <w:highlight w:val="none"/>
              </w:rPr>
              <w:t>数据结果和相关信息。</w:t>
            </w:r>
          </w:p>
          <w:p w14:paraId="668E2764">
            <w:pPr>
              <w:spacing w:before="1"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（5）供应商不得接受被抽样单位的馈赠，不得利用抽检结果开展有</w:t>
            </w:r>
            <w:r>
              <w:rPr>
                <w:rFonts w:ascii="宋体" w:hAnsi="宋体" w:eastAsia="宋体" w:cs="宋体"/>
                <w:color w:val="auto"/>
                <w:spacing w:val="8"/>
                <w:sz w:val="20"/>
                <w:szCs w:val="20"/>
                <w:highlight w:val="none"/>
              </w:rPr>
              <w:t>偿活动，谋取不正当利益。</w:t>
            </w:r>
          </w:p>
          <w:p w14:paraId="65E3E8D9">
            <w:pPr>
              <w:spacing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（6）供应商应严格遵守防城港市市场监督管理局食品安全抽检监测</w:t>
            </w:r>
            <w:r>
              <w:rPr>
                <w:rFonts w:ascii="宋体" w:hAnsi="宋体" w:eastAsia="宋体" w:cs="宋体"/>
                <w:color w:val="auto"/>
                <w:spacing w:val="8"/>
                <w:sz w:val="20"/>
                <w:szCs w:val="20"/>
                <w:highlight w:val="none"/>
              </w:rPr>
              <w:t>承检机构管理制度等相关规定。</w:t>
            </w:r>
          </w:p>
          <w:p w14:paraId="6B349448">
            <w:pPr>
              <w:spacing w:before="1" w:line="293"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（7）在抽检服务过程中，采购人发现供应商出具虚假报告、透露检</w:t>
            </w:r>
            <w:r>
              <w:rPr>
                <w:rFonts w:ascii="宋体" w:hAnsi="宋体" w:eastAsia="宋体" w:cs="宋体"/>
                <w:color w:val="auto"/>
                <w:spacing w:val="10"/>
                <w:sz w:val="20"/>
                <w:szCs w:val="20"/>
                <w:highlight w:val="none"/>
              </w:rPr>
              <w:t>验结果的，采购人将对供应商不诚信行为进</w:t>
            </w:r>
            <w:r>
              <w:rPr>
                <w:rFonts w:ascii="宋体" w:hAnsi="宋体" w:eastAsia="宋体" w:cs="宋体"/>
                <w:color w:val="auto"/>
                <w:spacing w:val="9"/>
                <w:sz w:val="20"/>
                <w:szCs w:val="20"/>
                <w:highlight w:val="none"/>
              </w:rPr>
              <w:t>行通报并纳入信用记录</w:t>
            </w:r>
            <w:r>
              <w:rPr>
                <w:rFonts w:ascii="宋体" w:hAnsi="宋体" w:eastAsia="宋体" w:cs="宋体"/>
                <w:color w:val="auto"/>
                <w:spacing w:val="7"/>
                <w:sz w:val="20"/>
                <w:szCs w:val="20"/>
                <w:highlight w:val="none"/>
              </w:rPr>
              <w:t>上报财政部门。</w:t>
            </w:r>
          </w:p>
        </w:tc>
      </w:tr>
      <w:tr w14:paraId="541B2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265" w:type="dxa"/>
            <w:gridSpan w:val="5"/>
            <w:vAlign w:val="top"/>
          </w:tcPr>
          <w:p w14:paraId="626213F5">
            <w:pPr>
              <w:spacing w:before="160" w:line="228" w:lineRule="auto"/>
              <w:ind w:left="117"/>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▲二、商务要求</w:t>
            </w:r>
          </w:p>
        </w:tc>
      </w:tr>
      <w:tr w14:paraId="7237E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2861" w:type="dxa"/>
            <w:gridSpan w:val="4"/>
            <w:vAlign w:val="top"/>
          </w:tcPr>
          <w:p w14:paraId="61B35A7C">
            <w:pPr>
              <w:spacing w:before="241" w:line="231" w:lineRule="auto"/>
              <w:ind w:left="101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合同签订</w:t>
            </w:r>
          </w:p>
        </w:tc>
        <w:tc>
          <w:tcPr>
            <w:tcW w:w="6404" w:type="dxa"/>
            <w:vAlign w:val="top"/>
          </w:tcPr>
          <w:p w14:paraId="3C309A1E">
            <w:pPr>
              <w:spacing w:before="241" w:line="228" w:lineRule="auto"/>
              <w:ind w:left="142"/>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自成交通知书发出之日起</w:t>
            </w:r>
            <w:r>
              <w:rPr>
                <w:rFonts w:ascii="宋体" w:hAnsi="宋体" w:eastAsia="宋体" w:cs="宋体"/>
                <w:color w:val="auto"/>
                <w:spacing w:val="-35"/>
                <w:sz w:val="20"/>
                <w:szCs w:val="20"/>
                <w:highlight w:val="none"/>
              </w:rPr>
              <w:t xml:space="preserve"> </w:t>
            </w:r>
            <w:r>
              <w:rPr>
                <w:rFonts w:ascii="宋体" w:hAnsi="宋体" w:eastAsia="宋体" w:cs="宋体"/>
                <w:color w:val="auto"/>
                <w:spacing w:val="2"/>
                <w:sz w:val="20"/>
                <w:szCs w:val="20"/>
                <w:highlight w:val="none"/>
              </w:rPr>
              <w:t>25 日内。</w:t>
            </w:r>
          </w:p>
        </w:tc>
      </w:tr>
      <w:tr w14:paraId="07E4D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2861" w:type="dxa"/>
            <w:gridSpan w:val="4"/>
            <w:vAlign w:val="top"/>
          </w:tcPr>
          <w:p w14:paraId="65AEDA7A">
            <w:pPr>
              <w:pStyle w:val="179"/>
              <w:spacing w:line="323" w:lineRule="auto"/>
              <w:rPr>
                <w:color w:val="auto"/>
                <w:highlight w:val="none"/>
              </w:rPr>
            </w:pPr>
          </w:p>
          <w:p w14:paraId="444F1E10">
            <w:pPr>
              <w:pStyle w:val="179"/>
              <w:spacing w:line="324" w:lineRule="auto"/>
              <w:rPr>
                <w:color w:val="auto"/>
                <w:highlight w:val="none"/>
              </w:rPr>
            </w:pPr>
          </w:p>
          <w:p w14:paraId="066B4DEB">
            <w:pPr>
              <w:spacing w:before="65" w:line="228" w:lineRule="auto"/>
              <w:ind w:left="69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服务时间及地点</w:t>
            </w:r>
          </w:p>
        </w:tc>
        <w:tc>
          <w:tcPr>
            <w:tcW w:w="6404" w:type="dxa"/>
            <w:vAlign w:val="top"/>
          </w:tcPr>
          <w:p w14:paraId="6507AE9F">
            <w:pPr>
              <w:spacing w:before="33" w:line="377" w:lineRule="auto"/>
              <w:ind w:left="107" w:right="109" w:firstLine="15"/>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1、服务时间：自合同签订之日起开始提供服务，202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年</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13"/>
                <w:sz w:val="20"/>
                <w:szCs w:val="20"/>
                <w:highlight w:val="none"/>
              </w:rPr>
              <w:t>前全部抽检完成并录入国抽系统，按具体方案时间节点要求提供质</w:t>
            </w:r>
            <w:r>
              <w:rPr>
                <w:rFonts w:ascii="宋体" w:hAnsi="宋体" w:eastAsia="宋体" w:cs="宋体"/>
                <w:color w:val="auto"/>
                <w:spacing w:val="6"/>
                <w:sz w:val="20"/>
                <w:szCs w:val="20"/>
                <w:highlight w:val="none"/>
              </w:rPr>
              <w:t>量分析报告。</w:t>
            </w:r>
          </w:p>
          <w:p w14:paraId="59CADA9C">
            <w:pPr>
              <w:spacing w:line="227" w:lineRule="auto"/>
              <w:ind w:left="11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2、服务地点：防城港市东兴市内采购人指定地点。</w:t>
            </w:r>
          </w:p>
        </w:tc>
      </w:tr>
      <w:tr w14:paraId="28257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3" w:hRule="atLeast"/>
        </w:trPr>
        <w:tc>
          <w:tcPr>
            <w:tcW w:w="2861" w:type="dxa"/>
            <w:gridSpan w:val="4"/>
            <w:vAlign w:val="top"/>
          </w:tcPr>
          <w:p w14:paraId="13E9736E">
            <w:pPr>
              <w:pStyle w:val="179"/>
              <w:spacing w:line="276" w:lineRule="auto"/>
              <w:rPr>
                <w:color w:val="auto"/>
                <w:highlight w:val="none"/>
              </w:rPr>
            </w:pPr>
          </w:p>
          <w:p w14:paraId="595E5CEB">
            <w:pPr>
              <w:pStyle w:val="179"/>
              <w:spacing w:line="277" w:lineRule="auto"/>
              <w:rPr>
                <w:color w:val="auto"/>
                <w:highlight w:val="none"/>
              </w:rPr>
            </w:pPr>
          </w:p>
          <w:p w14:paraId="7DFAA441">
            <w:pPr>
              <w:pStyle w:val="179"/>
              <w:spacing w:line="277" w:lineRule="auto"/>
              <w:rPr>
                <w:color w:val="auto"/>
                <w:highlight w:val="none"/>
              </w:rPr>
            </w:pPr>
          </w:p>
          <w:p w14:paraId="60E2333C">
            <w:pPr>
              <w:pStyle w:val="179"/>
              <w:spacing w:line="277" w:lineRule="auto"/>
              <w:rPr>
                <w:color w:val="auto"/>
                <w:highlight w:val="none"/>
              </w:rPr>
            </w:pPr>
          </w:p>
          <w:p w14:paraId="42BD0BE4">
            <w:pPr>
              <w:pStyle w:val="179"/>
              <w:spacing w:line="277" w:lineRule="auto"/>
              <w:rPr>
                <w:color w:val="auto"/>
                <w:highlight w:val="none"/>
              </w:rPr>
            </w:pPr>
          </w:p>
          <w:p w14:paraId="7A5AB672">
            <w:pPr>
              <w:pStyle w:val="179"/>
              <w:spacing w:line="277" w:lineRule="auto"/>
              <w:rPr>
                <w:color w:val="auto"/>
                <w:highlight w:val="none"/>
              </w:rPr>
            </w:pPr>
          </w:p>
          <w:p w14:paraId="3383A17E">
            <w:pPr>
              <w:spacing w:before="65" w:line="227"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磋商报价</w:t>
            </w:r>
          </w:p>
        </w:tc>
        <w:tc>
          <w:tcPr>
            <w:tcW w:w="6404" w:type="dxa"/>
            <w:vAlign w:val="top"/>
          </w:tcPr>
          <w:p w14:paraId="65AEF480">
            <w:pPr>
              <w:spacing w:before="35" w:line="377" w:lineRule="auto"/>
              <w:ind w:left="107" w:right="37"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1、磋商报价应遵照由广西壮族自治区物价局和广西壮</w:t>
            </w:r>
            <w:r>
              <w:rPr>
                <w:rFonts w:ascii="宋体" w:hAnsi="宋体" w:eastAsia="宋体" w:cs="宋体"/>
                <w:color w:val="auto"/>
                <w:spacing w:val="8"/>
                <w:sz w:val="20"/>
                <w:szCs w:val="20"/>
                <w:highlight w:val="none"/>
              </w:rPr>
              <w:t>族自治区财政</w:t>
            </w:r>
            <w:r>
              <w:rPr>
                <w:rFonts w:ascii="宋体" w:hAnsi="宋体" w:eastAsia="宋体" w:cs="宋体"/>
                <w:color w:val="auto"/>
                <w:spacing w:val="9"/>
                <w:sz w:val="20"/>
                <w:szCs w:val="20"/>
                <w:highlight w:val="none"/>
              </w:rPr>
              <w:t>厅发布的《关于正式核定全区产品质量检验收费项目和收费标准的</w:t>
            </w:r>
            <w:r>
              <w:rPr>
                <w:rFonts w:ascii="宋体" w:hAnsi="宋体" w:eastAsia="宋体" w:cs="宋体"/>
                <w:color w:val="auto"/>
                <w:spacing w:val="8"/>
                <w:sz w:val="20"/>
                <w:szCs w:val="20"/>
                <w:highlight w:val="none"/>
              </w:rPr>
              <w:t>通知》（桂价费〔2013〕16</w:t>
            </w:r>
            <w:r>
              <w:rPr>
                <w:rFonts w:ascii="宋体" w:hAnsi="宋体" w:eastAsia="宋体" w:cs="宋体"/>
                <w:color w:val="auto"/>
                <w:spacing w:val="-26"/>
                <w:sz w:val="20"/>
                <w:szCs w:val="20"/>
                <w:highlight w:val="none"/>
              </w:rPr>
              <w:t xml:space="preserve"> </w:t>
            </w:r>
            <w:r>
              <w:rPr>
                <w:rFonts w:ascii="宋体" w:hAnsi="宋体" w:eastAsia="宋体" w:cs="宋体"/>
                <w:color w:val="auto"/>
                <w:spacing w:val="8"/>
                <w:sz w:val="20"/>
                <w:szCs w:val="20"/>
                <w:highlight w:val="none"/>
              </w:rPr>
              <w:t>号）和《财政厅关于降低产品质量监督</w:t>
            </w:r>
            <w:r>
              <w:rPr>
                <w:rFonts w:ascii="宋体" w:hAnsi="宋体" w:eastAsia="宋体" w:cs="宋体"/>
                <w:color w:val="auto"/>
                <w:spacing w:val="6"/>
                <w:sz w:val="20"/>
                <w:szCs w:val="20"/>
                <w:highlight w:val="none"/>
              </w:rPr>
              <w:t>检验收费标准及有关问题的通知》（桂价费〔20</w:t>
            </w:r>
            <w:r>
              <w:rPr>
                <w:rFonts w:ascii="宋体" w:hAnsi="宋体" w:eastAsia="宋体" w:cs="宋体"/>
                <w:color w:val="auto"/>
                <w:spacing w:val="5"/>
                <w:sz w:val="20"/>
                <w:szCs w:val="20"/>
                <w:highlight w:val="none"/>
              </w:rPr>
              <w:t>15〕54</w:t>
            </w:r>
            <w:r>
              <w:rPr>
                <w:rFonts w:ascii="宋体" w:hAnsi="宋体" w:eastAsia="宋体" w:cs="宋体"/>
                <w:color w:val="auto"/>
                <w:spacing w:val="-35"/>
                <w:sz w:val="20"/>
                <w:szCs w:val="20"/>
                <w:highlight w:val="none"/>
              </w:rPr>
              <w:t xml:space="preserve"> </w:t>
            </w:r>
            <w:r>
              <w:rPr>
                <w:rFonts w:ascii="宋体" w:hAnsi="宋体" w:eastAsia="宋体" w:cs="宋体"/>
                <w:color w:val="auto"/>
                <w:spacing w:val="5"/>
                <w:sz w:val="20"/>
                <w:szCs w:val="20"/>
                <w:highlight w:val="none"/>
              </w:rPr>
              <w:t>号）的规定。</w:t>
            </w:r>
          </w:p>
          <w:p w14:paraId="4142E67F">
            <w:pPr>
              <w:spacing w:line="370" w:lineRule="auto"/>
              <w:ind w:left="107" w:right="38"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2、磋商报价包括但不限于：供应商完成本项目所有工作任务（出具</w:t>
            </w:r>
            <w:r>
              <w:rPr>
                <w:rFonts w:ascii="宋体" w:hAnsi="宋体" w:eastAsia="宋体" w:cs="宋体"/>
                <w:color w:val="auto"/>
                <w:spacing w:val="13"/>
                <w:sz w:val="20"/>
                <w:szCs w:val="20"/>
                <w:highlight w:val="none"/>
              </w:rPr>
              <w:t>成果文件）所需的一切费用（含完成项目过程中所需的劳务、技术服务费、交通差旅费、资料印刷费、</w:t>
            </w:r>
            <w:r>
              <w:rPr>
                <w:rFonts w:hint="eastAsia" w:ascii="宋体" w:hAnsi="宋体" w:eastAsia="宋体" w:cs="宋体"/>
                <w:color w:val="auto"/>
                <w:spacing w:val="13"/>
                <w:sz w:val="20"/>
                <w:szCs w:val="20"/>
                <w:highlight w:val="none"/>
                <w:lang w:val="en-US" w:eastAsia="zh-CN"/>
              </w:rPr>
              <w:t>招标代理费</w:t>
            </w:r>
            <w:r>
              <w:rPr>
                <w:rFonts w:ascii="宋体" w:hAnsi="宋体" w:eastAsia="宋体" w:cs="宋体"/>
                <w:color w:val="auto"/>
                <w:spacing w:val="13"/>
                <w:sz w:val="20"/>
                <w:szCs w:val="20"/>
                <w:highlight w:val="none"/>
              </w:rPr>
              <w:t>、调研、材料、设备、仪器、运</w:t>
            </w:r>
            <w:r>
              <w:rPr>
                <w:rFonts w:ascii="宋体" w:hAnsi="宋体" w:eastAsia="宋体" w:cs="宋体"/>
                <w:color w:val="auto"/>
                <w:spacing w:val="8"/>
                <w:sz w:val="20"/>
                <w:szCs w:val="20"/>
                <w:highlight w:val="none"/>
              </w:rPr>
              <w:t>输、检测与试验、应急抽检、验收、安全警戒、评审、咨询、会务、管理、保险、税费、利润等费用，以及合同明示或暗示的所有责任、</w:t>
            </w:r>
          </w:p>
        </w:tc>
      </w:tr>
    </w:tbl>
    <w:p w14:paraId="1212C655">
      <w:pPr>
        <w:rPr>
          <w:rFonts w:ascii="Arial"/>
          <w:color w:val="auto"/>
          <w:sz w:val="21"/>
          <w:highlight w:val="none"/>
        </w:rPr>
      </w:pPr>
    </w:p>
    <w:p w14:paraId="4A709866">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7B419A54">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61"/>
        <w:gridCol w:w="108"/>
        <w:gridCol w:w="3015"/>
        <w:gridCol w:w="2322"/>
        <w:gridCol w:w="959"/>
      </w:tblGrid>
      <w:tr w14:paraId="28EA2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5" w:hRule="atLeast"/>
        </w:trPr>
        <w:tc>
          <w:tcPr>
            <w:tcW w:w="2861" w:type="dxa"/>
            <w:vAlign w:val="top"/>
          </w:tcPr>
          <w:p w14:paraId="1969C4F0">
            <w:pPr>
              <w:pStyle w:val="179"/>
              <w:rPr>
                <w:color w:val="auto"/>
                <w:highlight w:val="none"/>
              </w:rPr>
            </w:pPr>
          </w:p>
        </w:tc>
        <w:tc>
          <w:tcPr>
            <w:tcW w:w="6404" w:type="dxa"/>
            <w:gridSpan w:val="4"/>
            <w:vAlign w:val="top"/>
          </w:tcPr>
          <w:p w14:paraId="5B81E0E1">
            <w:pPr>
              <w:spacing w:before="38" w:line="365" w:lineRule="auto"/>
              <w:ind w:left="107" w:right="109" w:firstLine="2"/>
              <w:jc w:val="both"/>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义务和一般风险等的一切费用等各种费用在内）</w:t>
            </w:r>
            <w:r>
              <w:rPr>
                <w:rFonts w:ascii="宋体" w:hAnsi="宋体" w:eastAsia="宋体" w:cs="宋体"/>
                <w:color w:val="auto"/>
                <w:spacing w:val="-42"/>
                <w:sz w:val="20"/>
                <w:szCs w:val="20"/>
                <w:highlight w:val="none"/>
              </w:rPr>
              <w:t xml:space="preserve"> </w:t>
            </w:r>
            <w:r>
              <w:rPr>
                <w:rFonts w:ascii="宋体" w:hAnsi="宋体" w:eastAsia="宋体" w:cs="宋体"/>
                <w:color w:val="auto"/>
                <w:spacing w:val="11"/>
                <w:sz w:val="20"/>
                <w:szCs w:val="20"/>
                <w:highlight w:val="none"/>
              </w:rPr>
              <w:t>。合同价不因任何</w:t>
            </w:r>
            <w:r>
              <w:rPr>
                <w:rFonts w:ascii="宋体" w:hAnsi="宋体" w:eastAsia="宋体" w:cs="宋体"/>
                <w:color w:val="auto"/>
                <w:spacing w:val="13"/>
                <w:sz w:val="20"/>
                <w:szCs w:val="20"/>
                <w:highlight w:val="none"/>
              </w:rPr>
              <w:t>因素而调整。根据采购人的需要，供应商将无条件提供抽检合格备</w:t>
            </w:r>
            <w:r>
              <w:rPr>
                <w:rFonts w:ascii="宋体" w:hAnsi="宋体" w:eastAsia="宋体" w:cs="宋体"/>
                <w:color w:val="auto"/>
                <w:spacing w:val="8"/>
                <w:sz w:val="20"/>
                <w:szCs w:val="20"/>
                <w:highlight w:val="none"/>
              </w:rPr>
              <w:t>份样品给防城港市市场监督管理局。</w:t>
            </w:r>
          </w:p>
        </w:tc>
      </w:tr>
      <w:tr w14:paraId="28B75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2861" w:type="dxa"/>
            <w:vAlign w:val="top"/>
          </w:tcPr>
          <w:p w14:paraId="1FFBB3EB">
            <w:pPr>
              <w:spacing w:before="103" w:line="228" w:lineRule="auto"/>
              <w:ind w:left="9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检出率要求</w:t>
            </w:r>
          </w:p>
        </w:tc>
        <w:tc>
          <w:tcPr>
            <w:tcW w:w="6404" w:type="dxa"/>
            <w:gridSpan w:val="4"/>
            <w:vAlign w:val="top"/>
          </w:tcPr>
          <w:p w14:paraId="564BE3BD">
            <w:pPr>
              <w:spacing w:before="102" w:line="228" w:lineRule="auto"/>
              <w:ind w:left="10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监督抽检不合格率检出率必须达到</w:t>
            </w:r>
            <w:r>
              <w:rPr>
                <w:rFonts w:ascii="宋体" w:hAnsi="宋体" w:eastAsia="宋体" w:cs="宋体"/>
                <w:color w:val="auto"/>
                <w:spacing w:val="-33"/>
                <w:sz w:val="20"/>
                <w:szCs w:val="20"/>
                <w:highlight w:val="none"/>
              </w:rPr>
              <w:t xml:space="preserve"> </w:t>
            </w:r>
            <w:r>
              <w:rPr>
                <w:rFonts w:ascii="宋体" w:hAnsi="宋体" w:eastAsia="宋体" w:cs="宋体"/>
                <w:color w:val="auto"/>
                <w:spacing w:val="8"/>
                <w:sz w:val="20"/>
                <w:szCs w:val="20"/>
                <w:highlight w:val="none"/>
              </w:rPr>
              <w:t>5%以上（含</w:t>
            </w:r>
            <w:r>
              <w:rPr>
                <w:rFonts w:ascii="宋体" w:hAnsi="宋体" w:eastAsia="宋体" w:cs="宋体"/>
                <w:color w:val="auto"/>
                <w:spacing w:val="7"/>
                <w:sz w:val="20"/>
                <w:szCs w:val="20"/>
                <w:highlight w:val="none"/>
              </w:rPr>
              <w:t>本数）。</w:t>
            </w:r>
          </w:p>
        </w:tc>
      </w:tr>
      <w:tr w14:paraId="7F02A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6" w:hRule="atLeast"/>
        </w:trPr>
        <w:tc>
          <w:tcPr>
            <w:tcW w:w="2861" w:type="dxa"/>
            <w:vMerge w:val="restart"/>
            <w:tcBorders>
              <w:bottom w:val="nil"/>
            </w:tcBorders>
            <w:vAlign w:val="top"/>
          </w:tcPr>
          <w:p w14:paraId="7F8A13B3">
            <w:pPr>
              <w:pStyle w:val="179"/>
              <w:spacing w:line="265" w:lineRule="auto"/>
              <w:rPr>
                <w:color w:val="auto"/>
                <w:highlight w:val="none"/>
              </w:rPr>
            </w:pPr>
          </w:p>
          <w:p w14:paraId="44D5D7C0">
            <w:pPr>
              <w:pStyle w:val="179"/>
              <w:spacing w:line="266" w:lineRule="auto"/>
              <w:rPr>
                <w:color w:val="auto"/>
                <w:highlight w:val="none"/>
              </w:rPr>
            </w:pPr>
          </w:p>
          <w:p w14:paraId="5C7D7EF6">
            <w:pPr>
              <w:pStyle w:val="179"/>
              <w:spacing w:line="266" w:lineRule="auto"/>
              <w:rPr>
                <w:color w:val="auto"/>
                <w:highlight w:val="none"/>
              </w:rPr>
            </w:pPr>
          </w:p>
          <w:p w14:paraId="2299CAB4">
            <w:pPr>
              <w:pStyle w:val="179"/>
              <w:spacing w:line="266" w:lineRule="auto"/>
              <w:rPr>
                <w:color w:val="auto"/>
                <w:highlight w:val="none"/>
              </w:rPr>
            </w:pPr>
          </w:p>
          <w:p w14:paraId="6B100CA8">
            <w:pPr>
              <w:pStyle w:val="179"/>
              <w:spacing w:line="266" w:lineRule="auto"/>
              <w:rPr>
                <w:color w:val="auto"/>
                <w:highlight w:val="none"/>
              </w:rPr>
            </w:pPr>
          </w:p>
          <w:p w14:paraId="19032F9C">
            <w:pPr>
              <w:pStyle w:val="179"/>
              <w:spacing w:line="266" w:lineRule="auto"/>
              <w:rPr>
                <w:color w:val="auto"/>
                <w:highlight w:val="none"/>
              </w:rPr>
            </w:pPr>
          </w:p>
          <w:p w14:paraId="33BD8520">
            <w:pPr>
              <w:pStyle w:val="179"/>
              <w:spacing w:line="266" w:lineRule="auto"/>
              <w:rPr>
                <w:color w:val="auto"/>
                <w:highlight w:val="none"/>
              </w:rPr>
            </w:pPr>
          </w:p>
          <w:p w14:paraId="08B4D2CF">
            <w:pPr>
              <w:pStyle w:val="179"/>
              <w:spacing w:line="266" w:lineRule="auto"/>
              <w:rPr>
                <w:color w:val="auto"/>
                <w:highlight w:val="none"/>
              </w:rPr>
            </w:pPr>
          </w:p>
          <w:p w14:paraId="7FE380C5">
            <w:pPr>
              <w:pStyle w:val="179"/>
              <w:spacing w:line="266" w:lineRule="auto"/>
              <w:rPr>
                <w:color w:val="auto"/>
                <w:highlight w:val="none"/>
              </w:rPr>
            </w:pPr>
          </w:p>
          <w:p w14:paraId="5A98D64E">
            <w:pPr>
              <w:spacing w:before="65" w:line="228"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付款条件</w:t>
            </w:r>
          </w:p>
        </w:tc>
        <w:tc>
          <w:tcPr>
            <w:tcW w:w="6404" w:type="dxa"/>
            <w:gridSpan w:val="4"/>
            <w:vAlign w:val="top"/>
          </w:tcPr>
          <w:p w14:paraId="350EDDA0">
            <w:pPr>
              <w:spacing w:before="51" w:line="228" w:lineRule="auto"/>
              <w:ind w:left="12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1、付款方式：</w:t>
            </w:r>
          </w:p>
          <w:p w14:paraId="3B773A00">
            <w:pPr>
              <w:spacing w:before="64" w:line="288" w:lineRule="auto"/>
              <w:ind w:left="106" w:right="109"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9"/>
                <w:sz w:val="20"/>
                <w:szCs w:val="20"/>
                <w:highlight w:val="none"/>
              </w:rPr>
              <w:t>自合同签订之日起且财政拨付项目预算款到位后</w:t>
            </w:r>
            <w:r>
              <w:rPr>
                <w:rFonts w:ascii="宋体" w:hAnsi="宋体" w:eastAsia="宋体" w:cs="宋体"/>
                <w:color w:val="auto"/>
                <w:spacing w:val="-18"/>
                <w:sz w:val="20"/>
                <w:szCs w:val="20"/>
                <w:highlight w:val="none"/>
              </w:rPr>
              <w:t xml:space="preserve"> </w:t>
            </w:r>
            <w:r>
              <w:rPr>
                <w:rFonts w:ascii="宋体" w:hAnsi="宋体" w:eastAsia="宋体" w:cs="宋体"/>
                <w:color w:val="auto"/>
                <w:spacing w:val="9"/>
                <w:sz w:val="20"/>
                <w:szCs w:val="20"/>
                <w:highlight w:val="none"/>
              </w:rPr>
              <w:t>1</w:t>
            </w:r>
            <w:r>
              <w:rPr>
                <w:rFonts w:ascii="宋体" w:hAnsi="宋体" w:eastAsia="宋体" w:cs="宋体"/>
                <w:color w:val="auto"/>
                <w:spacing w:val="8"/>
                <w:sz w:val="20"/>
                <w:szCs w:val="20"/>
                <w:highlight w:val="none"/>
              </w:rPr>
              <w:t>0</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个工作日</w:t>
            </w:r>
            <w:r>
              <w:rPr>
                <w:rFonts w:ascii="宋体" w:hAnsi="宋体" w:eastAsia="宋体" w:cs="宋体"/>
                <w:color w:val="auto"/>
                <w:spacing w:val="7"/>
                <w:sz w:val="20"/>
                <w:szCs w:val="20"/>
                <w:highlight w:val="none"/>
              </w:rPr>
              <w:t>内，采购人向成交供应商支付成交金额的</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50%作为预付款；预</w:t>
            </w:r>
            <w:r>
              <w:rPr>
                <w:rFonts w:ascii="宋体" w:hAnsi="宋体" w:eastAsia="宋体" w:cs="宋体"/>
                <w:color w:val="auto"/>
                <w:spacing w:val="6"/>
                <w:sz w:val="20"/>
                <w:szCs w:val="20"/>
                <w:highlight w:val="none"/>
              </w:rPr>
              <w:t>付款申</w:t>
            </w:r>
            <w:r>
              <w:rPr>
                <w:rFonts w:ascii="宋体" w:hAnsi="宋体" w:eastAsia="宋体" w:cs="宋体"/>
                <w:color w:val="auto"/>
                <w:spacing w:val="9"/>
                <w:sz w:val="20"/>
                <w:szCs w:val="20"/>
                <w:highlight w:val="none"/>
              </w:rPr>
              <w:t>请时，成交供应商须开具相应金额的税额发票给采购人。</w:t>
            </w:r>
          </w:p>
          <w:p w14:paraId="254E9EBC">
            <w:pPr>
              <w:spacing w:line="288"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（2）成交供应商提交最终检验结果后，由采购人按抽检批次及整个</w:t>
            </w:r>
            <w:r>
              <w:rPr>
                <w:rFonts w:ascii="宋体" w:hAnsi="宋体" w:eastAsia="宋体" w:cs="宋体"/>
                <w:color w:val="auto"/>
                <w:spacing w:val="13"/>
                <w:sz w:val="20"/>
                <w:szCs w:val="20"/>
                <w:highlight w:val="none"/>
              </w:rPr>
              <w:t>抽检不合格率支付剩余检测服务费。剩余检测服务费申请时，成交</w:t>
            </w:r>
            <w:r>
              <w:rPr>
                <w:rFonts w:ascii="宋体" w:hAnsi="宋体" w:eastAsia="宋体" w:cs="宋体"/>
                <w:color w:val="auto"/>
                <w:spacing w:val="9"/>
                <w:sz w:val="20"/>
                <w:szCs w:val="20"/>
                <w:highlight w:val="none"/>
              </w:rPr>
              <w:t>供应商须开具相应金额的税额发票给采购人。</w:t>
            </w:r>
          </w:p>
          <w:p w14:paraId="7F1222BB">
            <w:pPr>
              <w:spacing w:line="277" w:lineRule="auto"/>
              <w:ind w:left="107" w:right="37" w:firstLine="2"/>
              <w:jc w:val="both"/>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2、付款条件：成交供应商须按采购人要求进行抽样检验。抽检不合</w:t>
            </w:r>
            <w:r>
              <w:rPr>
                <w:rFonts w:ascii="宋体" w:hAnsi="宋体" w:eastAsia="宋体" w:cs="宋体"/>
                <w:color w:val="auto"/>
                <w:spacing w:val="8"/>
                <w:sz w:val="20"/>
                <w:szCs w:val="20"/>
                <w:highlight w:val="none"/>
              </w:rPr>
              <w:t>格率</w:t>
            </w:r>
            <w:r>
              <w:rPr>
                <w:rFonts w:hint="eastAsia" w:ascii="东文宋体" w:hAnsi="东文宋体" w:eastAsia="东文宋体" w:cs="东文宋体"/>
                <w:color w:val="auto"/>
                <w:spacing w:val="8"/>
                <w:sz w:val="20"/>
                <w:szCs w:val="20"/>
                <w:highlight w:val="none"/>
              </w:rPr>
              <w:t>≥</w:t>
            </w:r>
            <w:r>
              <w:rPr>
                <w:rFonts w:ascii="宋体" w:hAnsi="宋体" w:eastAsia="宋体" w:cs="宋体"/>
                <w:color w:val="auto"/>
                <w:spacing w:val="8"/>
                <w:sz w:val="20"/>
                <w:szCs w:val="20"/>
                <w:highlight w:val="none"/>
              </w:rPr>
              <w:t>5%。若成交供应商达到工作要求，则采购人支付抽检服务款。</w:t>
            </w:r>
            <w:r>
              <w:rPr>
                <w:rFonts w:ascii="宋体" w:hAnsi="宋体" w:eastAsia="宋体" w:cs="宋体"/>
                <w:color w:val="auto"/>
                <w:spacing w:val="13"/>
                <w:sz w:val="20"/>
                <w:szCs w:val="20"/>
                <w:highlight w:val="none"/>
              </w:rPr>
              <w:t>若成交供应商未达到工作要求，则采购人按比例支付部分抽检服务</w:t>
            </w:r>
            <w:r>
              <w:rPr>
                <w:rFonts w:ascii="宋体" w:hAnsi="宋体" w:eastAsia="宋体" w:cs="宋体"/>
                <w:color w:val="auto"/>
                <w:spacing w:val="7"/>
                <w:sz w:val="20"/>
                <w:szCs w:val="20"/>
                <w:highlight w:val="none"/>
              </w:rPr>
              <w:t>款（最少不低于成交金额的</w:t>
            </w:r>
            <w:r>
              <w:rPr>
                <w:rFonts w:ascii="宋体" w:hAnsi="宋体" w:eastAsia="宋体" w:cs="宋体"/>
                <w:color w:val="auto"/>
                <w:spacing w:val="-36"/>
                <w:sz w:val="20"/>
                <w:szCs w:val="20"/>
                <w:highlight w:val="none"/>
              </w:rPr>
              <w:t xml:space="preserve"> </w:t>
            </w:r>
            <w:r>
              <w:rPr>
                <w:rFonts w:ascii="宋体" w:hAnsi="宋体" w:eastAsia="宋体" w:cs="宋体"/>
                <w:color w:val="auto"/>
                <w:spacing w:val="7"/>
                <w:sz w:val="20"/>
                <w:szCs w:val="20"/>
                <w:highlight w:val="none"/>
              </w:rPr>
              <w:t>90%）。实际支付的抽检服务款比例与工</w:t>
            </w:r>
            <w:r>
              <w:rPr>
                <w:rFonts w:ascii="宋体" w:hAnsi="宋体" w:eastAsia="宋体" w:cs="宋体"/>
                <w:color w:val="auto"/>
                <w:spacing w:val="8"/>
                <w:sz w:val="20"/>
                <w:szCs w:val="20"/>
                <w:highlight w:val="none"/>
              </w:rPr>
              <w:t>作要求的对应关系见下表。</w:t>
            </w:r>
          </w:p>
        </w:tc>
      </w:tr>
      <w:tr w14:paraId="3E1D8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2861" w:type="dxa"/>
            <w:vMerge w:val="continue"/>
            <w:tcBorders>
              <w:top w:val="nil"/>
              <w:bottom w:val="nil"/>
            </w:tcBorders>
            <w:vAlign w:val="top"/>
          </w:tcPr>
          <w:p w14:paraId="18C929D4">
            <w:pPr>
              <w:pStyle w:val="179"/>
              <w:rPr>
                <w:color w:val="auto"/>
                <w:highlight w:val="none"/>
              </w:rPr>
            </w:pPr>
          </w:p>
        </w:tc>
        <w:tc>
          <w:tcPr>
            <w:tcW w:w="108" w:type="dxa"/>
            <w:tcBorders>
              <w:top w:val="nil"/>
              <w:bottom w:val="nil"/>
            </w:tcBorders>
            <w:vAlign w:val="top"/>
          </w:tcPr>
          <w:p w14:paraId="18A19DED">
            <w:pPr>
              <w:pStyle w:val="179"/>
              <w:rPr>
                <w:color w:val="auto"/>
                <w:highlight w:val="none"/>
              </w:rPr>
            </w:pPr>
          </w:p>
        </w:tc>
        <w:tc>
          <w:tcPr>
            <w:tcW w:w="3015" w:type="dxa"/>
            <w:vAlign w:val="top"/>
          </w:tcPr>
          <w:p w14:paraId="3561DCA1">
            <w:pPr>
              <w:spacing w:before="169" w:line="228" w:lineRule="auto"/>
              <w:ind w:left="67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食品抽检不合格率</w:t>
            </w:r>
          </w:p>
        </w:tc>
        <w:tc>
          <w:tcPr>
            <w:tcW w:w="2322" w:type="dxa"/>
            <w:vAlign w:val="top"/>
          </w:tcPr>
          <w:p w14:paraId="78EBCD81">
            <w:pPr>
              <w:spacing w:before="35" w:line="228" w:lineRule="auto"/>
              <w:ind w:left="12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实际支付抽检服务款比</w:t>
            </w:r>
          </w:p>
          <w:p w14:paraId="4C25E01B">
            <w:pPr>
              <w:spacing w:before="23" w:line="216" w:lineRule="auto"/>
              <w:ind w:left="1060"/>
              <w:rPr>
                <w:rFonts w:ascii="宋体" w:hAnsi="宋体" w:eastAsia="宋体" w:cs="宋体"/>
                <w:color w:val="auto"/>
                <w:sz w:val="20"/>
                <w:szCs w:val="20"/>
                <w:highlight w:val="none"/>
              </w:rPr>
            </w:pPr>
            <w:r>
              <w:rPr>
                <w:rFonts w:ascii="宋体" w:hAnsi="宋体" w:eastAsia="宋体" w:cs="宋体"/>
                <w:color w:val="auto"/>
                <w:sz w:val="20"/>
                <w:szCs w:val="20"/>
                <w:highlight w:val="none"/>
              </w:rPr>
              <w:t>例</w:t>
            </w:r>
          </w:p>
        </w:tc>
        <w:tc>
          <w:tcPr>
            <w:tcW w:w="959" w:type="dxa"/>
            <w:vMerge w:val="restart"/>
            <w:tcBorders>
              <w:top w:val="nil"/>
              <w:bottom w:val="nil"/>
            </w:tcBorders>
            <w:vAlign w:val="top"/>
          </w:tcPr>
          <w:p w14:paraId="041E3E30">
            <w:pPr>
              <w:pStyle w:val="179"/>
              <w:rPr>
                <w:color w:val="auto"/>
                <w:highlight w:val="none"/>
              </w:rPr>
            </w:pPr>
          </w:p>
        </w:tc>
      </w:tr>
      <w:tr w14:paraId="45756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61" w:type="dxa"/>
            <w:vMerge w:val="continue"/>
            <w:tcBorders>
              <w:top w:val="nil"/>
              <w:bottom w:val="nil"/>
            </w:tcBorders>
            <w:vAlign w:val="top"/>
          </w:tcPr>
          <w:p w14:paraId="697ED050">
            <w:pPr>
              <w:pStyle w:val="179"/>
              <w:rPr>
                <w:color w:val="auto"/>
                <w:highlight w:val="none"/>
              </w:rPr>
            </w:pPr>
          </w:p>
        </w:tc>
        <w:tc>
          <w:tcPr>
            <w:tcW w:w="108" w:type="dxa"/>
            <w:tcBorders>
              <w:top w:val="nil"/>
              <w:bottom w:val="nil"/>
            </w:tcBorders>
            <w:vAlign w:val="top"/>
          </w:tcPr>
          <w:p w14:paraId="12F88755">
            <w:pPr>
              <w:pStyle w:val="179"/>
              <w:rPr>
                <w:color w:val="auto"/>
                <w:highlight w:val="none"/>
              </w:rPr>
            </w:pPr>
          </w:p>
        </w:tc>
        <w:tc>
          <w:tcPr>
            <w:tcW w:w="3015" w:type="dxa"/>
            <w:vAlign w:val="top"/>
          </w:tcPr>
          <w:p w14:paraId="18B00298">
            <w:pPr>
              <w:spacing w:before="34" w:line="215" w:lineRule="auto"/>
              <w:ind w:left="884"/>
              <w:rPr>
                <w:rFonts w:ascii="宋体" w:hAnsi="宋体" w:eastAsia="宋体" w:cs="宋体"/>
                <w:color w:val="auto"/>
                <w:sz w:val="20"/>
                <w:szCs w:val="20"/>
                <w:highlight w:val="none"/>
              </w:rPr>
            </w:pPr>
            <w:r>
              <w:rPr>
                <w:rFonts w:ascii="宋体" w:hAnsi="宋体" w:eastAsia="宋体" w:cs="宋体"/>
                <w:color w:val="auto"/>
                <w:sz w:val="20"/>
                <w:szCs w:val="20"/>
                <w:highlight w:val="none"/>
              </w:rPr>
              <w:t>5%（含）</w:t>
            </w:r>
            <w:r>
              <w:rPr>
                <w:rFonts w:ascii="宋体" w:hAnsi="宋体" w:eastAsia="宋体" w:cs="宋体"/>
                <w:color w:val="auto"/>
                <w:spacing w:val="-54"/>
                <w:sz w:val="20"/>
                <w:szCs w:val="20"/>
                <w:highlight w:val="none"/>
              </w:rPr>
              <w:t xml:space="preserve"> </w:t>
            </w:r>
            <w:r>
              <w:rPr>
                <w:rFonts w:ascii="宋体" w:hAnsi="宋体" w:eastAsia="宋体" w:cs="宋体"/>
                <w:color w:val="auto"/>
                <w:sz w:val="20"/>
                <w:szCs w:val="20"/>
                <w:highlight w:val="none"/>
              </w:rPr>
              <w:t>以上</w:t>
            </w:r>
          </w:p>
        </w:tc>
        <w:tc>
          <w:tcPr>
            <w:tcW w:w="2322" w:type="dxa"/>
            <w:vAlign w:val="top"/>
          </w:tcPr>
          <w:p w14:paraId="7539E91D">
            <w:pPr>
              <w:spacing w:before="34" w:line="215" w:lineRule="auto"/>
              <w:ind w:left="972"/>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100%</w:t>
            </w:r>
          </w:p>
        </w:tc>
        <w:tc>
          <w:tcPr>
            <w:tcW w:w="959" w:type="dxa"/>
            <w:vMerge w:val="continue"/>
            <w:tcBorders>
              <w:top w:val="nil"/>
              <w:bottom w:val="nil"/>
            </w:tcBorders>
            <w:vAlign w:val="top"/>
          </w:tcPr>
          <w:p w14:paraId="666DB548">
            <w:pPr>
              <w:pStyle w:val="179"/>
              <w:rPr>
                <w:color w:val="auto"/>
                <w:highlight w:val="none"/>
              </w:rPr>
            </w:pPr>
          </w:p>
        </w:tc>
      </w:tr>
      <w:tr w14:paraId="15044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61" w:type="dxa"/>
            <w:vMerge w:val="continue"/>
            <w:tcBorders>
              <w:top w:val="nil"/>
              <w:bottom w:val="nil"/>
            </w:tcBorders>
            <w:vAlign w:val="top"/>
          </w:tcPr>
          <w:p w14:paraId="0A91FEF8">
            <w:pPr>
              <w:pStyle w:val="179"/>
              <w:rPr>
                <w:color w:val="auto"/>
                <w:highlight w:val="none"/>
              </w:rPr>
            </w:pPr>
          </w:p>
        </w:tc>
        <w:tc>
          <w:tcPr>
            <w:tcW w:w="108" w:type="dxa"/>
            <w:tcBorders>
              <w:top w:val="nil"/>
              <w:bottom w:val="nil"/>
            </w:tcBorders>
            <w:vAlign w:val="top"/>
          </w:tcPr>
          <w:p w14:paraId="35A8A7E9">
            <w:pPr>
              <w:pStyle w:val="179"/>
              <w:rPr>
                <w:color w:val="auto"/>
                <w:highlight w:val="none"/>
              </w:rPr>
            </w:pPr>
          </w:p>
        </w:tc>
        <w:tc>
          <w:tcPr>
            <w:tcW w:w="3015" w:type="dxa"/>
            <w:vAlign w:val="top"/>
          </w:tcPr>
          <w:p w14:paraId="48D08C36">
            <w:pPr>
              <w:spacing w:before="35" w:line="214" w:lineRule="auto"/>
              <w:ind w:left="45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4%（含）—5%（不含）</w:t>
            </w:r>
          </w:p>
        </w:tc>
        <w:tc>
          <w:tcPr>
            <w:tcW w:w="2322" w:type="dxa"/>
            <w:vAlign w:val="top"/>
          </w:tcPr>
          <w:p w14:paraId="7AFE8BD2">
            <w:pPr>
              <w:spacing w:before="35" w:line="214" w:lineRule="auto"/>
              <w:ind w:left="1008"/>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95%</w:t>
            </w:r>
          </w:p>
        </w:tc>
        <w:tc>
          <w:tcPr>
            <w:tcW w:w="959" w:type="dxa"/>
            <w:vMerge w:val="continue"/>
            <w:tcBorders>
              <w:top w:val="nil"/>
              <w:bottom w:val="nil"/>
            </w:tcBorders>
            <w:vAlign w:val="top"/>
          </w:tcPr>
          <w:p w14:paraId="188B8958">
            <w:pPr>
              <w:pStyle w:val="179"/>
              <w:rPr>
                <w:color w:val="auto"/>
                <w:highlight w:val="none"/>
              </w:rPr>
            </w:pPr>
          </w:p>
        </w:tc>
      </w:tr>
      <w:tr w14:paraId="257D2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861" w:type="dxa"/>
            <w:vMerge w:val="continue"/>
            <w:tcBorders>
              <w:top w:val="nil"/>
            </w:tcBorders>
            <w:vAlign w:val="top"/>
          </w:tcPr>
          <w:p w14:paraId="424C1958">
            <w:pPr>
              <w:pStyle w:val="179"/>
              <w:rPr>
                <w:color w:val="auto"/>
                <w:highlight w:val="none"/>
              </w:rPr>
            </w:pPr>
          </w:p>
        </w:tc>
        <w:tc>
          <w:tcPr>
            <w:tcW w:w="108" w:type="dxa"/>
            <w:tcBorders>
              <w:top w:val="nil"/>
            </w:tcBorders>
            <w:vAlign w:val="top"/>
          </w:tcPr>
          <w:p w14:paraId="10399307">
            <w:pPr>
              <w:pStyle w:val="179"/>
              <w:rPr>
                <w:color w:val="auto"/>
                <w:highlight w:val="none"/>
              </w:rPr>
            </w:pPr>
          </w:p>
        </w:tc>
        <w:tc>
          <w:tcPr>
            <w:tcW w:w="3015" w:type="dxa"/>
            <w:vAlign w:val="top"/>
          </w:tcPr>
          <w:p w14:paraId="2ACB98BF">
            <w:pPr>
              <w:spacing w:before="34" w:line="214" w:lineRule="auto"/>
              <w:ind w:left="774"/>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4%（不含）</w:t>
            </w:r>
            <w:r>
              <w:rPr>
                <w:rFonts w:ascii="宋体" w:hAnsi="宋体" w:eastAsia="宋体" w:cs="宋体"/>
                <w:color w:val="auto"/>
                <w:spacing w:val="-56"/>
                <w:sz w:val="20"/>
                <w:szCs w:val="20"/>
                <w:highlight w:val="none"/>
              </w:rPr>
              <w:t xml:space="preserve"> </w:t>
            </w:r>
            <w:r>
              <w:rPr>
                <w:rFonts w:ascii="宋体" w:hAnsi="宋体" w:eastAsia="宋体" w:cs="宋体"/>
                <w:color w:val="auto"/>
                <w:spacing w:val="2"/>
                <w:sz w:val="20"/>
                <w:szCs w:val="20"/>
                <w:highlight w:val="none"/>
              </w:rPr>
              <w:t>以下</w:t>
            </w:r>
          </w:p>
        </w:tc>
        <w:tc>
          <w:tcPr>
            <w:tcW w:w="2322" w:type="dxa"/>
            <w:vAlign w:val="top"/>
          </w:tcPr>
          <w:p w14:paraId="25150B42">
            <w:pPr>
              <w:spacing w:before="34" w:line="214" w:lineRule="auto"/>
              <w:ind w:left="1008"/>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90%</w:t>
            </w:r>
          </w:p>
        </w:tc>
        <w:tc>
          <w:tcPr>
            <w:tcW w:w="959" w:type="dxa"/>
            <w:vMerge w:val="continue"/>
            <w:tcBorders>
              <w:top w:val="nil"/>
            </w:tcBorders>
            <w:vAlign w:val="top"/>
          </w:tcPr>
          <w:p w14:paraId="6543340D">
            <w:pPr>
              <w:pStyle w:val="179"/>
              <w:rPr>
                <w:color w:val="auto"/>
                <w:highlight w:val="none"/>
              </w:rPr>
            </w:pPr>
          </w:p>
        </w:tc>
      </w:tr>
      <w:tr w14:paraId="78066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7" w:hRule="atLeast"/>
        </w:trPr>
        <w:tc>
          <w:tcPr>
            <w:tcW w:w="2861" w:type="dxa"/>
            <w:vAlign w:val="top"/>
          </w:tcPr>
          <w:p w14:paraId="0633B2F0">
            <w:pPr>
              <w:pStyle w:val="179"/>
              <w:spacing w:line="258" w:lineRule="auto"/>
              <w:rPr>
                <w:color w:val="auto"/>
                <w:highlight w:val="none"/>
              </w:rPr>
            </w:pPr>
          </w:p>
          <w:p w14:paraId="389CC5A4">
            <w:pPr>
              <w:pStyle w:val="179"/>
              <w:spacing w:line="258" w:lineRule="auto"/>
              <w:rPr>
                <w:color w:val="auto"/>
                <w:highlight w:val="none"/>
              </w:rPr>
            </w:pPr>
          </w:p>
          <w:p w14:paraId="516109BA">
            <w:pPr>
              <w:pStyle w:val="179"/>
              <w:spacing w:line="258" w:lineRule="auto"/>
              <w:rPr>
                <w:color w:val="auto"/>
                <w:highlight w:val="none"/>
              </w:rPr>
            </w:pPr>
          </w:p>
          <w:p w14:paraId="6329570D">
            <w:pPr>
              <w:pStyle w:val="179"/>
              <w:spacing w:line="259" w:lineRule="auto"/>
              <w:rPr>
                <w:color w:val="auto"/>
                <w:highlight w:val="none"/>
              </w:rPr>
            </w:pPr>
          </w:p>
          <w:p w14:paraId="1A517613">
            <w:pPr>
              <w:pStyle w:val="179"/>
              <w:spacing w:line="259" w:lineRule="auto"/>
              <w:rPr>
                <w:color w:val="auto"/>
                <w:highlight w:val="none"/>
              </w:rPr>
            </w:pPr>
          </w:p>
          <w:p w14:paraId="4F6A7EA2">
            <w:pPr>
              <w:pStyle w:val="179"/>
              <w:spacing w:line="259" w:lineRule="auto"/>
              <w:rPr>
                <w:color w:val="auto"/>
                <w:highlight w:val="none"/>
              </w:rPr>
            </w:pPr>
          </w:p>
          <w:p w14:paraId="5362A33F">
            <w:pPr>
              <w:pStyle w:val="179"/>
              <w:spacing w:line="259" w:lineRule="auto"/>
              <w:rPr>
                <w:color w:val="auto"/>
                <w:highlight w:val="none"/>
              </w:rPr>
            </w:pPr>
          </w:p>
          <w:p w14:paraId="476A0C71">
            <w:pPr>
              <w:pStyle w:val="179"/>
              <w:spacing w:line="259" w:lineRule="auto"/>
              <w:rPr>
                <w:color w:val="auto"/>
                <w:highlight w:val="none"/>
              </w:rPr>
            </w:pPr>
          </w:p>
          <w:p w14:paraId="2E3F6F8A">
            <w:pPr>
              <w:pStyle w:val="179"/>
              <w:spacing w:line="259" w:lineRule="auto"/>
              <w:rPr>
                <w:color w:val="auto"/>
                <w:highlight w:val="none"/>
              </w:rPr>
            </w:pPr>
          </w:p>
          <w:p w14:paraId="7F64C67A">
            <w:pPr>
              <w:spacing w:before="65" w:line="228"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服务要求</w:t>
            </w:r>
          </w:p>
        </w:tc>
        <w:tc>
          <w:tcPr>
            <w:tcW w:w="6404" w:type="dxa"/>
            <w:gridSpan w:val="4"/>
            <w:vAlign w:val="top"/>
          </w:tcPr>
          <w:p w14:paraId="2C458B72">
            <w:pPr>
              <w:spacing w:before="67" w:line="228" w:lineRule="auto"/>
              <w:ind w:left="1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1、能按时完成委托单位安排的临时性和应急性任务。</w:t>
            </w:r>
          </w:p>
          <w:p w14:paraId="72D9332C">
            <w:pPr>
              <w:spacing w:before="64" w:line="288" w:lineRule="auto"/>
              <w:ind w:left="108" w:right="109"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2、负责样品的检验、检验报告的寄送、结果分析、异议处理和检验</w:t>
            </w:r>
            <w:r>
              <w:rPr>
                <w:rFonts w:ascii="宋体" w:hAnsi="宋体" w:eastAsia="宋体" w:cs="宋体"/>
                <w:color w:val="auto"/>
                <w:spacing w:val="8"/>
                <w:sz w:val="20"/>
                <w:szCs w:val="20"/>
                <w:highlight w:val="none"/>
              </w:rPr>
              <w:t>过程中技术问题的处理工作。</w:t>
            </w:r>
          </w:p>
          <w:p w14:paraId="0E1F65D1">
            <w:pPr>
              <w:spacing w:before="4" w:line="287" w:lineRule="auto"/>
              <w:ind w:left="107" w:right="108"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3、处理问题及响应时间：成交供应商接到采购人处理问题通知后</w:t>
            </w:r>
            <w:r>
              <w:rPr>
                <w:rFonts w:ascii="宋体" w:hAnsi="宋体" w:eastAsia="宋体" w:cs="宋体"/>
                <w:color w:val="auto"/>
                <w:spacing w:val="8"/>
                <w:sz w:val="20"/>
                <w:szCs w:val="20"/>
                <w:highlight w:val="none"/>
              </w:rPr>
              <w:t xml:space="preserve"> 2小时内采取实质性响应措施，必须在</w:t>
            </w:r>
            <w:r>
              <w:rPr>
                <w:rFonts w:ascii="宋体" w:hAnsi="宋体" w:eastAsia="宋体" w:cs="宋体"/>
                <w:color w:val="auto"/>
                <w:spacing w:val="-27"/>
                <w:sz w:val="20"/>
                <w:szCs w:val="20"/>
                <w:highlight w:val="none"/>
              </w:rPr>
              <w:t xml:space="preserve"> </w:t>
            </w:r>
            <w:r>
              <w:rPr>
                <w:rFonts w:ascii="宋体" w:hAnsi="宋体" w:eastAsia="宋体" w:cs="宋体"/>
                <w:color w:val="auto"/>
                <w:spacing w:val="8"/>
                <w:sz w:val="20"/>
                <w:szCs w:val="20"/>
                <w:highlight w:val="none"/>
              </w:rPr>
              <w:t>24</w:t>
            </w:r>
            <w:r>
              <w:rPr>
                <w:rFonts w:ascii="宋体" w:hAnsi="宋体" w:eastAsia="宋体" w:cs="宋体"/>
                <w:color w:val="auto"/>
                <w:spacing w:val="-32"/>
                <w:sz w:val="20"/>
                <w:szCs w:val="20"/>
                <w:highlight w:val="none"/>
              </w:rPr>
              <w:t xml:space="preserve"> </w:t>
            </w:r>
            <w:r>
              <w:rPr>
                <w:rFonts w:ascii="宋体" w:hAnsi="宋体" w:eastAsia="宋体" w:cs="宋体"/>
                <w:color w:val="auto"/>
                <w:spacing w:val="8"/>
                <w:sz w:val="20"/>
                <w:szCs w:val="20"/>
                <w:highlight w:val="none"/>
              </w:rPr>
              <w:t>小时之内向采购人提交正式</w:t>
            </w:r>
            <w:r>
              <w:rPr>
                <w:rFonts w:ascii="宋体" w:hAnsi="宋体" w:eastAsia="宋体" w:cs="宋体"/>
                <w:color w:val="auto"/>
                <w:spacing w:val="10"/>
                <w:sz w:val="20"/>
                <w:szCs w:val="20"/>
                <w:highlight w:val="none"/>
              </w:rPr>
              <w:t>书面可行的解决方案，并在采购人指定的时</w:t>
            </w:r>
            <w:r>
              <w:rPr>
                <w:rFonts w:ascii="宋体" w:hAnsi="宋体" w:eastAsia="宋体" w:cs="宋体"/>
                <w:color w:val="auto"/>
                <w:spacing w:val="9"/>
                <w:sz w:val="20"/>
                <w:szCs w:val="20"/>
                <w:highlight w:val="none"/>
              </w:rPr>
              <w:t>间和地点对方案进行解</w:t>
            </w:r>
            <w:r>
              <w:rPr>
                <w:rFonts w:ascii="宋体" w:hAnsi="宋体" w:eastAsia="宋体" w:cs="宋体"/>
                <w:color w:val="auto"/>
                <w:spacing w:val="5"/>
                <w:sz w:val="20"/>
                <w:szCs w:val="20"/>
                <w:highlight w:val="none"/>
              </w:rPr>
              <w:t>释说明。</w:t>
            </w:r>
          </w:p>
          <w:p w14:paraId="4EC59017">
            <w:pPr>
              <w:spacing w:line="229" w:lineRule="auto"/>
              <w:ind w:left="10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4、定期回访。</w:t>
            </w:r>
          </w:p>
          <w:p w14:paraId="08E9FCCD">
            <w:pPr>
              <w:spacing w:before="63" w:line="228" w:lineRule="auto"/>
              <w:ind w:left="11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5、供应商须在响应文件中提供具体的服务承诺。</w:t>
            </w:r>
          </w:p>
          <w:p w14:paraId="40E25350">
            <w:pPr>
              <w:spacing w:before="65" w:line="288" w:lineRule="auto"/>
              <w:ind w:left="107" w:right="109" w:firstLine="2"/>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6、供应商应于</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年</w:t>
            </w:r>
            <w:r>
              <w:rPr>
                <w:rFonts w:ascii="宋体" w:hAnsi="宋体" w:eastAsia="宋体" w:cs="宋体"/>
                <w:color w:val="auto"/>
                <w:spacing w:val="-21"/>
                <w:sz w:val="20"/>
                <w:szCs w:val="20"/>
                <w:highlight w:val="none"/>
              </w:rPr>
              <w:t xml:space="preserve"> </w:t>
            </w:r>
            <w:r>
              <w:rPr>
                <w:rFonts w:ascii="宋体" w:hAnsi="宋体" w:eastAsia="宋体" w:cs="宋体"/>
                <w:color w:val="auto"/>
                <w:spacing w:val="4"/>
                <w:sz w:val="20"/>
                <w:szCs w:val="20"/>
                <w:highlight w:val="none"/>
              </w:rPr>
              <w:t>12</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月</w:t>
            </w:r>
            <w:r>
              <w:rPr>
                <w:rFonts w:ascii="宋体" w:hAnsi="宋体" w:eastAsia="宋体" w:cs="宋体"/>
                <w:color w:val="auto"/>
                <w:spacing w:val="-23"/>
                <w:sz w:val="20"/>
                <w:szCs w:val="20"/>
                <w:highlight w:val="none"/>
              </w:rPr>
              <w:t xml:space="preserve"> </w:t>
            </w:r>
            <w:r>
              <w:rPr>
                <w:rFonts w:ascii="宋体" w:hAnsi="宋体" w:eastAsia="宋体" w:cs="宋体"/>
                <w:color w:val="auto"/>
                <w:spacing w:val="4"/>
                <w:sz w:val="20"/>
                <w:szCs w:val="20"/>
                <w:highlight w:val="none"/>
              </w:rPr>
              <w:t>10 日前完成抽样检测任务</w:t>
            </w:r>
            <w:r>
              <w:rPr>
                <w:rFonts w:ascii="宋体" w:hAnsi="宋体" w:eastAsia="宋体" w:cs="宋体"/>
                <w:color w:val="auto"/>
                <w:spacing w:val="3"/>
                <w:sz w:val="20"/>
                <w:szCs w:val="20"/>
                <w:highlight w:val="none"/>
              </w:rPr>
              <w:t>，并出具</w:t>
            </w:r>
            <w:r>
              <w:rPr>
                <w:rFonts w:ascii="宋体" w:hAnsi="宋体" w:eastAsia="宋体" w:cs="宋体"/>
                <w:color w:val="auto"/>
                <w:spacing w:val="-39"/>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4"/>
                <w:sz w:val="20"/>
                <w:szCs w:val="20"/>
                <w:highlight w:val="none"/>
              </w:rPr>
              <w:t>认证的电子检验报告书，并于</w:t>
            </w:r>
            <w:r>
              <w:rPr>
                <w:rFonts w:ascii="宋体" w:hAnsi="宋体" w:eastAsia="宋体" w:cs="宋体"/>
                <w:color w:val="auto"/>
                <w:spacing w:val="-21"/>
                <w:sz w:val="20"/>
                <w:szCs w:val="20"/>
                <w:highlight w:val="none"/>
              </w:rPr>
              <w:t xml:space="preserve"> </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
                <w:sz w:val="20"/>
                <w:szCs w:val="20"/>
                <w:highlight w:val="none"/>
              </w:rPr>
              <w:t>年</w:t>
            </w:r>
            <w:r>
              <w:rPr>
                <w:rFonts w:ascii="宋体" w:hAnsi="宋体" w:eastAsia="宋体" w:cs="宋体"/>
                <w:color w:val="auto"/>
                <w:spacing w:val="-21"/>
                <w:sz w:val="20"/>
                <w:szCs w:val="20"/>
                <w:highlight w:val="none"/>
              </w:rPr>
              <w:t xml:space="preserve"> </w:t>
            </w:r>
            <w:r>
              <w:rPr>
                <w:rFonts w:ascii="宋体" w:hAnsi="宋体" w:eastAsia="宋体" w:cs="宋体"/>
                <w:color w:val="auto"/>
                <w:spacing w:val="4"/>
                <w:sz w:val="20"/>
                <w:szCs w:val="20"/>
                <w:highlight w:val="none"/>
              </w:rPr>
              <w:t>12</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月</w:t>
            </w:r>
            <w:r>
              <w:rPr>
                <w:rFonts w:ascii="宋体" w:hAnsi="宋体" w:eastAsia="宋体" w:cs="宋体"/>
                <w:color w:val="auto"/>
                <w:spacing w:val="-34"/>
                <w:sz w:val="20"/>
                <w:szCs w:val="20"/>
                <w:highlight w:val="none"/>
              </w:rPr>
              <w:t xml:space="preserve"> </w:t>
            </w:r>
            <w:r>
              <w:rPr>
                <w:rFonts w:ascii="宋体" w:hAnsi="宋体" w:eastAsia="宋体" w:cs="宋体"/>
                <w:color w:val="auto"/>
                <w:spacing w:val="4"/>
                <w:sz w:val="20"/>
                <w:szCs w:val="20"/>
                <w:highlight w:val="none"/>
              </w:rPr>
              <w:t>20 日前，将本次任务检</w:t>
            </w:r>
            <w:r>
              <w:rPr>
                <w:rFonts w:ascii="宋体" w:hAnsi="宋体" w:eastAsia="宋体" w:cs="宋体"/>
                <w:color w:val="auto"/>
                <w:spacing w:val="10"/>
                <w:sz w:val="20"/>
                <w:szCs w:val="20"/>
                <w:highlight w:val="none"/>
              </w:rPr>
              <w:t>验分析报告、信息汇总表及问题样品信息汇</w:t>
            </w:r>
            <w:r>
              <w:rPr>
                <w:rFonts w:ascii="宋体" w:hAnsi="宋体" w:eastAsia="宋体" w:cs="宋体"/>
                <w:color w:val="auto"/>
                <w:spacing w:val="9"/>
                <w:sz w:val="20"/>
                <w:szCs w:val="20"/>
                <w:highlight w:val="none"/>
              </w:rPr>
              <w:t>总表寄送至防城港市市</w:t>
            </w:r>
            <w:r>
              <w:rPr>
                <w:rFonts w:ascii="宋体" w:hAnsi="宋体" w:eastAsia="宋体" w:cs="宋体"/>
                <w:color w:val="auto"/>
                <w:spacing w:val="7"/>
                <w:sz w:val="20"/>
                <w:szCs w:val="20"/>
                <w:highlight w:val="none"/>
              </w:rPr>
              <w:t>场监督管理局。</w:t>
            </w:r>
          </w:p>
          <w:p w14:paraId="6FB909A9">
            <w:pPr>
              <w:spacing w:before="3" w:line="268" w:lineRule="auto"/>
              <w:ind w:left="107" w:right="109"/>
              <w:rPr>
                <w:rFonts w:ascii="宋体" w:hAnsi="宋体" w:eastAsia="宋体" w:cs="宋体"/>
                <w:color w:val="auto"/>
                <w:sz w:val="20"/>
                <w:szCs w:val="20"/>
                <w:highlight w:val="none"/>
              </w:rPr>
            </w:pPr>
            <w:r>
              <w:rPr>
                <w:rFonts w:ascii="Times New Roman" w:hAnsi="Times New Roman" w:eastAsia="Times New Roman" w:cs="Times New Roman"/>
                <w:color w:val="auto"/>
                <w:spacing w:val="7"/>
                <w:sz w:val="20"/>
                <w:szCs w:val="20"/>
                <w:highlight w:val="none"/>
              </w:rPr>
              <w:t>7.</w:t>
            </w:r>
            <w:r>
              <w:rPr>
                <w:rFonts w:ascii="宋体" w:hAnsi="宋体" w:eastAsia="宋体" w:cs="宋体"/>
                <w:color w:val="auto"/>
                <w:spacing w:val="7"/>
                <w:sz w:val="20"/>
                <w:szCs w:val="20"/>
                <w:highlight w:val="none"/>
              </w:rPr>
              <w:t>供应商必须按照响应文件承诺的时效性开展食品抽检任务，如有一</w:t>
            </w:r>
            <w:r>
              <w:rPr>
                <w:rFonts w:ascii="宋体" w:hAnsi="宋体" w:eastAsia="宋体" w:cs="宋体"/>
                <w:color w:val="auto"/>
                <w:spacing w:val="8"/>
                <w:sz w:val="20"/>
                <w:szCs w:val="20"/>
                <w:highlight w:val="none"/>
              </w:rPr>
              <w:t>次未能按时完成抽检任务的扣</w:t>
            </w:r>
            <w:r>
              <w:rPr>
                <w:rFonts w:ascii="宋体" w:hAnsi="宋体" w:eastAsia="宋体" w:cs="宋体"/>
                <w:color w:val="auto"/>
                <w:spacing w:val="-25"/>
                <w:sz w:val="20"/>
                <w:szCs w:val="20"/>
                <w:highlight w:val="none"/>
              </w:rPr>
              <w:t xml:space="preserve"> </w:t>
            </w:r>
            <w:r>
              <w:rPr>
                <w:rFonts w:ascii="Times New Roman" w:hAnsi="Times New Roman" w:eastAsia="Times New Roman" w:cs="Times New Roman"/>
                <w:color w:val="auto"/>
                <w:spacing w:val="8"/>
                <w:sz w:val="20"/>
                <w:szCs w:val="20"/>
                <w:highlight w:val="none"/>
              </w:rPr>
              <w:t xml:space="preserve">5000 </w:t>
            </w:r>
            <w:r>
              <w:rPr>
                <w:rFonts w:ascii="宋体" w:hAnsi="宋体" w:eastAsia="宋体" w:cs="宋体"/>
                <w:color w:val="auto"/>
                <w:spacing w:val="8"/>
                <w:sz w:val="20"/>
                <w:szCs w:val="20"/>
                <w:highlight w:val="none"/>
              </w:rPr>
              <w:t>元，超过三次不能按时完成抽检任务的，采购人有权依法解除合同。</w:t>
            </w:r>
          </w:p>
        </w:tc>
      </w:tr>
      <w:tr w14:paraId="6D8BD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2861" w:type="dxa"/>
            <w:vAlign w:val="top"/>
          </w:tcPr>
          <w:p w14:paraId="734C35E5">
            <w:pPr>
              <w:pStyle w:val="179"/>
              <w:spacing w:line="255" w:lineRule="auto"/>
              <w:rPr>
                <w:color w:val="auto"/>
                <w:highlight w:val="none"/>
              </w:rPr>
            </w:pPr>
          </w:p>
          <w:p w14:paraId="0D74FA7D">
            <w:pPr>
              <w:pStyle w:val="179"/>
              <w:spacing w:line="256" w:lineRule="auto"/>
              <w:rPr>
                <w:color w:val="auto"/>
                <w:highlight w:val="none"/>
              </w:rPr>
            </w:pPr>
          </w:p>
          <w:p w14:paraId="22C7351D">
            <w:pPr>
              <w:pStyle w:val="179"/>
              <w:spacing w:line="256" w:lineRule="auto"/>
              <w:rPr>
                <w:color w:val="auto"/>
                <w:highlight w:val="none"/>
              </w:rPr>
            </w:pPr>
          </w:p>
          <w:p w14:paraId="5B2B899C">
            <w:pPr>
              <w:spacing w:before="65" w:line="228"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验收标准</w:t>
            </w:r>
          </w:p>
        </w:tc>
        <w:tc>
          <w:tcPr>
            <w:tcW w:w="6404" w:type="dxa"/>
            <w:gridSpan w:val="4"/>
            <w:vAlign w:val="top"/>
          </w:tcPr>
          <w:p w14:paraId="16FB63C1">
            <w:pPr>
              <w:spacing w:before="57" w:line="288" w:lineRule="auto"/>
              <w:ind w:left="107" w:right="109"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1、合同履行过程中，由采购人根据供应商所提供的服务</w:t>
            </w:r>
            <w:r>
              <w:rPr>
                <w:rFonts w:ascii="宋体" w:hAnsi="宋体" w:eastAsia="宋体" w:cs="宋体"/>
                <w:color w:val="auto"/>
                <w:spacing w:val="8"/>
                <w:sz w:val="20"/>
                <w:szCs w:val="20"/>
                <w:highlight w:val="none"/>
              </w:rPr>
              <w:t>，对照竞争</w:t>
            </w:r>
            <w:r>
              <w:rPr>
                <w:rFonts w:ascii="宋体" w:hAnsi="宋体" w:eastAsia="宋体" w:cs="宋体"/>
                <w:color w:val="auto"/>
                <w:spacing w:val="13"/>
                <w:sz w:val="20"/>
                <w:szCs w:val="20"/>
                <w:highlight w:val="none"/>
              </w:rPr>
              <w:t>性磋商文件要求及供应商响应文件中的承诺进行检验并记录，如不符合竞争性磋商文件服务要求、商务要求以及提供虚假承诺的，按相关规定做违约处理，供应商承担所有责任和费用，采购人保留进</w:t>
            </w:r>
            <w:r>
              <w:rPr>
                <w:rFonts w:ascii="宋体" w:hAnsi="宋体" w:eastAsia="宋体" w:cs="宋体"/>
                <w:color w:val="auto"/>
                <w:spacing w:val="8"/>
                <w:sz w:val="20"/>
                <w:szCs w:val="20"/>
                <w:highlight w:val="none"/>
              </w:rPr>
              <w:t>一步追究责任的权利。</w:t>
            </w:r>
          </w:p>
          <w:p w14:paraId="09648890">
            <w:pPr>
              <w:spacing w:line="227" w:lineRule="auto"/>
              <w:ind w:left="1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2、供应商完成所有委托的抽检任务后，提供抽检项目品种数量明细</w:t>
            </w:r>
          </w:p>
        </w:tc>
      </w:tr>
    </w:tbl>
    <w:p w14:paraId="1D9300A1">
      <w:pPr>
        <w:rPr>
          <w:rFonts w:ascii="Arial"/>
          <w:color w:val="auto"/>
          <w:sz w:val="21"/>
          <w:highlight w:val="none"/>
        </w:rPr>
      </w:pPr>
    </w:p>
    <w:p w14:paraId="75EE58F7">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1FAED13E">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61"/>
        <w:gridCol w:w="6404"/>
      </w:tblGrid>
      <w:tr w14:paraId="18E39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2861" w:type="dxa"/>
            <w:vAlign w:val="top"/>
          </w:tcPr>
          <w:p w14:paraId="1B542094">
            <w:pPr>
              <w:pStyle w:val="179"/>
              <w:rPr>
                <w:color w:val="auto"/>
                <w:highlight w:val="none"/>
              </w:rPr>
            </w:pPr>
          </w:p>
        </w:tc>
        <w:tc>
          <w:tcPr>
            <w:tcW w:w="6404" w:type="dxa"/>
            <w:vAlign w:val="top"/>
          </w:tcPr>
          <w:p w14:paraId="174B203F">
            <w:pPr>
              <w:spacing w:before="56" w:line="227" w:lineRule="auto"/>
              <w:ind w:left="10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及质量分析报告给采购人，</w:t>
            </w:r>
            <w:r>
              <w:rPr>
                <w:rFonts w:ascii="宋体" w:hAnsi="宋体" w:eastAsia="宋体" w:cs="宋体"/>
                <w:color w:val="auto"/>
                <w:spacing w:val="-46"/>
                <w:sz w:val="20"/>
                <w:szCs w:val="20"/>
                <w:highlight w:val="none"/>
              </w:rPr>
              <w:t xml:space="preserve"> </w:t>
            </w:r>
            <w:r>
              <w:rPr>
                <w:rFonts w:ascii="宋体" w:hAnsi="宋体" w:eastAsia="宋体" w:cs="宋体"/>
                <w:color w:val="auto"/>
                <w:spacing w:val="7"/>
                <w:sz w:val="20"/>
                <w:szCs w:val="20"/>
                <w:highlight w:val="none"/>
              </w:rPr>
              <w:t>由采购人组织专家进行验收。</w:t>
            </w:r>
          </w:p>
          <w:p w14:paraId="46FBB557">
            <w:pPr>
              <w:spacing w:before="66" w:line="228" w:lineRule="auto"/>
              <w:ind w:left="11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3、项目需求中有其他要求的按其要求。</w:t>
            </w:r>
          </w:p>
          <w:p w14:paraId="544CBCEA">
            <w:pPr>
              <w:spacing w:before="64" w:line="288" w:lineRule="auto"/>
              <w:ind w:left="111" w:right="109" w:hanging="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4、验收过程中所产生的一切费用均由供应商承担。报价时应考虑相</w:t>
            </w:r>
            <w:r>
              <w:rPr>
                <w:rFonts w:ascii="宋体" w:hAnsi="宋体" w:eastAsia="宋体" w:cs="宋体"/>
                <w:color w:val="auto"/>
                <w:spacing w:val="4"/>
                <w:sz w:val="20"/>
                <w:szCs w:val="20"/>
                <w:highlight w:val="none"/>
              </w:rPr>
              <w:t>关费用。</w:t>
            </w:r>
          </w:p>
          <w:p w14:paraId="542765BF">
            <w:pPr>
              <w:spacing w:line="261" w:lineRule="auto"/>
              <w:ind w:left="106"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5、验收标准：依据采购文件、响应文件及国家、行业现行法律法规</w:t>
            </w:r>
            <w:r>
              <w:rPr>
                <w:rFonts w:ascii="宋体" w:hAnsi="宋体" w:eastAsia="宋体" w:cs="宋体"/>
                <w:color w:val="auto"/>
                <w:spacing w:val="6"/>
                <w:sz w:val="20"/>
                <w:szCs w:val="20"/>
                <w:highlight w:val="none"/>
              </w:rPr>
              <w:t>进行验收。</w:t>
            </w:r>
          </w:p>
        </w:tc>
      </w:tr>
      <w:tr w14:paraId="689E6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9" w:hRule="atLeast"/>
        </w:trPr>
        <w:tc>
          <w:tcPr>
            <w:tcW w:w="2861" w:type="dxa"/>
            <w:vAlign w:val="top"/>
          </w:tcPr>
          <w:p w14:paraId="77D55F52">
            <w:pPr>
              <w:pStyle w:val="179"/>
              <w:spacing w:line="249" w:lineRule="auto"/>
              <w:rPr>
                <w:color w:val="auto"/>
                <w:highlight w:val="none"/>
              </w:rPr>
            </w:pPr>
          </w:p>
          <w:p w14:paraId="269B8A90">
            <w:pPr>
              <w:pStyle w:val="179"/>
              <w:spacing w:line="249" w:lineRule="auto"/>
              <w:rPr>
                <w:color w:val="auto"/>
                <w:highlight w:val="none"/>
              </w:rPr>
            </w:pPr>
          </w:p>
          <w:p w14:paraId="6FEC9493">
            <w:pPr>
              <w:pStyle w:val="179"/>
              <w:spacing w:line="249" w:lineRule="auto"/>
              <w:rPr>
                <w:color w:val="auto"/>
                <w:highlight w:val="none"/>
              </w:rPr>
            </w:pPr>
          </w:p>
          <w:p w14:paraId="02818B44">
            <w:pPr>
              <w:pStyle w:val="179"/>
              <w:spacing w:line="249" w:lineRule="auto"/>
              <w:rPr>
                <w:color w:val="auto"/>
                <w:highlight w:val="none"/>
              </w:rPr>
            </w:pPr>
          </w:p>
          <w:p w14:paraId="420A000C">
            <w:pPr>
              <w:pStyle w:val="179"/>
              <w:spacing w:line="249" w:lineRule="auto"/>
              <w:rPr>
                <w:color w:val="auto"/>
                <w:highlight w:val="none"/>
              </w:rPr>
            </w:pPr>
          </w:p>
          <w:p w14:paraId="71FA25D4">
            <w:pPr>
              <w:pStyle w:val="179"/>
              <w:spacing w:line="249" w:lineRule="auto"/>
              <w:rPr>
                <w:color w:val="auto"/>
                <w:highlight w:val="none"/>
              </w:rPr>
            </w:pPr>
          </w:p>
          <w:p w14:paraId="0A8727DE">
            <w:pPr>
              <w:pStyle w:val="179"/>
              <w:spacing w:line="249" w:lineRule="auto"/>
              <w:rPr>
                <w:color w:val="auto"/>
                <w:highlight w:val="none"/>
              </w:rPr>
            </w:pPr>
          </w:p>
          <w:p w14:paraId="39BC69A3">
            <w:pPr>
              <w:pStyle w:val="179"/>
              <w:spacing w:line="249" w:lineRule="auto"/>
              <w:rPr>
                <w:color w:val="auto"/>
                <w:highlight w:val="none"/>
              </w:rPr>
            </w:pPr>
          </w:p>
          <w:p w14:paraId="2A7922F8">
            <w:pPr>
              <w:pStyle w:val="179"/>
              <w:spacing w:line="249" w:lineRule="auto"/>
              <w:rPr>
                <w:color w:val="auto"/>
                <w:highlight w:val="none"/>
              </w:rPr>
            </w:pPr>
          </w:p>
          <w:p w14:paraId="46152790">
            <w:pPr>
              <w:pStyle w:val="179"/>
              <w:spacing w:line="249" w:lineRule="auto"/>
              <w:rPr>
                <w:color w:val="auto"/>
                <w:highlight w:val="none"/>
              </w:rPr>
            </w:pPr>
          </w:p>
          <w:p w14:paraId="5EB62941">
            <w:pPr>
              <w:pStyle w:val="179"/>
              <w:spacing w:line="249" w:lineRule="auto"/>
              <w:rPr>
                <w:color w:val="auto"/>
                <w:highlight w:val="none"/>
              </w:rPr>
            </w:pPr>
          </w:p>
          <w:p w14:paraId="235D573D">
            <w:pPr>
              <w:pStyle w:val="179"/>
              <w:spacing w:line="249" w:lineRule="auto"/>
              <w:rPr>
                <w:color w:val="auto"/>
                <w:highlight w:val="none"/>
              </w:rPr>
            </w:pPr>
          </w:p>
          <w:p w14:paraId="0CE07CB2">
            <w:pPr>
              <w:pStyle w:val="179"/>
              <w:spacing w:line="249" w:lineRule="auto"/>
              <w:rPr>
                <w:color w:val="auto"/>
                <w:highlight w:val="none"/>
              </w:rPr>
            </w:pPr>
          </w:p>
          <w:p w14:paraId="75D2AE0F">
            <w:pPr>
              <w:pStyle w:val="179"/>
              <w:spacing w:line="250" w:lineRule="auto"/>
              <w:rPr>
                <w:color w:val="auto"/>
                <w:highlight w:val="none"/>
              </w:rPr>
            </w:pPr>
          </w:p>
          <w:p w14:paraId="18F79AF1">
            <w:pPr>
              <w:spacing w:before="65" w:line="229" w:lineRule="auto"/>
              <w:ind w:left="80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三、其他要求</w:t>
            </w:r>
          </w:p>
        </w:tc>
        <w:tc>
          <w:tcPr>
            <w:tcW w:w="6404" w:type="dxa"/>
            <w:vAlign w:val="top"/>
          </w:tcPr>
          <w:p w14:paraId="6BC70692">
            <w:pPr>
              <w:spacing w:before="33" w:line="377" w:lineRule="auto"/>
              <w:ind w:left="107" w:right="109"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1、以上服务要求及商务要求均不允许负偏离，如有一项</w:t>
            </w:r>
            <w:r>
              <w:rPr>
                <w:rFonts w:ascii="宋体" w:hAnsi="宋体" w:eastAsia="宋体" w:cs="宋体"/>
                <w:color w:val="auto"/>
                <w:spacing w:val="8"/>
                <w:sz w:val="20"/>
                <w:szCs w:val="20"/>
                <w:highlight w:val="none"/>
              </w:rPr>
              <w:t>则按无效响</w:t>
            </w:r>
            <w:r>
              <w:rPr>
                <w:rFonts w:ascii="宋体" w:hAnsi="宋体" w:eastAsia="宋体" w:cs="宋体"/>
                <w:color w:val="auto"/>
                <w:spacing w:val="5"/>
                <w:sz w:val="20"/>
                <w:szCs w:val="20"/>
                <w:highlight w:val="none"/>
              </w:rPr>
              <w:t>应处理。</w:t>
            </w:r>
          </w:p>
          <w:p w14:paraId="1EBE8119">
            <w:pPr>
              <w:spacing w:before="1" w:line="377" w:lineRule="auto"/>
              <w:ind w:left="107" w:right="109"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2、供应商要配合采购人开展复检。复检结果为最终结果。复检结果</w:t>
            </w:r>
            <w:r>
              <w:rPr>
                <w:rFonts w:ascii="宋体" w:hAnsi="宋体" w:eastAsia="宋体" w:cs="宋体"/>
                <w:color w:val="auto"/>
                <w:spacing w:val="13"/>
                <w:sz w:val="20"/>
                <w:szCs w:val="20"/>
                <w:highlight w:val="none"/>
              </w:rPr>
              <w:t>表明合格的，复检费用由抽样检验的部门承担；复检结论表明不合</w:t>
            </w:r>
            <w:r>
              <w:rPr>
                <w:rFonts w:ascii="宋体" w:hAnsi="宋体" w:eastAsia="宋体" w:cs="宋体"/>
                <w:color w:val="auto"/>
                <w:spacing w:val="9"/>
                <w:sz w:val="20"/>
                <w:szCs w:val="20"/>
                <w:highlight w:val="none"/>
              </w:rPr>
              <w:t>格的，复检费用由要求复检申请人或单位承担。</w:t>
            </w:r>
          </w:p>
          <w:p w14:paraId="5A870D35">
            <w:pPr>
              <w:spacing w:before="1" w:line="376" w:lineRule="auto"/>
              <w:ind w:left="106"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w:t>
            </w:r>
            <w:r>
              <w:rPr>
                <w:rFonts w:hint="eastAsia" w:ascii="宋体" w:hAnsi="宋体" w:eastAsia="宋体" w:cs="宋体"/>
                <w:color w:val="auto"/>
                <w:spacing w:val="9"/>
                <w:sz w:val="20"/>
                <w:szCs w:val="20"/>
                <w:highlight w:val="none"/>
                <w:lang w:eastAsia="zh-CN"/>
              </w:rPr>
              <w:t>供应商需额外计划支持不超过</w:t>
            </w:r>
            <w:r>
              <w:rPr>
                <w:rFonts w:hint="eastAsia" w:ascii="宋体" w:hAnsi="宋体" w:eastAsia="宋体" w:cs="宋体"/>
                <w:color w:val="auto"/>
                <w:spacing w:val="9"/>
                <w:sz w:val="20"/>
                <w:szCs w:val="20"/>
                <w:highlight w:val="none"/>
                <w:lang w:val="en-US" w:eastAsia="zh-CN"/>
              </w:rPr>
              <w:t>50批次的抽检批次作为采购方应急抽检任务使用，</w:t>
            </w:r>
            <w:r>
              <w:rPr>
                <w:rFonts w:ascii="宋体" w:hAnsi="宋体" w:eastAsia="宋体" w:cs="宋体"/>
                <w:color w:val="auto"/>
                <w:spacing w:val="9"/>
                <w:sz w:val="20"/>
                <w:szCs w:val="20"/>
                <w:highlight w:val="none"/>
              </w:rPr>
              <w:t>如采购人出现需要应急抽检的项目，成交供应商需无条件配合采购人的要求。</w:t>
            </w:r>
            <w:r>
              <w:rPr>
                <w:rFonts w:ascii="宋体" w:hAnsi="宋体" w:eastAsia="宋体" w:cs="宋体"/>
                <w:b/>
                <w:bCs/>
                <w:color w:val="auto"/>
                <w:spacing w:val="9"/>
                <w:sz w:val="20"/>
                <w:szCs w:val="20"/>
                <w:highlight w:val="none"/>
              </w:rPr>
              <w:t>（供应商须在响应文件中提供书</w:t>
            </w:r>
            <w:r>
              <w:rPr>
                <w:rFonts w:ascii="宋体" w:hAnsi="宋体" w:eastAsia="宋体" w:cs="宋体"/>
                <w:b/>
                <w:bCs/>
                <w:color w:val="auto"/>
                <w:spacing w:val="8"/>
                <w:sz w:val="20"/>
                <w:szCs w:val="20"/>
                <w:highlight w:val="none"/>
              </w:rPr>
              <w:t>面承诺并加盖供应商</w:t>
            </w:r>
            <w:r>
              <w:rPr>
                <w:rFonts w:ascii="宋体" w:hAnsi="宋体" w:eastAsia="宋体" w:cs="宋体"/>
                <w:b/>
                <w:bCs/>
                <w:color w:val="auto"/>
                <w:spacing w:val="7"/>
                <w:sz w:val="20"/>
                <w:szCs w:val="20"/>
                <w:highlight w:val="none"/>
              </w:rPr>
              <w:t>单位公章，否则按无效响应处理，格式自拟）</w:t>
            </w:r>
          </w:p>
          <w:p w14:paraId="1826F4AA">
            <w:pPr>
              <w:spacing w:before="1" w:line="377" w:lineRule="auto"/>
              <w:ind w:left="107" w:right="3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4、供应商结合自身能力，在响应文件中提供项目整体组织实施</w:t>
            </w:r>
            <w:r>
              <w:rPr>
                <w:rFonts w:ascii="宋体" w:hAnsi="宋体" w:eastAsia="宋体" w:cs="宋体"/>
                <w:color w:val="auto"/>
                <w:spacing w:val="4"/>
                <w:sz w:val="20"/>
                <w:szCs w:val="20"/>
                <w:highlight w:val="none"/>
              </w:rPr>
              <w:t>方案、</w:t>
            </w:r>
            <w:r>
              <w:rPr>
                <w:rFonts w:ascii="宋体" w:hAnsi="宋体" w:eastAsia="宋体" w:cs="宋体"/>
                <w:color w:val="auto"/>
                <w:spacing w:val="9"/>
                <w:sz w:val="20"/>
                <w:szCs w:val="20"/>
                <w:highlight w:val="none"/>
              </w:rPr>
              <w:t>抽样方案、检测方案、工作实施方案以供评审，具体要求详见评审</w:t>
            </w:r>
            <w:r>
              <w:rPr>
                <w:rFonts w:ascii="宋体" w:hAnsi="宋体" w:eastAsia="宋体" w:cs="宋体"/>
                <w:color w:val="auto"/>
                <w:spacing w:val="3"/>
                <w:sz w:val="20"/>
                <w:szCs w:val="20"/>
                <w:highlight w:val="none"/>
              </w:rPr>
              <w:t>标准。</w:t>
            </w:r>
          </w:p>
          <w:p w14:paraId="0B17BA89">
            <w:pPr>
              <w:spacing w:before="1" w:line="376" w:lineRule="auto"/>
              <w:ind w:left="107" w:right="109" w:firstLine="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5、供应商须在响应文件中提供《供应商可以承检的食品监督抽检品种及项目表》并加盖供应商单位电子签章，</w:t>
            </w:r>
            <w:r>
              <w:rPr>
                <w:rFonts w:ascii="宋体" w:hAnsi="宋体" w:eastAsia="宋体" w:cs="宋体"/>
                <w:b/>
                <w:bCs/>
                <w:color w:val="auto"/>
                <w:spacing w:val="9"/>
                <w:sz w:val="20"/>
                <w:szCs w:val="20"/>
                <w:highlight w:val="none"/>
              </w:rPr>
              <w:t>否则按</w:t>
            </w:r>
            <w:r>
              <w:rPr>
                <w:rFonts w:ascii="宋体" w:hAnsi="宋体" w:eastAsia="宋体" w:cs="宋体"/>
                <w:b/>
                <w:bCs/>
                <w:color w:val="auto"/>
                <w:spacing w:val="8"/>
                <w:sz w:val="20"/>
                <w:szCs w:val="20"/>
                <w:highlight w:val="none"/>
              </w:rPr>
              <w:t>无效响应处理。</w:t>
            </w:r>
          </w:p>
          <w:p w14:paraId="0FF9F39A">
            <w:pPr>
              <w:spacing w:before="2" w:line="370" w:lineRule="auto"/>
              <w:ind w:left="107" w:right="109"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6、供应商的履约能力要求：投入人员配置、实验室食品能力验证情况、实验室综合能力证明开展食品抽检任务服务时效性、风险分析服务承诺、实验室内用于食品检验的大型检验仪器设备情况、202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9"/>
                <w:sz w:val="20"/>
                <w:szCs w:val="20"/>
                <w:highlight w:val="none"/>
              </w:rPr>
              <w:t>年度食品（含普通食品和农产品）安全监督抽检情况、与项目相关</w:t>
            </w:r>
            <w:r>
              <w:rPr>
                <w:rFonts w:ascii="宋体" w:hAnsi="宋体" w:eastAsia="宋体" w:cs="宋体"/>
                <w:color w:val="auto"/>
                <w:spacing w:val="7"/>
                <w:sz w:val="20"/>
                <w:szCs w:val="20"/>
                <w:highlight w:val="none"/>
              </w:rPr>
              <w:t>的信誉及业绩（如有）。</w:t>
            </w:r>
          </w:p>
        </w:tc>
      </w:tr>
    </w:tbl>
    <w:p w14:paraId="297120F5">
      <w:pPr>
        <w:rPr>
          <w:color w:val="auto"/>
          <w:szCs w:val="21"/>
          <w:highlight w:val="none"/>
        </w:rPr>
      </w:pPr>
      <w:r>
        <w:rPr>
          <w:color w:val="auto"/>
          <w:szCs w:val="21"/>
          <w:highlight w:val="none"/>
        </w:rPr>
        <w:br w:type="page"/>
      </w:r>
    </w:p>
    <w:p w14:paraId="3906E164">
      <w:pPr>
        <w:pStyle w:val="19"/>
        <w:spacing w:line="229" w:lineRule="auto"/>
        <w:ind w:left="560"/>
        <w:rPr>
          <w:color w:val="auto"/>
          <w:highlight w:val="none"/>
        </w:rPr>
      </w:pPr>
      <w:r>
        <w:rPr>
          <w:b/>
          <w:bCs/>
          <w:color w:val="auto"/>
          <w:spacing w:val="3"/>
          <w:highlight w:val="none"/>
        </w:rPr>
        <w:t>标项三：</w:t>
      </w:r>
    </w:p>
    <w:p w14:paraId="148895D9">
      <w:pPr>
        <w:spacing w:line="92" w:lineRule="exact"/>
        <w:rPr>
          <w:color w:val="auto"/>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51DA7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7" w:hRule="atLeast"/>
        </w:trPr>
        <w:tc>
          <w:tcPr>
            <w:tcW w:w="9265" w:type="dxa"/>
            <w:gridSpan w:val="5"/>
            <w:vAlign w:val="top"/>
          </w:tcPr>
          <w:p w14:paraId="1A71735F">
            <w:pPr>
              <w:pStyle w:val="179"/>
              <w:spacing w:before="135" w:line="228" w:lineRule="auto"/>
              <w:ind w:left="117"/>
              <w:rPr>
                <w:color w:val="auto"/>
                <w:highlight w:val="none"/>
              </w:rPr>
            </w:pPr>
            <w:r>
              <w:rPr>
                <w:color w:val="auto"/>
                <w:spacing w:val="6"/>
                <w:highlight w:val="none"/>
              </w:rPr>
              <w:t>▲</w:t>
            </w:r>
            <w:r>
              <w:rPr>
                <w:b/>
                <w:bCs/>
                <w:color w:val="auto"/>
                <w:spacing w:val="6"/>
                <w:highlight w:val="none"/>
              </w:rPr>
              <w:t>一、技术要求</w:t>
            </w:r>
          </w:p>
        </w:tc>
      </w:tr>
      <w:tr w14:paraId="25851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7" w:hRule="atLeast"/>
        </w:trPr>
        <w:tc>
          <w:tcPr>
            <w:tcW w:w="655" w:type="dxa"/>
            <w:vAlign w:val="top"/>
          </w:tcPr>
          <w:p w14:paraId="60EF84E3">
            <w:pPr>
              <w:spacing w:line="265" w:lineRule="auto"/>
              <w:rPr>
                <w:rFonts w:ascii="Arial"/>
                <w:color w:val="auto"/>
                <w:sz w:val="21"/>
                <w:highlight w:val="none"/>
              </w:rPr>
            </w:pPr>
          </w:p>
          <w:p w14:paraId="24DAEC5E">
            <w:pPr>
              <w:spacing w:line="265" w:lineRule="auto"/>
              <w:rPr>
                <w:rFonts w:ascii="Arial"/>
                <w:color w:val="auto"/>
                <w:sz w:val="21"/>
                <w:highlight w:val="none"/>
              </w:rPr>
            </w:pPr>
          </w:p>
          <w:p w14:paraId="2614232C">
            <w:pPr>
              <w:pStyle w:val="179"/>
              <w:spacing w:before="65" w:line="230" w:lineRule="auto"/>
              <w:ind w:left="119"/>
              <w:rPr>
                <w:color w:val="auto"/>
                <w:highlight w:val="none"/>
              </w:rPr>
            </w:pPr>
            <w:r>
              <w:rPr>
                <w:color w:val="auto"/>
                <w:spacing w:val="5"/>
                <w:highlight w:val="none"/>
              </w:rPr>
              <w:t>序号</w:t>
            </w:r>
          </w:p>
        </w:tc>
        <w:tc>
          <w:tcPr>
            <w:tcW w:w="873" w:type="dxa"/>
            <w:vAlign w:val="top"/>
          </w:tcPr>
          <w:p w14:paraId="5669A517">
            <w:pPr>
              <w:spacing w:line="297" w:lineRule="auto"/>
              <w:rPr>
                <w:rFonts w:ascii="Arial"/>
                <w:color w:val="auto"/>
                <w:sz w:val="21"/>
                <w:highlight w:val="none"/>
              </w:rPr>
            </w:pPr>
          </w:p>
          <w:p w14:paraId="1420A621">
            <w:pPr>
              <w:pStyle w:val="179"/>
              <w:spacing w:before="65" w:line="434" w:lineRule="auto"/>
              <w:ind w:left="230" w:right="124" w:hanging="107"/>
              <w:rPr>
                <w:color w:val="auto"/>
                <w:highlight w:val="none"/>
              </w:rPr>
            </w:pPr>
            <w:r>
              <w:rPr>
                <w:color w:val="auto"/>
                <w:spacing w:val="6"/>
                <w:highlight w:val="none"/>
              </w:rPr>
              <w:t>标的的</w:t>
            </w:r>
            <w:r>
              <w:rPr>
                <w:color w:val="auto"/>
                <w:spacing w:val="3"/>
                <w:highlight w:val="none"/>
              </w:rPr>
              <w:t>名称</w:t>
            </w:r>
          </w:p>
        </w:tc>
        <w:tc>
          <w:tcPr>
            <w:tcW w:w="663" w:type="dxa"/>
            <w:vAlign w:val="top"/>
          </w:tcPr>
          <w:p w14:paraId="0CADFF25">
            <w:pPr>
              <w:pStyle w:val="179"/>
              <w:spacing w:before="131" w:line="228" w:lineRule="auto"/>
              <w:ind w:left="125"/>
              <w:rPr>
                <w:color w:val="auto"/>
                <w:highlight w:val="none"/>
              </w:rPr>
            </w:pPr>
            <w:r>
              <w:rPr>
                <w:color w:val="auto"/>
                <w:spacing w:val="3"/>
                <w:highlight w:val="none"/>
              </w:rPr>
              <w:t>数量</w:t>
            </w:r>
          </w:p>
          <w:p w14:paraId="566FEB3A">
            <w:pPr>
              <w:pStyle w:val="179"/>
              <w:spacing w:before="221" w:line="368" w:lineRule="auto"/>
              <w:ind w:left="228" w:right="125" w:hanging="106"/>
              <w:rPr>
                <w:color w:val="auto"/>
                <w:highlight w:val="none"/>
              </w:rPr>
            </w:pPr>
            <w:r>
              <w:rPr>
                <w:color w:val="auto"/>
                <w:spacing w:val="5"/>
                <w:highlight w:val="none"/>
              </w:rPr>
              <w:t>及单</w:t>
            </w:r>
            <w:r>
              <w:rPr>
                <w:color w:val="auto"/>
                <w:highlight w:val="none"/>
              </w:rPr>
              <w:t>位</w:t>
            </w:r>
          </w:p>
        </w:tc>
        <w:tc>
          <w:tcPr>
            <w:tcW w:w="683" w:type="dxa"/>
            <w:vAlign w:val="top"/>
          </w:tcPr>
          <w:p w14:paraId="0AB3B1D6">
            <w:pPr>
              <w:spacing w:line="296" w:lineRule="auto"/>
              <w:rPr>
                <w:rFonts w:ascii="Arial"/>
                <w:color w:val="auto"/>
                <w:sz w:val="21"/>
                <w:highlight w:val="none"/>
              </w:rPr>
            </w:pPr>
          </w:p>
          <w:p w14:paraId="1944E6C8">
            <w:pPr>
              <w:pStyle w:val="179"/>
              <w:spacing w:before="65" w:line="434" w:lineRule="auto"/>
              <w:ind w:left="137" w:right="133" w:hanging="3"/>
              <w:rPr>
                <w:color w:val="auto"/>
                <w:highlight w:val="none"/>
              </w:rPr>
            </w:pPr>
            <w:r>
              <w:rPr>
                <w:color w:val="auto"/>
                <w:spacing w:val="4"/>
                <w:highlight w:val="none"/>
              </w:rPr>
              <w:t>所属</w:t>
            </w:r>
            <w:r>
              <w:rPr>
                <w:color w:val="auto"/>
                <w:spacing w:val="3"/>
                <w:highlight w:val="none"/>
              </w:rPr>
              <w:t>行业</w:t>
            </w:r>
          </w:p>
        </w:tc>
        <w:tc>
          <w:tcPr>
            <w:tcW w:w="6391" w:type="dxa"/>
            <w:vAlign w:val="top"/>
          </w:tcPr>
          <w:p w14:paraId="6ACC9E76">
            <w:pPr>
              <w:spacing w:line="265" w:lineRule="auto"/>
              <w:rPr>
                <w:rFonts w:ascii="Arial"/>
                <w:color w:val="auto"/>
                <w:sz w:val="21"/>
                <w:highlight w:val="none"/>
              </w:rPr>
            </w:pPr>
          </w:p>
          <w:p w14:paraId="5F1F02AC">
            <w:pPr>
              <w:spacing w:line="266" w:lineRule="auto"/>
              <w:rPr>
                <w:rFonts w:ascii="Arial"/>
                <w:color w:val="auto"/>
                <w:sz w:val="21"/>
                <w:highlight w:val="none"/>
              </w:rPr>
            </w:pPr>
          </w:p>
          <w:p w14:paraId="45DC4C2D">
            <w:pPr>
              <w:pStyle w:val="179"/>
              <w:spacing w:before="65" w:line="228" w:lineRule="auto"/>
              <w:ind w:left="2775"/>
              <w:rPr>
                <w:color w:val="auto"/>
                <w:highlight w:val="none"/>
              </w:rPr>
            </w:pPr>
            <w:r>
              <w:rPr>
                <w:color w:val="auto"/>
                <w:spacing w:val="7"/>
                <w:highlight w:val="none"/>
              </w:rPr>
              <w:t>服务要求</w:t>
            </w:r>
          </w:p>
        </w:tc>
      </w:tr>
      <w:tr w14:paraId="6B784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3" w:hRule="atLeast"/>
        </w:trPr>
        <w:tc>
          <w:tcPr>
            <w:tcW w:w="655" w:type="dxa"/>
            <w:vAlign w:val="top"/>
          </w:tcPr>
          <w:p w14:paraId="22BEE9BF">
            <w:pPr>
              <w:spacing w:line="245" w:lineRule="auto"/>
              <w:rPr>
                <w:rFonts w:ascii="Arial"/>
                <w:color w:val="auto"/>
                <w:sz w:val="21"/>
                <w:highlight w:val="none"/>
              </w:rPr>
            </w:pPr>
          </w:p>
          <w:p w14:paraId="1396C2C4">
            <w:pPr>
              <w:spacing w:line="245" w:lineRule="auto"/>
              <w:rPr>
                <w:rFonts w:ascii="Arial"/>
                <w:color w:val="auto"/>
                <w:sz w:val="21"/>
                <w:highlight w:val="none"/>
              </w:rPr>
            </w:pPr>
          </w:p>
          <w:p w14:paraId="663DE35C">
            <w:pPr>
              <w:spacing w:line="246" w:lineRule="auto"/>
              <w:rPr>
                <w:rFonts w:ascii="Arial"/>
                <w:color w:val="auto"/>
                <w:sz w:val="21"/>
                <w:highlight w:val="none"/>
              </w:rPr>
            </w:pPr>
          </w:p>
          <w:p w14:paraId="0AE5617F">
            <w:pPr>
              <w:spacing w:line="246" w:lineRule="auto"/>
              <w:rPr>
                <w:rFonts w:ascii="Arial"/>
                <w:color w:val="auto"/>
                <w:sz w:val="21"/>
                <w:highlight w:val="none"/>
              </w:rPr>
            </w:pPr>
          </w:p>
          <w:p w14:paraId="7E8ACFD1">
            <w:pPr>
              <w:spacing w:line="246" w:lineRule="auto"/>
              <w:rPr>
                <w:rFonts w:ascii="Arial"/>
                <w:color w:val="auto"/>
                <w:sz w:val="21"/>
                <w:highlight w:val="none"/>
              </w:rPr>
            </w:pPr>
          </w:p>
          <w:p w14:paraId="4CF5B4F5">
            <w:pPr>
              <w:pStyle w:val="179"/>
              <w:spacing w:before="65" w:line="271" w:lineRule="exact"/>
              <w:ind w:left="294"/>
              <w:rPr>
                <w:color w:val="auto"/>
                <w:highlight w:val="none"/>
              </w:rPr>
            </w:pPr>
            <w:r>
              <w:rPr>
                <w:color w:val="auto"/>
                <w:position w:val="1"/>
                <w:highlight w:val="none"/>
              </w:rPr>
              <w:t>1</w:t>
            </w:r>
          </w:p>
        </w:tc>
        <w:tc>
          <w:tcPr>
            <w:tcW w:w="873" w:type="dxa"/>
            <w:vAlign w:val="top"/>
          </w:tcPr>
          <w:p w14:paraId="40EC1324">
            <w:pPr>
              <w:pStyle w:val="179"/>
              <w:spacing w:before="132" w:line="228" w:lineRule="auto"/>
              <w:ind w:left="108"/>
              <w:rPr>
                <w:color w:val="auto"/>
                <w:highlight w:val="none"/>
              </w:rPr>
            </w:pPr>
            <w:r>
              <w:rPr>
                <w:color w:val="auto"/>
                <w:spacing w:val="2"/>
                <w:highlight w:val="none"/>
              </w:rPr>
              <w:t>202</w:t>
            </w:r>
            <w:r>
              <w:rPr>
                <w:rFonts w:hint="eastAsia"/>
                <w:color w:val="auto"/>
                <w:spacing w:val="2"/>
                <w:highlight w:val="none"/>
                <w:lang w:val="en-US" w:eastAsia="zh-CN"/>
              </w:rPr>
              <w:t>6</w:t>
            </w:r>
            <w:r>
              <w:rPr>
                <w:color w:val="auto"/>
                <w:spacing w:val="2"/>
                <w:highlight w:val="none"/>
              </w:rPr>
              <w:t>年</w:t>
            </w:r>
          </w:p>
          <w:p w14:paraId="32C14531">
            <w:pPr>
              <w:pStyle w:val="179"/>
              <w:spacing w:before="220" w:line="229" w:lineRule="auto"/>
              <w:ind w:left="121"/>
              <w:rPr>
                <w:color w:val="auto"/>
                <w:highlight w:val="none"/>
              </w:rPr>
            </w:pPr>
            <w:r>
              <w:rPr>
                <w:color w:val="auto"/>
                <w:spacing w:val="7"/>
                <w:highlight w:val="none"/>
              </w:rPr>
              <w:t>港口片</w:t>
            </w:r>
          </w:p>
          <w:p w14:paraId="63EF841A">
            <w:pPr>
              <w:pStyle w:val="179"/>
              <w:spacing w:before="219" w:line="229" w:lineRule="auto"/>
              <w:ind w:left="138"/>
              <w:rPr>
                <w:color w:val="auto"/>
                <w:highlight w:val="none"/>
              </w:rPr>
            </w:pPr>
            <w:r>
              <w:rPr>
                <w:color w:val="auto"/>
                <w:spacing w:val="1"/>
                <w:highlight w:val="none"/>
              </w:rPr>
              <w:t>区食品</w:t>
            </w:r>
          </w:p>
          <w:p w14:paraId="165DB767">
            <w:pPr>
              <w:pStyle w:val="179"/>
              <w:spacing w:before="220" w:line="230" w:lineRule="auto"/>
              <w:ind w:left="126"/>
              <w:rPr>
                <w:color w:val="auto"/>
                <w:highlight w:val="none"/>
              </w:rPr>
            </w:pPr>
            <w:r>
              <w:rPr>
                <w:color w:val="auto"/>
                <w:spacing w:val="5"/>
                <w:highlight w:val="none"/>
              </w:rPr>
              <w:t>安全监</w:t>
            </w:r>
          </w:p>
          <w:p w14:paraId="31435EF4">
            <w:pPr>
              <w:pStyle w:val="179"/>
              <w:spacing w:before="219" w:line="228" w:lineRule="auto"/>
              <w:ind w:left="126"/>
              <w:rPr>
                <w:color w:val="auto"/>
                <w:highlight w:val="none"/>
              </w:rPr>
            </w:pPr>
            <w:r>
              <w:rPr>
                <w:color w:val="auto"/>
                <w:spacing w:val="5"/>
                <w:highlight w:val="none"/>
              </w:rPr>
              <w:t>督抽检</w:t>
            </w:r>
          </w:p>
          <w:p w14:paraId="44760A59">
            <w:pPr>
              <w:pStyle w:val="179"/>
              <w:spacing w:before="221" w:line="228" w:lineRule="auto"/>
              <w:ind w:left="228"/>
              <w:rPr>
                <w:color w:val="auto"/>
                <w:highlight w:val="none"/>
              </w:rPr>
            </w:pPr>
            <w:r>
              <w:rPr>
                <w:color w:val="auto"/>
                <w:spacing w:val="4"/>
                <w:highlight w:val="none"/>
              </w:rPr>
              <w:t>服务</w:t>
            </w:r>
          </w:p>
        </w:tc>
        <w:tc>
          <w:tcPr>
            <w:tcW w:w="663" w:type="dxa"/>
            <w:vAlign w:val="top"/>
          </w:tcPr>
          <w:p w14:paraId="05E32689">
            <w:pPr>
              <w:spacing w:line="245" w:lineRule="auto"/>
              <w:rPr>
                <w:rFonts w:ascii="Arial"/>
                <w:color w:val="auto"/>
                <w:sz w:val="21"/>
                <w:highlight w:val="none"/>
              </w:rPr>
            </w:pPr>
          </w:p>
          <w:p w14:paraId="6A36266D">
            <w:pPr>
              <w:spacing w:line="245" w:lineRule="auto"/>
              <w:rPr>
                <w:rFonts w:ascii="Arial"/>
                <w:color w:val="auto"/>
                <w:sz w:val="21"/>
                <w:highlight w:val="none"/>
              </w:rPr>
            </w:pPr>
          </w:p>
          <w:p w14:paraId="556C4270">
            <w:pPr>
              <w:spacing w:line="246" w:lineRule="auto"/>
              <w:rPr>
                <w:rFonts w:ascii="Arial"/>
                <w:color w:val="auto"/>
                <w:sz w:val="21"/>
                <w:highlight w:val="none"/>
              </w:rPr>
            </w:pPr>
          </w:p>
          <w:p w14:paraId="63A17A18">
            <w:pPr>
              <w:spacing w:line="246" w:lineRule="auto"/>
              <w:rPr>
                <w:rFonts w:ascii="Arial"/>
                <w:color w:val="auto"/>
                <w:sz w:val="21"/>
                <w:highlight w:val="none"/>
              </w:rPr>
            </w:pPr>
          </w:p>
          <w:p w14:paraId="5B2BAE57">
            <w:pPr>
              <w:spacing w:line="246" w:lineRule="auto"/>
              <w:rPr>
                <w:rFonts w:ascii="Arial"/>
                <w:color w:val="auto"/>
                <w:sz w:val="21"/>
                <w:highlight w:val="none"/>
              </w:rPr>
            </w:pPr>
          </w:p>
          <w:p w14:paraId="6CB0D8D0">
            <w:pPr>
              <w:pStyle w:val="179"/>
              <w:spacing w:before="65" w:line="229" w:lineRule="auto"/>
              <w:ind w:left="165"/>
              <w:rPr>
                <w:color w:val="auto"/>
                <w:highlight w:val="none"/>
              </w:rPr>
            </w:pPr>
            <w:r>
              <w:rPr>
                <w:color w:val="auto"/>
                <w:spacing w:val="-10"/>
                <w:highlight w:val="none"/>
              </w:rPr>
              <w:t>1</w:t>
            </w:r>
            <w:r>
              <w:rPr>
                <w:color w:val="auto"/>
                <w:spacing w:val="-38"/>
                <w:highlight w:val="none"/>
              </w:rPr>
              <w:t xml:space="preserve"> </w:t>
            </w:r>
            <w:r>
              <w:rPr>
                <w:color w:val="auto"/>
                <w:spacing w:val="-10"/>
                <w:highlight w:val="none"/>
              </w:rPr>
              <w:t>项</w:t>
            </w:r>
          </w:p>
        </w:tc>
        <w:tc>
          <w:tcPr>
            <w:tcW w:w="683" w:type="dxa"/>
            <w:vAlign w:val="top"/>
          </w:tcPr>
          <w:p w14:paraId="0184E97B">
            <w:pPr>
              <w:spacing w:line="265" w:lineRule="auto"/>
              <w:rPr>
                <w:rFonts w:ascii="Arial"/>
                <w:color w:val="auto"/>
                <w:sz w:val="21"/>
                <w:highlight w:val="none"/>
              </w:rPr>
            </w:pPr>
          </w:p>
          <w:p w14:paraId="72E785AD">
            <w:pPr>
              <w:spacing w:line="266" w:lineRule="auto"/>
              <w:rPr>
                <w:rFonts w:ascii="Arial"/>
                <w:color w:val="auto"/>
                <w:sz w:val="21"/>
                <w:highlight w:val="none"/>
              </w:rPr>
            </w:pPr>
          </w:p>
          <w:p w14:paraId="3DC9E4CF">
            <w:pPr>
              <w:pStyle w:val="179"/>
              <w:spacing w:before="65" w:line="436" w:lineRule="auto"/>
              <w:ind w:left="137" w:right="133" w:hanging="2"/>
              <w:jc w:val="both"/>
              <w:rPr>
                <w:color w:val="auto"/>
                <w:highlight w:val="none"/>
              </w:rPr>
            </w:pPr>
            <w:r>
              <w:rPr>
                <w:color w:val="auto"/>
                <w:spacing w:val="4"/>
                <w:highlight w:val="none"/>
              </w:rPr>
              <w:t>其他</w:t>
            </w:r>
            <w:r>
              <w:rPr>
                <w:color w:val="auto"/>
                <w:spacing w:val="3"/>
                <w:highlight w:val="none"/>
              </w:rPr>
              <w:t>未列明行</w:t>
            </w:r>
            <w:r>
              <w:rPr>
                <w:color w:val="auto"/>
                <w:spacing w:val="28"/>
                <w:w w:val="136"/>
                <w:highlight w:val="none"/>
              </w:rPr>
              <w:t>业</w:t>
            </w:r>
          </w:p>
        </w:tc>
        <w:tc>
          <w:tcPr>
            <w:tcW w:w="6391" w:type="dxa"/>
            <w:vAlign w:val="top"/>
          </w:tcPr>
          <w:p w14:paraId="5127A0B8">
            <w:pPr>
              <w:pStyle w:val="179"/>
              <w:spacing w:before="123" w:line="228" w:lineRule="auto"/>
              <w:ind w:left="117"/>
              <w:rPr>
                <w:b/>
                <w:bCs/>
                <w:color w:val="auto"/>
                <w:spacing w:val="8"/>
                <w:highlight w:val="none"/>
              </w:rPr>
            </w:pPr>
            <w:r>
              <w:rPr>
                <w:b/>
                <w:bCs/>
                <w:color w:val="auto"/>
                <w:spacing w:val="8"/>
                <w:highlight w:val="none"/>
              </w:rPr>
              <w:t>（一）抽检监测任务分配</w:t>
            </w:r>
            <w:r>
              <w:rPr>
                <w:b/>
                <w:bCs/>
                <w:color w:val="auto"/>
                <w:spacing w:val="-2"/>
                <w:highlight w:val="none"/>
              </w:rPr>
              <w:t>：（</w:t>
            </w:r>
            <w:r>
              <w:rPr>
                <w:b/>
                <w:bCs/>
                <w:color w:val="auto"/>
                <w:spacing w:val="8"/>
                <w:highlight w:val="none"/>
              </w:rPr>
              <w:t>单位：批次）</w:t>
            </w:r>
          </w:p>
          <w:tbl>
            <w:tblPr>
              <w:tblStyle w:val="178"/>
              <w:tblW w:w="5854" w:type="dxa"/>
              <w:tblInd w:w="2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9"/>
              <w:gridCol w:w="599"/>
              <w:gridCol w:w="417"/>
              <w:gridCol w:w="468"/>
              <w:gridCol w:w="544"/>
              <w:gridCol w:w="604"/>
              <w:gridCol w:w="450"/>
              <w:gridCol w:w="569"/>
              <w:gridCol w:w="628"/>
              <w:gridCol w:w="1146"/>
            </w:tblGrid>
            <w:tr w14:paraId="7AE9A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9" w:hRule="atLeast"/>
              </w:trPr>
              <w:tc>
                <w:tcPr>
                  <w:tcW w:w="429" w:type="dxa"/>
                  <w:textDirection w:val="tbRlV"/>
                  <w:vAlign w:val="top"/>
                </w:tcPr>
                <w:p w14:paraId="4E5F0052">
                  <w:pPr>
                    <w:pStyle w:val="179"/>
                    <w:spacing w:before="109" w:line="218" w:lineRule="auto"/>
                    <w:ind w:left="679"/>
                    <w:rPr>
                      <w:color w:val="auto"/>
                      <w:highlight w:val="none"/>
                    </w:rPr>
                  </w:pPr>
                  <w:r>
                    <w:rPr>
                      <w:color w:val="auto"/>
                      <w:spacing w:val="7"/>
                      <w:highlight w:val="none"/>
                    </w:rPr>
                    <w:t>序 号</w:t>
                  </w:r>
                </w:p>
              </w:tc>
              <w:tc>
                <w:tcPr>
                  <w:tcW w:w="599" w:type="dxa"/>
                  <w:textDirection w:val="tbRlV"/>
                  <w:vAlign w:val="top"/>
                </w:tcPr>
                <w:p w14:paraId="372B277B">
                  <w:pPr>
                    <w:pStyle w:val="179"/>
                    <w:spacing w:before="139" w:line="216" w:lineRule="auto"/>
                    <w:ind w:left="367"/>
                    <w:rPr>
                      <w:color w:val="auto"/>
                      <w:highlight w:val="none"/>
                    </w:rPr>
                  </w:pPr>
                  <w:r>
                    <w:rPr>
                      <w:color w:val="auto"/>
                      <w:spacing w:val="6"/>
                      <w:highlight w:val="none"/>
                    </w:rPr>
                    <w:t>任 务 类 型</w:t>
                  </w:r>
                </w:p>
              </w:tc>
              <w:tc>
                <w:tcPr>
                  <w:tcW w:w="417" w:type="dxa"/>
                  <w:textDirection w:val="tbRlV"/>
                  <w:vAlign w:val="top"/>
                </w:tcPr>
                <w:p w14:paraId="4C003DA4">
                  <w:pPr>
                    <w:pStyle w:val="179"/>
                    <w:spacing w:before="162" w:line="216" w:lineRule="auto"/>
                    <w:ind w:left="367"/>
                    <w:rPr>
                      <w:color w:val="auto"/>
                      <w:highlight w:val="none"/>
                    </w:rPr>
                  </w:pPr>
                  <w:r>
                    <w:rPr>
                      <w:color w:val="auto"/>
                      <w:spacing w:val="6"/>
                      <w:highlight w:val="none"/>
                    </w:rPr>
                    <w:t>生 产 环 节</w:t>
                  </w:r>
                </w:p>
              </w:tc>
              <w:tc>
                <w:tcPr>
                  <w:tcW w:w="468" w:type="dxa"/>
                  <w:textDirection w:val="tbRlV"/>
                  <w:vAlign w:val="top"/>
                </w:tcPr>
                <w:p w14:paraId="2D3DDE2C">
                  <w:pPr>
                    <w:pStyle w:val="179"/>
                    <w:spacing w:before="132" w:line="216" w:lineRule="auto"/>
                    <w:ind w:left="367"/>
                    <w:rPr>
                      <w:color w:val="auto"/>
                      <w:highlight w:val="none"/>
                    </w:rPr>
                  </w:pPr>
                  <w:r>
                    <w:rPr>
                      <w:color w:val="auto"/>
                      <w:spacing w:val="6"/>
                      <w:highlight w:val="none"/>
                    </w:rPr>
                    <w:t>销 售 环 节</w:t>
                  </w:r>
                </w:p>
              </w:tc>
              <w:tc>
                <w:tcPr>
                  <w:tcW w:w="544" w:type="dxa"/>
                  <w:textDirection w:val="tbRlV"/>
                  <w:vAlign w:val="top"/>
                </w:tcPr>
                <w:p w14:paraId="539F8398">
                  <w:pPr>
                    <w:pStyle w:val="179"/>
                    <w:spacing w:before="169" w:line="216" w:lineRule="auto"/>
                    <w:ind w:left="367"/>
                    <w:rPr>
                      <w:color w:val="auto"/>
                      <w:highlight w:val="none"/>
                    </w:rPr>
                  </w:pPr>
                  <w:r>
                    <w:rPr>
                      <w:color w:val="auto"/>
                      <w:spacing w:val="6"/>
                      <w:highlight w:val="none"/>
                    </w:rPr>
                    <w:t>餐 饮 环 节</w:t>
                  </w:r>
                </w:p>
              </w:tc>
              <w:tc>
                <w:tcPr>
                  <w:tcW w:w="604" w:type="dxa"/>
                  <w:textDirection w:val="tbRlV"/>
                  <w:vAlign w:val="top"/>
                </w:tcPr>
                <w:p w14:paraId="1B9DBD68">
                  <w:pPr>
                    <w:pStyle w:val="179"/>
                    <w:spacing w:before="197" w:line="216" w:lineRule="auto"/>
                    <w:ind w:left="211"/>
                    <w:rPr>
                      <w:color w:val="auto"/>
                      <w:highlight w:val="none"/>
                    </w:rPr>
                  </w:pPr>
                  <w:r>
                    <w:rPr>
                      <w:color w:val="auto"/>
                      <w:spacing w:val="6"/>
                      <w:highlight w:val="none"/>
                    </w:rPr>
                    <w:t>区 级 农 产 品</w:t>
                  </w:r>
                </w:p>
              </w:tc>
              <w:tc>
                <w:tcPr>
                  <w:tcW w:w="450" w:type="dxa"/>
                  <w:textDirection w:val="tbRlV"/>
                  <w:vAlign w:val="top"/>
                </w:tcPr>
                <w:p w14:paraId="00F2418F">
                  <w:pPr>
                    <w:pStyle w:val="179"/>
                    <w:spacing w:before="121" w:line="216" w:lineRule="auto"/>
                    <w:ind w:left="55"/>
                    <w:rPr>
                      <w:color w:val="auto"/>
                      <w:highlight w:val="none"/>
                    </w:rPr>
                  </w:pPr>
                  <w:r>
                    <w:rPr>
                      <w:color w:val="auto"/>
                      <w:spacing w:val="6"/>
                      <w:highlight w:val="none"/>
                    </w:rPr>
                    <w:t>市 级 农 产 品</w:t>
                  </w:r>
                </w:p>
              </w:tc>
              <w:tc>
                <w:tcPr>
                  <w:tcW w:w="569" w:type="dxa"/>
                  <w:textDirection w:val="tbRlV"/>
                  <w:vAlign w:val="top"/>
                </w:tcPr>
                <w:p w14:paraId="14444FF7">
                  <w:pPr>
                    <w:pStyle w:val="179"/>
                    <w:spacing w:before="180" w:line="216" w:lineRule="auto"/>
                    <w:ind w:left="55"/>
                    <w:rPr>
                      <w:color w:val="auto"/>
                      <w:highlight w:val="none"/>
                    </w:rPr>
                  </w:pPr>
                  <w:r>
                    <w:rPr>
                      <w:color w:val="auto"/>
                      <w:spacing w:val="6"/>
                      <w:highlight w:val="none"/>
                    </w:rPr>
                    <w:t>市 级 普 通 食 品</w:t>
                  </w:r>
                </w:p>
              </w:tc>
              <w:tc>
                <w:tcPr>
                  <w:tcW w:w="628" w:type="dxa"/>
                  <w:textDirection w:val="tbRlV"/>
                  <w:vAlign w:val="top"/>
                </w:tcPr>
                <w:p w14:paraId="46B19019">
                  <w:pPr>
                    <w:pStyle w:val="179"/>
                    <w:spacing w:before="207" w:line="217" w:lineRule="auto"/>
                    <w:ind w:left="679"/>
                    <w:rPr>
                      <w:color w:val="auto"/>
                      <w:highlight w:val="none"/>
                    </w:rPr>
                  </w:pPr>
                  <w:r>
                    <w:rPr>
                      <w:color w:val="auto"/>
                      <w:spacing w:val="7"/>
                      <w:highlight w:val="none"/>
                    </w:rPr>
                    <w:t>合 计</w:t>
                  </w:r>
                </w:p>
              </w:tc>
              <w:tc>
                <w:tcPr>
                  <w:tcW w:w="1146" w:type="dxa"/>
                  <w:vAlign w:val="top"/>
                </w:tcPr>
                <w:p w14:paraId="342D3370">
                  <w:pPr>
                    <w:spacing w:line="255" w:lineRule="auto"/>
                    <w:rPr>
                      <w:rFonts w:ascii="Arial"/>
                      <w:color w:val="auto"/>
                      <w:sz w:val="21"/>
                      <w:highlight w:val="none"/>
                    </w:rPr>
                  </w:pPr>
                </w:p>
                <w:p w14:paraId="5528B8D6">
                  <w:pPr>
                    <w:spacing w:line="255" w:lineRule="auto"/>
                    <w:rPr>
                      <w:rFonts w:ascii="Arial"/>
                      <w:color w:val="auto"/>
                      <w:sz w:val="21"/>
                      <w:highlight w:val="none"/>
                    </w:rPr>
                  </w:pPr>
                </w:p>
                <w:p w14:paraId="70FB92C3">
                  <w:pPr>
                    <w:spacing w:line="255" w:lineRule="auto"/>
                    <w:rPr>
                      <w:rFonts w:ascii="Arial"/>
                      <w:color w:val="auto"/>
                      <w:sz w:val="21"/>
                      <w:highlight w:val="none"/>
                    </w:rPr>
                  </w:pPr>
                </w:p>
                <w:p w14:paraId="341EB0C4">
                  <w:pPr>
                    <w:pStyle w:val="179"/>
                    <w:spacing w:before="65" w:line="230" w:lineRule="auto"/>
                    <w:ind w:left="368"/>
                    <w:rPr>
                      <w:color w:val="auto"/>
                      <w:highlight w:val="none"/>
                    </w:rPr>
                  </w:pPr>
                  <w:r>
                    <w:rPr>
                      <w:color w:val="auto"/>
                      <w:spacing w:val="3"/>
                      <w:highlight w:val="none"/>
                    </w:rPr>
                    <w:t>备注</w:t>
                  </w:r>
                </w:p>
              </w:tc>
            </w:tr>
            <w:tr w14:paraId="069451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5" w:hRule="atLeast"/>
              </w:trPr>
              <w:tc>
                <w:tcPr>
                  <w:tcW w:w="429" w:type="dxa"/>
                  <w:vAlign w:val="top"/>
                </w:tcPr>
                <w:p w14:paraId="186FB6CE">
                  <w:pPr>
                    <w:spacing w:line="304" w:lineRule="auto"/>
                    <w:rPr>
                      <w:rFonts w:ascii="Arial"/>
                      <w:color w:val="auto"/>
                      <w:sz w:val="21"/>
                      <w:highlight w:val="none"/>
                    </w:rPr>
                  </w:pPr>
                </w:p>
                <w:p w14:paraId="3AB6C53B">
                  <w:pPr>
                    <w:spacing w:line="304" w:lineRule="auto"/>
                    <w:rPr>
                      <w:rFonts w:ascii="Arial"/>
                      <w:color w:val="auto"/>
                      <w:sz w:val="21"/>
                      <w:highlight w:val="none"/>
                    </w:rPr>
                  </w:pPr>
                </w:p>
                <w:p w14:paraId="582EA105">
                  <w:pPr>
                    <w:pStyle w:val="179"/>
                    <w:spacing w:before="65" w:line="271" w:lineRule="exact"/>
                    <w:ind w:left="179"/>
                    <w:rPr>
                      <w:color w:val="auto"/>
                      <w:highlight w:val="none"/>
                    </w:rPr>
                  </w:pPr>
                  <w:r>
                    <w:rPr>
                      <w:color w:val="auto"/>
                      <w:position w:val="1"/>
                      <w:highlight w:val="none"/>
                    </w:rPr>
                    <w:t>1</w:t>
                  </w:r>
                </w:p>
              </w:tc>
              <w:tc>
                <w:tcPr>
                  <w:tcW w:w="599" w:type="dxa"/>
                  <w:textDirection w:val="tbRlV"/>
                  <w:vAlign w:val="top"/>
                </w:tcPr>
                <w:p w14:paraId="387F96D7">
                  <w:pPr>
                    <w:pStyle w:val="179"/>
                    <w:spacing w:before="138" w:line="207" w:lineRule="auto"/>
                    <w:ind w:left="53"/>
                    <w:rPr>
                      <w:color w:val="auto"/>
                      <w:highlight w:val="none"/>
                    </w:rPr>
                  </w:pPr>
                  <w:r>
                    <w:rPr>
                      <w:color w:val="auto"/>
                      <w:spacing w:val="6"/>
                      <w:position w:val="1"/>
                      <w:highlight w:val="none"/>
                    </w:rPr>
                    <w:t xml:space="preserve">自 </w:t>
                  </w:r>
                  <w:r>
                    <w:rPr>
                      <w:color w:val="auto"/>
                      <w:spacing w:val="6"/>
                      <w:highlight w:val="none"/>
                    </w:rPr>
                    <w:t>治 区 转 移</w:t>
                  </w:r>
                </w:p>
              </w:tc>
              <w:tc>
                <w:tcPr>
                  <w:tcW w:w="417" w:type="dxa"/>
                  <w:vAlign w:val="top"/>
                </w:tcPr>
                <w:p w14:paraId="1899B1AF">
                  <w:pPr>
                    <w:spacing w:line="304" w:lineRule="auto"/>
                    <w:rPr>
                      <w:rFonts w:ascii="Arial"/>
                      <w:color w:val="auto"/>
                      <w:sz w:val="21"/>
                      <w:highlight w:val="none"/>
                    </w:rPr>
                  </w:pPr>
                </w:p>
                <w:p w14:paraId="1770CD11">
                  <w:pPr>
                    <w:spacing w:line="304" w:lineRule="auto"/>
                    <w:rPr>
                      <w:rFonts w:ascii="Arial"/>
                      <w:color w:val="auto"/>
                      <w:sz w:val="21"/>
                      <w:highlight w:val="none"/>
                    </w:rPr>
                  </w:pPr>
                </w:p>
                <w:p w14:paraId="1BDAA911">
                  <w:pPr>
                    <w:pStyle w:val="179"/>
                    <w:spacing w:before="65" w:line="271" w:lineRule="exact"/>
                    <w:ind w:left="166"/>
                    <w:rPr>
                      <w:rFonts w:hint="default" w:eastAsia="宋体"/>
                      <w:color w:val="auto"/>
                      <w:highlight w:val="none"/>
                      <w:lang w:val="en-US" w:eastAsia="zh-CN"/>
                    </w:rPr>
                  </w:pPr>
                  <w:r>
                    <w:rPr>
                      <w:rFonts w:hint="eastAsia"/>
                      <w:color w:val="auto"/>
                      <w:spacing w:val="-1"/>
                      <w:position w:val="1"/>
                      <w:highlight w:val="none"/>
                      <w:lang w:val="en-US" w:eastAsia="zh-CN"/>
                    </w:rPr>
                    <w:t>37</w:t>
                  </w:r>
                </w:p>
              </w:tc>
              <w:tc>
                <w:tcPr>
                  <w:tcW w:w="468" w:type="dxa"/>
                  <w:vAlign w:val="top"/>
                </w:tcPr>
                <w:p w14:paraId="5112CA35">
                  <w:pPr>
                    <w:spacing w:line="304" w:lineRule="auto"/>
                    <w:rPr>
                      <w:rFonts w:ascii="Arial"/>
                      <w:color w:val="auto"/>
                      <w:sz w:val="21"/>
                      <w:highlight w:val="none"/>
                    </w:rPr>
                  </w:pPr>
                </w:p>
                <w:p w14:paraId="5E2E9C57">
                  <w:pPr>
                    <w:spacing w:line="304" w:lineRule="auto"/>
                    <w:rPr>
                      <w:rFonts w:ascii="Arial"/>
                      <w:color w:val="auto"/>
                      <w:sz w:val="21"/>
                      <w:highlight w:val="none"/>
                    </w:rPr>
                  </w:pPr>
                </w:p>
                <w:p w14:paraId="367CF7BF">
                  <w:pPr>
                    <w:pStyle w:val="179"/>
                    <w:spacing w:before="65" w:line="269" w:lineRule="exact"/>
                    <w:ind w:left="184"/>
                    <w:rPr>
                      <w:rFonts w:hint="default" w:eastAsia="宋体"/>
                      <w:color w:val="auto"/>
                      <w:highlight w:val="none"/>
                      <w:lang w:val="en-US" w:eastAsia="zh-CN"/>
                    </w:rPr>
                  </w:pPr>
                  <w:r>
                    <w:rPr>
                      <w:rFonts w:hint="eastAsia"/>
                      <w:color w:val="auto"/>
                      <w:position w:val="1"/>
                      <w:highlight w:val="none"/>
                      <w:lang w:val="en-US" w:eastAsia="zh-CN"/>
                    </w:rPr>
                    <w:t>48</w:t>
                  </w:r>
                </w:p>
              </w:tc>
              <w:tc>
                <w:tcPr>
                  <w:tcW w:w="544" w:type="dxa"/>
                  <w:vAlign w:val="top"/>
                </w:tcPr>
                <w:p w14:paraId="39E416F7">
                  <w:pPr>
                    <w:spacing w:line="304" w:lineRule="auto"/>
                    <w:rPr>
                      <w:rFonts w:ascii="Arial"/>
                      <w:color w:val="auto"/>
                      <w:sz w:val="21"/>
                      <w:highlight w:val="none"/>
                    </w:rPr>
                  </w:pPr>
                </w:p>
                <w:p w14:paraId="367320A5">
                  <w:pPr>
                    <w:spacing w:line="304" w:lineRule="auto"/>
                    <w:rPr>
                      <w:rFonts w:ascii="Arial"/>
                      <w:color w:val="auto"/>
                      <w:sz w:val="21"/>
                      <w:highlight w:val="none"/>
                    </w:rPr>
                  </w:pPr>
                </w:p>
                <w:p w14:paraId="7A7D4F50">
                  <w:pPr>
                    <w:pStyle w:val="179"/>
                    <w:spacing w:before="65" w:line="269" w:lineRule="exact"/>
                    <w:ind w:left="172"/>
                    <w:rPr>
                      <w:rFonts w:hint="default" w:eastAsia="宋体"/>
                      <w:color w:val="auto"/>
                      <w:highlight w:val="none"/>
                      <w:lang w:val="en-US" w:eastAsia="zh-CN"/>
                    </w:rPr>
                  </w:pPr>
                  <w:r>
                    <w:rPr>
                      <w:rFonts w:hint="eastAsia"/>
                      <w:color w:val="auto"/>
                      <w:spacing w:val="-2"/>
                      <w:position w:val="1"/>
                      <w:highlight w:val="none"/>
                      <w:lang w:val="en-US" w:eastAsia="zh-CN"/>
                    </w:rPr>
                    <w:t>35</w:t>
                  </w:r>
                </w:p>
              </w:tc>
              <w:tc>
                <w:tcPr>
                  <w:tcW w:w="604" w:type="dxa"/>
                  <w:vAlign w:val="top"/>
                </w:tcPr>
                <w:p w14:paraId="789A627D">
                  <w:pPr>
                    <w:spacing w:line="304" w:lineRule="auto"/>
                    <w:rPr>
                      <w:rFonts w:ascii="Arial"/>
                      <w:color w:val="auto"/>
                      <w:sz w:val="21"/>
                      <w:highlight w:val="none"/>
                    </w:rPr>
                  </w:pPr>
                </w:p>
                <w:p w14:paraId="34C3619A">
                  <w:pPr>
                    <w:spacing w:line="304" w:lineRule="auto"/>
                    <w:rPr>
                      <w:rFonts w:ascii="Arial"/>
                      <w:color w:val="auto"/>
                      <w:sz w:val="21"/>
                      <w:highlight w:val="none"/>
                    </w:rPr>
                  </w:pPr>
                </w:p>
                <w:p w14:paraId="0F50EB38">
                  <w:pPr>
                    <w:pStyle w:val="179"/>
                    <w:spacing w:before="65" w:line="269" w:lineRule="exact"/>
                    <w:ind w:left="150"/>
                    <w:rPr>
                      <w:rFonts w:hint="default" w:eastAsia="宋体"/>
                      <w:color w:val="auto"/>
                      <w:highlight w:val="none"/>
                      <w:lang w:val="en-US" w:eastAsia="zh-CN"/>
                    </w:rPr>
                  </w:pPr>
                  <w:r>
                    <w:rPr>
                      <w:rFonts w:hint="eastAsia"/>
                      <w:color w:val="auto"/>
                      <w:spacing w:val="1"/>
                      <w:position w:val="1"/>
                      <w:highlight w:val="none"/>
                      <w:lang w:val="en-US" w:eastAsia="zh-CN"/>
                    </w:rPr>
                    <w:t>217</w:t>
                  </w:r>
                </w:p>
              </w:tc>
              <w:tc>
                <w:tcPr>
                  <w:tcW w:w="450" w:type="dxa"/>
                  <w:vAlign w:val="top"/>
                </w:tcPr>
                <w:p w14:paraId="08E3FE81">
                  <w:pPr>
                    <w:rPr>
                      <w:rFonts w:ascii="Arial"/>
                      <w:color w:val="auto"/>
                      <w:sz w:val="21"/>
                      <w:highlight w:val="none"/>
                    </w:rPr>
                  </w:pPr>
                </w:p>
              </w:tc>
              <w:tc>
                <w:tcPr>
                  <w:tcW w:w="569" w:type="dxa"/>
                  <w:vAlign w:val="top"/>
                </w:tcPr>
                <w:p w14:paraId="1CA09B7B">
                  <w:pPr>
                    <w:rPr>
                      <w:rFonts w:ascii="Arial"/>
                      <w:color w:val="auto"/>
                      <w:sz w:val="21"/>
                      <w:highlight w:val="none"/>
                    </w:rPr>
                  </w:pPr>
                </w:p>
              </w:tc>
              <w:tc>
                <w:tcPr>
                  <w:tcW w:w="628" w:type="dxa"/>
                  <w:vAlign w:val="top"/>
                </w:tcPr>
                <w:p w14:paraId="67F49E28">
                  <w:pPr>
                    <w:spacing w:line="304" w:lineRule="auto"/>
                    <w:rPr>
                      <w:rFonts w:ascii="Arial"/>
                      <w:color w:val="auto"/>
                      <w:sz w:val="21"/>
                      <w:highlight w:val="none"/>
                    </w:rPr>
                  </w:pPr>
                </w:p>
                <w:p w14:paraId="3D72FA60">
                  <w:pPr>
                    <w:spacing w:line="304" w:lineRule="auto"/>
                    <w:rPr>
                      <w:rFonts w:ascii="Arial"/>
                      <w:color w:val="auto"/>
                      <w:sz w:val="21"/>
                      <w:highlight w:val="none"/>
                    </w:rPr>
                  </w:pPr>
                </w:p>
                <w:p w14:paraId="11C29C92">
                  <w:pPr>
                    <w:pStyle w:val="179"/>
                    <w:spacing w:before="65" w:line="269" w:lineRule="exact"/>
                    <w:ind w:left="165"/>
                    <w:rPr>
                      <w:rFonts w:hint="default" w:eastAsia="宋体"/>
                      <w:color w:val="auto"/>
                      <w:highlight w:val="none"/>
                      <w:lang w:val="en-US" w:eastAsia="zh-CN"/>
                    </w:rPr>
                  </w:pPr>
                  <w:r>
                    <w:rPr>
                      <w:rFonts w:hint="eastAsia"/>
                      <w:color w:val="auto"/>
                      <w:spacing w:val="1"/>
                      <w:position w:val="1"/>
                      <w:highlight w:val="none"/>
                      <w:lang w:val="en-US" w:eastAsia="zh-CN"/>
                    </w:rPr>
                    <w:t>337</w:t>
                  </w:r>
                </w:p>
              </w:tc>
              <w:tc>
                <w:tcPr>
                  <w:tcW w:w="1146" w:type="dxa"/>
                  <w:vAlign w:val="top"/>
                </w:tcPr>
                <w:p w14:paraId="20D1FF7F">
                  <w:pPr>
                    <w:pStyle w:val="179"/>
                    <w:spacing w:before="304" w:line="289" w:lineRule="auto"/>
                    <w:ind w:left="111" w:right="108"/>
                    <w:jc w:val="both"/>
                    <w:rPr>
                      <w:color w:val="auto"/>
                      <w:highlight w:val="none"/>
                    </w:rPr>
                  </w:pPr>
                  <w:r>
                    <w:rPr>
                      <w:color w:val="auto"/>
                      <w:spacing w:val="30"/>
                      <w:highlight w:val="none"/>
                    </w:rPr>
                    <w:t>包含普通食品和食</w:t>
                  </w:r>
                  <w:r>
                    <w:rPr>
                      <w:color w:val="auto"/>
                      <w:spacing w:val="7"/>
                      <w:highlight w:val="none"/>
                    </w:rPr>
                    <w:t>用农产品</w:t>
                  </w:r>
                </w:p>
              </w:tc>
            </w:tr>
            <w:tr w14:paraId="2AFF6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29" w:type="dxa"/>
                  <w:vAlign w:val="top"/>
                </w:tcPr>
                <w:p w14:paraId="16D6AB9A">
                  <w:pPr>
                    <w:spacing w:line="298" w:lineRule="auto"/>
                    <w:rPr>
                      <w:rFonts w:ascii="Arial"/>
                      <w:color w:val="auto"/>
                      <w:sz w:val="21"/>
                      <w:highlight w:val="none"/>
                    </w:rPr>
                  </w:pPr>
                </w:p>
                <w:p w14:paraId="4F4C1468">
                  <w:pPr>
                    <w:pStyle w:val="179"/>
                    <w:spacing w:before="65" w:line="270" w:lineRule="exact"/>
                    <w:ind w:left="166"/>
                    <w:rPr>
                      <w:color w:val="auto"/>
                      <w:highlight w:val="none"/>
                    </w:rPr>
                  </w:pPr>
                  <w:r>
                    <w:rPr>
                      <w:color w:val="auto"/>
                      <w:position w:val="1"/>
                      <w:highlight w:val="none"/>
                    </w:rPr>
                    <w:t>2</w:t>
                  </w:r>
                </w:p>
              </w:tc>
              <w:tc>
                <w:tcPr>
                  <w:tcW w:w="599" w:type="dxa"/>
                  <w:textDirection w:val="tbRlV"/>
                  <w:vAlign w:val="top"/>
                </w:tcPr>
                <w:p w14:paraId="6808D707">
                  <w:pPr>
                    <w:pStyle w:val="179"/>
                    <w:spacing w:before="139" w:line="214" w:lineRule="auto"/>
                    <w:ind w:left="52"/>
                    <w:rPr>
                      <w:color w:val="auto"/>
                      <w:highlight w:val="none"/>
                    </w:rPr>
                  </w:pPr>
                  <w:r>
                    <w:rPr>
                      <w:color w:val="auto"/>
                      <w:spacing w:val="6"/>
                      <w:highlight w:val="none"/>
                    </w:rPr>
                    <w:t>市 本 级</w:t>
                  </w:r>
                </w:p>
              </w:tc>
              <w:tc>
                <w:tcPr>
                  <w:tcW w:w="417" w:type="dxa"/>
                  <w:vAlign w:val="top"/>
                </w:tcPr>
                <w:p w14:paraId="3D204C87">
                  <w:pPr>
                    <w:spacing w:line="298" w:lineRule="auto"/>
                    <w:rPr>
                      <w:rFonts w:ascii="Arial"/>
                      <w:color w:val="auto"/>
                      <w:sz w:val="21"/>
                      <w:highlight w:val="none"/>
                    </w:rPr>
                  </w:pPr>
                </w:p>
                <w:p w14:paraId="4814F646">
                  <w:pPr>
                    <w:pStyle w:val="179"/>
                    <w:spacing w:before="65" w:line="233" w:lineRule="auto"/>
                    <w:ind w:left="213"/>
                    <w:rPr>
                      <w:color w:val="auto"/>
                      <w:highlight w:val="none"/>
                    </w:rPr>
                  </w:pPr>
                  <w:r>
                    <w:rPr>
                      <w:color w:val="auto"/>
                      <w:highlight w:val="none"/>
                    </w:rPr>
                    <w:t>/</w:t>
                  </w:r>
                </w:p>
              </w:tc>
              <w:tc>
                <w:tcPr>
                  <w:tcW w:w="468" w:type="dxa"/>
                  <w:vAlign w:val="top"/>
                </w:tcPr>
                <w:p w14:paraId="0E237547">
                  <w:pPr>
                    <w:spacing w:line="298" w:lineRule="auto"/>
                    <w:rPr>
                      <w:rFonts w:ascii="Arial"/>
                      <w:color w:val="auto"/>
                      <w:sz w:val="21"/>
                      <w:highlight w:val="none"/>
                    </w:rPr>
                  </w:pPr>
                </w:p>
                <w:p w14:paraId="6AA733DB">
                  <w:pPr>
                    <w:pStyle w:val="179"/>
                    <w:spacing w:before="65" w:line="233" w:lineRule="auto"/>
                    <w:ind w:left="182"/>
                    <w:rPr>
                      <w:color w:val="auto"/>
                      <w:highlight w:val="none"/>
                    </w:rPr>
                  </w:pPr>
                  <w:r>
                    <w:rPr>
                      <w:color w:val="auto"/>
                      <w:highlight w:val="none"/>
                    </w:rPr>
                    <w:t>/</w:t>
                  </w:r>
                </w:p>
              </w:tc>
              <w:tc>
                <w:tcPr>
                  <w:tcW w:w="544" w:type="dxa"/>
                  <w:vAlign w:val="top"/>
                </w:tcPr>
                <w:p w14:paraId="09E0D7D0">
                  <w:pPr>
                    <w:spacing w:line="298" w:lineRule="auto"/>
                    <w:rPr>
                      <w:rFonts w:ascii="Arial"/>
                      <w:color w:val="auto"/>
                      <w:sz w:val="21"/>
                      <w:highlight w:val="none"/>
                    </w:rPr>
                  </w:pPr>
                </w:p>
                <w:p w14:paraId="287680B9">
                  <w:pPr>
                    <w:pStyle w:val="179"/>
                    <w:spacing w:before="65" w:line="233" w:lineRule="auto"/>
                    <w:ind w:left="220"/>
                    <w:rPr>
                      <w:color w:val="auto"/>
                      <w:highlight w:val="none"/>
                    </w:rPr>
                  </w:pPr>
                  <w:r>
                    <w:rPr>
                      <w:color w:val="auto"/>
                      <w:highlight w:val="none"/>
                    </w:rPr>
                    <w:t>/</w:t>
                  </w:r>
                </w:p>
              </w:tc>
              <w:tc>
                <w:tcPr>
                  <w:tcW w:w="604" w:type="dxa"/>
                  <w:vAlign w:val="top"/>
                </w:tcPr>
                <w:p w14:paraId="4FDC04BF">
                  <w:pPr>
                    <w:spacing w:line="298" w:lineRule="auto"/>
                    <w:rPr>
                      <w:rFonts w:ascii="Arial"/>
                      <w:color w:val="auto"/>
                      <w:sz w:val="21"/>
                      <w:highlight w:val="none"/>
                    </w:rPr>
                  </w:pPr>
                </w:p>
                <w:p w14:paraId="540FA24A">
                  <w:pPr>
                    <w:pStyle w:val="179"/>
                    <w:spacing w:before="65" w:line="233" w:lineRule="auto"/>
                    <w:ind w:left="250"/>
                    <w:rPr>
                      <w:color w:val="auto"/>
                      <w:highlight w:val="none"/>
                    </w:rPr>
                  </w:pPr>
                  <w:r>
                    <w:rPr>
                      <w:color w:val="auto"/>
                      <w:highlight w:val="none"/>
                    </w:rPr>
                    <w:t>/</w:t>
                  </w:r>
                </w:p>
              </w:tc>
              <w:tc>
                <w:tcPr>
                  <w:tcW w:w="450" w:type="dxa"/>
                  <w:vAlign w:val="top"/>
                </w:tcPr>
                <w:p w14:paraId="4D1EA55B">
                  <w:pPr>
                    <w:spacing w:line="298" w:lineRule="auto"/>
                    <w:rPr>
                      <w:rFonts w:ascii="Arial"/>
                      <w:color w:val="auto"/>
                      <w:sz w:val="21"/>
                      <w:highlight w:val="none"/>
                    </w:rPr>
                  </w:pPr>
                </w:p>
                <w:p w14:paraId="1A0085CA">
                  <w:pPr>
                    <w:pStyle w:val="179"/>
                    <w:spacing w:before="65" w:line="269" w:lineRule="exact"/>
                    <w:ind w:left="127"/>
                    <w:rPr>
                      <w:color w:val="auto"/>
                      <w:highlight w:val="none"/>
                    </w:rPr>
                  </w:pPr>
                </w:p>
              </w:tc>
              <w:tc>
                <w:tcPr>
                  <w:tcW w:w="569" w:type="dxa"/>
                  <w:vAlign w:val="top"/>
                </w:tcPr>
                <w:p w14:paraId="0649D322">
                  <w:pPr>
                    <w:spacing w:line="298" w:lineRule="auto"/>
                    <w:rPr>
                      <w:rFonts w:ascii="Arial"/>
                      <w:color w:val="auto"/>
                      <w:sz w:val="21"/>
                      <w:highlight w:val="none"/>
                    </w:rPr>
                  </w:pPr>
                </w:p>
                <w:p w14:paraId="2B9C1C89">
                  <w:pPr>
                    <w:pStyle w:val="179"/>
                    <w:spacing w:before="65" w:line="269" w:lineRule="exact"/>
                    <w:ind w:left="133"/>
                    <w:rPr>
                      <w:rFonts w:hint="default" w:eastAsia="宋体"/>
                      <w:color w:val="auto"/>
                      <w:highlight w:val="none"/>
                      <w:lang w:val="en-US" w:eastAsia="zh-CN"/>
                    </w:rPr>
                  </w:pPr>
                  <w:r>
                    <w:rPr>
                      <w:rFonts w:hint="eastAsia"/>
                      <w:color w:val="auto"/>
                      <w:spacing w:val="1"/>
                      <w:position w:val="1"/>
                      <w:highlight w:val="none"/>
                      <w:lang w:val="en-US" w:eastAsia="zh-CN"/>
                    </w:rPr>
                    <w:t>276</w:t>
                  </w:r>
                </w:p>
              </w:tc>
              <w:tc>
                <w:tcPr>
                  <w:tcW w:w="628" w:type="dxa"/>
                  <w:vAlign w:val="top"/>
                </w:tcPr>
                <w:p w14:paraId="345AC497">
                  <w:pPr>
                    <w:spacing w:line="298" w:lineRule="auto"/>
                    <w:rPr>
                      <w:rFonts w:ascii="Arial"/>
                      <w:color w:val="auto"/>
                      <w:sz w:val="21"/>
                      <w:highlight w:val="none"/>
                    </w:rPr>
                  </w:pPr>
                </w:p>
                <w:p w14:paraId="14D47BC5">
                  <w:pPr>
                    <w:pStyle w:val="179"/>
                    <w:spacing w:before="65" w:line="269" w:lineRule="exact"/>
                    <w:ind w:left="164"/>
                    <w:rPr>
                      <w:color w:val="auto"/>
                      <w:highlight w:val="none"/>
                    </w:rPr>
                  </w:pPr>
                  <w:r>
                    <w:rPr>
                      <w:color w:val="auto"/>
                      <w:spacing w:val="1"/>
                      <w:position w:val="1"/>
                      <w:highlight w:val="none"/>
                    </w:rPr>
                    <w:t>276</w:t>
                  </w:r>
                </w:p>
              </w:tc>
              <w:tc>
                <w:tcPr>
                  <w:tcW w:w="1146" w:type="dxa"/>
                  <w:vAlign w:val="top"/>
                </w:tcPr>
                <w:p w14:paraId="79FBF351">
                  <w:pPr>
                    <w:pStyle w:val="179"/>
                    <w:spacing w:before="53" w:line="228" w:lineRule="auto"/>
                    <w:ind w:left="111"/>
                    <w:rPr>
                      <w:color w:val="auto"/>
                      <w:highlight w:val="none"/>
                    </w:rPr>
                  </w:pPr>
                  <w:r>
                    <w:rPr>
                      <w:color w:val="auto"/>
                      <w:spacing w:val="30"/>
                      <w:highlight w:val="none"/>
                    </w:rPr>
                    <w:t>包含普通食品和食</w:t>
                  </w:r>
                  <w:r>
                    <w:rPr>
                      <w:color w:val="auto"/>
                      <w:spacing w:val="6"/>
                      <w:highlight w:val="none"/>
                    </w:rPr>
                    <w:t>用农产品</w:t>
                  </w:r>
                </w:p>
              </w:tc>
            </w:tr>
            <w:tr w14:paraId="4D93E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2" w:hRule="atLeast"/>
              </w:trPr>
              <w:tc>
                <w:tcPr>
                  <w:tcW w:w="1028" w:type="dxa"/>
                  <w:gridSpan w:val="2"/>
                  <w:tcBorders>
                    <w:bottom w:val="nil"/>
                  </w:tcBorders>
                  <w:vAlign w:val="top"/>
                </w:tcPr>
                <w:p w14:paraId="67F08277">
                  <w:pPr>
                    <w:pStyle w:val="179"/>
                    <w:spacing w:before="301" w:line="184" w:lineRule="auto"/>
                    <w:ind w:left="253"/>
                    <w:rPr>
                      <w:color w:val="auto"/>
                      <w:highlight w:val="none"/>
                    </w:rPr>
                  </w:pPr>
                  <w:r>
                    <w:rPr>
                      <w:color w:val="auto"/>
                      <w:spacing w:val="2"/>
                      <w:highlight w:val="none"/>
                    </w:rPr>
                    <w:t>小计</w:t>
                  </w:r>
                </w:p>
              </w:tc>
              <w:tc>
                <w:tcPr>
                  <w:tcW w:w="417" w:type="dxa"/>
                  <w:tcBorders>
                    <w:bottom w:val="nil"/>
                  </w:tcBorders>
                  <w:vAlign w:val="top"/>
                </w:tcPr>
                <w:p w14:paraId="17050BE5">
                  <w:pPr>
                    <w:pStyle w:val="179"/>
                    <w:spacing w:before="301" w:line="184" w:lineRule="auto"/>
                    <w:ind w:left="166"/>
                    <w:rPr>
                      <w:rFonts w:hint="default" w:eastAsia="宋体"/>
                      <w:color w:val="auto"/>
                      <w:highlight w:val="none"/>
                      <w:lang w:val="en-US" w:eastAsia="zh-CN"/>
                    </w:rPr>
                  </w:pPr>
                  <w:r>
                    <w:rPr>
                      <w:rFonts w:hint="eastAsia"/>
                      <w:color w:val="auto"/>
                      <w:spacing w:val="-1"/>
                      <w:highlight w:val="none"/>
                      <w:lang w:val="en-US" w:eastAsia="zh-CN"/>
                    </w:rPr>
                    <w:t>37</w:t>
                  </w:r>
                </w:p>
              </w:tc>
              <w:tc>
                <w:tcPr>
                  <w:tcW w:w="468" w:type="dxa"/>
                  <w:tcBorders>
                    <w:bottom w:val="nil"/>
                  </w:tcBorders>
                  <w:vAlign w:val="top"/>
                </w:tcPr>
                <w:p w14:paraId="3B840025">
                  <w:pPr>
                    <w:pStyle w:val="179"/>
                    <w:spacing w:before="301" w:line="184" w:lineRule="auto"/>
                    <w:ind w:left="184"/>
                    <w:rPr>
                      <w:rFonts w:hint="default" w:eastAsia="宋体"/>
                      <w:color w:val="auto"/>
                      <w:highlight w:val="none"/>
                      <w:lang w:val="en-US" w:eastAsia="zh-CN"/>
                    </w:rPr>
                  </w:pPr>
                  <w:r>
                    <w:rPr>
                      <w:rFonts w:hint="eastAsia"/>
                      <w:color w:val="auto"/>
                      <w:highlight w:val="none"/>
                      <w:lang w:val="en-US" w:eastAsia="zh-CN"/>
                    </w:rPr>
                    <w:t>48</w:t>
                  </w:r>
                </w:p>
              </w:tc>
              <w:tc>
                <w:tcPr>
                  <w:tcW w:w="544" w:type="dxa"/>
                  <w:tcBorders>
                    <w:bottom w:val="nil"/>
                  </w:tcBorders>
                  <w:vAlign w:val="top"/>
                </w:tcPr>
                <w:p w14:paraId="4D36C7F0">
                  <w:pPr>
                    <w:pStyle w:val="179"/>
                    <w:spacing w:before="301" w:line="184" w:lineRule="auto"/>
                    <w:ind w:left="172"/>
                    <w:rPr>
                      <w:rFonts w:hint="default" w:eastAsia="宋体"/>
                      <w:color w:val="auto"/>
                      <w:highlight w:val="none"/>
                      <w:lang w:val="en-US" w:eastAsia="zh-CN"/>
                    </w:rPr>
                  </w:pPr>
                  <w:r>
                    <w:rPr>
                      <w:rFonts w:hint="eastAsia"/>
                      <w:color w:val="auto"/>
                      <w:spacing w:val="-2"/>
                      <w:highlight w:val="none"/>
                      <w:lang w:val="en-US" w:eastAsia="zh-CN"/>
                    </w:rPr>
                    <w:t>35</w:t>
                  </w:r>
                </w:p>
              </w:tc>
              <w:tc>
                <w:tcPr>
                  <w:tcW w:w="604" w:type="dxa"/>
                  <w:tcBorders>
                    <w:bottom w:val="nil"/>
                  </w:tcBorders>
                  <w:vAlign w:val="top"/>
                </w:tcPr>
                <w:p w14:paraId="3CD721D4">
                  <w:pPr>
                    <w:pStyle w:val="179"/>
                    <w:spacing w:before="301" w:line="184" w:lineRule="auto"/>
                    <w:ind w:left="150"/>
                    <w:rPr>
                      <w:rFonts w:hint="default" w:eastAsia="宋体"/>
                      <w:color w:val="auto"/>
                      <w:highlight w:val="none"/>
                      <w:lang w:val="en-US" w:eastAsia="zh-CN"/>
                    </w:rPr>
                  </w:pPr>
                  <w:r>
                    <w:rPr>
                      <w:rFonts w:hint="eastAsia"/>
                      <w:color w:val="auto"/>
                      <w:spacing w:val="1"/>
                      <w:highlight w:val="none"/>
                      <w:lang w:val="en-US" w:eastAsia="zh-CN"/>
                    </w:rPr>
                    <w:t>217</w:t>
                  </w:r>
                </w:p>
              </w:tc>
              <w:tc>
                <w:tcPr>
                  <w:tcW w:w="450" w:type="dxa"/>
                  <w:tcBorders>
                    <w:bottom w:val="nil"/>
                  </w:tcBorders>
                  <w:vAlign w:val="top"/>
                </w:tcPr>
                <w:p w14:paraId="6BD7D2C9">
                  <w:pPr>
                    <w:pStyle w:val="179"/>
                    <w:spacing w:before="301" w:line="184" w:lineRule="auto"/>
                    <w:ind w:left="127"/>
                    <w:rPr>
                      <w:color w:val="auto"/>
                      <w:highlight w:val="none"/>
                    </w:rPr>
                  </w:pPr>
                </w:p>
              </w:tc>
              <w:tc>
                <w:tcPr>
                  <w:tcW w:w="569" w:type="dxa"/>
                  <w:tcBorders>
                    <w:bottom w:val="nil"/>
                  </w:tcBorders>
                  <w:vAlign w:val="top"/>
                </w:tcPr>
                <w:p w14:paraId="4A7B65DF">
                  <w:pPr>
                    <w:pStyle w:val="179"/>
                    <w:spacing w:before="301" w:line="184" w:lineRule="auto"/>
                    <w:ind w:left="133"/>
                    <w:rPr>
                      <w:rFonts w:hint="default" w:eastAsia="宋体"/>
                      <w:color w:val="auto"/>
                      <w:highlight w:val="none"/>
                      <w:lang w:val="en-US" w:eastAsia="zh-CN"/>
                    </w:rPr>
                  </w:pPr>
                  <w:r>
                    <w:rPr>
                      <w:rFonts w:hint="eastAsia"/>
                      <w:color w:val="auto"/>
                      <w:spacing w:val="1"/>
                      <w:highlight w:val="none"/>
                      <w:lang w:val="en-US" w:eastAsia="zh-CN"/>
                    </w:rPr>
                    <w:t>276</w:t>
                  </w:r>
                </w:p>
              </w:tc>
              <w:tc>
                <w:tcPr>
                  <w:tcW w:w="628" w:type="dxa"/>
                  <w:tcBorders>
                    <w:bottom w:val="nil"/>
                  </w:tcBorders>
                  <w:vAlign w:val="top"/>
                </w:tcPr>
                <w:p w14:paraId="61820FDA">
                  <w:pPr>
                    <w:pStyle w:val="179"/>
                    <w:spacing w:before="301" w:line="184" w:lineRule="auto"/>
                    <w:ind w:left="163"/>
                    <w:rPr>
                      <w:rFonts w:hint="default" w:eastAsia="宋体"/>
                      <w:color w:val="auto"/>
                      <w:highlight w:val="none"/>
                      <w:lang w:val="en-US" w:eastAsia="zh-CN"/>
                    </w:rPr>
                  </w:pPr>
                  <w:r>
                    <w:rPr>
                      <w:color w:val="auto"/>
                      <w:spacing w:val="1"/>
                      <w:highlight w:val="none"/>
                    </w:rPr>
                    <w:t>6</w:t>
                  </w:r>
                  <w:r>
                    <w:rPr>
                      <w:rFonts w:hint="eastAsia"/>
                      <w:color w:val="auto"/>
                      <w:spacing w:val="1"/>
                      <w:highlight w:val="none"/>
                      <w:lang w:val="en-US" w:eastAsia="zh-CN"/>
                    </w:rPr>
                    <w:t>13</w:t>
                  </w:r>
                </w:p>
              </w:tc>
              <w:tc>
                <w:tcPr>
                  <w:tcW w:w="1146" w:type="dxa"/>
                  <w:tcBorders>
                    <w:bottom w:val="nil"/>
                  </w:tcBorders>
                  <w:vAlign w:val="top"/>
                </w:tcPr>
                <w:p w14:paraId="173D4B51">
                  <w:pPr>
                    <w:rPr>
                      <w:rFonts w:ascii="Arial"/>
                      <w:color w:val="auto"/>
                      <w:sz w:val="21"/>
                      <w:highlight w:val="none"/>
                    </w:rPr>
                  </w:pPr>
                </w:p>
              </w:tc>
            </w:tr>
          </w:tbl>
          <w:p w14:paraId="17CFC20D">
            <w:pPr>
              <w:pStyle w:val="179"/>
              <w:spacing w:before="123" w:line="228" w:lineRule="auto"/>
              <w:ind w:left="117"/>
              <w:rPr>
                <w:b/>
                <w:bCs/>
                <w:color w:val="auto"/>
                <w:spacing w:val="8"/>
                <w:highlight w:val="none"/>
              </w:rPr>
            </w:pPr>
          </w:p>
        </w:tc>
      </w:tr>
    </w:tbl>
    <w:p w14:paraId="2F84C1E0">
      <w:pPr>
        <w:rPr>
          <w:rFonts w:ascii="Arial"/>
          <w:color w:val="auto"/>
          <w:sz w:val="21"/>
          <w:highlight w:val="none"/>
        </w:rPr>
      </w:pPr>
    </w:p>
    <w:p w14:paraId="2590DE30">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731FFBD9">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6C489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17" w:hRule="atLeast"/>
        </w:trPr>
        <w:tc>
          <w:tcPr>
            <w:tcW w:w="655" w:type="dxa"/>
            <w:vAlign w:val="top"/>
          </w:tcPr>
          <w:p w14:paraId="4FDD9E1F">
            <w:pPr>
              <w:rPr>
                <w:rFonts w:ascii="Arial"/>
                <w:color w:val="auto"/>
                <w:sz w:val="21"/>
                <w:highlight w:val="none"/>
              </w:rPr>
            </w:pPr>
          </w:p>
        </w:tc>
        <w:tc>
          <w:tcPr>
            <w:tcW w:w="873" w:type="dxa"/>
            <w:vAlign w:val="top"/>
          </w:tcPr>
          <w:p w14:paraId="46E65A79">
            <w:pPr>
              <w:rPr>
                <w:rFonts w:ascii="Arial"/>
                <w:color w:val="auto"/>
                <w:sz w:val="21"/>
                <w:highlight w:val="none"/>
              </w:rPr>
            </w:pPr>
          </w:p>
        </w:tc>
        <w:tc>
          <w:tcPr>
            <w:tcW w:w="663" w:type="dxa"/>
            <w:vAlign w:val="top"/>
          </w:tcPr>
          <w:p w14:paraId="4C91A6B1">
            <w:pPr>
              <w:rPr>
                <w:rFonts w:ascii="Arial"/>
                <w:color w:val="auto"/>
                <w:sz w:val="21"/>
                <w:highlight w:val="none"/>
              </w:rPr>
            </w:pPr>
          </w:p>
        </w:tc>
        <w:tc>
          <w:tcPr>
            <w:tcW w:w="683" w:type="dxa"/>
            <w:vAlign w:val="top"/>
          </w:tcPr>
          <w:p w14:paraId="2A9A41B7">
            <w:pPr>
              <w:rPr>
                <w:rFonts w:ascii="Arial"/>
                <w:color w:val="auto"/>
                <w:sz w:val="21"/>
                <w:highlight w:val="none"/>
              </w:rPr>
            </w:pPr>
          </w:p>
        </w:tc>
        <w:tc>
          <w:tcPr>
            <w:tcW w:w="6391" w:type="dxa"/>
            <w:vAlign w:val="top"/>
          </w:tcPr>
          <w:p w14:paraId="74FAE554">
            <w:pPr>
              <w:spacing w:before="191"/>
              <w:rPr>
                <w:color w:val="auto"/>
                <w:highlight w:val="none"/>
              </w:rPr>
            </w:pPr>
          </w:p>
          <w:p w14:paraId="25E19369">
            <w:pPr>
              <w:pStyle w:val="179"/>
              <w:spacing w:before="42" w:line="228" w:lineRule="auto"/>
              <w:ind w:left="117"/>
              <w:rPr>
                <w:color w:val="auto"/>
                <w:highlight w:val="none"/>
              </w:rPr>
            </w:pPr>
            <w:r>
              <w:rPr>
                <w:b/>
                <w:bCs/>
                <w:color w:val="auto"/>
                <w:spacing w:val="6"/>
                <w:highlight w:val="none"/>
              </w:rPr>
              <w:t>（二）承检服务技术要求：</w:t>
            </w:r>
          </w:p>
          <w:p w14:paraId="346E2A07">
            <w:pPr>
              <w:pStyle w:val="179"/>
              <w:spacing w:before="114" w:line="332" w:lineRule="auto"/>
              <w:ind w:left="106" w:right="109" w:firstLine="16"/>
              <w:rPr>
                <w:color w:val="auto"/>
                <w:highlight w:val="none"/>
              </w:rPr>
            </w:pPr>
            <w:r>
              <w:rPr>
                <w:color w:val="auto"/>
                <w:spacing w:val="8"/>
                <w:highlight w:val="none"/>
              </w:rPr>
              <w:t>1、在港口区范围内开展食品（含食用农产品，下同）抽检任务。具体需提供的抽检、监测品种及检验项目详见附件</w:t>
            </w:r>
            <w:r>
              <w:rPr>
                <w:color w:val="auto"/>
                <w:spacing w:val="-21"/>
                <w:highlight w:val="none"/>
              </w:rPr>
              <w:t xml:space="preserve"> </w:t>
            </w:r>
            <w:r>
              <w:rPr>
                <w:color w:val="auto"/>
                <w:spacing w:val="8"/>
                <w:highlight w:val="none"/>
              </w:rPr>
              <w:t>1</w:t>
            </w:r>
            <w:r>
              <w:rPr>
                <w:rFonts w:ascii="宋体" w:hAnsi="宋体" w:eastAsia="宋体" w:cs="宋体"/>
                <w:color w:val="auto"/>
                <w:spacing w:val="5"/>
                <w:sz w:val="20"/>
                <w:szCs w:val="20"/>
                <w:highlight w:val="none"/>
              </w:rPr>
              <w:t>《</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年自治区转</w:t>
            </w:r>
            <w:r>
              <w:rPr>
                <w:rFonts w:ascii="宋体" w:hAnsi="宋体" w:eastAsia="宋体" w:cs="宋体"/>
                <w:color w:val="auto"/>
                <w:spacing w:val="6"/>
                <w:sz w:val="20"/>
                <w:szCs w:val="20"/>
                <w:highlight w:val="none"/>
              </w:rPr>
              <w:t>移支付</w:t>
            </w:r>
            <w:r>
              <w:rPr>
                <w:rFonts w:hint="eastAsia" w:ascii="宋体" w:hAnsi="宋体" w:eastAsia="宋体" w:cs="宋体"/>
                <w:color w:val="auto"/>
                <w:spacing w:val="6"/>
                <w:sz w:val="20"/>
                <w:szCs w:val="20"/>
                <w:highlight w:val="none"/>
                <w:lang w:eastAsia="zh-CN"/>
              </w:rPr>
              <w:t>各市加工</w:t>
            </w:r>
            <w:r>
              <w:rPr>
                <w:rFonts w:ascii="宋体" w:hAnsi="宋体" w:eastAsia="宋体" w:cs="宋体"/>
                <w:color w:val="auto"/>
                <w:spacing w:val="7"/>
                <w:sz w:val="20"/>
                <w:szCs w:val="20"/>
                <w:highlight w:val="none"/>
              </w:rPr>
              <w:t>食品</w:t>
            </w:r>
            <w:r>
              <w:rPr>
                <w:rFonts w:hint="eastAsia" w:ascii="宋体" w:hAnsi="宋体" w:eastAsia="宋体" w:cs="宋体"/>
                <w:color w:val="auto"/>
                <w:spacing w:val="6"/>
                <w:sz w:val="20"/>
                <w:szCs w:val="20"/>
                <w:highlight w:val="none"/>
                <w:lang w:eastAsia="zh-CN"/>
              </w:rPr>
              <w:t>监督抽检</w:t>
            </w:r>
            <w:r>
              <w:rPr>
                <w:rFonts w:ascii="宋体" w:hAnsi="宋体" w:eastAsia="宋体" w:cs="宋体"/>
                <w:color w:val="auto"/>
                <w:spacing w:val="6"/>
                <w:sz w:val="20"/>
                <w:szCs w:val="20"/>
                <w:highlight w:val="none"/>
              </w:rPr>
              <w:t>品种及项目表》和附件</w:t>
            </w:r>
            <w:r>
              <w:rPr>
                <w:rFonts w:ascii="宋体" w:hAnsi="宋体" w:eastAsia="宋体" w:cs="宋体"/>
                <w:color w:val="auto"/>
                <w:spacing w:val="7"/>
                <w:sz w:val="20"/>
                <w:szCs w:val="20"/>
                <w:highlight w:val="none"/>
              </w:rPr>
              <w:t>2《202</w:t>
            </w:r>
            <w:r>
              <w:rPr>
                <w:rFonts w:hint="eastAsia" w:ascii="宋体" w:hAnsi="宋体" w:eastAsia="宋体" w:cs="宋体"/>
                <w:color w:val="auto"/>
                <w:spacing w:val="7"/>
                <w:sz w:val="20"/>
                <w:szCs w:val="20"/>
                <w:highlight w:val="none"/>
                <w:lang w:val="en-US" w:eastAsia="zh-CN"/>
              </w:rPr>
              <w:t>6</w:t>
            </w:r>
            <w:r>
              <w:rPr>
                <w:rFonts w:ascii="宋体" w:hAnsi="宋体" w:eastAsia="宋体" w:cs="宋体"/>
                <w:color w:val="auto"/>
                <w:spacing w:val="-23"/>
                <w:sz w:val="20"/>
                <w:szCs w:val="20"/>
                <w:highlight w:val="none"/>
              </w:rPr>
              <w:t xml:space="preserve"> </w:t>
            </w:r>
            <w:r>
              <w:rPr>
                <w:rFonts w:ascii="宋体" w:hAnsi="宋体" w:eastAsia="宋体" w:cs="宋体"/>
                <w:color w:val="auto"/>
                <w:spacing w:val="7"/>
                <w:sz w:val="20"/>
                <w:szCs w:val="20"/>
                <w:highlight w:val="none"/>
              </w:rPr>
              <w:t>年自治区转移支付</w:t>
            </w:r>
            <w:r>
              <w:rPr>
                <w:rFonts w:hint="eastAsia" w:ascii="宋体" w:hAnsi="宋体" w:eastAsia="宋体" w:cs="宋体"/>
                <w:color w:val="auto"/>
                <w:spacing w:val="7"/>
                <w:sz w:val="20"/>
                <w:szCs w:val="20"/>
                <w:highlight w:val="none"/>
                <w:lang w:eastAsia="zh-CN"/>
              </w:rPr>
              <w:t>各市</w:t>
            </w:r>
            <w:r>
              <w:rPr>
                <w:rFonts w:ascii="宋体" w:hAnsi="宋体" w:eastAsia="宋体" w:cs="宋体"/>
                <w:color w:val="auto"/>
                <w:spacing w:val="6"/>
                <w:sz w:val="20"/>
                <w:szCs w:val="20"/>
                <w:highlight w:val="none"/>
              </w:rPr>
              <w:t>食用农产品</w:t>
            </w:r>
            <w:r>
              <w:rPr>
                <w:rFonts w:ascii="宋体" w:hAnsi="宋体" w:eastAsia="宋体" w:cs="宋体"/>
                <w:color w:val="auto"/>
                <w:spacing w:val="7"/>
                <w:sz w:val="20"/>
                <w:szCs w:val="20"/>
                <w:highlight w:val="none"/>
              </w:rPr>
              <w:t>抽检品种及项目表》</w:t>
            </w:r>
            <w:r>
              <w:rPr>
                <w:color w:val="auto"/>
                <w:spacing w:val="10"/>
                <w:highlight w:val="none"/>
              </w:rPr>
              <w:t>。同时在合同期内须按要求完成国家市</w:t>
            </w:r>
            <w:r>
              <w:rPr>
                <w:color w:val="auto"/>
                <w:spacing w:val="9"/>
                <w:highlight w:val="none"/>
              </w:rPr>
              <w:t>场监督管理总局或自治</w:t>
            </w:r>
            <w:r>
              <w:rPr>
                <w:color w:val="auto"/>
                <w:spacing w:val="10"/>
                <w:highlight w:val="none"/>
              </w:rPr>
              <w:t>区市场监督局安排的抽检工作，及防城港市</w:t>
            </w:r>
            <w:r>
              <w:rPr>
                <w:color w:val="auto"/>
                <w:spacing w:val="9"/>
                <w:highlight w:val="none"/>
              </w:rPr>
              <w:t>市场监督管理局根据工</w:t>
            </w:r>
            <w:r>
              <w:rPr>
                <w:color w:val="auto"/>
                <w:spacing w:val="8"/>
                <w:highlight w:val="none"/>
              </w:rPr>
              <w:t>作需要安排的食品、食用农产品检测工作。</w:t>
            </w:r>
          </w:p>
          <w:p w14:paraId="2BDFBEF4">
            <w:pPr>
              <w:pStyle w:val="179"/>
              <w:spacing w:before="1" w:line="332" w:lineRule="auto"/>
              <w:ind w:left="108" w:right="16"/>
              <w:rPr>
                <w:color w:val="auto"/>
                <w:highlight w:val="none"/>
              </w:rPr>
            </w:pPr>
            <w:r>
              <w:rPr>
                <w:color w:val="auto"/>
                <w:spacing w:val="5"/>
                <w:highlight w:val="none"/>
              </w:rPr>
              <w:t>2、抽样办法、检测方法及检验依据以《食品安全抽样检测管理办法》</w:t>
            </w:r>
            <w:r>
              <w:rPr>
                <w:color w:val="auto"/>
                <w:spacing w:val="4"/>
                <w:highlight w:val="none"/>
              </w:rPr>
              <w:t xml:space="preserve"> </w:t>
            </w:r>
            <w:r>
              <w:rPr>
                <w:color w:val="auto"/>
                <w:spacing w:val="7"/>
                <w:highlight w:val="none"/>
              </w:rPr>
              <w:t>（国家市场监督管理总局令第</w:t>
            </w:r>
            <w:r>
              <w:rPr>
                <w:color w:val="auto"/>
                <w:spacing w:val="-8"/>
                <w:highlight w:val="none"/>
              </w:rPr>
              <w:t xml:space="preserve"> </w:t>
            </w:r>
            <w:r>
              <w:rPr>
                <w:color w:val="auto"/>
                <w:spacing w:val="7"/>
                <w:highlight w:val="none"/>
              </w:rPr>
              <w:t>15</w:t>
            </w:r>
            <w:r>
              <w:rPr>
                <w:color w:val="auto"/>
                <w:spacing w:val="-36"/>
                <w:highlight w:val="none"/>
              </w:rPr>
              <w:t xml:space="preserve"> </w:t>
            </w:r>
            <w:r>
              <w:rPr>
                <w:color w:val="auto"/>
                <w:spacing w:val="7"/>
                <w:highlight w:val="none"/>
              </w:rPr>
              <w:t>号）和国家市场监督管理总局《全</w:t>
            </w:r>
            <w:r>
              <w:rPr>
                <w:color w:val="auto"/>
                <w:spacing w:val="9"/>
                <w:highlight w:val="none"/>
              </w:rPr>
              <w:t>国食品安全监督抽检实施细则（202</w:t>
            </w:r>
            <w:r>
              <w:rPr>
                <w:rFonts w:hint="eastAsia"/>
                <w:color w:val="auto"/>
                <w:spacing w:val="9"/>
                <w:highlight w:val="none"/>
                <w:lang w:val="en-US" w:eastAsia="zh-CN"/>
              </w:rPr>
              <w:t>6</w:t>
            </w:r>
            <w:r>
              <w:rPr>
                <w:color w:val="auto"/>
                <w:spacing w:val="9"/>
                <w:highlight w:val="none"/>
              </w:rPr>
              <w:t>年版）》</w:t>
            </w:r>
            <w:r>
              <w:rPr>
                <w:color w:val="auto"/>
                <w:spacing w:val="8"/>
                <w:highlight w:val="none"/>
              </w:rPr>
              <w:t>以及广西壮族自治区</w:t>
            </w:r>
            <w:r>
              <w:rPr>
                <w:color w:val="auto"/>
                <w:spacing w:val="9"/>
                <w:highlight w:val="none"/>
              </w:rPr>
              <w:t>市场监督管理局《广西食品安全监督抽检实施细则</w:t>
            </w:r>
            <w:r>
              <w:rPr>
                <w:color w:val="auto"/>
                <w:spacing w:val="8"/>
                <w:highlight w:val="none"/>
              </w:rPr>
              <w:t>（202</w:t>
            </w:r>
            <w:r>
              <w:rPr>
                <w:rFonts w:hint="eastAsia"/>
                <w:color w:val="auto"/>
                <w:spacing w:val="8"/>
                <w:highlight w:val="none"/>
                <w:lang w:val="en-US" w:eastAsia="zh-CN"/>
              </w:rPr>
              <w:t>6</w:t>
            </w:r>
            <w:r>
              <w:rPr>
                <w:color w:val="auto"/>
                <w:spacing w:val="8"/>
                <w:highlight w:val="none"/>
              </w:rPr>
              <w:t>年版）为</w:t>
            </w:r>
            <w:r>
              <w:rPr>
                <w:color w:val="auto"/>
                <w:spacing w:val="-1"/>
                <w:highlight w:val="none"/>
              </w:rPr>
              <w:t>准。</w:t>
            </w:r>
          </w:p>
          <w:p w14:paraId="6289B401">
            <w:pPr>
              <w:pStyle w:val="179"/>
              <w:spacing w:before="1" w:line="332" w:lineRule="auto"/>
              <w:ind w:left="108" w:right="89" w:firstLine="2"/>
              <w:rPr>
                <w:color w:val="auto"/>
                <w:highlight w:val="none"/>
              </w:rPr>
            </w:pPr>
            <w:r>
              <w:rPr>
                <w:color w:val="auto"/>
                <w:spacing w:val="3"/>
                <w:highlight w:val="none"/>
              </w:rPr>
              <w:t>3、成果要求：202</w:t>
            </w:r>
            <w:r>
              <w:rPr>
                <w:rFonts w:hint="eastAsia"/>
                <w:color w:val="auto"/>
                <w:spacing w:val="3"/>
                <w:highlight w:val="none"/>
                <w:lang w:val="en-US" w:eastAsia="zh-CN"/>
              </w:rPr>
              <w:t>6</w:t>
            </w:r>
            <w:r>
              <w:rPr>
                <w:color w:val="auto"/>
                <w:spacing w:val="3"/>
                <w:highlight w:val="none"/>
              </w:rPr>
              <w:t>年</w:t>
            </w:r>
            <w:r>
              <w:rPr>
                <w:color w:val="auto"/>
                <w:spacing w:val="-24"/>
                <w:highlight w:val="none"/>
              </w:rPr>
              <w:t xml:space="preserve"> </w:t>
            </w:r>
            <w:r>
              <w:rPr>
                <w:color w:val="auto"/>
                <w:spacing w:val="3"/>
                <w:highlight w:val="none"/>
              </w:rPr>
              <w:t>12</w:t>
            </w:r>
            <w:r>
              <w:rPr>
                <w:color w:val="auto"/>
                <w:spacing w:val="-33"/>
                <w:highlight w:val="none"/>
              </w:rPr>
              <w:t xml:space="preserve"> </w:t>
            </w:r>
            <w:r>
              <w:rPr>
                <w:color w:val="auto"/>
                <w:spacing w:val="3"/>
                <w:highlight w:val="none"/>
              </w:rPr>
              <w:t>月</w:t>
            </w:r>
            <w:r>
              <w:rPr>
                <w:color w:val="auto"/>
                <w:spacing w:val="-24"/>
                <w:highlight w:val="none"/>
              </w:rPr>
              <w:t xml:space="preserve"> </w:t>
            </w:r>
            <w:r>
              <w:rPr>
                <w:color w:val="auto"/>
                <w:spacing w:val="3"/>
                <w:highlight w:val="none"/>
              </w:rPr>
              <w:t>10 日前全部抽检完成并录入国抽系统，</w:t>
            </w:r>
            <w:r>
              <w:rPr>
                <w:color w:val="auto"/>
                <w:spacing w:val="8"/>
                <w:highlight w:val="none"/>
              </w:rPr>
              <w:t>按具体方案时间节点要求提供质量分析报告。</w:t>
            </w:r>
          </w:p>
          <w:p w14:paraId="5423376C">
            <w:pPr>
              <w:pStyle w:val="179"/>
              <w:spacing w:before="1" w:line="228" w:lineRule="auto"/>
              <w:ind w:left="106"/>
              <w:rPr>
                <w:color w:val="auto"/>
                <w:highlight w:val="none"/>
              </w:rPr>
            </w:pPr>
            <w:r>
              <w:rPr>
                <w:color w:val="auto"/>
                <w:spacing w:val="8"/>
                <w:highlight w:val="none"/>
              </w:rPr>
              <w:t>4、服务工作要求</w:t>
            </w:r>
          </w:p>
          <w:p w14:paraId="381722F1">
            <w:pPr>
              <w:pStyle w:val="179"/>
              <w:spacing w:before="113" w:line="332" w:lineRule="auto"/>
              <w:ind w:left="106" w:right="109" w:firstLine="10"/>
              <w:rPr>
                <w:color w:val="auto"/>
                <w:highlight w:val="none"/>
              </w:rPr>
            </w:pPr>
            <w:r>
              <w:rPr>
                <w:color w:val="auto"/>
                <w:spacing w:val="8"/>
                <w:highlight w:val="none"/>
              </w:rPr>
              <w:t>（1）要求供应商严格遵守法律、法规的规定和检验工作有关纪律要</w:t>
            </w:r>
            <w:r>
              <w:rPr>
                <w:color w:val="auto"/>
                <w:spacing w:val="10"/>
                <w:highlight w:val="none"/>
              </w:rPr>
              <w:t>求，确保检验结果真实有效；检验活动中无</w:t>
            </w:r>
            <w:r>
              <w:rPr>
                <w:color w:val="auto"/>
                <w:spacing w:val="9"/>
                <w:highlight w:val="none"/>
              </w:rPr>
              <w:t>重大差错，能够保证检</w:t>
            </w:r>
            <w:r>
              <w:rPr>
                <w:color w:val="auto"/>
                <w:spacing w:val="10"/>
                <w:highlight w:val="none"/>
              </w:rPr>
              <w:t>验结果质量；检测范围涵盖承担的食品安全</w:t>
            </w:r>
            <w:r>
              <w:rPr>
                <w:color w:val="auto"/>
                <w:spacing w:val="9"/>
                <w:highlight w:val="none"/>
              </w:rPr>
              <w:t>抽检监测任务中相应的</w:t>
            </w:r>
            <w:r>
              <w:rPr>
                <w:color w:val="auto"/>
                <w:spacing w:val="8"/>
                <w:highlight w:val="none"/>
              </w:rPr>
              <w:t>食品品种和检验项目；</w:t>
            </w:r>
          </w:p>
          <w:p w14:paraId="4AF709A0">
            <w:pPr>
              <w:pStyle w:val="179"/>
              <w:spacing w:before="1" w:line="332" w:lineRule="auto"/>
              <w:ind w:left="108" w:right="109" w:firstLine="8"/>
              <w:rPr>
                <w:color w:val="auto"/>
                <w:highlight w:val="none"/>
              </w:rPr>
            </w:pPr>
            <w:r>
              <w:rPr>
                <w:color w:val="auto"/>
                <w:spacing w:val="8"/>
                <w:highlight w:val="none"/>
              </w:rPr>
              <w:t>（2）供应商负责样品的抽样检验、检验报告的寄送、结果分析、异议处理和检验过程中技术问题的处理工作；</w:t>
            </w:r>
          </w:p>
          <w:p w14:paraId="65231FC6">
            <w:pPr>
              <w:pStyle w:val="179"/>
              <w:spacing w:before="123" w:line="228" w:lineRule="auto"/>
              <w:ind w:left="117"/>
              <w:rPr>
                <w:color w:val="auto"/>
                <w:spacing w:val="9"/>
                <w:highlight w:val="none"/>
              </w:rPr>
            </w:pPr>
            <w:r>
              <w:rPr>
                <w:color w:val="auto"/>
                <w:spacing w:val="8"/>
                <w:highlight w:val="none"/>
              </w:rPr>
              <w:t>（3）供应商必须接受采购人对承担检验任务工作质量情况的监督检</w:t>
            </w:r>
            <w:r>
              <w:rPr>
                <w:color w:val="auto"/>
                <w:spacing w:val="9"/>
                <w:highlight w:val="none"/>
              </w:rPr>
              <w:t>查和考核，积极参加与检验任务相关的能力验证并取得满意结果；</w:t>
            </w:r>
          </w:p>
          <w:p w14:paraId="270D3655">
            <w:pPr>
              <w:pStyle w:val="179"/>
              <w:spacing w:before="123" w:line="228" w:lineRule="auto"/>
              <w:ind w:left="117"/>
              <w:rPr>
                <w:color w:val="auto"/>
                <w:highlight w:val="none"/>
              </w:rPr>
            </w:pPr>
            <w:r>
              <w:rPr>
                <w:color w:val="auto"/>
                <w:spacing w:val="8"/>
                <w:highlight w:val="none"/>
              </w:rPr>
              <w:t>（4）能按时完成采购人安排的临时性和应急性任务。</w:t>
            </w:r>
          </w:p>
          <w:p w14:paraId="205D336C">
            <w:pPr>
              <w:pStyle w:val="179"/>
              <w:spacing w:before="113" w:line="229" w:lineRule="auto"/>
              <w:ind w:left="117"/>
              <w:rPr>
                <w:color w:val="auto"/>
                <w:highlight w:val="none"/>
              </w:rPr>
            </w:pPr>
            <w:r>
              <w:rPr>
                <w:b/>
                <w:bCs/>
                <w:color w:val="auto"/>
                <w:spacing w:val="4"/>
                <w:highlight w:val="none"/>
              </w:rPr>
              <w:t>（三）其他要求：</w:t>
            </w:r>
          </w:p>
          <w:p w14:paraId="6601A144">
            <w:pPr>
              <w:pStyle w:val="179"/>
              <w:spacing w:before="113" w:line="332" w:lineRule="auto"/>
              <w:ind w:left="106" w:right="127" w:firstLine="16"/>
              <w:jc w:val="both"/>
              <w:rPr>
                <w:color w:val="auto"/>
                <w:highlight w:val="none"/>
              </w:rPr>
            </w:pPr>
            <w:r>
              <w:rPr>
                <w:color w:val="auto"/>
                <w:spacing w:val="8"/>
                <w:highlight w:val="none"/>
              </w:rPr>
              <w:t>1、要求供应商具有与能承担食品监督抽检任务相匹配的</w:t>
            </w:r>
            <w:r>
              <w:rPr>
                <w:color w:val="auto"/>
                <w:spacing w:val="7"/>
                <w:highlight w:val="none"/>
              </w:rPr>
              <w:t>工作人员、</w:t>
            </w:r>
            <w:r>
              <w:rPr>
                <w:color w:val="auto"/>
                <w:spacing w:val="10"/>
                <w:highlight w:val="none"/>
              </w:rPr>
              <w:t>仪器设备、实验室环境设施；拥有运行良好</w:t>
            </w:r>
            <w:r>
              <w:rPr>
                <w:color w:val="auto"/>
                <w:spacing w:val="9"/>
                <w:highlight w:val="none"/>
              </w:rPr>
              <w:t>的实验室管理体系，授</w:t>
            </w:r>
            <w:r>
              <w:rPr>
                <w:color w:val="auto"/>
                <w:spacing w:val="10"/>
                <w:highlight w:val="none"/>
              </w:rPr>
              <w:t>权范围涵盖本标项食品监督抽检监测任务中</w:t>
            </w:r>
            <w:r>
              <w:rPr>
                <w:color w:val="auto"/>
                <w:spacing w:val="9"/>
                <w:highlight w:val="none"/>
              </w:rPr>
              <w:t>相应的食品品种和监督</w:t>
            </w:r>
            <w:r>
              <w:rPr>
                <w:color w:val="auto"/>
                <w:spacing w:val="10"/>
                <w:highlight w:val="none"/>
              </w:rPr>
              <w:t>抽检项目。具有相应的检验和质量分析人员</w:t>
            </w:r>
            <w:r>
              <w:rPr>
                <w:color w:val="auto"/>
                <w:spacing w:val="9"/>
                <w:highlight w:val="none"/>
              </w:rPr>
              <w:t>，参与检验的有关人员</w:t>
            </w:r>
            <w:r>
              <w:rPr>
                <w:color w:val="auto"/>
                <w:spacing w:val="10"/>
                <w:highlight w:val="none"/>
              </w:rPr>
              <w:t>具有检验员证或上岗证，并具备相应的专业</w:t>
            </w:r>
            <w:r>
              <w:rPr>
                <w:color w:val="auto"/>
                <w:spacing w:val="9"/>
                <w:highlight w:val="none"/>
              </w:rPr>
              <w:t>知识和能力，具体要求</w:t>
            </w:r>
            <w:r>
              <w:rPr>
                <w:color w:val="auto"/>
                <w:highlight w:val="none"/>
              </w:rPr>
              <w:t>为：</w:t>
            </w:r>
          </w:p>
          <w:p w14:paraId="0DDEECCA">
            <w:pPr>
              <w:pStyle w:val="179"/>
              <w:spacing w:before="1" w:line="332" w:lineRule="auto"/>
              <w:ind w:left="107" w:right="37" w:firstLine="9"/>
              <w:jc w:val="both"/>
              <w:rPr>
                <w:color w:val="auto"/>
                <w:highlight w:val="none"/>
              </w:rPr>
            </w:pPr>
            <w:r>
              <w:rPr>
                <w:color w:val="auto"/>
                <w:spacing w:val="8"/>
                <w:highlight w:val="none"/>
              </w:rPr>
              <w:t>（1）具有固定且能够独立运行的检验工作场所以及能满足本项目检</w:t>
            </w:r>
            <w:r>
              <w:rPr>
                <w:color w:val="auto"/>
                <w:spacing w:val="9"/>
                <w:highlight w:val="none"/>
              </w:rPr>
              <w:t>测所需的抽样、检验检测、运输贮存（冷藏和冷冻）、数据处理与</w:t>
            </w:r>
            <w:r>
              <w:rPr>
                <w:color w:val="auto"/>
                <w:spacing w:val="8"/>
                <w:highlight w:val="none"/>
              </w:rPr>
              <w:t>分析、信息传输等设施设备，能够满足本标项要求的承检任务需要。</w:t>
            </w:r>
          </w:p>
          <w:p w14:paraId="7B96CEB2">
            <w:pPr>
              <w:pStyle w:val="179"/>
              <w:spacing w:before="1" w:line="273" w:lineRule="auto"/>
              <w:ind w:left="109" w:right="109" w:firstLine="7"/>
              <w:rPr>
                <w:color w:val="auto"/>
                <w:highlight w:val="none"/>
              </w:rPr>
            </w:pPr>
          </w:p>
        </w:tc>
      </w:tr>
    </w:tbl>
    <w:p w14:paraId="26D26615">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4DFF8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0" w:hRule="atLeast"/>
        </w:trPr>
        <w:tc>
          <w:tcPr>
            <w:tcW w:w="655" w:type="dxa"/>
            <w:vAlign w:val="top"/>
          </w:tcPr>
          <w:p w14:paraId="3CEA004B">
            <w:pPr>
              <w:rPr>
                <w:rFonts w:ascii="Arial"/>
                <w:color w:val="auto"/>
                <w:sz w:val="21"/>
                <w:highlight w:val="none"/>
              </w:rPr>
            </w:pPr>
          </w:p>
        </w:tc>
        <w:tc>
          <w:tcPr>
            <w:tcW w:w="873" w:type="dxa"/>
            <w:vAlign w:val="top"/>
          </w:tcPr>
          <w:p w14:paraId="792D1E55">
            <w:pPr>
              <w:rPr>
                <w:rFonts w:ascii="Arial"/>
                <w:color w:val="auto"/>
                <w:sz w:val="21"/>
                <w:highlight w:val="none"/>
              </w:rPr>
            </w:pPr>
          </w:p>
        </w:tc>
        <w:tc>
          <w:tcPr>
            <w:tcW w:w="663" w:type="dxa"/>
            <w:vAlign w:val="top"/>
          </w:tcPr>
          <w:p w14:paraId="3D570224">
            <w:pPr>
              <w:rPr>
                <w:rFonts w:ascii="Arial"/>
                <w:color w:val="auto"/>
                <w:sz w:val="21"/>
                <w:highlight w:val="none"/>
              </w:rPr>
            </w:pPr>
          </w:p>
        </w:tc>
        <w:tc>
          <w:tcPr>
            <w:tcW w:w="683" w:type="dxa"/>
            <w:vAlign w:val="top"/>
          </w:tcPr>
          <w:p w14:paraId="498F6C5B">
            <w:pPr>
              <w:rPr>
                <w:rFonts w:ascii="Arial"/>
                <w:color w:val="auto"/>
                <w:sz w:val="21"/>
                <w:highlight w:val="none"/>
              </w:rPr>
            </w:pPr>
          </w:p>
        </w:tc>
        <w:tc>
          <w:tcPr>
            <w:tcW w:w="6391" w:type="dxa"/>
            <w:vAlign w:val="top"/>
          </w:tcPr>
          <w:p w14:paraId="24BF3009">
            <w:pPr>
              <w:pStyle w:val="179"/>
              <w:spacing w:before="1" w:line="332" w:lineRule="auto"/>
              <w:ind w:left="107" w:right="174" w:firstLine="9"/>
              <w:jc w:val="both"/>
              <w:rPr>
                <w:color w:val="auto"/>
                <w:highlight w:val="none"/>
              </w:rPr>
            </w:pPr>
            <w:r>
              <w:rPr>
                <w:b/>
                <w:bCs/>
                <w:color w:val="auto"/>
                <w:spacing w:val="8"/>
                <w:highlight w:val="none"/>
              </w:rPr>
              <w:t>（响应文件中须提供供应商检验工作场所实验室平面图及供应商拥有的相关检验、检测设施和设备清单，并附供应商实验室有效的房</w:t>
            </w:r>
            <w:r>
              <w:rPr>
                <w:b/>
                <w:bCs/>
                <w:color w:val="auto"/>
                <w:spacing w:val="7"/>
                <w:highlight w:val="none"/>
              </w:rPr>
              <w:t>屋产权使用证明或租赁合同及仪器设备购置一览表。）</w:t>
            </w:r>
          </w:p>
          <w:p w14:paraId="0966806B">
            <w:pPr>
              <w:pStyle w:val="179"/>
              <w:spacing w:before="3" w:line="316" w:lineRule="auto"/>
              <w:ind w:left="109" w:right="108" w:firstLine="7"/>
              <w:rPr>
                <w:color w:val="auto"/>
                <w:highlight w:val="none"/>
              </w:rPr>
            </w:pPr>
            <w:r>
              <w:rPr>
                <w:color w:val="auto"/>
                <w:spacing w:val="8"/>
                <w:highlight w:val="none"/>
              </w:rPr>
              <w:t>（2）具有稳定的抽样、检验和技术管理人员</w:t>
            </w:r>
            <w:r>
              <w:rPr>
                <w:b/>
                <w:bCs/>
                <w:color w:val="auto"/>
                <w:spacing w:val="8"/>
                <w:highlight w:val="none"/>
              </w:rPr>
              <w:t>[响应文件中须提供拟投入人员名单、职称（资格）证书、及所属于供应商单位在职人员</w:t>
            </w:r>
            <w:r>
              <w:rPr>
                <w:b/>
                <w:bCs/>
                <w:color w:val="auto"/>
                <w:spacing w:val="4"/>
                <w:highlight w:val="none"/>
              </w:rPr>
              <w:t>的相关证明材料，如</w:t>
            </w:r>
            <w:r>
              <w:rPr>
                <w:color w:val="auto"/>
                <w:spacing w:val="-49"/>
                <w:highlight w:val="none"/>
              </w:rPr>
              <w:t xml:space="preserve"> </w:t>
            </w:r>
            <w:r>
              <w:rPr>
                <w:b/>
                <w:bCs/>
                <w:color w:val="auto"/>
                <w:spacing w:val="4"/>
                <w:highlight w:val="none"/>
              </w:rPr>
              <w:t>202</w:t>
            </w:r>
            <w:r>
              <w:rPr>
                <w:rFonts w:hint="eastAsia"/>
                <w:b/>
                <w:bCs/>
                <w:color w:val="auto"/>
                <w:spacing w:val="4"/>
                <w:highlight w:val="none"/>
                <w:lang w:val="en-US" w:eastAsia="zh-CN"/>
              </w:rPr>
              <w:t>6</w:t>
            </w:r>
            <w:r>
              <w:rPr>
                <w:color w:val="auto"/>
                <w:spacing w:val="-51"/>
                <w:highlight w:val="none"/>
              </w:rPr>
              <w:t xml:space="preserve"> </w:t>
            </w:r>
            <w:r>
              <w:rPr>
                <w:b/>
                <w:bCs/>
                <w:color w:val="auto"/>
                <w:spacing w:val="4"/>
                <w:highlight w:val="none"/>
              </w:rPr>
              <w:t>年</w:t>
            </w:r>
            <w:r>
              <w:rPr>
                <w:rFonts w:hint="eastAsia" w:ascii="Times New Roman" w:hAnsi="Times New Roman" w:eastAsia="Times New Roman" w:cs="Times New Roman"/>
                <w:b/>
                <w:bCs/>
                <w:color w:val="auto"/>
                <w:spacing w:val="4"/>
                <w:sz w:val="20"/>
                <w:szCs w:val="20"/>
                <w:highlight w:val="none"/>
                <w:lang w:val="en-US" w:eastAsia="zh-CN"/>
              </w:rPr>
              <w:t>任意一个</w:t>
            </w:r>
            <w:r>
              <w:rPr>
                <w:color w:val="auto"/>
                <w:spacing w:val="-47"/>
                <w:highlight w:val="none"/>
                <w:u w:val="single" w:color="auto"/>
              </w:rPr>
              <w:t xml:space="preserve"> </w:t>
            </w:r>
            <w:r>
              <w:rPr>
                <w:b/>
                <w:bCs/>
                <w:color w:val="auto"/>
                <w:spacing w:val="4"/>
                <w:highlight w:val="none"/>
              </w:rPr>
              <w:t>月工资流水或</w:t>
            </w:r>
            <w:r>
              <w:rPr>
                <w:color w:val="auto"/>
                <w:spacing w:val="-49"/>
                <w:highlight w:val="none"/>
              </w:rPr>
              <w:t xml:space="preserve"> </w:t>
            </w:r>
            <w:r>
              <w:rPr>
                <w:b/>
                <w:bCs/>
                <w:color w:val="auto"/>
                <w:spacing w:val="4"/>
                <w:highlight w:val="none"/>
              </w:rPr>
              <w:t>202</w:t>
            </w:r>
            <w:r>
              <w:rPr>
                <w:rFonts w:hint="eastAsia"/>
                <w:b/>
                <w:bCs/>
                <w:color w:val="auto"/>
                <w:spacing w:val="4"/>
                <w:highlight w:val="none"/>
                <w:lang w:val="en-US" w:eastAsia="zh-CN"/>
              </w:rPr>
              <w:t>6</w:t>
            </w:r>
            <w:r>
              <w:rPr>
                <w:b/>
                <w:bCs/>
                <w:color w:val="auto"/>
                <w:spacing w:val="4"/>
                <w:highlight w:val="none"/>
              </w:rPr>
              <w:t>年</w:t>
            </w:r>
            <w:r>
              <w:rPr>
                <w:b/>
                <w:bCs/>
                <w:color w:val="auto"/>
                <w:spacing w:val="4"/>
                <w:highlight w:val="none"/>
                <w:u w:val="single" w:color="auto"/>
              </w:rPr>
              <w:t>4</w:t>
            </w:r>
            <w:r>
              <w:rPr>
                <w:color w:val="auto"/>
                <w:spacing w:val="-48"/>
                <w:highlight w:val="none"/>
                <w:u w:val="single" w:color="auto"/>
              </w:rPr>
              <w:t xml:space="preserve"> </w:t>
            </w:r>
            <w:r>
              <w:rPr>
                <w:b/>
                <w:bCs/>
                <w:color w:val="auto"/>
                <w:spacing w:val="4"/>
                <w:highlight w:val="none"/>
              </w:rPr>
              <w:t>月至</w:t>
            </w:r>
            <w:r>
              <w:rPr>
                <w:color w:val="auto"/>
                <w:spacing w:val="4"/>
                <w:highlight w:val="none"/>
                <w:u w:val="single" w:color="auto"/>
              </w:rPr>
              <w:t xml:space="preserve">  </w:t>
            </w:r>
            <w:r>
              <w:rPr>
                <w:b/>
                <w:bCs/>
                <w:color w:val="auto"/>
                <w:spacing w:val="4"/>
                <w:highlight w:val="none"/>
                <w:u w:val="single" w:color="auto"/>
              </w:rPr>
              <w:t>6</w:t>
            </w:r>
            <w:r>
              <w:rPr>
                <w:b/>
                <w:bCs/>
                <w:color w:val="auto"/>
                <w:spacing w:val="4"/>
                <w:highlight w:val="none"/>
              </w:rPr>
              <w:t>月社保等]。</w:t>
            </w:r>
          </w:p>
          <w:p w14:paraId="3749B6C0">
            <w:pPr>
              <w:pStyle w:val="179"/>
              <w:spacing w:before="2" w:line="288" w:lineRule="auto"/>
              <w:ind w:left="106" w:right="109"/>
              <w:rPr>
                <w:color w:val="auto"/>
                <w:highlight w:val="none"/>
              </w:rPr>
            </w:pPr>
            <w:r>
              <w:rPr>
                <w:color w:val="auto"/>
                <w:spacing w:val="8"/>
                <w:highlight w:val="none"/>
              </w:rPr>
              <w:t>①本标项拟投入从事食品检验相关工作人员</w:t>
            </w:r>
            <w:r>
              <w:rPr>
                <w:color w:val="auto"/>
                <w:spacing w:val="7"/>
                <w:highlight w:val="none"/>
              </w:rPr>
              <w:t>总数不低于</w:t>
            </w:r>
            <w:r>
              <w:rPr>
                <w:color w:val="auto"/>
                <w:spacing w:val="-24"/>
                <w:highlight w:val="none"/>
              </w:rPr>
              <w:t xml:space="preserve"> </w:t>
            </w:r>
            <w:r>
              <w:rPr>
                <w:color w:val="auto"/>
                <w:spacing w:val="7"/>
                <w:highlight w:val="none"/>
              </w:rPr>
              <w:t>10</w:t>
            </w:r>
            <w:r>
              <w:rPr>
                <w:color w:val="auto"/>
                <w:spacing w:val="-36"/>
                <w:highlight w:val="none"/>
              </w:rPr>
              <w:t xml:space="preserve"> </w:t>
            </w:r>
            <w:r>
              <w:rPr>
                <w:color w:val="auto"/>
                <w:spacing w:val="7"/>
                <w:highlight w:val="none"/>
              </w:rPr>
              <w:t>人，且直</w:t>
            </w:r>
            <w:r>
              <w:rPr>
                <w:color w:val="auto"/>
                <w:spacing w:val="9"/>
                <w:highlight w:val="none"/>
              </w:rPr>
              <w:t>接从事食品检验工作满</w:t>
            </w:r>
            <w:r>
              <w:rPr>
                <w:color w:val="auto"/>
                <w:spacing w:val="-34"/>
                <w:highlight w:val="none"/>
              </w:rPr>
              <w:t xml:space="preserve"> </w:t>
            </w:r>
            <w:r>
              <w:rPr>
                <w:color w:val="auto"/>
                <w:spacing w:val="9"/>
                <w:highlight w:val="none"/>
              </w:rPr>
              <w:t>2</w:t>
            </w:r>
            <w:r>
              <w:rPr>
                <w:color w:val="auto"/>
                <w:spacing w:val="-37"/>
                <w:highlight w:val="none"/>
              </w:rPr>
              <w:t xml:space="preserve"> </w:t>
            </w:r>
            <w:r>
              <w:rPr>
                <w:color w:val="auto"/>
                <w:spacing w:val="9"/>
                <w:highlight w:val="none"/>
              </w:rPr>
              <w:t>年及以上的检验人</w:t>
            </w:r>
            <w:r>
              <w:rPr>
                <w:color w:val="auto"/>
                <w:spacing w:val="8"/>
                <w:highlight w:val="none"/>
              </w:rPr>
              <w:t>员占直接从事食品检验</w:t>
            </w:r>
            <w:r>
              <w:rPr>
                <w:color w:val="auto"/>
                <w:spacing w:val="7"/>
                <w:highlight w:val="none"/>
              </w:rPr>
              <w:t>人员总数的比例不低于</w:t>
            </w:r>
            <w:r>
              <w:rPr>
                <w:color w:val="auto"/>
                <w:spacing w:val="-32"/>
                <w:highlight w:val="none"/>
              </w:rPr>
              <w:t xml:space="preserve"> </w:t>
            </w:r>
            <w:r>
              <w:rPr>
                <w:color w:val="auto"/>
                <w:spacing w:val="7"/>
                <w:highlight w:val="none"/>
              </w:rPr>
              <w:t>50%（含</w:t>
            </w:r>
            <w:r>
              <w:rPr>
                <w:color w:val="auto"/>
                <w:spacing w:val="-1"/>
                <w:highlight w:val="none"/>
              </w:rPr>
              <w:t>），</w:t>
            </w:r>
            <w:r>
              <w:rPr>
                <w:color w:val="auto"/>
                <w:spacing w:val="7"/>
                <w:highlight w:val="none"/>
              </w:rPr>
              <w:t>能保证食品抽样检验工作的连续</w:t>
            </w:r>
            <w:r>
              <w:rPr>
                <w:color w:val="auto"/>
                <w:spacing w:val="6"/>
                <w:highlight w:val="none"/>
              </w:rPr>
              <w:t>性和稳定性。</w:t>
            </w:r>
            <w:r>
              <w:rPr>
                <w:color w:val="auto"/>
                <w:spacing w:val="-35"/>
                <w:highlight w:val="none"/>
              </w:rPr>
              <w:t xml:space="preserve"> </w:t>
            </w:r>
            <w:r>
              <w:rPr>
                <w:b/>
                <w:bCs/>
                <w:color w:val="auto"/>
                <w:spacing w:val="6"/>
                <w:highlight w:val="none"/>
              </w:rPr>
              <w:t>[响应文件中须提供工作满</w:t>
            </w:r>
            <w:r>
              <w:rPr>
                <w:color w:val="auto"/>
                <w:spacing w:val="6"/>
                <w:highlight w:val="none"/>
              </w:rPr>
              <w:t xml:space="preserve"> </w:t>
            </w:r>
            <w:r>
              <w:rPr>
                <w:b/>
                <w:bCs/>
                <w:color w:val="auto"/>
                <w:spacing w:val="6"/>
                <w:highlight w:val="none"/>
              </w:rPr>
              <w:t>2</w:t>
            </w:r>
            <w:r>
              <w:rPr>
                <w:color w:val="auto"/>
                <w:spacing w:val="6"/>
                <w:highlight w:val="none"/>
              </w:rPr>
              <w:t xml:space="preserve"> </w:t>
            </w:r>
            <w:r>
              <w:rPr>
                <w:b/>
                <w:bCs/>
                <w:color w:val="auto"/>
                <w:spacing w:val="6"/>
                <w:highlight w:val="none"/>
              </w:rPr>
              <w:t>年及以上直接从事食品</w:t>
            </w:r>
            <w:r>
              <w:rPr>
                <w:b/>
                <w:bCs/>
                <w:color w:val="auto"/>
                <w:spacing w:val="8"/>
                <w:highlight w:val="none"/>
              </w:rPr>
              <w:t>检验个人工作经历证明材料（如</w:t>
            </w:r>
            <w:r>
              <w:rPr>
                <w:rFonts w:hint="eastAsia" w:eastAsia="宋体"/>
                <w:b/>
                <w:bCs/>
                <w:color w:val="auto"/>
                <w:spacing w:val="8"/>
                <w:highlight w:val="none"/>
                <w:lang w:val="en-US" w:eastAsia="zh-CN"/>
              </w:rPr>
              <w:t>工资流水或</w:t>
            </w:r>
            <w:r>
              <w:rPr>
                <w:b/>
                <w:bCs/>
                <w:color w:val="auto"/>
                <w:spacing w:val="8"/>
                <w:highlight w:val="none"/>
              </w:rPr>
              <w:t>社保证明或承诺等</w:t>
            </w:r>
            <w:r>
              <w:rPr>
                <w:b/>
                <w:bCs/>
                <w:color w:val="auto"/>
                <w:spacing w:val="15"/>
                <w:highlight w:val="none"/>
              </w:rPr>
              <w:t>），</w:t>
            </w:r>
            <w:r>
              <w:rPr>
                <w:b/>
                <w:bCs/>
                <w:color w:val="auto"/>
                <w:spacing w:val="8"/>
                <w:highlight w:val="none"/>
              </w:rPr>
              <w:t>并</w:t>
            </w:r>
            <w:r>
              <w:rPr>
                <w:b/>
                <w:bCs/>
                <w:color w:val="auto"/>
                <w:spacing w:val="7"/>
                <w:highlight w:val="none"/>
              </w:rPr>
              <w:t>加盖供应商单位公章或电子签章]</w:t>
            </w:r>
          </w:p>
          <w:p w14:paraId="33286A79">
            <w:pPr>
              <w:pStyle w:val="179"/>
              <w:spacing w:before="65" w:line="332" w:lineRule="auto"/>
              <w:ind w:left="109" w:right="198" w:hanging="4"/>
              <w:rPr>
                <w:color w:val="auto"/>
                <w:highlight w:val="none"/>
              </w:rPr>
            </w:pPr>
            <w:r>
              <w:rPr>
                <w:color w:val="auto"/>
                <w:spacing w:val="10"/>
                <w:highlight w:val="none"/>
              </w:rPr>
              <w:t>②要求检验和技术管理人员熟悉有关食品检验</w:t>
            </w:r>
            <w:r>
              <w:rPr>
                <w:color w:val="auto"/>
                <w:spacing w:val="9"/>
                <w:highlight w:val="none"/>
              </w:rPr>
              <w:t>的标准、检验方法原理，掌握检验操作技能、标准操作程序、计量和数据处理知识等；</w:t>
            </w:r>
          </w:p>
          <w:p w14:paraId="2788FA4D">
            <w:pPr>
              <w:pStyle w:val="179"/>
              <w:spacing w:before="2" w:line="332" w:lineRule="auto"/>
              <w:ind w:left="108" w:right="109" w:hanging="1"/>
              <w:rPr>
                <w:b/>
                <w:bCs/>
                <w:color w:val="auto"/>
                <w:highlight w:val="none"/>
              </w:rPr>
            </w:pPr>
            <w:r>
              <w:rPr>
                <w:color w:val="auto"/>
                <w:spacing w:val="8"/>
                <w:highlight w:val="none"/>
              </w:rPr>
              <w:t>技术负责人、质量负责人至少从事食品检验管理及相关工作</w:t>
            </w:r>
            <w:r>
              <w:rPr>
                <w:color w:val="auto"/>
                <w:spacing w:val="-16"/>
                <w:highlight w:val="none"/>
              </w:rPr>
              <w:t xml:space="preserve"> </w:t>
            </w:r>
            <w:r>
              <w:rPr>
                <w:color w:val="auto"/>
                <w:spacing w:val="8"/>
                <w:highlight w:val="none"/>
              </w:rPr>
              <w:t>2</w:t>
            </w:r>
            <w:r>
              <w:rPr>
                <w:color w:val="auto"/>
                <w:spacing w:val="-38"/>
                <w:highlight w:val="none"/>
              </w:rPr>
              <w:t xml:space="preserve"> </w:t>
            </w:r>
            <w:r>
              <w:rPr>
                <w:color w:val="auto"/>
                <w:spacing w:val="8"/>
                <w:highlight w:val="none"/>
              </w:rPr>
              <w:t>年或</w:t>
            </w:r>
            <w:r>
              <w:rPr>
                <w:color w:val="auto"/>
                <w:spacing w:val="6"/>
                <w:highlight w:val="none"/>
              </w:rPr>
              <w:t>以上；</w:t>
            </w:r>
            <w:r>
              <w:rPr>
                <w:b/>
                <w:bCs/>
                <w:color w:val="auto"/>
                <w:spacing w:val="6"/>
                <w:highlight w:val="none"/>
              </w:rPr>
              <w:t>[响应文件中须提供工作满 2</w:t>
            </w:r>
            <w:r>
              <w:rPr>
                <w:b/>
                <w:bCs/>
                <w:color w:val="auto"/>
                <w:spacing w:val="-20"/>
                <w:highlight w:val="none"/>
              </w:rPr>
              <w:t xml:space="preserve"> </w:t>
            </w:r>
            <w:r>
              <w:rPr>
                <w:b/>
                <w:bCs/>
                <w:color w:val="auto"/>
                <w:spacing w:val="6"/>
                <w:highlight w:val="none"/>
              </w:rPr>
              <w:t>年及以上直接从事食品检验个人</w:t>
            </w:r>
            <w:r>
              <w:rPr>
                <w:b/>
                <w:bCs/>
                <w:color w:val="auto"/>
                <w:spacing w:val="9"/>
                <w:highlight w:val="none"/>
              </w:rPr>
              <w:t>工作经历证明材料（如</w:t>
            </w:r>
            <w:r>
              <w:rPr>
                <w:rFonts w:hint="eastAsia" w:eastAsia="宋体"/>
                <w:b/>
                <w:bCs/>
                <w:color w:val="auto"/>
                <w:spacing w:val="8"/>
                <w:highlight w:val="none"/>
                <w:lang w:val="en-US" w:eastAsia="zh-CN"/>
              </w:rPr>
              <w:t>工资流水或</w:t>
            </w:r>
            <w:r>
              <w:rPr>
                <w:b/>
                <w:bCs/>
                <w:color w:val="auto"/>
                <w:spacing w:val="9"/>
                <w:highlight w:val="none"/>
              </w:rPr>
              <w:t>社保证明或承诺等</w:t>
            </w:r>
            <w:r>
              <w:rPr>
                <w:b/>
                <w:bCs/>
                <w:color w:val="auto"/>
                <w:spacing w:val="18"/>
                <w:highlight w:val="none"/>
              </w:rPr>
              <w:t>），</w:t>
            </w:r>
            <w:r>
              <w:rPr>
                <w:b/>
                <w:bCs/>
                <w:color w:val="auto"/>
                <w:spacing w:val="9"/>
                <w:highlight w:val="none"/>
              </w:rPr>
              <w:t>并加盖供应商单</w:t>
            </w:r>
            <w:r>
              <w:rPr>
                <w:b/>
                <w:bCs/>
                <w:color w:val="auto"/>
                <w:spacing w:val="8"/>
                <w:highlight w:val="none"/>
              </w:rPr>
              <w:t>位公</w:t>
            </w:r>
            <w:r>
              <w:rPr>
                <w:b/>
                <w:bCs/>
                <w:color w:val="auto"/>
                <w:spacing w:val="7"/>
                <w:highlight w:val="none"/>
              </w:rPr>
              <w:t>章或电子签章]</w:t>
            </w:r>
          </w:p>
          <w:p w14:paraId="7206791D">
            <w:pPr>
              <w:pStyle w:val="179"/>
              <w:spacing w:before="1" w:line="332" w:lineRule="auto"/>
              <w:ind w:left="105" w:right="109"/>
              <w:rPr>
                <w:color w:val="auto"/>
                <w:highlight w:val="none"/>
              </w:rPr>
            </w:pPr>
            <w:r>
              <w:rPr>
                <w:color w:val="auto"/>
                <w:spacing w:val="7"/>
                <w:highlight w:val="none"/>
              </w:rPr>
              <w:t>③从事食品检验工作满</w:t>
            </w:r>
            <w:r>
              <w:rPr>
                <w:color w:val="auto"/>
                <w:spacing w:val="-28"/>
                <w:highlight w:val="none"/>
              </w:rPr>
              <w:t xml:space="preserve"> </w:t>
            </w:r>
            <w:r>
              <w:rPr>
                <w:color w:val="auto"/>
                <w:spacing w:val="7"/>
                <w:highlight w:val="none"/>
              </w:rPr>
              <w:t>2</w:t>
            </w:r>
            <w:r>
              <w:rPr>
                <w:color w:val="auto"/>
                <w:spacing w:val="-37"/>
                <w:highlight w:val="none"/>
              </w:rPr>
              <w:t xml:space="preserve"> </w:t>
            </w:r>
            <w:r>
              <w:rPr>
                <w:color w:val="auto"/>
                <w:spacing w:val="7"/>
                <w:highlight w:val="none"/>
              </w:rPr>
              <w:t>年（含）</w:t>
            </w:r>
            <w:r>
              <w:rPr>
                <w:color w:val="auto"/>
                <w:spacing w:val="-57"/>
                <w:highlight w:val="none"/>
              </w:rPr>
              <w:t xml:space="preserve"> </w:t>
            </w:r>
            <w:r>
              <w:rPr>
                <w:color w:val="auto"/>
                <w:spacing w:val="7"/>
                <w:highlight w:val="none"/>
              </w:rPr>
              <w:t>以上具有中级或以上系列职称的技术人员不低于</w:t>
            </w:r>
            <w:r>
              <w:rPr>
                <w:color w:val="auto"/>
                <w:spacing w:val="-24"/>
                <w:highlight w:val="none"/>
              </w:rPr>
              <w:t xml:space="preserve"> </w:t>
            </w:r>
            <w:r>
              <w:rPr>
                <w:color w:val="auto"/>
                <w:spacing w:val="7"/>
                <w:highlight w:val="none"/>
              </w:rPr>
              <w:t>5</w:t>
            </w:r>
            <w:r>
              <w:rPr>
                <w:color w:val="auto"/>
                <w:spacing w:val="-38"/>
                <w:highlight w:val="none"/>
              </w:rPr>
              <w:t xml:space="preserve"> </w:t>
            </w:r>
            <w:r>
              <w:rPr>
                <w:color w:val="auto"/>
                <w:spacing w:val="7"/>
                <w:highlight w:val="none"/>
              </w:rPr>
              <w:t>名</w:t>
            </w:r>
            <w:r>
              <w:rPr>
                <w:b/>
                <w:bCs/>
                <w:color w:val="auto"/>
                <w:spacing w:val="7"/>
                <w:highlight w:val="none"/>
              </w:rPr>
              <w:t>[响应文件中须提供工作满</w:t>
            </w:r>
            <w:r>
              <w:rPr>
                <w:color w:val="auto"/>
                <w:spacing w:val="7"/>
                <w:highlight w:val="none"/>
              </w:rPr>
              <w:t xml:space="preserve"> </w:t>
            </w:r>
            <w:r>
              <w:rPr>
                <w:b/>
                <w:bCs/>
                <w:color w:val="auto"/>
                <w:spacing w:val="7"/>
                <w:highlight w:val="none"/>
              </w:rPr>
              <w:t>2</w:t>
            </w:r>
            <w:r>
              <w:rPr>
                <w:color w:val="auto"/>
                <w:spacing w:val="7"/>
                <w:highlight w:val="none"/>
              </w:rPr>
              <w:t xml:space="preserve"> </w:t>
            </w:r>
            <w:r>
              <w:rPr>
                <w:b/>
                <w:bCs/>
                <w:color w:val="auto"/>
                <w:spacing w:val="7"/>
                <w:highlight w:val="none"/>
              </w:rPr>
              <w:t>年及以上直接从事食品检验个人工作经历证明材料（如</w:t>
            </w:r>
            <w:r>
              <w:rPr>
                <w:rFonts w:hint="eastAsia" w:eastAsia="宋体"/>
                <w:b/>
                <w:bCs/>
                <w:color w:val="auto"/>
                <w:spacing w:val="8"/>
                <w:highlight w:val="none"/>
                <w:lang w:val="en-US" w:eastAsia="zh-CN"/>
              </w:rPr>
              <w:t>工资流水或</w:t>
            </w:r>
            <w:r>
              <w:rPr>
                <w:b/>
                <w:bCs/>
                <w:color w:val="auto"/>
                <w:spacing w:val="7"/>
                <w:highlight w:val="none"/>
              </w:rPr>
              <w:t>社保证明或承诺等)</w:t>
            </w:r>
            <w:r>
              <w:rPr>
                <w:b/>
                <w:bCs/>
                <w:color w:val="auto"/>
                <w:spacing w:val="6"/>
                <w:highlight w:val="none"/>
              </w:rPr>
              <w:t>、人力资</w:t>
            </w:r>
            <w:r>
              <w:rPr>
                <w:b/>
                <w:bCs/>
                <w:color w:val="auto"/>
                <w:spacing w:val="8"/>
                <w:highlight w:val="none"/>
              </w:rPr>
              <w:t>源部门颁发的相关职称证明文件，并加盖供应商单位公章或电子签</w:t>
            </w:r>
            <w:r>
              <w:rPr>
                <w:b/>
                <w:bCs/>
                <w:color w:val="auto"/>
                <w:highlight w:val="none"/>
              </w:rPr>
              <w:t>章]。</w:t>
            </w:r>
          </w:p>
          <w:p w14:paraId="69FE86EA">
            <w:pPr>
              <w:pStyle w:val="179"/>
              <w:spacing w:before="1" w:line="303" w:lineRule="auto"/>
              <w:ind w:left="105" w:right="198"/>
              <w:rPr>
                <w:color w:val="auto"/>
                <w:highlight w:val="none"/>
              </w:rPr>
            </w:pPr>
            <w:r>
              <w:rPr>
                <w:color w:val="auto"/>
                <w:spacing w:val="10"/>
                <w:highlight w:val="none"/>
              </w:rPr>
              <w:t>④同时承担抽样任务的，具有与抽样工作相匹</w:t>
            </w:r>
            <w:r>
              <w:rPr>
                <w:color w:val="auto"/>
                <w:spacing w:val="9"/>
                <w:highlight w:val="none"/>
              </w:rPr>
              <w:t>配的独立抽样人员、</w:t>
            </w:r>
            <w:r>
              <w:rPr>
                <w:color w:val="auto"/>
                <w:spacing w:val="10"/>
                <w:highlight w:val="none"/>
              </w:rPr>
              <w:t>抽样工具、设备等条件；熟悉食品抽样程序</w:t>
            </w:r>
            <w:r>
              <w:rPr>
                <w:color w:val="auto"/>
                <w:spacing w:val="9"/>
                <w:highlight w:val="none"/>
              </w:rPr>
              <w:t>，能按照要求派出不少于</w:t>
            </w:r>
            <w:r>
              <w:rPr>
                <w:color w:val="auto"/>
                <w:spacing w:val="-34"/>
                <w:highlight w:val="none"/>
              </w:rPr>
              <w:t xml:space="preserve"> </w:t>
            </w:r>
            <w:r>
              <w:rPr>
                <w:color w:val="auto"/>
                <w:spacing w:val="9"/>
                <w:highlight w:val="none"/>
              </w:rPr>
              <w:t>2</w:t>
            </w:r>
            <w:r>
              <w:rPr>
                <w:color w:val="auto"/>
                <w:spacing w:val="-39"/>
                <w:highlight w:val="none"/>
              </w:rPr>
              <w:t xml:space="preserve"> </w:t>
            </w:r>
            <w:r>
              <w:rPr>
                <w:color w:val="auto"/>
                <w:spacing w:val="9"/>
                <w:highlight w:val="none"/>
              </w:rPr>
              <w:t>人的抽样人员完成抽样工作，抽样人员熟悉</w:t>
            </w:r>
            <w:r>
              <w:rPr>
                <w:color w:val="auto"/>
                <w:spacing w:val="8"/>
                <w:highlight w:val="none"/>
              </w:rPr>
              <w:t>相关法律、法规、</w:t>
            </w:r>
            <w:r>
              <w:rPr>
                <w:color w:val="auto"/>
                <w:spacing w:val="10"/>
                <w:highlight w:val="none"/>
              </w:rPr>
              <w:t>规章和标准等有关规定。抽样人员使用规范</w:t>
            </w:r>
            <w:r>
              <w:rPr>
                <w:color w:val="auto"/>
                <w:spacing w:val="9"/>
                <w:highlight w:val="none"/>
              </w:rPr>
              <w:t>的抽样文书，准确、完整记录抽样信息，抽样程序符合规定。</w:t>
            </w:r>
          </w:p>
        </w:tc>
      </w:tr>
    </w:tbl>
    <w:p w14:paraId="1ED994A1">
      <w:pPr>
        <w:rPr>
          <w:rFonts w:ascii="Arial"/>
          <w:color w:val="auto"/>
          <w:sz w:val="21"/>
          <w:highlight w:val="none"/>
        </w:rPr>
      </w:pPr>
    </w:p>
    <w:p w14:paraId="7FB265A7">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2DC39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55" w:type="dxa"/>
            <w:vAlign w:val="top"/>
          </w:tcPr>
          <w:p w14:paraId="327658F2">
            <w:pPr>
              <w:rPr>
                <w:rFonts w:ascii="Arial"/>
                <w:color w:val="auto"/>
                <w:sz w:val="21"/>
                <w:highlight w:val="none"/>
              </w:rPr>
            </w:pPr>
          </w:p>
        </w:tc>
        <w:tc>
          <w:tcPr>
            <w:tcW w:w="873" w:type="dxa"/>
            <w:vAlign w:val="top"/>
          </w:tcPr>
          <w:p w14:paraId="73009638">
            <w:pPr>
              <w:rPr>
                <w:rFonts w:ascii="Arial"/>
                <w:color w:val="auto"/>
                <w:sz w:val="21"/>
                <w:highlight w:val="none"/>
              </w:rPr>
            </w:pPr>
          </w:p>
        </w:tc>
        <w:tc>
          <w:tcPr>
            <w:tcW w:w="663" w:type="dxa"/>
            <w:vAlign w:val="top"/>
          </w:tcPr>
          <w:p w14:paraId="770D5B06">
            <w:pPr>
              <w:rPr>
                <w:rFonts w:ascii="Arial"/>
                <w:color w:val="auto"/>
                <w:sz w:val="21"/>
                <w:highlight w:val="none"/>
              </w:rPr>
            </w:pPr>
          </w:p>
        </w:tc>
        <w:tc>
          <w:tcPr>
            <w:tcW w:w="683" w:type="dxa"/>
            <w:vAlign w:val="top"/>
          </w:tcPr>
          <w:p w14:paraId="6515CF53">
            <w:pPr>
              <w:rPr>
                <w:rFonts w:ascii="Arial"/>
                <w:color w:val="auto"/>
                <w:sz w:val="21"/>
                <w:highlight w:val="none"/>
              </w:rPr>
            </w:pPr>
          </w:p>
        </w:tc>
        <w:tc>
          <w:tcPr>
            <w:tcW w:w="6391" w:type="dxa"/>
            <w:vAlign w:val="top"/>
          </w:tcPr>
          <w:p w14:paraId="04852B82">
            <w:pPr>
              <w:pStyle w:val="179"/>
              <w:spacing w:before="124" w:line="332" w:lineRule="auto"/>
              <w:ind w:left="107" w:right="109"/>
              <w:jc w:val="both"/>
              <w:rPr>
                <w:color w:val="auto"/>
                <w:highlight w:val="none"/>
              </w:rPr>
            </w:pPr>
            <w:r>
              <w:rPr>
                <w:b/>
                <w:bCs/>
                <w:color w:val="auto"/>
                <w:spacing w:val="9"/>
                <w:highlight w:val="none"/>
              </w:rPr>
              <w:t>（响应文件中须提供抽样工</w:t>
            </w:r>
            <w:r>
              <w:rPr>
                <w:b/>
                <w:bCs/>
                <w:color w:val="auto"/>
                <w:spacing w:val="8"/>
                <w:highlight w:val="none"/>
              </w:rPr>
              <w:t>具，设备清单、专职抽样人员名单，及所属于供应商单位在职人员</w:t>
            </w:r>
            <w:r>
              <w:rPr>
                <w:b/>
                <w:bCs/>
                <w:color w:val="auto"/>
                <w:spacing w:val="4"/>
                <w:highlight w:val="none"/>
              </w:rPr>
              <w:t>的相关证明材料，如</w:t>
            </w:r>
            <w:r>
              <w:rPr>
                <w:color w:val="auto"/>
                <w:spacing w:val="-27"/>
                <w:highlight w:val="none"/>
              </w:rPr>
              <w:t xml:space="preserve"> </w:t>
            </w:r>
            <w:r>
              <w:rPr>
                <w:b/>
                <w:bCs/>
                <w:color w:val="auto"/>
                <w:spacing w:val="4"/>
                <w:highlight w:val="none"/>
              </w:rPr>
              <w:t>202</w:t>
            </w:r>
            <w:r>
              <w:rPr>
                <w:rFonts w:hint="eastAsia"/>
                <w:b/>
                <w:bCs/>
                <w:color w:val="auto"/>
                <w:spacing w:val="4"/>
                <w:highlight w:val="none"/>
                <w:lang w:val="en-US" w:eastAsia="zh-CN"/>
              </w:rPr>
              <w:t>6</w:t>
            </w:r>
            <w:r>
              <w:rPr>
                <w:color w:val="auto"/>
                <w:spacing w:val="-37"/>
                <w:highlight w:val="none"/>
              </w:rPr>
              <w:t xml:space="preserve"> </w:t>
            </w:r>
            <w:r>
              <w:rPr>
                <w:b/>
                <w:bCs/>
                <w:color w:val="auto"/>
                <w:spacing w:val="4"/>
                <w:highlight w:val="none"/>
              </w:rPr>
              <w:t>年</w:t>
            </w:r>
            <w:r>
              <w:rPr>
                <w:rFonts w:hint="eastAsia" w:eastAsia="宋体"/>
                <w:b/>
                <w:bCs/>
                <w:color w:val="auto"/>
                <w:spacing w:val="4"/>
                <w:highlight w:val="none"/>
                <w:lang w:val="en-US" w:eastAsia="zh-CN"/>
              </w:rPr>
              <w:t>任意一个</w:t>
            </w:r>
            <w:r>
              <w:rPr>
                <w:b/>
                <w:bCs/>
                <w:color w:val="auto"/>
                <w:spacing w:val="4"/>
                <w:highlight w:val="none"/>
              </w:rPr>
              <w:t>月工资流水或</w:t>
            </w:r>
            <w:r>
              <w:rPr>
                <w:color w:val="auto"/>
                <w:spacing w:val="-34"/>
                <w:highlight w:val="none"/>
              </w:rPr>
              <w:t xml:space="preserve"> </w:t>
            </w:r>
            <w:r>
              <w:rPr>
                <w:b/>
                <w:bCs/>
                <w:color w:val="auto"/>
                <w:spacing w:val="4"/>
                <w:highlight w:val="none"/>
              </w:rPr>
              <w:t>202</w:t>
            </w:r>
            <w:r>
              <w:rPr>
                <w:rFonts w:hint="eastAsia"/>
                <w:b/>
                <w:bCs/>
                <w:color w:val="auto"/>
                <w:spacing w:val="4"/>
                <w:highlight w:val="none"/>
                <w:lang w:val="en-US" w:eastAsia="zh-CN"/>
              </w:rPr>
              <w:t>6</w:t>
            </w:r>
            <w:r>
              <w:rPr>
                <w:color w:val="auto"/>
                <w:spacing w:val="-40"/>
                <w:highlight w:val="none"/>
              </w:rPr>
              <w:t xml:space="preserve"> </w:t>
            </w:r>
            <w:r>
              <w:rPr>
                <w:b/>
                <w:bCs/>
                <w:color w:val="auto"/>
                <w:spacing w:val="4"/>
                <w:highlight w:val="none"/>
              </w:rPr>
              <w:t>年</w:t>
            </w:r>
            <w:r>
              <w:rPr>
                <w:color w:val="auto"/>
                <w:spacing w:val="4"/>
                <w:highlight w:val="none"/>
              </w:rPr>
              <w:t xml:space="preserve"> </w:t>
            </w:r>
            <w:r>
              <w:rPr>
                <w:b/>
                <w:bCs/>
                <w:color w:val="auto"/>
                <w:spacing w:val="4"/>
                <w:highlight w:val="none"/>
                <w:u w:val="single" w:color="auto"/>
              </w:rPr>
              <w:t>4</w:t>
            </w:r>
            <w:r>
              <w:rPr>
                <w:color w:val="auto"/>
                <w:spacing w:val="-33"/>
                <w:highlight w:val="none"/>
                <w:u w:val="single" w:color="auto"/>
              </w:rPr>
              <w:t xml:space="preserve"> </w:t>
            </w:r>
            <w:r>
              <w:rPr>
                <w:b/>
                <w:bCs/>
                <w:color w:val="auto"/>
                <w:spacing w:val="4"/>
                <w:highlight w:val="none"/>
              </w:rPr>
              <w:t>月至</w:t>
            </w:r>
            <w:r>
              <w:rPr>
                <w:b/>
                <w:bCs/>
                <w:color w:val="auto"/>
                <w:spacing w:val="1"/>
                <w:highlight w:val="none"/>
                <w:u w:val="single" w:color="auto"/>
              </w:rPr>
              <w:t>6</w:t>
            </w:r>
            <w:r>
              <w:rPr>
                <w:color w:val="auto"/>
                <w:spacing w:val="-29"/>
                <w:highlight w:val="none"/>
                <w:u w:val="single" w:color="auto"/>
              </w:rPr>
              <w:t xml:space="preserve"> </w:t>
            </w:r>
            <w:r>
              <w:rPr>
                <w:b/>
                <w:bCs/>
                <w:color w:val="auto"/>
                <w:spacing w:val="1"/>
                <w:highlight w:val="none"/>
              </w:rPr>
              <w:t>月社保等）</w:t>
            </w:r>
          </w:p>
          <w:p w14:paraId="1A5A2E2B">
            <w:pPr>
              <w:pStyle w:val="179"/>
              <w:spacing w:before="2" w:line="332" w:lineRule="auto"/>
              <w:ind w:left="107" w:right="109" w:firstLine="9"/>
              <w:rPr>
                <w:color w:val="auto"/>
                <w:highlight w:val="none"/>
              </w:rPr>
            </w:pPr>
            <w:r>
              <w:rPr>
                <w:color w:val="auto"/>
                <w:spacing w:val="8"/>
                <w:highlight w:val="none"/>
              </w:rPr>
              <w:t>（3）能严格遵守检验工作委托时间进度安排和及时报送检验报告、质量分析报告等规定的材料。具体时限要求为：接到样品后</w:t>
            </w:r>
            <w:r>
              <w:rPr>
                <w:color w:val="auto"/>
                <w:spacing w:val="-35"/>
                <w:highlight w:val="none"/>
              </w:rPr>
              <w:t xml:space="preserve"> </w:t>
            </w:r>
            <w:r>
              <w:rPr>
                <w:color w:val="auto"/>
                <w:spacing w:val="8"/>
                <w:highlight w:val="none"/>
              </w:rPr>
              <w:t>20</w:t>
            </w:r>
            <w:r>
              <w:rPr>
                <w:color w:val="auto"/>
                <w:spacing w:val="-38"/>
                <w:highlight w:val="none"/>
              </w:rPr>
              <w:t xml:space="preserve"> </w:t>
            </w:r>
            <w:r>
              <w:rPr>
                <w:color w:val="auto"/>
                <w:spacing w:val="8"/>
                <w:highlight w:val="none"/>
              </w:rPr>
              <w:t>个工</w:t>
            </w:r>
            <w:r>
              <w:rPr>
                <w:color w:val="auto"/>
                <w:spacing w:val="7"/>
                <w:highlight w:val="none"/>
              </w:rPr>
              <w:t>作日内完成检验工作并在“</w:t>
            </w:r>
            <w:r>
              <w:rPr>
                <w:color w:val="auto"/>
                <w:spacing w:val="-55"/>
                <w:highlight w:val="none"/>
              </w:rPr>
              <w:t xml:space="preserve"> </w:t>
            </w:r>
            <w:r>
              <w:rPr>
                <w:color w:val="auto"/>
                <w:spacing w:val="7"/>
                <w:highlight w:val="none"/>
              </w:rPr>
              <w:t>国家食品安全抽样检验信息系统</w:t>
            </w:r>
            <w:r>
              <w:rPr>
                <w:color w:val="auto"/>
                <w:spacing w:val="-70"/>
                <w:highlight w:val="none"/>
              </w:rPr>
              <w:t xml:space="preserve"> </w:t>
            </w:r>
            <w:r>
              <w:rPr>
                <w:color w:val="auto"/>
                <w:spacing w:val="7"/>
                <w:highlight w:val="none"/>
              </w:rPr>
              <w:t>”上出</w:t>
            </w:r>
            <w:r>
              <w:rPr>
                <w:color w:val="auto"/>
                <w:spacing w:val="9"/>
                <w:highlight w:val="none"/>
              </w:rPr>
              <w:t>具通过</w:t>
            </w:r>
            <w:r>
              <w:rPr>
                <w:color w:val="auto"/>
                <w:spacing w:val="-38"/>
                <w:highlight w:val="none"/>
              </w:rPr>
              <w:t xml:space="preserve"> </w:t>
            </w:r>
            <w:r>
              <w:rPr>
                <w:color w:val="auto"/>
                <w:highlight w:val="none"/>
              </w:rPr>
              <w:t>CA</w:t>
            </w:r>
            <w:r>
              <w:rPr>
                <w:color w:val="auto"/>
                <w:spacing w:val="-41"/>
                <w:highlight w:val="none"/>
              </w:rPr>
              <w:t xml:space="preserve"> </w:t>
            </w:r>
            <w:r>
              <w:rPr>
                <w:color w:val="auto"/>
                <w:spacing w:val="9"/>
                <w:highlight w:val="none"/>
              </w:rPr>
              <w:t>认证的电子检验报告书。监督抽检检验结论</w:t>
            </w:r>
            <w:r>
              <w:rPr>
                <w:color w:val="auto"/>
                <w:spacing w:val="8"/>
                <w:highlight w:val="none"/>
              </w:rPr>
              <w:t>不合格的，应当在检验结论做出后</w:t>
            </w:r>
            <w:r>
              <w:rPr>
                <w:color w:val="auto"/>
                <w:spacing w:val="-34"/>
                <w:highlight w:val="none"/>
              </w:rPr>
              <w:t xml:space="preserve"> </w:t>
            </w:r>
            <w:r>
              <w:rPr>
                <w:color w:val="auto"/>
                <w:spacing w:val="8"/>
                <w:highlight w:val="none"/>
              </w:rPr>
              <w:t>2</w:t>
            </w:r>
            <w:r>
              <w:rPr>
                <w:color w:val="auto"/>
                <w:spacing w:val="-40"/>
                <w:highlight w:val="none"/>
              </w:rPr>
              <w:t xml:space="preserve"> </w:t>
            </w:r>
            <w:r>
              <w:rPr>
                <w:color w:val="auto"/>
                <w:spacing w:val="8"/>
                <w:highlight w:val="none"/>
              </w:rPr>
              <w:t>个工作日内在“</w:t>
            </w:r>
            <w:r>
              <w:rPr>
                <w:color w:val="auto"/>
                <w:spacing w:val="-70"/>
                <w:highlight w:val="none"/>
              </w:rPr>
              <w:t xml:space="preserve"> </w:t>
            </w:r>
            <w:r>
              <w:rPr>
                <w:color w:val="auto"/>
                <w:spacing w:val="8"/>
                <w:highlight w:val="none"/>
              </w:rPr>
              <w:t>国家</w:t>
            </w:r>
            <w:r>
              <w:rPr>
                <w:color w:val="auto"/>
                <w:spacing w:val="7"/>
                <w:highlight w:val="none"/>
              </w:rPr>
              <w:t>食品安全抽样检验信息</w:t>
            </w:r>
            <w:r>
              <w:rPr>
                <w:color w:val="auto"/>
                <w:spacing w:val="6"/>
                <w:highlight w:val="none"/>
              </w:rPr>
              <w:t>系统</w:t>
            </w:r>
            <w:r>
              <w:rPr>
                <w:color w:val="auto"/>
                <w:spacing w:val="-56"/>
                <w:highlight w:val="none"/>
              </w:rPr>
              <w:t xml:space="preserve"> </w:t>
            </w:r>
            <w:r>
              <w:rPr>
                <w:color w:val="auto"/>
                <w:spacing w:val="6"/>
                <w:highlight w:val="none"/>
              </w:rPr>
              <w:t>”出具通过</w:t>
            </w:r>
            <w:r>
              <w:rPr>
                <w:color w:val="auto"/>
                <w:spacing w:val="-39"/>
                <w:highlight w:val="none"/>
              </w:rPr>
              <w:t xml:space="preserve"> </w:t>
            </w:r>
            <w:r>
              <w:rPr>
                <w:color w:val="auto"/>
                <w:highlight w:val="none"/>
              </w:rPr>
              <w:t>CA</w:t>
            </w:r>
            <w:r>
              <w:rPr>
                <w:color w:val="auto"/>
                <w:spacing w:val="-40"/>
                <w:highlight w:val="none"/>
              </w:rPr>
              <w:t xml:space="preserve"> </w:t>
            </w:r>
            <w:r>
              <w:rPr>
                <w:color w:val="auto"/>
                <w:spacing w:val="6"/>
                <w:highlight w:val="none"/>
              </w:rPr>
              <w:t>认证的电子检验报告书。</w:t>
            </w:r>
          </w:p>
          <w:p w14:paraId="4EA5A9A5">
            <w:pPr>
              <w:pStyle w:val="179"/>
              <w:spacing w:before="1" w:line="332" w:lineRule="auto"/>
              <w:ind w:left="106" w:right="37" w:firstLine="10"/>
              <w:rPr>
                <w:color w:val="auto"/>
                <w:highlight w:val="none"/>
              </w:rPr>
            </w:pPr>
            <w:r>
              <w:rPr>
                <w:color w:val="auto"/>
                <w:spacing w:val="6"/>
                <w:highlight w:val="none"/>
              </w:rPr>
              <w:t>（4）24</w:t>
            </w:r>
            <w:r>
              <w:rPr>
                <w:color w:val="auto"/>
                <w:spacing w:val="-28"/>
                <w:highlight w:val="none"/>
              </w:rPr>
              <w:t xml:space="preserve"> </w:t>
            </w:r>
            <w:r>
              <w:rPr>
                <w:color w:val="auto"/>
                <w:spacing w:val="6"/>
                <w:highlight w:val="none"/>
              </w:rPr>
              <w:t>小时限时报告要求：发现不合格样品中含有非食用物质或其</w:t>
            </w:r>
            <w:r>
              <w:rPr>
                <w:color w:val="auto"/>
                <w:spacing w:val="9"/>
                <w:highlight w:val="none"/>
              </w:rPr>
              <w:t>他可能对身体健康和生命安全造成严重危害的，应当在确认检验结</w:t>
            </w:r>
            <w:r>
              <w:rPr>
                <w:color w:val="auto"/>
                <w:spacing w:val="3"/>
                <w:highlight w:val="none"/>
              </w:rPr>
              <w:t>果无误后</w:t>
            </w:r>
            <w:r>
              <w:rPr>
                <w:color w:val="auto"/>
                <w:spacing w:val="-21"/>
                <w:highlight w:val="none"/>
              </w:rPr>
              <w:t xml:space="preserve"> </w:t>
            </w:r>
            <w:r>
              <w:rPr>
                <w:color w:val="auto"/>
                <w:spacing w:val="3"/>
                <w:highlight w:val="none"/>
              </w:rPr>
              <w:t>24</w:t>
            </w:r>
            <w:r>
              <w:rPr>
                <w:color w:val="auto"/>
                <w:spacing w:val="-32"/>
                <w:highlight w:val="none"/>
              </w:rPr>
              <w:t xml:space="preserve"> </w:t>
            </w:r>
            <w:r>
              <w:rPr>
                <w:color w:val="auto"/>
                <w:spacing w:val="3"/>
                <w:highlight w:val="none"/>
              </w:rPr>
              <w:t>小时之内，将限时报告表上传系统，并报告采购人备案。</w:t>
            </w:r>
          </w:p>
          <w:p w14:paraId="42FA6CC9">
            <w:pPr>
              <w:pStyle w:val="179"/>
              <w:spacing w:before="2" w:line="332" w:lineRule="auto"/>
              <w:ind w:left="106" w:right="56" w:firstLine="10"/>
              <w:rPr>
                <w:color w:val="auto"/>
                <w:highlight w:val="none"/>
              </w:rPr>
            </w:pPr>
            <w:r>
              <w:rPr>
                <w:color w:val="auto"/>
                <w:spacing w:val="8"/>
                <w:highlight w:val="none"/>
              </w:rPr>
              <w:t>（5）拥有实验室信息化管理系统和信息分析汇总人员，能够完成食</w:t>
            </w:r>
            <w:r>
              <w:rPr>
                <w:color w:val="auto"/>
                <w:spacing w:val="7"/>
                <w:highlight w:val="none"/>
              </w:rPr>
              <w:t>品安全抽检监测数据上报和结果分析工作；按照“谁采集、谁录入；</w:t>
            </w:r>
            <w:r>
              <w:rPr>
                <w:color w:val="auto"/>
                <w:spacing w:val="8"/>
                <w:highlight w:val="none"/>
              </w:rPr>
              <w:t>谁检验、谁录入</w:t>
            </w:r>
            <w:r>
              <w:rPr>
                <w:color w:val="auto"/>
                <w:spacing w:val="-70"/>
                <w:highlight w:val="none"/>
              </w:rPr>
              <w:t xml:space="preserve"> </w:t>
            </w:r>
            <w:r>
              <w:rPr>
                <w:color w:val="auto"/>
                <w:spacing w:val="8"/>
                <w:highlight w:val="none"/>
              </w:rPr>
              <w:t>”的原则，应当在抽样完成</w:t>
            </w:r>
            <w:r>
              <w:rPr>
                <w:color w:val="auto"/>
                <w:spacing w:val="-35"/>
                <w:highlight w:val="none"/>
              </w:rPr>
              <w:t xml:space="preserve"> </w:t>
            </w:r>
            <w:r>
              <w:rPr>
                <w:color w:val="auto"/>
                <w:spacing w:val="8"/>
                <w:highlight w:val="none"/>
              </w:rPr>
              <w:t>2</w:t>
            </w:r>
            <w:r>
              <w:rPr>
                <w:color w:val="auto"/>
                <w:spacing w:val="-40"/>
                <w:highlight w:val="none"/>
              </w:rPr>
              <w:t xml:space="preserve"> </w:t>
            </w:r>
            <w:r>
              <w:rPr>
                <w:color w:val="auto"/>
                <w:spacing w:val="8"/>
                <w:highlight w:val="none"/>
              </w:rPr>
              <w:t>个工</w:t>
            </w:r>
            <w:r>
              <w:rPr>
                <w:color w:val="auto"/>
                <w:spacing w:val="7"/>
                <w:highlight w:val="none"/>
              </w:rPr>
              <w:t>作日内将抽样信息录入“</w:t>
            </w:r>
            <w:r>
              <w:rPr>
                <w:color w:val="auto"/>
                <w:spacing w:val="-72"/>
                <w:highlight w:val="none"/>
              </w:rPr>
              <w:t xml:space="preserve"> </w:t>
            </w:r>
            <w:r>
              <w:rPr>
                <w:color w:val="auto"/>
                <w:spacing w:val="7"/>
                <w:highlight w:val="none"/>
              </w:rPr>
              <w:t>国家食品安全抽样检验信息系统</w:t>
            </w:r>
            <w:r>
              <w:rPr>
                <w:color w:val="auto"/>
                <w:spacing w:val="-70"/>
                <w:highlight w:val="none"/>
              </w:rPr>
              <w:t xml:space="preserve"> </w:t>
            </w:r>
            <w:r>
              <w:rPr>
                <w:color w:val="auto"/>
                <w:spacing w:val="7"/>
                <w:highlight w:val="none"/>
              </w:rPr>
              <w:t>”；检</w:t>
            </w:r>
            <w:r>
              <w:rPr>
                <w:color w:val="auto"/>
                <w:spacing w:val="6"/>
                <w:highlight w:val="none"/>
              </w:rPr>
              <w:t>验结论做出后</w:t>
            </w:r>
            <w:r>
              <w:rPr>
                <w:color w:val="auto"/>
                <w:spacing w:val="-32"/>
                <w:highlight w:val="none"/>
              </w:rPr>
              <w:t xml:space="preserve"> </w:t>
            </w:r>
            <w:r>
              <w:rPr>
                <w:color w:val="auto"/>
                <w:spacing w:val="6"/>
                <w:highlight w:val="none"/>
              </w:rPr>
              <w:t>5</w:t>
            </w:r>
            <w:r>
              <w:rPr>
                <w:color w:val="auto"/>
                <w:spacing w:val="-41"/>
                <w:highlight w:val="none"/>
              </w:rPr>
              <w:t xml:space="preserve"> </w:t>
            </w:r>
            <w:r>
              <w:rPr>
                <w:color w:val="auto"/>
                <w:spacing w:val="6"/>
                <w:highlight w:val="none"/>
              </w:rPr>
              <w:t>个</w:t>
            </w:r>
            <w:r>
              <w:rPr>
                <w:color w:val="auto"/>
                <w:spacing w:val="7"/>
                <w:highlight w:val="none"/>
              </w:rPr>
              <w:t>工作日内完成检验数据录入“</w:t>
            </w:r>
            <w:r>
              <w:rPr>
                <w:color w:val="auto"/>
                <w:spacing w:val="-53"/>
                <w:highlight w:val="none"/>
              </w:rPr>
              <w:t xml:space="preserve"> </w:t>
            </w:r>
            <w:r>
              <w:rPr>
                <w:color w:val="auto"/>
                <w:spacing w:val="7"/>
                <w:highlight w:val="none"/>
              </w:rPr>
              <w:t>国家食品安全抽样检验信息系统</w:t>
            </w:r>
            <w:r>
              <w:rPr>
                <w:color w:val="auto"/>
                <w:spacing w:val="-70"/>
                <w:highlight w:val="none"/>
              </w:rPr>
              <w:t xml:space="preserve"> </w:t>
            </w:r>
            <w:r>
              <w:rPr>
                <w:color w:val="auto"/>
                <w:spacing w:val="7"/>
                <w:highlight w:val="none"/>
              </w:rPr>
              <w:t>”的</w:t>
            </w:r>
            <w:r>
              <w:rPr>
                <w:color w:val="auto"/>
                <w:spacing w:val="9"/>
                <w:highlight w:val="none"/>
              </w:rPr>
              <w:t>工作。录入的信息、数据应当及时、准确。</w:t>
            </w:r>
            <w:r>
              <w:rPr>
                <w:b/>
                <w:bCs/>
                <w:color w:val="auto"/>
                <w:spacing w:val="9"/>
                <w:highlight w:val="none"/>
              </w:rPr>
              <w:t>（响应文件中须提供拟</w:t>
            </w:r>
            <w:r>
              <w:rPr>
                <w:b/>
                <w:bCs/>
                <w:color w:val="auto"/>
                <w:spacing w:val="6"/>
                <w:highlight w:val="none"/>
              </w:rPr>
              <w:t>投入相关人员名单）</w:t>
            </w:r>
          </w:p>
          <w:p w14:paraId="5C9E5CAB">
            <w:pPr>
              <w:pStyle w:val="179"/>
              <w:spacing w:line="332" w:lineRule="auto"/>
              <w:ind w:left="105" w:right="188" w:firstLine="11"/>
              <w:rPr>
                <w:color w:val="auto"/>
                <w:highlight w:val="none"/>
              </w:rPr>
            </w:pPr>
            <w:r>
              <w:rPr>
                <w:color w:val="auto"/>
                <w:spacing w:val="8"/>
                <w:highlight w:val="none"/>
              </w:rPr>
              <w:t>（6）供应商必须通过</w:t>
            </w:r>
            <w:r>
              <w:rPr>
                <w:color w:val="auto"/>
                <w:spacing w:val="-32"/>
                <w:highlight w:val="none"/>
              </w:rPr>
              <w:t xml:space="preserve"> </w:t>
            </w:r>
            <w:r>
              <w:rPr>
                <w:color w:val="auto"/>
                <w:highlight w:val="none"/>
              </w:rPr>
              <w:t>CA</w:t>
            </w:r>
            <w:r>
              <w:rPr>
                <w:color w:val="auto"/>
                <w:spacing w:val="-36"/>
                <w:highlight w:val="none"/>
              </w:rPr>
              <w:t xml:space="preserve"> </w:t>
            </w:r>
            <w:r>
              <w:rPr>
                <w:color w:val="auto"/>
                <w:spacing w:val="8"/>
                <w:highlight w:val="none"/>
              </w:rPr>
              <w:t>数字证书认证。</w:t>
            </w:r>
            <w:r>
              <w:rPr>
                <w:b/>
                <w:bCs/>
                <w:color w:val="auto"/>
                <w:spacing w:val="8"/>
                <w:highlight w:val="none"/>
              </w:rPr>
              <w:t>（响应文件中须提供购买</w:t>
            </w:r>
            <w:r>
              <w:rPr>
                <w:b/>
                <w:bCs/>
                <w:color w:val="auto"/>
                <w:highlight w:val="none"/>
              </w:rPr>
              <w:t>CA</w:t>
            </w:r>
            <w:r>
              <w:rPr>
                <w:color w:val="auto"/>
                <w:spacing w:val="-39"/>
                <w:highlight w:val="none"/>
              </w:rPr>
              <w:t xml:space="preserve"> </w:t>
            </w:r>
            <w:r>
              <w:rPr>
                <w:b/>
                <w:bCs/>
                <w:color w:val="auto"/>
                <w:spacing w:val="8"/>
                <w:highlight w:val="none"/>
              </w:rPr>
              <w:t>数字证书的发票或通过受理审批的数字证书申请表</w:t>
            </w:r>
            <w:r>
              <w:rPr>
                <w:b/>
                <w:bCs/>
                <w:color w:val="auto"/>
                <w:spacing w:val="7"/>
                <w:highlight w:val="none"/>
              </w:rPr>
              <w:t>复印件）</w:t>
            </w:r>
          </w:p>
          <w:p w14:paraId="498FBC03">
            <w:pPr>
              <w:pStyle w:val="179"/>
              <w:spacing w:line="229" w:lineRule="auto"/>
              <w:ind w:left="117"/>
              <w:rPr>
                <w:color w:val="auto"/>
                <w:highlight w:val="none"/>
              </w:rPr>
            </w:pPr>
            <w:r>
              <w:rPr>
                <w:b/>
                <w:bCs/>
                <w:color w:val="auto"/>
                <w:spacing w:val="5"/>
                <w:highlight w:val="none"/>
              </w:rPr>
              <w:t>（四）项目实施要求：</w:t>
            </w:r>
          </w:p>
          <w:p w14:paraId="78AD8BC9">
            <w:pPr>
              <w:pStyle w:val="179"/>
              <w:spacing w:before="112" w:line="228" w:lineRule="auto"/>
              <w:ind w:left="122"/>
              <w:rPr>
                <w:color w:val="auto"/>
                <w:highlight w:val="none"/>
              </w:rPr>
            </w:pPr>
            <w:r>
              <w:rPr>
                <w:color w:val="auto"/>
                <w:spacing w:val="6"/>
                <w:highlight w:val="none"/>
              </w:rPr>
              <w:t>1、抽样进度安排</w:t>
            </w:r>
          </w:p>
          <w:p w14:paraId="35E099EC">
            <w:pPr>
              <w:pStyle w:val="179"/>
              <w:spacing w:before="113" w:line="332" w:lineRule="auto"/>
              <w:ind w:left="106" w:right="109" w:firstLine="10"/>
              <w:rPr>
                <w:color w:val="auto"/>
                <w:highlight w:val="none"/>
              </w:rPr>
            </w:pPr>
            <w:r>
              <w:rPr>
                <w:color w:val="auto"/>
                <w:spacing w:val="8"/>
                <w:highlight w:val="none"/>
              </w:rPr>
              <w:t>（1）抽检进度要按照防城港市市场监管局食品安全抽检检测工作实</w:t>
            </w:r>
            <w:r>
              <w:rPr>
                <w:color w:val="auto"/>
                <w:spacing w:val="3"/>
                <w:highlight w:val="none"/>
              </w:rPr>
              <w:t>施方案要求时限完成，检验时限不得超过</w:t>
            </w:r>
            <w:r>
              <w:rPr>
                <w:color w:val="auto"/>
                <w:spacing w:val="-16"/>
                <w:highlight w:val="none"/>
              </w:rPr>
              <w:t xml:space="preserve"> </w:t>
            </w:r>
            <w:r>
              <w:rPr>
                <w:color w:val="auto"/>
                <w:spacing w:val="3"/>
                <w:highlight w:val="none"/>
              </w:rPr>
              <w:t>202</w:t>
            </w:r>
            <w:r>
              <w:rPr>
                <w:rFonts w:hint="eastAsia"/>
                <w:color w:val="auto"/>
                <w:spacing w:val="3"/>
                <w:highlight w:val="none"/>
                <w:lang w:val="en-US" w:eastAsia="zh-CN"/>
              </w:rPr>
              <w:t>6</w:t>
            </w:r>
            <w:r>
              <w:rPr>
                <w:color w:val="auto"/>
                <w:spacing w:val="3"/>
                <w:highlight w:val="none"/>
              </w:rPr>
              <w:t>年</w:t>
            </w:r>
            <w:r>
              <w:rPr>
                <w:color w:val="auto"/>
                <w:spacing w:val="-23"/>
                <w:highlight w:val="none"/>
              </w:rPr>
              <w:t xml:space="preserve"> </w:t>
            </w:r>
            <w:r>
              <w:rPr>
                <w:color w:val="auto"/>
                <w:spacing w:val="3"/>
                <w:highlight w:val="none"/>
              </w:rPr>
              <w:t>12</w:t>
            </w:r>
            <w:r>
              <w:rPr>
                <w:color w:val="auto"/>
                <w:spacing w:val="-33"/>
                <w:highlight w:val="none"/>
              </w:rPr>
              <w:t xml:space="preserve"> </w:t>
            </w:r>
            <w:r>
              <w:rPr>
                <w:color w:val="auto"/>
                <w:spacing w:val="3"/>
                <w:highlight w:val="none"/>
              </w:rPr>
              <w:t>月</w:t>
            </w:r>
            <w:r>
              <w:rPr>
                <w:color w:val="auto"/>
                <w:spacing w:val="-24"/>
                <w:highlight w:val="none"/>
              </w:rPr>
              <w:t xml:space="preserve"> </w:t>
            </w:r>
            <w:r>
              <w:rPr>
                <w:color w:val="auto"/>
                <w:spacing w:val="3"/>
                <w:highlight w:val="none"/>
              </w:rPr>
              <w:t>10 日。</w:t>
            </w:r>
          </w:p>
          <w:p w14:paraId="33724C8B">
            <w:pPr>
              <w:pStyle w:val="179"/>
              <w:spacing w:before="1" w:line="228" w:lineRule="auto"/>
              <w:ind w:left="109"/>
              <w:rPr>
                <w:color w:val="auto"/>
                <w:highlight w:val="none"/>
              </w:rPr>
            </w:pPr>
            <w:r>
              <w:rPr>
                <w:color w:val="auto"/>
                <w:spacing w:val="7"/>
                <w:highlight w:val="none"/>
              </w:rPr>
              <w:t>2、抽检分工</w:t>
            </w:r>
          </w:p>
          <w:p w14:paraId="60E1DFAE">
            <w:pPr>
              <w:pStyle w:val="179"/>
              <w:spacing w:before="113" w:line="332" w:lineRule="auto"/>
              <w:ind w:left="105" w:right="109" w:firstLine="11"/>
              <w:rPr>
                <w:color w:val="auto"/>
                <w:highlight w:val="none"/>
              </w:rPr>
            </w:pPr>
            <w:r>
              <w:rPr>
                <w:color w:val="auto"/>
                <w:spacing w:val="8"/>
                <w:highlight w:val="none"/>
              </w:rPr>
              <w:t>（1）供应商须负责样品采集、检验、复核、信息汇总、抽检数据报送和检验报告等工作。</w:t>
            </w:r>
          </w:p>
          <w:p w14:paraId="1521BE94">
            <w:pPr>
              <w:pStyle w:val="179"/>
              <w:spacing w:line="332" w:lineRule="auto"/>
              <w:ind w:left="108" w:right="109" w:firstLine="8"/>
              <w:rPr>
                <w:color w:val="auto"/>
                <w:highlight w:val="none"/>
              </w:rPr>
            </w:pPr>
            <w:r>
              <w:rPr>
                <w:color w:val="auto"/>
                <w:spacing w:val="8"/>
                <w:highlight w:val="none"/>
              </w:rPr>
              <w:t>（2）供应商抽检区域应覆盖港口区；抽检产品类别应覆盖本标项要</w:t>
            </w:r>
            <w:r>
              <w:rPr>
                <w:color w:val="auto"/>
                <w:spacing w:val="6"/>
                <w:highlight w:val="none"/>
              </w:rPr>
              <w:t>求的食品品种。</w:t>
            </w:r>
          </w:p>
          <w:p w14:paraId="5358CE92">
            <w:pPr>
              <w:pStyle w:val="179"/>
              <w:spacing w:before="1" w:line="228" w:lineRule="auto"/>
              <w:ind w:left="111"/>
              <w:rPr>
                <w:color w:val="auto"/>
                <w:highlight w:val="none"/>
              </w:rPr>
            </w:pPr>
            <w:r>
              <w:rPr>
                <w:color w:val="auto"/>
                <w:spacing w:val="7"/>
                <w:highlight w:val="none"/>
              </w:rPr>
              <w:t>3、抽样检验要求</w:t>
            </w:r>
          </w:p>
          <w:p w14:paraId="019BC8D3">
            <w:pPr>
              <w:pStyle w:val="179"/>
              <w:spacing w:before="111" w:line="313" w:lineRule="auto"/>
              <w:ind w:left="106" w:right="16" w:firstLine="10"/>
              <w:jc w:val="both"/>
              <w:rPr>
                <w:color w:val="auto"/>
                <w:highlight w:val="none"/>
              </w:rPr>
            </w:pPr>
            <w:r>
              <w:rPr>
                <w:color w:val="auto"/>
                <w:spacing w:val="8"/>
                <w:highlight w:val="none"/>
              </w:rPr>
              <w:t>（1）供应商在抽检工作执行过程中要严格按照《中华人民共和国食</w:t>
            </w:r>
            <w:r>
              <w:rPr>
                <w:color w:val="auto"/>
                <w:spacing w:val="10"/>
                <w:highlight w:val="none"/>
              </w:rPr>
              <w:t>品安全法》《中华人民共和国食品安全法实</w:t>
            </w:r>
            <w:r>
              <w:rPr>
                <w:color w:val="auto"/>
                <w:spacing w:val="9"/>
                <w:highlight w:val="none"/>
              </w:rPr>
              <w:t>施条例》《食品安全抽</w:t>
            </w:r>
            <w:r>
              <w:rPr>
                <w:color w:val="auto"/>
                <w:spacing w:val="6"/>
                <w:highlight w:val="none"/>
              </w:rPr>
              <w:t>样检验管理办法》《全国食品安全监督抽检实施细则（202</w:t>
            </w:r>
            <w:r>
              <w:rPr>
                <w:rFonts w:hint="eastAsia"/>
                <w:color w:val="auto"/>
                <w:spacing w:val="6"/>
                <w:highlight w:val="none"/>
                <w:lang w:val="en-US" w:eastAsia="zh-CN"/>
              </w:rPr>
              <w:t>6</w:t>
            </w:r>
            <w:r>
              <w:rPr>
                <w:color w:val="auto"/>
                <w:spacing w:val="6"/>
                <w:highlight w:val="none"/>
              </w:rPr>
              <w:t>年版）》</w:t>
            </w:r>
            <w:r>
              <w:rPr>
                <w:color w:val="auto"/>
                <w:spacing w:val="10"/>
                <w:highlight w:val="none"/>
              </w:rPr>
              <w:t>及广西壮族自治区市场监督管理局《广西食</w:t>
            </w:r>
            <w:r>
              <w:rPr>
                <w:color w:val="auto"/>
                <w:spacing w:val="9"/>
                <w:highlight w:val="none"/>
              </w:rPr>
              <w:t>品安全监督抽检实施细则（202</w:t>
            </w:r>
            <w:r>
              <w:rPr>
                <w:rFonts w:hint="eastAsia"/>
                <w:color w:val="auto"/>
                <w:spacing w:val="9"/>
                <w:highlight w:val="none"/>
                <w:lang w:val="en-US" w:eastAsia="zh-CN"/>
              </w:rPr>
              <w:t>6</w:t>
            </w:r>
            <w:r>
              <w:rPr>
                <w:color w:val="auto"/>
                <w:spacing w:val="9"/>
                <w:highlight w:val="none"/>
              </w:rPr>
              <w:t>年版）等有关法律法规、规章及相关规定</w:t>
            </w:r>
            <w:r>
              <w:rPr>
                <w:color w:val="auto"/>
                <w:spacing w:val="8"/>
                <w:highlight w:val="none"/>
              </w:rPr>
              <w:t>，抽样过程严格按照监督抽检工作程序，履行法定手续。</w:t>
            </w:r>
          </w:p>
        </w:tc>
      </w:tr>
    </w:tbl>
    <w:p w14:paraId="6117571C">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11D637AB">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0575D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65" w:hRule="atLeast"/>
        </w:trPr>
        <w:tc>
          <w:tcPr>
            <w:tcW w:w="655" w:type="dxa"/>
            <w:vAlign w:val="top"/>
          </w:tcPr>
          <w:p w14:paraId="09230B75">
            <w:pPr>
              <w:rPr>
                <w:rFonts w:ascii="Arial"/>
                <w:color w:val="auto"/>
                <w:sz w:val="21"/>
                <w:highlight w:val="none"/>
              </w:rPr>
            </w:pPr>
          </w:p>
        </w:tc>
        <w:tc>
          <w:tcPr>
            <w:tcW w:w="873" w:type="dxa"/>
            <w:vAlign w:val="top"/>
          </w:tcPr>
          <w:p w14:paraId="3A54B63B">
            <w:pPr>
              <w:rPr>
                <w:rFonts w:ascii="Arial"/>
                <w:color w:val="auto"/>
                <w:sz w:val="21"/>
                <w:highlight w:val="none"/>
              </w:rPr>
            </w:pPr>
          </w:p>
        </w:tc>
        <w:tc>
          <w:tcPr>
            <w:tcW w:w="663" w:type="dxa"/>
            <w:vAlign w:val="top"/>
          </w:tcPr>
          <w:p w14:paraId="6C2C82FB">
            <w:pPr>
              <w:rPr>
                <w:rFonts w:ascii="Arial"/>
                <w:color w:val="auto"/>
                <w:sz w:val="21"/>
                <w:highlight w:val="none"/>
              </w:rPr>
            </w:pPr>
          </w:p>
        </w:tc>
        <w:tc>
          <w:tcPr>
            <w:tcW w:w="683" w:type="dxa"/>
            <w:vAlign w:val="top"/>
          </w:tcPr>
          <w:p w14:paraId="272DA0C2">
            <w:pPr>
              <w:rPr>
                <w:rFonts w:ascii="Arial"/>
                <w:color w:val="auto"/>
                <w:sz w:val="21"/>
                <w:highlight w:val="none"/>
              </w:rPr>
            </w:pPr>
          </w:p>
        </w:tc>
        <w:tc>
          <w:tcPr>
            <w:tcW w:w="6391" w:type="dxa"/>
            <w:vAlign w:val="top"/>
          </w:tcPr>
          <w:p w14:paraId="4EABC118">
            <w:pPr>
              <w:pStyle w:val="179"/>
              <w:spacing w:before="125" w:line="332" w:lineRule="auto"/>
              <w:ind w:left="106" w:right="109" w:firstLine="10"/>
              <w:rPr>
                <w:color w:val="auto"/>
                <w:highlight w:val="none"/>
              </w:rPr>
            </w:pPr>
            <w:r>
              <w:rPr>
                <w:color w:val="auto"/>
                <w:spacing w:val="6"/>
                <w:highlight w:val="none"/>
              </w:rPr>
              <w:t>（2）供应商要严格按照《全国食品安全监督抽检实施细则（202</w:t>
            </w:r>
            <w:r>
              <w:rPr>
                <w:rFonts w:hint="eastAsia"/>
                <w:color w:val="auto"/>
                <w:spacing w:val="6"/>
                <w:highlight w:val="none"/>
                <w:lang w:val="en-US" w:eastAsia="zh-CN"/>
              </w:rPr>
              <w:t>6</w:t>
            </w:r>
            <w:r>
              <w:rPr>
                <w:color w:val="auto"/>
                <w:spacing w:val="6"/>
                <w:highlight w:val="none"/>
              </w:rPr>
              <w:t>年</w:t>
            </w:r>
            <w:r>
              <w:rPr>
                <w:color w:val="auto"/>
                <w:spacing w:val="9"/>
                <w:highlight w:val="none"/>
              </w:rPr>
              <w:t>版）》及广西壮族自治区市场监督管理局《广西食品安全监督抽检实施细则（202</w:t>
            </w:r>
            <w:r>
              <w:rPr>
                <w:rFonts w:hint="eastAsia"/>
                <w:color w:val="auto"/>
                <w:spacing w:val="9"/>
                <w:highlight w:val="none"/>
                <w:lang w:val="en-US" w:eastAsia="zh-CN"/>
              </w:rPr>
              <w:t>6</w:t>
            </w:r>
            <w:r>
              <w:rPr>
                <w:color w:val="auto"/>
                <w:spacing w:val="9"/>
                <w:highlight w:val="none"/>
              </w:rPr>
              <w:t>年版）的相关要求开展样品的采</w:t>
            </w:r>
            <w:r>
              <w:rPr>
                <w:color w:val="auto"/>
                <w:spacing w:val="8"/>
                <w:highlight w:val="none"/>
              </w:rPr>
              <w:t>集、检验，数据审</w:t>
            </w:r>
            <w:r>
              <w:rPr>
                <w:color w:val="auto"/>
                <w:spacing w:val="9"/>
                <w:highlight w:val="none"/>
              </w:rPr>
              <w:t>核报送、数据分析和研判等工作。抽样过程要保留现场抽样视频图</w:t>
            </w:r>
            <w:r>
              <w:rPr>
                <w:color w:val="auto"/>
                <w:spacing w:val="5"/>
                <w:highlight w:val="none"/>
              </w:rPr>
              <w:t>像证据。</w:t>
            </w:r>
          </w:p>
          <w:p w14:paraId="039655B9">
            <w:pPr>
              <w:pStyle w:val="179"/>
              <w:spacing w:line="332" w:lineRule="auto"/>
              <w:ind w:left="106" w:right="142" w:firstLine="10"/>
              <w:rPr>
                <w:color w:val="auto"/>
                <w:highlight w:val="none"/>
              </w:rPr>
            </w:pPr>
            <w:r>
              <w:rPr>
                <w:color w:val="auto"/>
                <w:spacing w:val="7"/>
                <w:highlight w:val="none"/>
              </w:rPr>
              <w:t>（3）供应商要严格按照食品安全标准和检验规范对食品进行检验，</w:t>
            </w:r>
            <w:r>
              <w:rPr>
                <w:color w:val="auto"/>
                <w:spacing w:val="8"/>
                <w:highlight w:val="none"/>
              </w:rPr>
              <w:t>确保数据和结论客观、公正。</w:t>
            </w:r>
          </w:p>
          <w:p w14:paraId="4637BE97">
            <w:pPr>
              <w:pStyle w:val="179"/>
              <w:spacing w:line="332" w:lineRule="auto"/>
              <w:ind w:left="111" w:right="109" w:firstLine="5"/>
              <w:rPr>
                <w:color w:val="auto"/>
                <w:highlight w:val="none"/>
              </w:rPr>
            </w:pPr>
            <w:r>
              <w:rPr>
                <w:color w:val="auto"/>
                <w:spacing w:val="8"/>
                <w:highlight w:val="none"/>
              </w:rPr>
              <w:t>（4）供应商采取人员比对、设备比对或实验室间比对等多种质控方式，确保抽检数据的准确性。</w:t>
            </w:r>
          </w:p>
          <w:p w14:paraId="3B8E8E43">
            <w:pPr>
              <w:pStyle w:val="179"/>
              <w:spacing w:line="227" w:lineRule="auto"/>
              <w:ind w:right="15"/>
              <w:jc w:val="right"/>
              <w:rPr>
                <w:color w:val="auto"/>
                <w:highlight w:val="none"/>
              </w:rPr>
            </w:pPr>
            <w:r>
              <w:rPr>
                <w:color w:val="auto"/>
                <w:spacing w:val="5"/>
                <w:highlight w:val="none"/>
              </w:rPr>
              <w:t>（5）供应商对于不合格样品必须进行复核，确保检测结果准确</w:t>
            </w:r>
            <w:r>
              <w:rPr>
                <w:color w:val="auto"/>
                <w:spacing w:val="4"/>
                <w:highlight w:val="none"/>
              </w:rPr>
              <w:t>可靠。</w:t>
            </w:r>
          </w:p>
          <w:p w14:paraId="41295245">
            <w:pPr>
              <w:pStyle w:val="179"/>
              <w:spacing w:before="114" w:line="332" w:lineRule="auto"/>
              <w:ind w:left="111" w:right="109" w:firstLine="5"/>
              <w:rPr>
                <w:color w:val="auto"/>
                <w:highlight w:val="none"/>
              </w:rPr>
            </w:pPr>
            <w:r>
              <w:rPr>
                <w:color w:val="auto"/>
                <w:spacing w:val="7"/>
                <w:highlight w:val="none"/>
              </w:rPr>
              <w:t>（6）供应商负责将所有抽检数据录入国家市场监管总局“</w:t>
            </w:r>
            <w:r>
              <w:rPr>
                <w:color w:val="auto"/>
                <w:spacing w:val="-52"/>
                <w:highlight w:val="none"/>
              </w:rPr>
              <w:t xml:space="preserve"> </w:t>
            </w:r>
            <w:r>
              <w:rPr>
                <w:color w:val="auto"/>
                <w:spacing w:val="7"/>
                <w:highlight w:val="none"/>
              </w:rPr>
              <w:t>国家食品</w:t>
            </w:r>
            <w:r>
              <w:rPr>
                <w:color w:val="auto"/>
                <w:spacing w:val="6"/>
                <w:highlight w:val="none"/>
              </w:rPr>
              <w:t>安全抽样检验信息系统</w:t>
            </w:r>
            <w:r>
              <w:rPr>
                <w:color w:val="auto"/>
                <w:spacing w:val="-69"/>
                <w:highlight w:val="none"/>
              </w:rPr>
              <w:t xml:space="preserve"> </w:t>
            </w:r>
            <w:r>
              <w:rPr>
                <w:color w:val="auto"/>
                <w:spacing w:val="6"/>
                <w:highlight w:val="none"/>
              </w:rPr>
              <w:t>”平台。</w:t>
            </w:r>
          </w:p>
          <w:p w14:paraId="3DD907A3">
            <w:pPr>
              <w:pStyle w:val="179"/>
              <w:spacing w:before="1" w:line="226" w:lineRule="auto"/>
              <w:ind w:left="106"/>
              <w:rPr>
                <w:color w:val="auto"/>
                <w:highlight w:val="none"/>
              </w:rPr>
            </w:pPr>
            <w:r>
              <w:rPr>
                <w:color w:val="auto"/>
                <w:spacing w:val="8"/>
                <w:highlight w:val="none"/>
              </w:rPr>
              <w:t>4、监督与评估</w:t>
            </w:r>
          </w:p>
          <w:p w14:paraId="7F0F793D">
            <w:pPr>
              <w:pStyle w:val="179"/>
              <w:spacing w:before="115" w:line="332" w:lineRule="auto"/>
              <w:ind w:left="109" w:right="109" w:firstLine="7"/>
              <w:rPr>
                <w:color w:val="auto"/>
                <w:highlight w:val="none"/>
              </w:rPr>
            </w:pPr>
            <w:r>
              <w:rPr>
                <w:color w:val="auto"/>
                <w:spacing w:val="8"/>
                <w:highlight w:val="none"/>
              </w:rPr>
              <w:t>（1）供应商对其出具的检验报告的真实性和准确性负责。供应商应</w:t>
            </w:r>
            <w:r>
              <w:rPr>
                <w:color w:val="auto"/>
                <w:spacing w:val="9"/>
                <w:highlight w:val="none"/>
              </w:rPr>
              <w:t>当按规定的报告格式出具国家食品安全监督抽检检验报告，检验报</w:t>
            </w:r>
            <w:r>
              <w:rPr>
                <w:color w:val="auto"/>
                <w:spacing w:val="5"/>
                <w:highlight w:val="none"/>
              </w:rPr>
              <w:t>告应当内容真实齐全、数据准确。供应商应在收到样品之日起 20 个</w:t>
            </w:r>
            <w:r>
              <w:rPr>
                <w:color w:val="auto"/>
                <w:spacing w:val="7"/>
                <w:highlight w:val="none"/>
              </w:rPr>
              <w:t>工作日内出具检验报告。</w:t>
            </w:r>
          </w:p>
          <w:p w14:paraId="34866AD2">
            <w:pPr>
              <w:pStyle w:val="179"/>
              <w:spacing w:before="1" w:line="332" w:lineRule="auto"/>
              <w:ind w:left="107" w:right="109" w:firstLine="9"/>
              <w:rPr>
                <w:color w:val="auto"/>
                <w:highlight w:val="none"/>
              </w:rPr>
            </w:pPr>
            <w:r>
              <w:rPr>
                <w:color w:val="auto"/>
                <w:spacing w:val="8"/>
                <w:highlight w:val="none"/>
              </w:rPr>
              <w:t>（2）供应商应当依照有关法律、法规的规定，并按照食品安全标准</w:t>
            </w:r>
            <w:r>
              <w:rPr>
                <w:color w:val="auto"/>
                <w:spacing w:val="9"/>
                <w:highlight w:val="none"/>
              </w:rPr>
              <w:t>和检验规范对食品进行检验，尊重科学，恪守职业道德，保证出具的检验数据和结论客观、公正，不得出具虚假检验报告。</w:t>
            </w:r>
          </w:p>
          <w:p w14:paraId="7A8394B8">
            <w:pPr>
              <w:pStyle w:val="179"/>
              <w:spacing w:before="1" w:line="332" w:lineRule="auto"/>
              <w:ind w:left="111" w:right="109" w:firstLine="5"/>
              <w:rPr>
                <w:color w:val="auto"/>
                <w:highlight w:val="none"/>
              </w:rPr>
            </w:pPr>
            <w:r>
              <w:rPr>
                <w:color w:val="auto"/>
                <w:spacing w:val="8"/>
                <w:highlight w:val="none"/>
              </w:rPr>
              <w:t>（3）防城港市市场监督管理局负责食品安全抽检实施的监督管理和</w:t>
            </w:r>
            <w:r>
              <w:rPr>
                <w:color w:val="auto"/>
                <w:spacing w:val="6"/>
                <w:highlight w:val="none"/>
              </w:rPr>
              <w:t>效果评价工作。</w:t>
            </w:r>
          </w:p>
          <w:p w14:paraId="07B3418C">
            <w:pPr>
              <w:pStyle w:val="179"/>
              <w:spacing w:before="1" w:line="332" w:lineRule="auto"/>
              <w:ind w:left="108" w:right="109" w:firstLine="8"/>
              <w:rPr>
                <w:color w:val="auto"/>
                <w:highlight w:val="none"/>
              </w:rPr>
            </w:pPr>
            <w:r>
              <w:rPr>
                <w:color w:val="auto"/>
                <w:spacing w:val="8"/>
                <w:highlight w:val="none"/>
              </w:rPr>
              <w:t>（4）供应商不得私自泄露、擅自使用或对外发布食品安全抽样检验</w:t>
            </w:r>
            <w:r>
              <w:rPr>
                <w:color w:val="auto"/>
                <w:spacing w:val="7"/>
                <w:highlight w:val="none"/>
              </w:rPr>
              <w:t>数据结果和相关信息。</w:t>
            </w:r>
          </w:p>
          <w:p w14:paraId="41366F7C">
            <w:pPr>
              <w:pStyle w:val="179"/>
              <w:spacing w:line="332" w:lineRule="auto"/>
              <w:ind w:left="106" w:right="109" w:firstLine="10"/>
              <w:rPr>
                <w:color w:val="auto"/>
                <w:highlight w:val="none"/>
              </w:rPr>
            </w:pPr>
            <w:r>
              <w:rPr>
                <w:color w:val="auto"/>
                <w:spacing w:val="8"/>
                <w:highlight w:val="none"/>
              </w:rPr>
              <w:t>（5）供应商不得接受被抽样单位的馈赠，不得利用抽检结果开展有偿活动，谋取不正当利益。</w:t>
            </w:r>
          </w:p>
          <w:p w14:paraId="67D4DBBE">
            <w:pPr>
              <w:pStyle w:val="179"/>
              <w:spacing w:before="1" w:line="332" w:lineRule="auto"/>
              <w:ind w:left="106" w:right="109" w:firstLine="10"/>
              <w:rPr>
                <w:color w:val="auto"/>
                <w:highlight w:val="none"/>
              </w:rPr>
            </w:pPr>
            <w:r>
              <w:rPr>
                <w:color w:val="auto"/>
                <w:spacing w:val="8"/>
                <w:highlight w:val="none"/>
              </w:rPr>
              <w:t>（6）供应商应严格遵守防城港市市场监督管理局食品安全抽检监测承检机构管理制度等相关规定。</w:t>
            </w:r>
          </w:p>
          <w:p w14:paraId="3504865A">
            <w:pPr>
              <w:pStyle w:val="179"/>
              <w:spacing w:before="2" w:line="292" w:lineRule="auto"/>
              <w:ind w:left="106" w:right="109" w:firstLine="10"/>
              <w:rPr>
                <w:color w:val="auto"/>
                <w:highlight w:val="none"/>
              </w:rPr>
            </w:pPr>
            <w:r>
              <w:rPr>
                <w:color w:val="auto"/>
                <w:spacing w:val="8"/>
                <w:highlight w:val="none"/>
              </w:rPr>
              <w:t>（7）在抽检服务过程中，采购人发现供应商出具虚假报告、透露检</w:t>
            </w:r>
            <w:r>
              <w:rPr>
                <w:color w:val="auto"/>
                <w:spacing w:val="10"/>
                <w:highlight w:val="none"/>
              </w:rPr>
              <w:t>验结果的，采购人将对供应商不诚信行为进</w:t>
            </w:r>
            <w:r>
              <w:rPr>
                <w:color w:val="auto"/>
                <w:spacing w:val="9"/>
                <w:highlight w:val="none"/>
              </w:rPr>
              <w:t>行通报并纳入信用记录</w:t>
            </w:r>
            <w:r>
              <w:rPr>
                <w:color w:val="auto"/>
                <w:spacing w:val="7"/>
                <w:highlight w:val="none"/>
              </w:rPr>
              <w:t>上报财政部门。</w:t>
            </w:r>
          </w:p>
        </w:tc>
      </w:tr>
      <w:tr w14:paraId="69576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265" w:type="dxa"/>
            <w:gridSpan w:val="5"/>
            <w:vAlign w:val="top"/>
          </w:tcPr>
          <w:p w14:paraId="2E0AB6FD">
            <w:pPr>
              <w:pStyle w:val="179"/>
              <w:spacing w:before="162" w:line="228" w:lineRule="auto"/>
              <w:ind w:left="117"/>
              <w:rPr>
                <w:color w:val="auto"/>
                <w:highlight w:val="none"/>
              </w:rPr>
            </w:pPr>
            <w:r>
              <w:rPr>
                <w:b/>
                <w:bCs/>
                <w:color w:val="auto"/>
                <w:spacing w:val="6"/>
                <w:highlight w:val="none"/>
              </w:rPr>
              <w:t>▲二、商务要求</w:t>
            </w:r>
          </w:p>
        </w:tc>
      </w:tr>
      <w:tr w14:paraId="50DCF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2874" w:type="dxa"/>
            <w:gridSpan w:val="4"/>
            <w:vAlign w:val="top"/>
          </w:tcPr>
          <w:p w14:paraId="34C849CE">
            <w:pPr>
              <w:pStyle w:val="179"/>
              <w:spacing w:before="243" w:line="231" w:lineRule="auto"/>
              <w:ind w:left="1020"/>
              <w:rPr>
                <w:color w:val="auto"/>
                <w:highlight w:val="none"/>
              </w:rPr>
            </w:pPr>
            <w:r>
              <w:rPr>
                <w:color w:val="auto"/>
                <w:spacing w:val="7"/>
                <w:highlight w:val="none"/>
              </w:rPr>
              <w:t>合同签订</w:t>
            </w:r>
          </w:p>
        </w:tc>
        <w:tc>
          <w:tcPr>
            <w:tcW w:w="6391" w:type="dxa"/>
            <w:vAlign w:val="top"/>
          </w:tcPr>
          <w:p w14:paraId="3D990CAC">
            <w:pPr>
              <w:pStyle w:val="179"/>
              <w:spacing w:before="243" w:line="228" w:lineRule="auto"/>
              <w:ind w:left="141"/>
              <w:rPr>
                <w:color w:val="auto"/>
                <w:highlight w:val="none"/>
              </w:rPr>
            </w:pPr>
            <w:r>
              <w:rPr>
                <w:color w:val="auto"/>
                <w:spacing w:val="2"/>
                <w:highlight w:val="none"/>
              </w:rPr>
              <w:t>自成交通知书发出之日起</w:t>
            </w:r>
            <w:r>
              <w:rPr>
                <w:color w:val="auto"/>
                <w:spacing w:val="-35"/>
                <w:highlight w:val="none"/>
              </w:rPr>
              <w:t xml:space="preserve"> </w:t>
            </w:r>
            <w:r>
              <w:rPr>
                <w:color w:val="auto"/>
                <w:spacing w:val="2"/>
                <w:highlight w:val="none"/>
              </w:rPr>
              <w:t>25 日内。</w:t>
            </w:r>
          </w:p>
        </w:tc>
      </w:tr>
      <w:tr w14:paraId="166A8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 w:hRule="atLeast"/>
        </w:trPr>
        <w:tc>
          <w:tcPr>
            <w:tcW w:w="2874" w:type="dxa"/>
            <w:gridSpan w:val="4"/>
            <w:vAlign w:val="top"/>
          </w:tcPr>
          <w:p w14:paraId="741604B0">
            <w:pPr>
              <w:spacing w:line="444" w:lineRule="auto"/>
              <w:rPr>
                <w:rFonts w:ascii="Arial"/>
                <w:color w:val="auto"/>
                <w:sz w:val="21"/>
                <w:highlight w:val="none"/>
              </w:rPr>
            </w:pPr>
          </w:p>
          <w:p w14:paraId="70506172">
            <w:pPr>
              <w:pStyle w:val="179"/>
              <w:spacing w:before="65" w:line="228" w:lineRule="auto"/>
              <w:ind w:left="705"/>
              <w:rPr>
                <w:color w:val="auto"/>
                <w:highlight w:val="none"/>
              </w:rPr>
            </w:pPr>
            <w:r>
              <w:rPr>
                <w:color w:val="auto"/>
                <w:spacing w:val="8"/>
                <w:highlight w:val="none"/>
              </w:rPr>
              <w:t>服务时间及地点</w:t>
            </w:r>
          </w:p>
        </w:tc>
        <w:tc>
          <w:tcPr>
            <w:tcW w:w="6391" w:type="dxa"/>
            <w:vAlign w:val="top"/>
          </w:tcPr>
          <w:p w14:paraId="47E78869">
            <w:pPr>
              <w:pStyle w:val="179"/>
              <w:spacing w:before="36" w:line="365" w:lineRule="auto"/>
              <w:ind w:left="106" w:right="109" w:firstLine="15"/>
              <w:jc w:val="both"/>
              <w:rPr>
                <w:color w:val="auto"/>
                <w:highlight w:val="none"/>
              </w:rPr>
            </w:pPr>
            <w:r>
              <w:rPr>
                <w:color w:val="auto"/>
                <w:spacing w:val="2"/>
                <w:highlight w:val="none"/>
              </w:rPr>
              <w:t>1、服务时间：自合同签订之日起开始提供服务，202</w:t>
            </w:r>
            <w:r>
              <w:rPr>
                <w:rFonts w:hint="eastAsia"/>
                <w:color w:val="auto"/>
                <w:spacing w:val="2"/>
                <w:highlight w:val="none"/>
                <w:lang w:val="en-US" w:eastAsia="zh-CN"/>
              </w:rPr>
              <w:t>6</w:t>
            </w:r>
            <w:r>
              <w:rPr>
                <w:color w:val="auto"/>
                <w:spacing w:val="2"/>
                <w:highlight w:val="none"/>
              </w:rPr>
              <w:t>年</w:t>
            </w:r>
            <w:r>
              <w:rPr>
                <w:color w:val="auto"/>
                <w:spacing w:val="-24"/>
                <w:highlight w:val="none"/>
              </w:rPr>
              <w:t xml:space="preserve"> </w:t>
            </w:r>
            <w:r>
              <w:rPr>
                <w:color w:val="auto"/>
                <w:spacing w:val="2"/>
                <w:highlight w:val="none"/>
              </w:rPr>
              <w:t>12</w:t>
            </w:r>
            <w:r>
              <w:rPr>
                <w:color w:val="auto"/>
                <w:spacing w:val="-33"/>
                <w:highlight w:val="none"/>
              </w:rPr>
              <w:t xml:space="preserve"> </w:t>
            </w:r>
            <w:r>
              <w:rPr>
                <w:color w:val="auto"/>
                <w:spacing w:val="2"/>
                <w:highlight w:val="none"/>
              </w:rPr>
              <w:t>月</w:t>
            </w:r>
            <w:r>
              <w:rPr>
                <w:color w:val="auto"/>
                <w:spacing w:val="-23"/>
                <w:highlight w:val="none"/>
              </w:rPr>
              <w:t xml:space="preserve"> </w:t>
            </w:r>
            <w:r>
              <w:rPr>
                <w:color w:val="auto"/>
                <w:spacing w:val="2"/>
                <w:highlight w:val="none"/>
              </w:rPr>
              <w:t>10 日</w:t>
            </w:r>
            <w:r>
              <w:rPr>
                <w:color w:val="auto"/>
                <w:spacing w:val="13"/>
                <w:highlight w:val="none"/>
              </w:rPr>
              <w:t>前全部抽检完成并录入国抽系统，按具体方案</w:t>
            </w:r>
            <w:r>
              <w:rPr>
                <w:color w:val="auto"/>
                <w:spacing w:val="12"/>
                <w:highlight w:val="none"/>
              </w:rPr>
              <w:t>时间节点要求提供质</w:t>
            </w:r>
            <w:r>
              <w:rPr>
                <w:color w:val="auto"/>
                <w:spacing w:val="6"/>
                <w:highlight w:val="none"/>
              </w:rPr>
              <w:t>量分析报告。</w:t>
            </w:r>
          </w:p>
        </w:tc>
      </w:tr>
    </w:tbl>
    <w:p w14:paraId="3ECDF030">
      <w:pPr>
        <w:rPr>
          <w:rFonts w:ascii="Arial"/>
          <w:color w:val="auto"/>
          <w:sz w:val="21"/>
          <w:highlight w:val="none"/>
        </w:rPr>
      </w:pPr>
    </w:p>
    <w:p w14:paraId="14B39813">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1B615A3D">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74"/>
        <w:gridCol w:w="108"/>
        <w:gridCol w:w="3015"/>
        <w:gridCol w:w="2322"/>
        <w:gridCol w:w="946"/>
      </w:tblGrid>
      <w:tr w14:paraId="6EC55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2874" w:type="dxa"/>
            <w:vAlign w:val="top"/>
          </w:tcPr>
          <w:p w14:paraId="5A7E53B0">
            <w:pPr>
              <w:rPr>
                <w:rFonts w:ascii="Arial"/>
                <w:color w:val="auto"/>
                <w:sz w:val="21"/>
                <w:highlight w:val="none"/>
              </w:rPr>
            </w:pPr>
          </w:p>
        </w:tc>
        <w:tc>
          <w:tcPr>
            <w:tcW w:w="6391" w:type="dxa"/>
            <w:gridSpan w:val="4"/>
            <w:vAlign w:val="top"/>
          </w:tcPr>
          <w:p w14:paraId="24A99421">
            <w:pPr>
              <w:pStyle w:val="179"/>
              <w:spacing w:before="36" w:line="228" w:lineRule="auto"/>
              <w:ind w:left="109"/>
              <w:rPr>
                <w:color w:val="auto"/>
                <w:highlight w:val="none"/>
              </w:rPr>
            </w:pPr>
            <w:r>
              <w:rPr>
                <w:color w:val="auto"/>
                <w:spacing w:val="8"/>
                <w:highlight w:val="none"/>
              </w:rPr>
              <w:t>2、服务地点：防城港市港口区内采购人指定地点。</w:t>
            </w:r>
          </w:p>
        </w:tc>
      </w:tr>
      <w:tr w14:paraId="3776B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5" w:hRule="atLeast"/>
        </w:trPr>
        <w:tc>
          <w:tcPr>
            <w:tcW w:w="2874" w:type="dxa"/>
            <w:vAlign w:val="top"/>
          </w:tcPr>
          <w:p w14:paraId="7EFE0934">
            <w:pPr>
              <w:spacing w:line="252" w:lineRule="auto"/>
              <w:rPr>
                <w:rFonts w:ascii="Arial"/>
                <w:color w:val="auto"/>
                <w:sz w:val="21"/>
                <w:highlight w:val="none"/>
              </w:rPr>
            </w:pPr>
          </w:p>
          <w:p w14:paraId="777DC8B5">
            <w:pPr>
              <w:spacing w:line="252" w:lineRule="auto"/>
              <w:rPr>
                <w:rFonts w:ascii="Arial"/>
                <w:color w:val="auto"/>
                <w:sz w:val="21"/>
                <w:highlight w:val="none"/>
              </w:rPr>
            </w:pPr>
          </w:p>
          <w:p w14:paraId="672AB12E">
            <w:pPr>
              <w:spacing w:line="252" w:lineRule="auto"/>
              <w:rPr>
                <w:rFonts w:ascii="Arial"/>
                <w:color w:val="auto"/>
                <w:sz w:val="21"/>
                <w:highlight w:val="none"/>
              </w:rPr>
            </w:pPr>
          </w:p>
          <w:p w14:paraId="4D63EA40">
            <w:pPr>
              <w:spacing w:line="252" w:lineRule="auto"/>
              <w:rPr>
                <w:rFonts w:ascii="Arial"/>
                <w:color w:val="auto"/>
                <w:sz w:val="21"/>
                <w:highlight w:val="none"/>
              </w:rPr>
            </w:pPr>
          </w:p>
          <w:p w14:paraId="228D844C">
            <w:pPr>
              <w:spacing w:line="252" w:lineRule="auto"/>
              <w:rPr>
                <w:rFonts w:ascii="Arial"/>
                <w:color w:val="auto"/>
                <w:sz w:val="21"/>
                <w:highlight w:val="none"/>
              </w:rPr>
            </w:pPr>
          </w:p>
          <w:p w14:paraId="0C294E3D">
            <w:pPr>
              <w:spacing w:line="252" w:lineRule="auto"/>
              <w:rPr>
                <w:rFonts w:ascii="Arial"/>
                <w:color w:val="auto"/>
                <w:sz w:val="21"/>
                <w:highlight w:val="none"/>
              </w:rPr>
            </w:pPr>
          </w:p>
          <w:p w14:paraId="22937E23">
            <w:pPr>
              <w:spacing w:line="252" w:lineRule="auto"/>
              <w:rPr>
                <w:rFonts w:ascii="Arial"/>
                <w:color w:val="auto"/>
                <w:sz w:val="21"/>
                <w:highlight w:val="none"/>
              </w:rPr>
            </w:pPr>
          </w:p>
          <w:p w14:paraId="3AEC8856">
            <w:pPr>
              <w:spacing w:line="252" w:lineRule="auto"/>
              <w:rPr>
                <w:rFonts w:ascii="Arial"/>
                <w:color w:val="auto"/>
                <w:sz w:val="21"/>
                <w:highlight w:val="none"/>
              </w:rPr>
            </w:pPr>
          </w:p>
          <w:p w14:paraId="35CB0093">
            <w:pPr>
              <w:spacing w:line="252" w:lineRule="auto"/>
              <w:rPr>
                <w:rFonts w:ascii="Arial"/>
                <w:color w:val="auto"/>
                <w:sz w:val="21"/>
                <w:highlight w:val="none"/>
              </w:rPr>
            </w:pPr>
          </w:p>
          <w:p w14:paraId="76CCFDE7">
            <w:pPr>
              <w:pStyle w:val="179"/>
              <w:spacing w:before="65" w:line="227" w:lineRule="auto"/>
              <w:ind w:left="1019"/>
              <w:rPr>
                <w:color w:val="auto"/>
                <w:highlight w:val="none"/>
              </w:rPr>
            </w:pPr>
            <w:r>
              <w:rPr>
                <w:color w:val="auto"/>
                <w:spacing w:val="7"/>
                <w:highlight w:val="none"/>
              </w:rPr>
              <w:t>磋商报价</w:t>
            </w:r>
          </w:p>
        </w:tc>
        <w:tc>
          <w:tcPr>
            <w:tcW w:w="6391" w:type="dxa"/>
            <w:gridSpan w:val="4"/>
            <w:vAlign w:val="top"/>
          </w:tcPr>
          <w:p w14:paraId="42BB46D4">
            <w:pPr>
              <w:pStyle w:val="179"/>
              <w:spacing w:before="31" w:line="377" w:lineRule="auto"/>
              <w:ind w:left="106" w:right="37" w:firstLine="15"/>
              <w:rPr>
                <w:color w:val="auto"/>
                <w:highlight w:val="none"/>
              </w:rPr>
            </w:pPr>
            <w:r>
              <w:rPr>
                <w:color w:val="auto"/>
                <w:spacing w:val="8"/>
                <w:highlight w:val="none"/>
              </w:rPr>
              <w:t>1、磋商报价应遵照由广西壮族自治区物价局和广西壮族自治区财政</w:t>
            </w:r>
            <w:r>
              <w:rPr>
                <w:color w:val="auto"/>
                <w:spacing w:val="9"/>
                <w:highlight w:val="none"/>
              </w:rPr>
              <w:t>厅发布的《关于正式核定全区产品质量检验收费项目和收费标准的</w:t>
            </w:r>
            <w:r>
              <w:rPr>
                <w:color w:val="auto"/>
                <w:spacing w:val="8"/>
                <w:highlight w:val="none"/>
              </w:rPr>
              <w:t>通知》（桂价费〔2013〕16</w:t>
            </w:r>
            <w:r>
              <w:rPr>
                <w:color w:val="auto"/>
                <w:spacing w:val="-24"/>
                <w:highlight w:val="none"/>
              </w:rPr>
              <w:t xml:space="preserve"> </w:t>
            </w:r>
            <w:r>
              <w:rPr>
                <w:color w:val="auto"/>
                <w:spacing w:val="8"/>
                <w:highlight w:val="none"/>
              </w:rPr>
              <w:t>号）和《财政厅关于降低产品质量监督</w:t>
            </w:r>
            <w:r>
              <w:rPr>
                <w:color w:val="auto"/>
                <w:spacing w:val="5"/>
                <w:highlight w:val="none"/>
              </w:rPr>
              <w:t>检验收费标准及有关问题的通知》（桂价费〔2015〕54</w:t>
            </w:r>
            <w:r>
              <w:rPr>
                <w:color w:val="auto"/>
                <w:spacing w:val="-25"/>
                <w:highlight w:val="none"/>
              </w:rPr>
              <w:t xml:space="preserve"> </w:t>
            </w:r>
            <w:r>
              <w:rPr>
                <w:color w:val="auto"/>
                <w:spacing w:val="5"/>
                <w:highlight w:val="none"/>
              </w:rPr>
              <w:t>号）的规定。</w:t>
            </w:r>
          </w:p>
          <w:p w14:paraId="41E78D64">
            <w:pPr>
              <w:pStyle w:val="179"/>
              <w:spacing w:before="5" w:line="372" w:lineRule="auto"/>
              <w:ind w:left="106" w:right="38" w:firstLine="3"/>
              <w:rPr>
                <w:color w:val="auto"/>
                <w:highlight w:val="none"/>
              </w:rPr>
            </w:pPr>
            <w:r>
              <w:rPr>
                <w:color w:val="auto"/>
                <w:spacing w:val="9"/>
                <w:highlight w:val="none"/>
              </w:rPr>
              <w:t>2、磋商报价包括但不限于：供应商完成本项目所有工作任</w:t>
            </w:r>
            <w:r>
              <w:rPr>
                <w:color w:val="auto"/>
                <w:spacing w:val="8"/>
                <w:highlight w:val="none"/>
              </w:rPr>
              <w:t>务（出具</w:t>
            </w:r>
            <w:r>
              <w:rPr>
                <w:color w:val="auto"/>
                <w:spacing w:val="13"/>
                <w:highlight w:val="none"/>
              </w:rPr>
              <w:t>成果文件）所需的一切费用（含完成项目过程中</w:t>
            </w:r>
            <w:r>
              <w:rPr>
                <w:color w:val="auto"/>
                <w:spacing w:val="12"/>
                <w:highlight w:val="none"/>
              </w:rPr>
              <w:t>所需的劳务、技术</w:t>
            </w:r>
            <w:r>
              <w:rPr>
                <w:color w:val="auto"/>
                <w:spacing w:val="13"/>
                <w:highlight w:val="none"/>
              </w:rPr>
              <w:t>服务费、交通差旅费、资料印刷费</w:t>
            </w:r>
            <w:r>
              <w:rPr>
                <w:rFonts w:ascii="宋体" w:hAnsi="宋体" w:eastAsia="宋体" w:cs="宋体"/>
                <w:color w:val="auto"/>
                <w:spacing w:val="13"/>
                <w:sz w:val="20"/>
                <w:szCs w:val="20"/>
                <w:highlight w:val="none"/>
              </w:rPr>
              <w:t>、</w:t>
            </w:r>
            <w:r>
              <w:rPr>
                <w:rFonts w:hint="eastAsia" w:ascii="宋体" w:hAnsi="宋体" w:eastAsia="宋体" w:cs="宋体"/>
                <w:color w:val="auto"/>
                <w:spacing w:val="13"/>
                <w:sz w:val="20"/>
                <w:szCs w:val="20"/>
                <w:highlight w:val="none"/>
                <w:lang w:val="en-US" w:eastAsia="zh-CN"/>
              </w:rPr>
              <w:t>招标代理费</w:t>
            </w:r>
            <w:r>
              <w:rPr>
                <w:color w:val="auto"/>
                <w:spacing w:val="13"/>
                <w:highlight w:val="none"/>
              </w:rPr>
              <w:t>、调研、材料</w:t>
            </w:r>
            <w:r>
              <w:rPr>
                <w:color w:val="auto"/>
                <w:spacing w:val="12"/>
                <w:highlight w:val="none"/>
              </w:rPr>
              <w:t>、设备、仪器、运</w:t>
            </w:r>
            <w:r>
              <w:rPr>
                <w:color w:val="auto"/>
                <w:spacing w:val="8"/>
                <w:highlight w:val="none"/>
              </w:rPr>
              <w:t>输、检测与试验、应急抽检、验收、安全警戒、评审、咨询、会务、管理、保险、税费、利润等费用，以及合同明示或暗示的所有责任、</w:t>
            </w:r>
            <w:r>
              <w:rPr>
                <w:color w:val="auto"/>
                <w:spacing w:val="11"/>
                <w:highlight w:val="none"/>
              </w:rPr>
              <w:t>义务和一般风险等的一切费用等各种费用在内）</w:t>
            </w:r>
            <w:r>
              <w:rPr>
                <w:color w:val="auto"/>
                <w:spacing w:val="-50"/>
                <w:highlight w:val="none"/>
              </w:rPr>
              <w:t xml:space="preserve"> </w:t>
            </w:r>
            <w:r>
              <w:rPr>
                <w:color w:val="auto"/>
                <w:spacing w:val="11"/>
                <w:highlight w:val="none"/>
              </w:rPr>
              <w:t>。合同价不因任何</w:t>
            </w:r>
            <w:r>
              <w:rPr>
                <w:color w:val="auto"/>
                <w:spacing w:val="13"/>
                <w:highlight w:val="none"/>
              </w:rPr>
              <w:t>因素而调整。根据采购人的需要，供应商将无条</w:t>
            </w:r>
            <w:r>
              <w:rPr>
                <w:color w:val="auto"/>
                <w:spacing w:val="12"/>
                <w:highlight w:val="none"/>
              </w:rPr>
              <w:t>件提供抽检合格备</w:t>
            </w:r>
            <w:r>
              <w:rPr>
                <w:color w:val="auto"/>
                <w:spacing w:val="8"/>
                <w:highlight w:val="none"/>
              </w:rPr>
              <w:t>份样品给防城港市市场监督管理局。</w:t>
            </w:r>
          </w:p>
        </w:tc>
      </w:tr>
      <w:tr w14:paraId="160F3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2874" w:type="dxa"/>
            <w:vAlign w:val="top"/>
          </w:tcPr>
          <w:p w14:paraId="2D4ACF31">
            <w:pPr>
              <w:pStyle w:val="179"/>
              <w:spacing w:before="106" w:line="228" w:lineRule="auto"/>
              <w:ind w:left="916"/>
              <w:rPr>
                <w:color w:val="auto"/>
                <w:highlight w:val="none"/>
              </w:rPr>
            </w:pPr>
            <w:r>
              <w:rPr>
                <w:color w:val="auto"/>
                <w:spacing w:val="8"/>
                <w:highlight w:val="none"/>
              </w:rPr>
              <w:t>检出率要求</w:t>
            </w:r>
          </w:p>
        </w:tc>
        <w:tc>
          <w:tcPr>
            <w:tcW w:w="6391" w:type="dxa"/>
            <w:gridSpan w:val="4"/>
            <w:vAlign w:val="top"/>
          </w:tcPr>
          <w:p w14:paraId="6DEACF36">
            <w:pPr>
              <w:pStyle w:val="179"/>
              <w:spacing w:before="105" w:line="228" w:lineRule="auto"/>
              <w:ind w:left="107"/>
              <w:rPr>
                <w:color w:val="auto"/>
                <w:highlight w:val="none"/>
              </w:rPr>
            </w:pPr>
            <w:r>
              <w:rPr>
                <w:color w:val="auto"/>
                <w:spacing w:val="8"/>
                <w:highlight w:val="none"/>
              </w:rPr>
              <w:t>监督抽检不合格率检出率必须达到</w:t>
            </w:r>
            <w:r>
              <w:rPr>
                <w:color w:val="auto"/>
                <w:spacing w:val="-33"/>
                <w:highlight w:val="none"/>
              </w:rPr>
              <w:t xml:space="preserve"> </w:t>
            </w:r>
            <w:r>
              <w:rPr>
                <w:color w:val="auto"/>
                <w:spacing w:val="8"/>
                <w:highlight w:val="none"/>
              </w:rPr>
              <w:t>5%以上（含</w:t>
            </w:r>
            <w:r>
              <w:rPr>
                <w:color w:val="auto"/>
                <w:spacing w:val="7"/>
                <w:highlight w:val="none"/>
              </w:rPr>
              <w:t>本数）。</w:t>
            </w:r>
          </w:p>
        </w:tc>
      </w:tr>
      <w:tr w14:paraId="2E184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7" w:hRule="atLeast"/>
        </w:trPr>
        <w:tc>
          <w:tcPr>
            <w:tcW w:w="2874" w:type="dxa"/>
            <w:vMerge w:val="restart"/>
            <w:tcBorders>
              <w:bottom w:val="nil"/>
            </w:tcBorders>
            <w:vAlign w:val="top"/>
          </w:tcPr>
          <w:p w14:paraId="614F75D8">
            <w:pPr>
              <w:spacing w:line="266" w:lineRule="auto"/>
              <w:rPr>
                <w:rFonts w:ascii="Arial"/>
                <w:color w:val="auto"/>
                <w:sz w:val="21"/>
                <w:highlight w:val="none"/>
              </w:rPr>
            </w:pPr>
          </w:p>
          <w:p w14:paraId="0B7D86C7">
            <w:pPr>
              <w:spacing w:line="266" w:lineRule="auto"/>
              <w:rPr>
                <w:rFonts w:ascii="Arial"/>
                <w:color w:val="auto"/>
                <w:sz w:val="21"/>
                <w:highlight w:val="none"/>
              </w:rPr>
            </w:pPr>
          </w:p>
          <w:p w14:paraId="67F8F4D5">
            <w:pPr>
              <w:spacing w:line="266" w:lineRule="auto"/>
              <w:rPr>
                <w:rFonts w:ascii="Arial"/>
                <w:color w:val="auto"/>
                <w:sz w:val="21"/>
                <w:highlight w:val="none"/>
              </w:rPr>
            </w:pPr>
          </w:p>
          <w:p w14:paraId="7E90AB22">
            <w:pPr>
              <w:spacing w:line="266" w:lineRule="auto"/>
              <w:rPr>
                <w:rFonts w:ascii="Arial"/>
                <w:color w:val="auto"/>
                <w:sz w:val="21"/>
                <w:highlight w:val="none"/>
              </w:rPr>
            </w:pPr>
          </w:p>
          <w:p w14:paraId="17690C34">
            <w:pPr>
              <w:spacing w:line="266" w:lineRule="auto"/>
              <w:rPr>
                <w:rFonts w:ascii="Arial"/>
                <w:color w:val="auto"/>
                <w:sz w:val="21"/>
                <w:highlight w:val="none"/>
              </w:rPr>
            </w:pPr>
          </w:p>
          <w:p w14:paraId="22B0EAC4">
            <w:pPr>
              <w:spacing w:line="266" w:lineRule="auto"/>
              <w:rPr>
                <w:rFonts w:ascii="Arial"/>
                <w:color w:val="auto"/>
                <w:sz w:val="21"/>
                <w:highlight w:val="none"/>
              </w:rPr>
            </w:pPr>
          </w:p>
          <w:p w14:paraId="221E7B4C">
            <w:pPr>
              <w:spacing w:line="266" w:lineRule="auto"/>
              <w:rPr>
                <w:rFonts w:ascii="Arial"/>
                <w:color w:val="auto"/>
                <w:sz w:val="21"/>
                <w:highlight w:val="none"/>
              </w:rPr>
            </w:pPr>
          </w:p>
          <w:p w14:paraId="30236A57">
            <w:pPr>
              <w:spacing w:line="266" w:lineRule="auto"/>
              <w:rPr>
                <w:rFonts w:ascii="Arial"/>
                <w:color w:val="auto"/>
                <w:sz w:val="21"/>
                <w:highlight w:val="none"/>
              </w:rPr>
            </w:pPr>
          </w:p>
          <w:p w14:paraId="2A8373B2">
            <w:pPr>
              <w:spacing w:line="266" w:lineRule="auto"/>
              <w:rPr>
                <w:rFonts w:ascii="Arial"/>
                <w:color w:val="auto"/>
                <w:sz w:val="21"/>
                <w:highlight w:val="none"/>
              </w:rPr>
            </w:pPr>
          </w:p>
          <w:p w14:paraId="38A07E18">
            <w:pPr>
              <w:pStyle w:val="179"/>
              <w:spacing w:before="65" w:line="228" w:lineRule="auto"/>
              <w:ind w:left="1020"/>
              <w:rPr>
                <w:color w:val="auto"/>
                <w:highlight w:val="none"/>
              </w:rPr>
            </w:pPr>
            <w:r>
              <w:rPr>
                <w:color w:val="auto"/>
                <w:spacing w:val="7"/>
                <w:highlight w:val="none"/>
              </w:rPr>
              <w:t>付款条件</w:t>
            </w:r>
          </w:p>
        </w:tc>
        <w:tc>
          <w:tcPr>
            <w:tcW w:w="6391" w:type="dxa"/>
            <w:gridSpan w:val="4"/>
            <w:vAlign w:val="top"/>
          </w:tcPr>
          <w:p w14:paraId="648A490F">
            <w:pPr>
              <w:pStyle w:val="179"/>
              <w:spacing w:before="54" w:line="228" w:lineRule="auto"/>
              <w:ind w:left="122"/>
              <w:rPr>
                <w:color w:val="auto"/>
                <w:highlight w:val="none"/>
              </w:rPr>
            </w:pPr>
            <w:r>
              <w:rPr>
                <w:color w:val="auto"/>
                <w:spacing w:val="4"/>
                <w:highlight w:val="none"/>
              </w:rPr>
              <w:t>1、付款方式：</w:t>
            </w:r>
          </w:p>
          <w:p w14:paraId="5C3B8BBB">
            <w:pPr>
              <w:pStyle w:val="179"/>
              <w:spacing w:before="64" w:line="288" w:lineRule="auto"/>
              <w:ind w:left="105" w:right="109" w:firstLine="11"/>
              <w:rPr>
                <w:color w:val="auto"/>
                <w:highlight w:val="none"/>
              </w:rPr>
            </w:pPr>
            <w:r>
              <w:rPr>
                <w:color w:val="auto"/>
                <w:spacing w:val="8"/>
                <w:highlight w:val="none"/>
              </w:rPr>
              <w:t>（1）</w:t>
            </w:r>
            <w:r>
              <w:rPr>
                <w:color w:val="auto"/>
                <w:spacing w:val="-28"/>
                <w:highlight w:val="none"/>
              </w:rPr>
              <w:t xml:space="preserve"> </w:t>
            </w:r>
            <w:r>
              <w:rPr>
                <w:color w:val="auto"/>
                <w:spacing w:val="8"/>
                <w:highlight w:val="none"/>
              </w:rPr>
              <w:t>自合同签订之日起且财政拨付项目预算款到位后</w:t>
            </w:r>
            <w:r>
              <w:rPr>
                <w:color w:val="auto"/>
                <w:spacing w:val="-18"/>
                <w:highlight w:val="none"/>
              </w:rPr>
              <w:t xml:space="preserve"> </w:t>
            </w:r>
            <w:r>
              <w:rPr>
                <w:color w:val="auto"/>
                <w:spacing w:val="8"/>
                <w:highlight w:val="none"/>
              </w:rPr>
              <w:t>10</w:t>
            </w:r>
            <w:r>
              <w:rPr>
                <w:color w:val="auto"/>
                <w:spacing w:val="-36"/>
                <w:highlight w:val="none"/>
              </w:rPr>
              <w:t xml:space="preserve"> </w:t>
            </w:r>
            <w:r>
              <w:rPr>
                <w:color w:val="auto"/>
                <w:spacing w:val="8"/>
                <w:highlight w:val="none"/>
              </w:rPr>
              <w:t>个工作日</w:t>
            </w:r>
            <w:r>
              <w:rPr>
                <w:color w:val="auto"/>
                <w:spacing w:val="6"/>
                <w:highlight w:val="none"/>
              </w:rPr>
              <w:t>内，采购人向成交供应商支付成交金额的</w:t>
            </w:r>
            <w:r>
              <w:rPr>
                <w:color w:val="auto"/>
                <w:spacing w:val="-16"/>
                <w:highlight w:val="none"/>
              </w:rPr>
              <w:t xml:space="preserve"> </w:t>
            </w:r>
            <w:r>
              <w:rPr>
                <w:color w:val="auto"/>
                <w:spacing w:val="6"/>
                <w:highlight w:val="none"/>
              </w:rPr>
              <w:t>50%作为预付款；预付款申</w:t>
            </w:r>
            <w:r>
              <w:rPr>
                <w:color w:val="auto"/>
                <w:spacing w:val="9"/>
                <w:highlight w:val="none"/>
              </w:rPr>
              <w:t>请时，成交供应商须开具相应金额的税额发票给采购人。</w:t>
            </w:r>
          </w:p>
          <w:p w14:paraId="75AB1208">
            <w:pPr>
              <w:pStyle w:val="179"/>
              <w:spacing w:before="3" w:line="287" w:lineRule="auto"/>
              <w:ind w:left="106" w:right="109" w:firstLine="10"/>
              <w:rPr>
                <w:color w:val="auto"/>
                <w:highlight w:val="none"/>
              </w:rPr>
            </w:pPr>
            <w:r>
              <w:rPr>
                <w:color w:val="auto"/>
                <w:spacing w:val="8"/>
                <w:highlight w:val="none"/>
              </w:rPr>
              <w:t>（2）成交供应商提交最终检验结果后，由采购人按抽检批次及整个</w:t>
            </w:r>
            <w:r>
              <w:rPr>
                <w:color w:val="auto"/>
                <w:spacing w:val="13"/>
                <w:highlight w:val="none"/>
              </w:rPr>
              <w:t>抽检不合格率支付剩余检测服务费。剩余检测服</w:t>
            </w:r>
            <w:r>
              <w:rPr>
                <w:color w:val="auto"/>
                <w:spacing w:val="12"/>
                <w:highlight w:val="none"/>
              </w:rPr>
              <w:t>务费申请时，成交</w:t>
            </w:r>
            <w:r>
              <w:rPr>
                <w:color w:val="auto"/>
                <w:spacing w:val="9"/>
                <w:highlight w:val="none"/>
              </w:rPr>
              <w:t>供应商须开具相应金额的税额发票给采购人。</w:t>
            </w:r>
          </w:p>
          <w:p w14:paraId="4119E736">
            <w:pPr>
              <w:pStyle w:val="179"/>
              <w:spacing w:before="3" w:line="276" w:lineRule="auto"/>
              <w:ind w:left="106" w:right="37" w:firstLine="2"/>
              <w:jc w:val="both"/>
              <w:rPr>
                <w:color w:val="auto"/>
                <w:highlight w:val="none"/>
              </w:rPr>
            </w:pPr>
            <w:r>
              <w:rPr>
                <w:color w:val="auto"/>
                <w:spacing w:val="9"/>
                <w:highlight w:val="none"/>
              </w:rPr>
              <w:t>2、付款条件：成交供应商须按采购人要求进行抽样检验。</w:t>
            </w:r>
            <w:r>
              <w:rPr>
                <w:color w:val="auto"/>
                <w:spacing w:val="8"/>
                <w:highlight w:val="none"/>
              </w:rPr>
              <w:t>抽检不合格率</w:t>
            </w:r>
            <w:r>
              <w:rPr>
                <w:rFonts w:hint="eastAsia" w:ascii="东文宋体" w:hAnsi="东文宋体" w:eastAsia="东文宋体" w:cs="东文宋体"/>
                <w:color w:val="auto"/>
                <w:spacing w:val="8"/>
                <w:highlight w:val="none"/>
              </w:rPr>
              <w:t>≥</w:t>
            </w:r>
            <w:r>
              <w:rPr>
                <w:color w:val="auto"/>
                <w:spacing w:val="8"/>
                <w:highlight w:val="none"/>
              </w:rPr>
              <w:t>5%。若成交供应商达到工作要求，则采购人</w:t>
            </w:r>
            <w:r>
              <w:rPr>
                <w:color w:val="auto"/>
                <w:spacing w:val="7"/>
                <w:highlight w:val="none"/>
              </w:rPr>
              <w:t>支付抽检服务款。</w:t>
            </w:r>
            <w:r>
              <w:rPr>
                <w:color w:val="auto"/>
                <w:spacing w:val="13"/>
                <w:highlight w:val="none"/>
              </w:rPr>
              <w:t>若成交供应商未达到工作要求，则采购人按比</w:t>
            </w:r>
            <w:r>
              <w:rPr>
                <w:color w:val="auto"/>
                <w:spacing w:val="12"/>
                <w:highlight w:val="none"/>
              </w:rPr>
              <w:t>例支付部分抽检服务</w:t>
            </w:r>
            <w:r>
              <w:rPr>
                <w:color w:val="auto"/>
                <w:spacing w:val="9"/>
                <w:highlight w:val="none"/>
              </w:rPr>
              <w:t>款（最少不低于成交金额的90%）。实际支</w:t>
            </w:r>
            <w:r>
              <w:rPr>
                <w:color w:val="auto"/>
                <w:spacing w:val="8"/>
                <w:highlight w:val="none"/>
              </w:rPr>
              <w:t>付的抽检服务款比例与工作要求的对应关系见下表。</w:t>
            </w:r>
          </w:p>
        </w:tc>
      </w:tr>
      <w:tr w14:paraId="3D8D8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2874" w:type="dxa"/>
            <w:vMerge w:val="continue"/>
            <w:tcBorders>
              <w:top w:val="nil"/>
              <w:bottom w:val="nil"/>
            </w:tcBorders>
            <w:vAlign w:val="top"/>
          </w:tcPr>
          <w:p w14:paraId="1286151E">
            <w:pPr>
              <w:rPr>
                <w:rFonts w:ascii="Arial"/>
                <w:color w:val="auto"/>
                <w:sz w:val="21"/>
                <w:highlight w:val="none"/>
              </w:rPr>
            </w:pPr>
          </w:p>
        </w:tc>
        <w:tc>
          <w:tcPr>
            <w:tcW w:w="108" w:type="dxa"/>
            <w:tcBorders>
              <w:top w:val="nil"/>
              <w:bottom w:val="nil"/>
            </w:tcBorders>
            <w:vAlign w:val="top"/>
          </w:tcPr>
          <w:p w14:paraId="34CE4640">
            <w:pPr>
              <w:rPr>
                <w:rFonts w:ascii="Arial"/>
                <w:color w:val="auto"/>
                <w:sz w:val="21"/>
                <w:highlight w:val="none"/>
              </w:rPr>
            </w:pPr>
          </w:p>
        </w:tc>
        <w:tc>
          <w:tcPr>
            <w:tcW w:w="3015" w:type="dxa"/>
            <w:vAlign w:val="top"/>
          </w:tcPr>
          <w:p w14:paraId="28A660E2">
            <w:pPr>
              <w:pStyle w:val="179"/>
              <w:spacing w:before="171" w:line="228" w:lineRule="auto"/>
              <w:ind w:left="670"/>
              <w:rPr>
                <w:color w:val="auto"/>
                <w:highlight w:val="none"/>
              </w:rPr>
            </w:pPr>
            <w:r>
              <w:rPr>
                <w:color w:val="auto"/>
                <w:spacing w:val="8"/>
                <w:highlight w:val="none"/>
              </w:rPr>
              <w:t>食品抽检不合格率</w:t>
            </w:r>
          </w:p>
        </w:tc>
        <w:tc>
          <w:tcPr>
            <w:tcW w:w="2322" w:type="dxa"/>
            <w:vAlign w:val="top"/>
          </w:tcPr>
          <w:p w14:paraId="3867EDA5">
            <w:pPr>
              <w:pStyle w:val="179"/>
              <w:spacing w:before="34" w:line="228" w:lineRule="auto"/>
              <w:ind w:left="120"/>
              <w:rPr>
                <w:color w:val="auto"/>
                <w:highlight w:val="none"/>
              </w:rPr>
            </w:pPr>
            <w:r>
              <w:rPr>
                <w:color w:val="auto"/>
                <w:spacing w:val="8"/>
                <w:highlight w:val="none"/>
              </w:rPr>
              <w:t>实际支付抽检服务款比</w:t>
            </w:r>
          </w:p>
          <w:p w14:paraId="11A5B3F1">
            <w:pPr>
              <w:pStyle w:val="179"/>
              <w:spacing w:before="26" w:line="214" w:lineRule="auto"/>
              <w:ind w:left="1061"/>
              <w:rPr>
                <w:color w:val="auto"/>
                <w:highlight w:val="none"/>
              </w:rPr>
            </w:pPr>
            <w:r>
              <w:rPr>
                <w:color w:val="auto"/>
                <w:highlight w:val="none"/>
              </w:rPr>
              <w:t>例</w:t>
            </w:r>
          </w:p>
        </w:tc>
        <w:tc>
          <w:tcPr>
            <w:tcW w:w="946" w:type="dxa"/>
            <w:vMerge w:val="restart"/>
            <w:tcBorders>
              <w:top w:val="nil"/>
              <w:bottom w:val="nil"/>
            </w:tcBorders>
            <w:vAlign w:val="top"/>
          </w:tcPr>
          <w:p w14:paraId="7E8D4B30">
            <w:pPr>
              <w:rPr>
                <w:rFonts w:ascii="Arial"/>
                <w:color w:val="auto"/>
                <w:sz w:val="21"/>
                <w:highlight w:val="none"/>
              </w:rPr>
            </w:pPr>
          </w:p>
        </w:tc>
      </w:tr>
      <w:tr w14:paraId="4701F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74" w:type="dxa"/>
            <w:vMerge w:val="continue"/>
            <w:tcBorders>
              <w:top w:val="nil"/>
              <w:bottom w:val="nil"/>
            </w:tcBorders>
            <w:vAlign w:val="top"/>
          </w:tcPr>
          <w:p w14:paraId="7508A18E">
            <w:pPr>
              <w:rPr>
                <w:rFonts w:ascii="Arial"/>
                <w:color w:val="auto"/>
                <w:sz w:val="21"/>
                <w:highlight w:val="none"/>
              </w:rPr>
            </w:pPr>
          </w:p>
        </w:tc>
        <w:tc>
          <w:tcPr>
            <w:tcW w:w="108" w:type="dxa"/>
            <w:tcBorders>
              <w:top w:val="nil"/>
              <w:bottom w:val="nil"/>
            </w:tcBorders>
            <w:vAlign w:val="top"/>
          </w:tcPr>
          <w:p w14:paraId="63164E93">
            <w:pPr>
              <w:rPr>
                <w:rFonts w:ascii="Arial"/>
                <w:color w:val="auto"/>
                <w:sz w:val="21"/>
                <w:highlight w:val="none"/>
              </w:rPr>
            </w:pPr>
          </w:p>
        </w:tc>
        <w:tc>
          <w:tcPr>
            <w:tcW w:w="3015" w:type="dxa"/>
            <w:vAlign w:val="top"/>
          </w:tcPr>
          <w:p w14:paraId="74ADE118">
            <w:pPr>
              <w:pStyle w:val="179"/>
              <w:spacing w:before="34" w:line="215" w:lineRule="auto"/>
              <w:ind w:left="883"/>
              <w:rPr>
                <w:color w:val="auto"/>
                <w:highlight w:val="none"/>
              </w:rPr>
            </w:pPr>
            <w:r>
              <w:rPr>
                <w:color w:val="auto"/>
                <w:highlight w:val="none"/>
              </w:rPr>
              <w:t>5%（含）</w:t>
            </w:r>
            <w:r>
              <w:rPr>
                <w:color w:val="auto"/>
                <w:spacing w:val="-54"/>
                <w:highlight w:val="none"/>
              </w:rPr>
              <w:t xml:space="preserve"> </w:t>
            </w:r>
            <w:r>
              <w:rPr>
                <w:color w:val="auto"/>
                <w:highlight w:val="none"/>
              </w:rPr>
              <w:t>以上</w:t>
            </w:r>
          </w:p>
        </w:tc>
        <w:tc>
          <w:tcPr>
            <w:tcW w:w="2322" w:type="dxa"/>
            <w:vAlign w:val="top"/>
          </w:tcPr>
          <w:p w14:paraId="1F35E36F">
            <w:pPr>
              <w:pStyle w:val="179"/>
              <w:spacing w:before="34" w:line="215" w:lineRule="auto"/>
              <w:ind w:left="971"/>
              <w:rPr>
                <w:color w:val="auto"/>
                <w:highlight w:val="none"/>
              </w:rPr>
            </w:pPr>
            <w:r>
              <w:rPr>
                <w:color w:val="auto"/>
                <w:spacing w:val="-1"/>
                <w:highlight w:val="none"/>
              </w:rPr>
              <w:t>100%</w:t>
            </w:r>
          </w:p>
        </w:tc>
        <w:tc>
          <w:tcPr>
            <w:tcW w:w="946" w:type="dxa"/>
            <w:vMerge w:val="continue"/>
            <w:tcBorders>
              <w:top w:val="nil"/>
              <w:bottom w:val="nil"/>
            </w:tcBorders>
            <w:vAlign w:val="top"/>
          </w:tcPr>
          <w:p w14:paraId="4B45A812">
            <w:pPr>
              <w:rPr>
                <w:rFonts w:ascii="Arial"/>
                <w:color w:val="auto"/>
                <w:sz w:val="21"/>
                <w:highlight w:val="none"/>
              </w:rPr>
            </w:pPr>
          </w:p>
        </w:tc>
      </w:tr>
      <w:tr w14:paraId="4587B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74" w:type="dxa"/>
            <w:vMerge w:val="continue"/>
            <w:tcBorders>
              <w:top w:val="nil"/>
              <w:bottom w:val="nil"/>
            </w:tcBorders>
            <w:vAlign w:val="top"/>
          </w:tcPr>
          <w:p w14:paraId="1C71F0A3">
            <w:pPr>
              <w:rPr>
                <w:rFonts w:ascii="Arial"/>
                <w:color w:val="auto"/>
                <w:sz w:val="21"/>
                <w:highlight w:val="none"/>
              </w:rPr>
            </w:pPr>
          </w:p>
        </w:tc>
        <w:tc>
          <w:tcPr>
            <w:tcW w:w="108" w:type="dxa"/>
            <w:tcBorders>
              <w:top w:val="nil"/>
              <w:bottom w:val="nil"/>
            </w:tcBorders>
            <w:vAlign w:val="top"/>
          </w:tcPr>
          <w:p w14:paraId="7482BB81">
            <w:pPr>
              <w:rPr>
                <w:rFonts w:ascii="Arial"/>
                <w:color w:val="auto"/>
                <w:sz w:val="21"/>
                <w:highlight w:val="none"/>
              </w:rPr>
            </w:pPr>
          </w:p>
        </w:tc>
        <w:tc>
          <w:tcPr>
            <w:tcW w:w="3015" w:type="dxa"/>
            <w:vAlign w:val="top"/>
          </w:tcPr>
          <w:p w14:paraId="17A30225">
            <w:pPr>
              <w:pStyle w:val="179"/>
              <w:spacing w:before="35" w:line="214" w:lineRule="auto"/>
              <w:ind w:left="458"/>
              <w:rPr>
                <w:color w:val="auto"/>
                <w:highlight w:val="none"/>
              </w:rPr>
            </w:pPr>
            <w:r>
              <w:rPr>
                <w:color w:val="auto"/>
                <w:spacing w:val="6"/>
                <w:highlight w:val="none"/>
              </w:rPr>
              <w:t>4%（含）—5%（不含）</w:t>
            </w:r>
          </w:p>
        </w:tc>
        <w:tc>
          <w:tcPr>
            <w:tcW w:w="2322" w:type="dxa"/>
            <w:vAlign w:val="top"/>
          </w:tcPr>
          <w:p w14:paraId="6A16025E">
            <w:pPr>
              <w:pStyle w:val="179"/>
              <w:spacing w:before="35" w:line="214" w:lineRule="auto"/>
              <w:ind w:left="1009"/>
              <w:rPr>
                <w:color w:val="auto"/>
                <w:highlight w:val="none"/>
              </w:rPr>
            </w:pPr>
            <w:r>
              <w:rPr>
                <w:color w:val="auto"/>
                <w:spacing w:val="2"/>
                <w:highlight w:val="none"/>
              </w:rPr>
              <w:t>95%</w:t>
            </w:r>
          </w:p>
        </w:tc>
        <w:tc>
          <w:tcPr>
            <w:tcW w:w="946" w:type="dxa"/>
            <w:vMerge w:val="continue"/>
            <w:tcBorders>
              <w:top w:val="nil"/>
              <w:bottom w:val="nil"/>
            </w:tcBorders>
            <w:vAlign w:val="top"/>
          </w:tcPr>
          <w:p w14:paraId="382B27B9">
            <w:pPr>
              <w:rPr>
                <w:rFonts w:ascii="Arial"/>
                <w:color w:val="auto"/>
                <w:sz w:val="21"/>
                <w:highlight w:val="none"/>
              </w:rPr>
            </w:pPr>
          </w:p>
        </w:tc>
      </w:tr>
      <w:tr w14:paraId="76996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74" w:type="dxa"/>
            <w:vMerge w:val="continue"/>
            <w:tcBorders>
              <w:top w:val="nil"/>
            </w:tcBorders>
            <w:vAlign w:val="top"/>
          </w:tcPr>
          <w:p w14:paraId="552E15AC">
            <w:pPr>
              <w:rPr>
                <w:rFonts w:ascii="Arial"/>
                <w:color w:val="auto"/>
                <w:sz w:val="21"/>
                <w:highlight w:val="none"/>
              </w:rPr>
            </w:pPr>
          </w:p>
        </w:tc>
        <w:tc>
          <w:tcPr>
            <w:tcW w:w="108" w:type="dxa"/>
            <w:tcBorders>
              <w:top w:val="nil"/>
            </w:tcBorders>
            <w:vAlign w:val="top"/>
          </w:tcPr>
          <w:p w14:paraId="321464F6">
            <w:pPr>
              <w:rPr>
                <w:rFonts w:ascii="Arial"/>
                <w:color w:val="auto"/>
                <w:sz w:val="21"/>
                <w:highlight w:val="none"/>
              </w:rPr>
            </w:pPr>
          </w:p>
        </w:tc>
        <w:tc>
          <w:tcPr>
            <w:tcW w:w="3015" w:type="dxa"/>
            <w:vAlign w:val="top"/>
          </w:tcPr>
          <w:p w14:paraId="0274DF49">
            <w:pPr>
              <w:pStyle w:val="179"/>
              <w:spacing w:before="36" w:line="214" w:lineRule="auto"/>
              <w:ind w:left="775"/>
              <w:rPr>
                <w:color w:val="auto"/>
                <w:highlight w:val="none"/>
              </w:rPr>
            </w:pPr>
            <w:r>
              <w:rPr>
                <w:color w:val="auto"/>
                <w:spacing w:val="2"/>
                <w:highlight w:val="none"/>
              </w:rPr>
              <w:t>4%（不含）</w:t>
            </w:r>
            <w:r>
              <w:rPr>
                <w:color w:val="auto"/>
                <w:spacing w:val="-58"/>
                <w:highlight w:val="none"/>
              </w:rPr>
              <w:t xml:space="preserve"> </w:t>
            </w:r>
            <w:r>
              <w:rPr>
                <w:color w:val="auto"/>
                <w:spacing w:val="2"/>
                <w:highlight w:val="none"/>
              </w:rPr>
              <w:t>以下</w:t>
            </w:r>
          </w:p>
        </w:tc>
        <w:tc>
          <w:tcPr>
            <w:tcW w:w="2322" w:type="dxa"/>
            <w:vAlign w:val="top"/>
          </w:tcPr>
          <w:p w14:paraId="7806DA61">
            <w:pPr>
              <w:pStyle w:val="179"/>
              <w:spacing w:before="36" w:line="214" w:lineRule="auto"/>
              <w:ind w:left="1009"/>
              <w:rPr>
                <w:color w:val="auto"/>
                <w:highlight w:val="none"/>
              </w:rPr>
            </w:pPr>
            <w:r>
              <w:rPr>
                <w:color w:val="auto"/>
                <w:spacing w:val="2"/>
                <w:highlight w:val="none"/>
              </w:rPr>
              <w:t>90%</w:t>
            </w:r>
          </w:p>
        </w:tc>
        <w:tc>
          <w:tcPr>
            <w:tcW w:w="946" w:type="dxa"/>
            <w:vMerge w:val="continue"/>
            <w:tcBorders>
              <w:top w:val="nil"/>
            </w:tcBorders>
            <w:vAlign w:val="top"/>
          </w:tcPr>
          <w:p w14:paraId="4F59CBAC">
            <w:pPr>
              <w:rPr>
                <w:rFonts w:ascii="Arial"/>
                <w:color w:val="auto"/>
                <w:sz w:val="21"/>
                <w:highlight w:val="none"/>
              </w:rPr>
            </w:pPr>
          </w:p>
        </w:tc>
      </w:tr>
      <w:tr w14:paraId="4ABBD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4" w:hRule="atLeast"/>
        </w:trPr>
        <w:tc>
          <w:tcPr>
            <w:tcW w:w="2874" w:type="dxa"/>
            <w:vAlign w:val="top"/>
          </w:tcPr>
          <w:p w14:paraId="79429667">
            <w:pPr>
              <w:spacing w:line="248" w:lineRule="auto"/>
              <w:rPr>
                <w:rFonts w:ascii="Arial"/>
                <w:color w:val="auto"/>
                <w:sz w:val="21"/>
                <w:highlight w:val="none"/>
              </w:rPr>
            </w:pPr>
          </w:p>
          <w:p w14:paraId="20E81774">
            <w:pPr>
              <w:spacing w:line="248" w:lineRule="auto"/>
              <w:rPr>
                <w:rFonts w:ascii="Arial"/>
                <w:color w:val="auto"/>
                <w:sz w:val="21"/>
                <w:highlight w:val="none"/>
              </w:rPr>
            </w:pPr>
          </w:p>
          <w:p w14:paraId="3D892D7C">
            <w:pPr>
              <w:spacing w:line="248" w:lineRule="auto"/>
              <w:rPr>
                <w:rFonts w:ascii="Arial"/>
                <w:color w:val="auto"/>
                <w:sz w:val="21"/>
                <w:highlight w:val="none"/>
              </w:rPr>
            </w:pPr>
          </w:p>
          <w:p w14:paraId="1E1BEB6D">
            <w:pPr>
              <w:spacing w:line="248" w:lineRule="auto"/>
              <w:rPr>
                <w:rFonts w:ascii="Arial"/>
                <w:color w:val="auto"/>
                <w:sz w:val="21"/>
                <w:highlight w:val="none"/>
              </w:rPr>
            </w:pPr>
          </w:p>
          <w:p w14:paraId="5AF7B8D3">
            <w:pPr>
              <w:spacing w:line="248" w:lineRule="auto"/>
              <w:rPr>
                <w:rFonts w:ascii="Arial"/>
                <w:color w:val="auto"/>
                <w:sz w:val="21"/>
                <w:highlight w:val="none"/>
              </w:rPr>
            </w:pPr>
          </w:p>
          <w:p w14:paraId="566C08BD">
            <w:pPr>
              <w:pStyle w:val="179"/>
              <w:spacing w:before="65" w:line="228" w:lineRule="auto"/>
              <w:ind w:left="1020"/>
              <w:rPr>
                <w:color w:val="auto"/>
                <w:highlight w:val="none"/>
              </w:rPr>
            </w:pPr>
            <w:r>
              <w:rPr>
                <w:color w:val="auto"/>
                <w:spacing w:val="7"/>
                <w:highlight w:val="none"/>
              </w:rPr>
              <w:t>服务要求</w:t>
            </w:r>
          </w:p>
        </w:tc>
        <w:tc>
          <w:tcPr>
            <w:tcW w:w="6391" w:type="dxa"/>
            <w:gridSpan w:val="4"/>
            <w:vAlign w:val="top"/>
          </w:tcPr>
          <w:p w14:paraId="49A9071A">
            <w:pPr>
              <w:pStyle w:val="179"/>
              <w:spacing w:before="65" w:line="228" w:lineRule="auto"/>
              <w:ind w:left="122"/>
              <w:rPr>
                <w:color w:val="auto"/>
                <w:highlight w:val="none"/>
              </w:rPr>
            </w:pPr>
            <w:r>
              <w:rPr>
                <w:color w:val="auto"/>
                <w:spacing w:val="8"/>
                <w:highlight w:val="none"/>
              </w:rPr>
              <w:t>1、能按时完成委托单位安排的临时性和应急性任务。</w:t>
            </w:r>
          </w:p>
          <w:p w14:paraId="1239ED16">
            <w:pPr>
              <w:pStyle w:val="179"/>
              <w:spacing w:before="64" w:line="288" w:lineRule="auto"/>
              <w:ind w:left="107" w:right="109" w:firstLine="1"/>
              <w:rPr>
                <w:color w:val="auto"/>
                <w:highlight w:val="none"/>
              </w:rPr>
            </w:pPr>
            <w:r>
              <w:rPr>
                <w:color w:val="auto"/>
                <w:spacing w:val="9"/>
                <w:highlight w:val="none"/>
              </w:rPr>
              <w:t>2、负责样品的检验、检验报告的寄送、结果分析、异议处</w:t>
            </w:r>
            <w:r>
              <w:rPr>
                <w:color w:val="auto"/>
                <w:spacing w:val="8"/>
                <w:highlight w:val="none"/>
              </w:rPr>
              <w:t>理和检验过程中技术问题的处理工作。</w:t>
            </w:r>
          </w:p>
          <w:p w14:paraId="5A8A8DA2">
            <w:pPr>
              <w:pStyle w:val="179"/>
              <w:spacing w:line="288" w:lineRule="auto"/>
              <w:ind w:left="106" w:right="108" w:firstLine="5"/>
              <w:rPr>
                <w:color w:val="auto"/>
                <w:highlight w:val="none"/>
              </w:rPr>
            </w:pPr>
            <w:r>
              <w:rPr>
                <w:color w:val="auto"/>
                <w:spacing w:val="8"/>
                <w:highlight w:val="none"/>
              </w:rPr>
              <w:t>3、处理问题及响应时间：成交供应商接到采购人处理问题通知后 2小时内采取实质性响应措施，必须在</w:t>
            </w:r>
            <w:r>
              <w:rPr>
                <w:color w:val="auto"/>
                <w:spacing w:val="-37"/>
                <w:highlight w:val="none"/>
              </w:rPr>
              <w:t xml:space="preserve"> </w:t>
            </w:r>
            <w:r>
              <w:rPr>
                <w:color w:val="auto"/>
                <w:spacing w:val="8"/>
                <w:highlight w:val="none"/>
              </w:rPr>
              <w:t>24</w:t>
            </w:r>
            <w:r>
              <w:rPr>
                <w:color w:val="auto"/>
                <w:spacing w:val="-32"/>
                <w:highlight w:val="none"/>
              </w:rPr>
              <w:t xml:space="preserve"> </w:t>
            </w:r>
            <w:r>
              <w:rPr>
                <w:color w:val="auto"/>
                <w:spacing w:val="8"/>
                <w:highlight w:val="none"/>
              </w:rPr>
              <w:t>小时之内向采购人提交</w:t>
            </w:r>
            <w:r>
              <w:rPr>
                <w:color w:val="auto"/>
                <w:spacing w:val="7"/>
                <w:highlight w:val="none"/>
              </w:rPr>
              <w:t>正式</w:t>
            </w:r>
            <w:r>
              <w:rPr>
                <w:color w:val="auto"/>
                <w:spacing w:val="10"/>
                <w:highlight w:val="none"/>
              </w:rPr>
              <w:t>书面可行的解决方案，并在采购人指定的时</w:t>
            </w:r>
            <w:r>
              <w:rPr>
                <w:color w:val="auto"/>
                <w:spacing w:val="9"/>
                <w:highlight w:val="none"/>
              </w:rPr>
              <w:t>间和地点对方案进行解</w:t>
            </w:r>
            <w:r>
              <w:rPr>
                <w:color w:val="auto"/>
                <w:spacing w:val="5"/>
                <w:highlight w:val="none"/>
              </w:rPr>
              <w:t>释说明。</w:t>
            </w:r>
          </w:p>
          <w:p w14:paraId="032139E8">
            <w:pPr>
              <w:pStyle w:val="179"/>
              <w:spacing w:line="229" w:lineRule="auto"/>
              <w:ind w:left="106"/>
              <w:rPr>
                <w:color w:val="auto"/>
                <w:highlight w:val="none"/>
              </w:rPr>
            </w:pPr>
            <w:r>
              <w:rPr>
                <w:color w:val="auto"/>
                <w:spacing w:val="6"/>
                <w:highlight w:val="none"/>
              </w:rPr>
              <w:t>4、定期回访。</w:t>
            </w:r>
          </w:p>
          <w:p w14:paraId="5A561028">
            <w:pPr>
              <w:pStyle w:val="179"/>
              <w:spacing w:before="63" w:line="228" w:lineRule="auto"/>
              <w:ind w:left="111"/>
              <w:rPr>
                <w:color w:val="auto"/>
                <w:spacing w:val="8"/>
                <w:highlight w:val="none"/>
              </w:rPr>
            </w:pPr>
            <w:r>
              <w:rPr>
                <w:color w:val="auto"/>
                <w:spacing w:val="8"/>
                <w:highlight w:val="none"/>
              </w:rPr>
              <w:t>5、供应商须在响应文件中提供具体的服务承诺。</w:t>
            </w:r>
          </w:p>
          <w:p w14:paraId="7442935C">
            <w:pPr>
              <w:pStyle w:val="179"/>
              <w:spacing w:before="56" w:line="288" w:lineRule="auto"/>
              <w:ind w:left="106" w:right="109" w:firstLine="2"/>
              <w:rPr>
                <w:color w:val="auto"/>
                <w:spacing w:val="4"/>
                <w:highlight w:val="none"/>
              </w:rPr>
            </w:pPr>
            <w:r>
              <w:rPr>
                <w:color w:val="auto"/>
                <w:spacing w:val="4"/>
                <w:highlight w:val="none"/>
              </w:rPr>
              <w:t>6、供应商应于</w:t>
            </w:r>
            <w:r>
              <w:rPr>
                <w:color w:val="auto"/>
                <w:spacing w:val="-37"/>
                <w:highlight w:val="none"/>
              </w:rPr>
              <w:t xml:space="preserve"> </w:t>
            </w:r>
            <w:r>
              <w:rPr>
                <w:color w:val="auto"/>
                <w:spacing w:val="4"/>
                <w:highlight w:val="none"/>
              </w:rPr>
              <w:t>202</w:t>
            </w:r>
            <w:r>
              <w:rPr>
                <w:rFonts w:hint="eastAsia"/>
                <w:color w:val="auto"/>
                <w:spacing w:val="4"/>
                <w:highlight w:val="none"/>
                <w:lang w:val="en-US" w:eastAsia="zh-CN"/>
              </w:rPr>
              <w:t>6</w:t>
            </w:r>
            <w:r>
              <w:rPr>
                <w:color w:val="auto"/>
                <w:spacing w:val="-40"/>
                <w:highlight w:val="none"/>
              </w:rPr>
              <w:t xml:space="preserve"> </w:t>
            </w:r>
            <w:r>
              <w:rPr>
                <w:color w:val="auto"/>
                <w:spacing w:val="4"/>
                <w:highlight w:val="none"/>
              </w:rPr>
              <w:t>年</w:t>
            </w:r>
            <w:r>
              <w:rPr>
                <w:color w:val="auto"/>
                <w:spacing w:val="-24"/>
                <w:highlight w:val="none"/>
              </w:rPr>
              <w:t xml:space="preserve"> </w:t>
            </w:r>
            <w:r>
              <w:rPr>
                <w:color w:val="auto"/>
                <w:spacing w:val="4"/>
                <w:highlight w:val="none"/>
              </w:rPr>
              <w:t>12</w:t>
            </w:r>
            <w:r>
              <w:rPr>
                <w:color w:val="auto"/>
                <w:spacing w:val="-33"/>
                <w:highlight w:val="none"/>
              </w:rPr>
              <w:t xml:space="preserve"> </w:t>
            </w:r>
            <w:r>
              <w:rPr>
                <w:color w:val="auto"/>
                <w:spacing w:val="4"/>
                <w:highlight w:val="none"/>
              </w:rPr>
              <w:t>月</w:t>
            </w:r>
            <w:r>
              <w:rPr>
                <w:color w:val="auto"/>
                <w:spacing w:val="-24"/>
                <w:highlight w:val="none"/>
              </w:rPr>
              <w:t xml:space="preserve"> </w:t>
            </w:r>
            <w:r>
              <w:rPr>
                <w:color w:val="auto"/>
                <w:spacing w:val="4"/>
                <w:highlight w:val="none"/>
              </w:rPr>
              <w:t>10 日前完成抽样检测任务，并出具</w:t>
            </w:r>
            <w:r>
              <w:rPr>
                <w:color w:val="auto"/>
                <w:spacing w:val="-38"/>
                <w:highlight w:val="none"/>
              </w:rPr>
              <w:t xml:space="preserve"> </w:t>
            </w:r>
            <w:r>
              <w:rPr>
                <w:color w:val="auto"/>
                <w:highlight w:val="none"/>
              </w:rPr>
              <w:t>CA</w:t>
            </w:r>
            <w:r>
              <w:rPr>
                <w:color w:val="auto"/>
                <w:spacing w:val="4"/>
                <w:highlight w:val="none"/>
              </w:rPr>
              <w:t>认证的电子检验报告书，并于</w:t>
            </w:r>
            <w:r>
              <w:rPr>
                <w:color w:val="auto"/>
                <w:spacing w:val="-30"/>
                <w:highlight w:val="none"/>
              </w:rPr>
              <w:t xml:space="preserve"> </w:t>
            </w:r>
            <w:r>
              <w:rPr>
                <w:color w:val="auto"/>
                <w:spacing w:val="4"/>
                <w:highlight w:val="none"/>
              </w:rPr>
              <w:t>202</w:t>
            </w:r>
            <w:r>
              <w:rPr>
                <w:rFonts w:hint="eastAsia"/>
                <w:color w:val="auto"/>
                <w:spacing w:val="4"/>
                <w:highlight w:val="none"/>
                <w:lang w:val="en-US" w:eastAsia="zh-CN"/>
              </w:rPr>
              <w:t>6</w:t>
            </w:r>
            <w:r>
              <w:rPr>
                <w:color w:val="auto"/>
                <w:spacing w:val="-40"/>
                <w:highlight w:val="none"/>
              </w:rPr>
              <w:t xml:space="preserve"> </w:t>
            </w:r>
            <w:r>
              <w:rPr>
                <w:color w:val="auto"/>
                <w:spacing w:val="4"/>
                <w:highlight w:val="none"/>
              </w:rPr>
              <w:t>年</w:t>
            </w:r>
            <w:r>
              <w:rPr>
                <w:color w:val="auto"/>
                <w:spacing w:val="-23"/>
                <w:highlight w:val="none"/>
              </w:rPr>
              <w:t xml:space="preserve"> </w:t>
            </w:r>
            <w:r>
              <w:rPr>
                <w:color w:val="auto"/>
                <w:spacing w:val="4"/>
                <w:highlight w:val="none"/>
              </w:rPr>
              <w:t>12</w:t>
            </w:r>
            <w:r>
              <w:rPr>
                <w:color w:val="auto"/>
                <w:spacing w:val="-33"/>
                <w:highlight w:val="none"/>
              </w:rPr>
              <w:t xml:space="preserve"> </w:t>
            </w:r>
            <w:r>
              <w:rPr>
                <w:color w:val="auto"/>
                <w:spacing w:val="4"/>
                <w:highlight w:val="none"/>
              </w:rPr>
              <w:t>月</w:t>
            </w:r>
            <w:r>
              <w:rPr>
                <w:color w:val="auto"/>
                <w:spacing w:val="-37"/>
                <w:highlight w:val="none"/>
              </w:rPr>
              <w:t xml:space="preserve"> </w:t>
            </w:r>
            <w:r>
              <w:rPr>
                <w:color w:val="auto"/>
                <w:spacing w:val="4"/>
                <w:highlight w:val="none"/>
              </w:rPr>
              <w:t>20 日前，将本次任务检</w:t>
            </w:r>
            <w:r>
              <w:rPr>
                <w:color w:val="auto"/>
                <w:spacing w:val="10"/>
                <w:highlight w:val="none"/>
              </w:rPr>
              <w:t>验分析报告、信息汇总表及问题样品信息汇</w:t>
            </w:r>
            <w:r>
              <w:rPr>
                <w:color w:val="auto"/>
                <w:spacing w:val="9"/>
                <w:highlight w:val="none"/>
              </w:rPr>
              <w:t>总表寄送至</w:t>
            </w:r>
            <w:r>
              <w:rPr>
                <w:color w:val="auto"/>
                <w:spacing w:val="4"/>
                <w:highlight w:val="none"/>
              </w:rPr>
              <w:t>防城港市市场监督管理局。</w:t>
            </w:r>
          </w:p>
          <w:p w14:paraId="51231CB9">
            <w:pPr>
              <w:pStyle w:val="179"/>
              <w:spacing w:before="56" w:line="288" w:lineRule="auto"/>
              <w:ind w:left="106" w:right="109" w:firstLine="2"/>
              <w:rPr>
                <w:color w:val="auto"/>
                <w:spacing w:val="8"/>
                <w:highlight w:val="none"/>
              </w:rPr>
            </w:pPr>
            <w:r>
              <w:rPr>
                <w:color w:val="auto"/>
                <w:spacing w:val="4"/>
                <w:highlight w:val="none"/>
              </w:rPr>
              <w:t>7.供应商必须按照响应文件承诺的时效性开展食品抽检任务，如有一次未能按时完成抽检任务的扣 5000 元，超过三次不能按时完成抽检任务的，采购人有权依法解除合同。</w:t>
            </w:r>
          </w:p>
        </w:tc>
      </w:tr>
      <w:tr w14:paraId="0218C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4" w:hRule="atLeast"/>
        </w:trPr>
        <w:tc>
          <w:tcPr>
            <w:tcW w:w="2874" w:type="dxa"/>
            <w:vAlign w:val="top"/>
          </w:tcPr>
          <w:p w14:paraId="6E58E6E4">
            <w:pPr>
              <w:spacing w:line="241" w:lineRule="auto"/>
              <w:rPr>
                <w:rFonts w:ascii="Arial"/>
                <w:color w:val="auto"/>
                <w:sz w:val="21"/>
                <w:highlight w:val="none"/>
              </w:rPr>
            </w:pPr>
          </w:p>
          <w:p w14:paraId="7DB22192">
            <w:pPr>
              <w:spacing w:line="242" w:lineRule="auto"/>
              <w:rPr>
                <w:rFonts w:ascii="Arial"/>
                <w:color w:val="auto"/>
                <w:sz w:val="21"/>
                <w:highlight w:val="none"/>
              </w:rPr>
            </w:pPr>
          </w:p>
          <w:p w14:paraId="14004213">
            <w:pPr>
              <w:spacing w:line="242" w:lineRule="auto"/>
              <w:rPr>
                <w:rFonts w:ascii="Arial"/>
                <w:color w:val="auto"/>
                <w:sz w:val="21"/>
                <w:highlight w:val="none"/>
              </w:rPr>
            </w:pPr>
          </w:p>
          <w:p w14:paraId="2700C973">
            <w:pPr>
              <w:spacing w:line="242" w:lineRule="auto"/>
              <w:rPr>
                <w:rFonts w:ascii="Arial"/>
                <w:color w:val="auto"/>
                <w:sz w:val="21"/>
                <w:highlight w:val="none"/>
              </w:rPr>
            </w:pPr>
          </w:p>
          <w:p w14:paraId="79278050">
            <w:pPr>
              <w:spacing w:line="242" w:lineRule="auto"/>
              <w:rPr>
                <w:rFonts w:ascii="Arial"/>
                <w:color w:val="auto"/>
                <w:sz w:val="21"/>
                <w:highlight w:val="none"/>
              </w:rPr>
            </w:pPr>
          </w:p>
          <w:p w14:paraId="36242148">
            <w:pPr>
              <w:spacing w:line="242" w:lineRule="auto"/>
              <w:rPr>
                <w:rFonts w:ascii="Arial"/>
                <w:color w:val="auto"/>
                <w:sz w:val="21"/>
                <w:highlight w:val="none"/>
              </w:rPr>
            </w:pPr>
          </w:p>
          <w:p w14:paraId="6D860C80">
            <w:pPr>
              <w:spacing w:line="242" w:lineRule="auto"/>
              <w:rPr>
                <w:rFonts w:ascii="Arial"/>
                <w:color w:val="auto"/>
                <w:sz w:val="21"/>
                <w:highlight w:val="none"/>
              </w:rPr>
            </w:pPr>
          </w:p>
          <w:p w14:paraId="6E57809C">
            <w:pPr>
              <w:pStyle w:val="179"/>
              <w:spacing w:before="65" w:line="228" w:lineRule="auto"/>
              <w:ind w:left="1019" w:leftChars="0"/>
              <w:rPr>
                <w:color w:val="auto"/>
                <w:spacing w:val="7"/>
                <w:highlight w:val="none"/>
              </w:rPr>
            </w:pPr>
            <w:r>
              <w:rPr>
                <w:color w:val="auto"/>
                <w:spacing w:val="7"/>
                <w:highlight w:val="none"/>
              </w:rPr>
              <w:t>验收标准</w:t>
            </w:r>
          </w:p>
        </w:tc>
        <w:tc>
          <w:tcPr>
            <w:tcW w:w="6391" w:type="dxa"/>
            <w:gridSpan w:val="4"/>
            <w:vAlign w:val="top"/>
          </w:tcPr>
          <w:p w14:paraId="21FA93E8">
            <w:pPr>
              <w:pStyle w:val="179"/>
              <w:spacing w:before="52" w:line="288" w:lineRule="auto"/>
              <w:ind w:left="106" w:right="109" w:firstLine="15"/>
              <w:rPr>
                <w:color w:val="auto"/>
                <w:highlight w:val="none"/>
              </w:rPr>
            </w:pPr>
            <w:r>
              <w:rPr>
                <w:color w:val="auto"/>
                <w:spacing w:val="8"/>
                <w:highlight w:val="none"/>
              </w:rPr>
              <w:t>1、合同履行过程中，由采购人根据供应商所提供的服务，对照竞争</w:t>
            </w:r>
            <w:r>
              <w:rPr>
                <w:color w:val="auto"/>
                <w:spacing w:val="13"/>
                <w:highlight w:val="none"/>
              </w:rPr>
              <w:t>性磋商文件要求及供应商响应文件中的承诺进</w:t>
            </w:r>
            <w:r>
              <w:rPr>
                <w:color w:val="auto"/>
                <w:spacing w:val="12"/>
                <w:highlight w:val="none"/>
              </w:rPr>
              <w:t>行检验并记录，如不</w:t>
            </w:r>
            <w:r>
              <w:rPr>
                <w:color w:val="auto"/>
                <w:spacing w:val="13"/>
                <w:highlight w:val="none"/>
              </w:rPr>
              <w:t>符合竞争性磋商文件服务要求、商务要求以及</w:t>
            </w:r>
            <w:r>
              <w:rPr>
                <w:color w:val="auto"/>
                <w:spacing w:val="12"/>
                <w:highlight w:val="none"/>
              </w:rPr>
              <w:t>提供虚假承诺的，按</w:t>
            </w:r>
            <w:r>
              <w:rPr>
                <w:color w:val="auto"/>
                <w:spacing w:val="13"/>
                <w:highlight w:val="none"/>
              </w:rPr>
              <w:t>相关规定做违约处理，供应商承担所有责任和</w:t>
            </w:r>
            <w:r>
              <w:rPr>
                <w:color w:val="auto"/>
                <w:spacing w:val="12"/>
                <w:highlight w:val="none"/>
              </w:rPr>
              <w:t>费用，采购人保留进</w:t>
            </w:r>
            <w:r>
              <w:rPr>
                <w:color w:val="auto"/>
                <w:spacing w:val="8"/>
                <w:highlight w:val="none"/>
              </w:rPr>
              <w:t>一步追究责任的权利。</w:t>
            </w:r>
          </w:p>
          <w:p w14:paraId="62C316AD">
            <w:pPr>
              <w:pStyle w:val="179"/>
              <w:spacing w:line="288" w:lineRule="auto"/>
              <w:ind w:left="106" w:right="109" w:firstLine="3"/>
              <w:rPr>
                <w:color w:val="auto"/>
                <w:highlight w:val="none"/>
              </w:rPr>
            </w:pPr>
            <w:r>
              <w:rPr>
                <w:color w:val="auto"/>
                <w:spacing w:val="9"/>
                <w:highlight w:val="none"/>
              </w:rPr>
              <w:t>2、供应商完成所有委托的抽检任务后，提供抽检项目品种</w:t>
            </w:r>
            <w:r>
              <w:rPr>
                <w:color w:val="auto"/>
                <w:spacing w:val="8"/>
                <w:highlight w:val="none"/>
              </w:rPr>
              <w:t>数量明细</w:t>
            </w:r>
            <w:r>
              <w:rPr>
                <w:color w:val="auto"/>
                <w:spacing w:val="7"/>
                <w:highlight w:val="none"/>
              </w:rPr>
              <w:t>及质量分析报告给采购人，</w:t>
            </w:r>
            <w:r>
              <w:rPr>
                <w:color w:val="auto"/>
                <w:spacing w:val="-46"/>
                <w:highlight w:val="none"/>
              </w:rPr>
              <w:t xml:space="preserve"> </w:t>
            </w:r>
            <w:r>
              <w:rPr>
                <w:color w:val="auto"/>
                <w:spacing w:val="7"/>
                <w:highlight w:val="none"/>
              </w:rPr>
              <w:t>由采购人组织专家进行验收。</w:t>
            </w:r>
          </w:p>
          <w:p w14:paraId="6BC7FB97">
            <w:pPr>
              <w:pStyle w:val="179"/>
              <w:spacing w:line="228" w:lineRule="auto"/>
              <w:ind w:left="111"/>
              <w:rPr>
                <w:color w:val="auto"/>
                <w:highlight w:val="none"/>
              </w:rPr>
            </w:pPr>
            <w:r>
              <w:rPr>
                <w:color w:val="auto"/>
                <w:spacing w:val="8"/>
                <w:highlight w:val="none"/>
              </w:rPr>
              <w:t>3、项目需求中有其他要求的按其要求。</w:t>
            </w:r>
          </w:p>
          <w:p w14:paraId="4CA427DC">
            <w:pPr>
              <w:pStyle w:val="179"/>
              <w:spacing w:before="64" w:line="288" w:lineRule="auto"/>
              <w:ind w:left="110" w:right="109" w:hanging="4"/>
              <w:rPr>
                <w:color w:val="auto"/>
                <w:highlight w:val="none"/>
              </w:rPr>
            </w:pPr>
            <w:r>
              <w:rPr>
                <w:color w:val="auto"/>
                <w:spacing w:val="9"/>
                <w:highlight w:val="none"/>
              </w:rPr>
              <w:t>4、验收过程中所产生的一切费用均由供应商承担。报价时应考虑相</w:t>
            </w:r>
            <w:r>
              <w:rPr>
                <w:color w:val="auto"/>
                <w:spacing w:val="4"/>
                <w:highlight w:val="none"/>
              </w:rPr>
              <w:t>关费用。</w:t>
            </w:r>
          </w:p>
          <w:p w14:paraId="6CE82CAE">
            <w:pPr>
              <w:pStyle w:val="179"/>
              <w:spacing w:before="1" w:line="260" w:lineRule="auto"/>
              <w:ind w:left="105" w:leftChars="0" w:right="109" w:rightChars="0" w:firstLine="5" w:firstLineChars="0"/>
              <w:rPr>
                <w:color w:val="auto"/>
                <w:spacing w:val="4"/>
                <w:highlight w:val="none"/>
              </w:rPr>
            </w:pPr>
            <w:r>
              <w:rPr>
                <w:color w:val="auto"/>
                <w:spacing w:val="9"/>
                <w:highlight w:val="none"/>
              </w:rPr>
              <w:t>5、验收标准：依据采购文件、响应文件及国家、行业</w:t>
            </w:r>
            <w:r>
              <w:rPr>
                <w:color w:val="auto"/>
                <w:spacing w:val="8"/>
                <w:highlight w:val="none"/>
              </w:rPr>
              <w:t>现行法律法规</w:t>
            </w:r>
            <w:r>
              <w:rPr>
                <w:color w:val="auto"/>
                <w:spacing w:val="6"/>
                <w:highlight w:val="none"/>
              </w:rPr>
              <w:t>进行验收。</w:t>
            </w:r>
          </w:p>
        </w:tc>
      </w:tr>
    </w:tbl>
    <w:p w14:paraId="5EB8F018">
      <w:pPr>
        <w:rPr>
          <w:rFonts w:ascii="Arial"/>
          <w:color w:val="auto"/>
          <w:sz w:val="21"/>
          <w:highlight w:val="none"/>
        </w:rPr>
      </w:pPr>
    </w:p>
    <w:p w14:paraId="495054EB">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1EB77BE4">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74"/>
        <w:gridCol w:w="6391"/>
      </w:tblGrid>
      <w:tr w14:paraId="23A2B7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874" w:type="dxa"/>
            <w:vAlign w:val="top"/>
          </w:tcPr>
          <w:p w14:paraId="78757741">
            <w:pPr>
              <w:spacing w:line="249" w:lineRule="auto"/>
              <w:rPr>
                <w:rFonts w:ascii="Arial"/>
                <w:color w:val="auto"/>
                <w:sz w:val="21"/>
                <w:highlight w:val="none"/>
              </w:rPr>
            </w:pPr>
          </w:p>
          <w:p w14:paraId="398AA644">
            <w:pPr>
              <w:spacing w:line="249" w:lineRule="auto"/>
              <w:rPr>
                <w:rFonts w:ascii="Arial"/>
                <w:color w:val="auto"/>
                <w:sz w:val="21"/>
                <w:highlight w:val="none"/>
              </w:rPr>
            </w:pPr>
          </w:p>
          <w:p w14:paraId="5AFFFAF1">
            <w:pPr>
              <w:spacing w:line="249" w:lineRule="auto"/>
              <w:rPr>
                <w:rFonts w:ascii="Arial"/>
                <w:color w:val="auto"/>
                <w:sz w:val="21"/>
                <w:highlight w:val="none"/>
              </w:rPr>
            </w:pPr>
          </w:p>
          <w:p w14:paraId="37E03479">
            <w:pPr>
              <w:spacing w:line="249" w:lineRule="auto"/>
              <w:rPr>
                <w:rFonts w:ascii="Arial"/>
                <w:color w:val="auto"/>
                <w:sz w:val="21"/>
                <w:highlight w:val="none"/>
              </w:rPr>
            </w:pPr>
          </w:p>
          <w:p w14:paraId="031700EB">
            <w:pPr>
              <w:spacing w:line="249" w:lineRule="auto"/>
              <w:rPr>
                <w:rFonts w:ascii="Arial"/>
                <w:color w:val="auto"/>
                <w:sz w:val="21"/>
                <w:highlight w:val="none"/>
              </w:rPr>
            </w:pPr>
          </w:p>
          <w:p w14:paraId="4D9956BA">
            <w:pPr>
              <w:spacing w:line="249" w:lineRule="auto"/>
              <w:rPr>
                <w:rFonts w:ascii="Arial"/>
                <w:color w:val="auto"/>
                <w:sz w:val="21"/>
                <w:highlight w:val="none"/>
              </w:rPr>
            </w:pPr>
          </w:p>
          <w:p w14:paraId="73410ED8">
            <w:pPr>
              <w:spacing w:line="249" w:lineRule="auto"/>
              <w:rPr>
                <w:rFonts w:ascii="Arial"/>
                <w:color w:val="auto"/>
                <w:sz w:val="21"/>
                <w:highlight w:val="none"/>
              </w:rPr>
            </w:pPr>
          </w:p>
          <w:p w14:paraId="56DCA3AF">
            <w:pPr>
              <w:spacing w:line="249" w:lineRule="auto"/>
              <w:rPr>
                <w:rFonts w:ascii="Arial"/>
                <w:color w:val="auto"/>
                <w:sz w:val="21"/>
                <w:highlight w:val="none"/>
              </w:rPr>
            </w:pPr>
          </w:p>
          <w:p w14:paraId="3720FB63">
            <w:pPr>
              <w:spacing w:line="249" w:lineRule="auto"/>
              <w:rPr>
                <w:rFonts w:ascii="Arial"/>
                <w:color w:val="auto"/>
                <w:sz w:val="21"/>
                <w:highlight w:val="none"/>
              </w:rPr>
            </w:pPr>
          </w:p>
          <w:p w14:paraId="4E2C5D93">
            <w:pPr>
              <w:spacing w:line="249" w:lineRule="auto"/>
              <w:rPr>
                <w:rFonts w:ascii="Arial"/>
                <w:color w:val="auto"/>
                <w:sz w:val="21"/>
                <w:highlight w:val="none"/>
              </w:rPr>
            </w:pPr>
          </w:p>
          <w:p w14:paraId="1AB0EEC5">
            <w:pPr>
              <w:spacing w:line="249" w:lineRule="auto"/>
              <w:rPr>
                <w:rFonts w:ascii="Arial"/>
                <w:color w:val="auto"/>
                <w:sz w:val="21"/>
                <w:highlight w:val="none"/>
              </w:rPr>
            </w:pPr>
          </w:p>
          <w:p w14:paraId="679E8BFC">
            <w:pPr>
              <w:spacing w:line="249" w:lineRule="auto"/>
              <w:rPr>
                <w:rFonts w:ascii="Arial"/>
                <w:color w:val="auto"/>
                <w:sz w:val="21"/>
                <w:highlight w:val="none"/>
              </w:rPr>
            </w:pPr>
          </w:p>
          <w:p w14:paraId="371032CA">
            <w:pPr>
              <w:spacing w:line="250" w:lineRule="auto"/>
              <w:rPr>
                <w:rFonts w:ascii="Arial"/>
                <w:color w:val="auto"/>
                <w:sz w:val="21"/>
                <w:highlight w:val="none"/>
              </w:rPr>
            </w:pPr>
          </w:p>
          <w:p w14:paraId="3D8C0619">
            <w:pPr>
              <w:spacing w:line="250" w:lineRule="auto"/>
              <w:rPr>
                <w:rFonts w:ascii="Arial"/>
                <w:color w:val="auto"/>
                <w:sz w:val="21"/>
                <w:highlight w:val="none"/>
              </w:rPr>
            </w:pPr>
          </w:p>
          <w:p w14:paraId="5EC7C2AD">
            <w:pPr>
              <w:pStyle w:val="179"/>
              <w:spacing w:before="65" w:line="229" w:lineRule="auto"/>
              <w:ind w:left="811"/>
              <w:rPr>
                <w:color w:val="auto"/>
                <w:highlight w:val="none"/>
              </w:rPr>
            </w:pPr>
            <w:r>
              <w:rPr>
                <w:color w:val="auto"/>
                <w:spacing w:val="8"/>
                <w:highlight w:val="none"/>
              </w:rPr>
              <w:t>三、其他要求</w:t>
            </w:r>
          </w:p>
        </w:tc>
        <w:tc>
          <w:tcPr>
            <w:tcW w:w="6391" w:type="dxa"/>
            <w:vAlign w:val="top"/>
          </w:tcPr>
          <w:p w14:paraId="1512141A">
            <w:pPr>
              <w:pStyle w:val="179"/>
              <w:spacing w:before="33" w:line="377" w:lineRule="auto"/>
              <w:ind w:left="106" w:right="109" w:firstLine="15"/>
              <w:rPr>
                <w:color w:val="auto"/>
                <w:highlight w:val="none"/>
              </w:rPr>
            </w:pPr>
            <w:r>
              <w:rPr>
                <w:color w:val="auto"/>
                <w:spacing w:val="8"/>
                <w:highlight w:val="none"/>
              </w:rPr>
              <w:t>1、以上服务要求及商务要求均不允许负偏离，如有一项则按无效响</w:t>
            </w:r>
            <w:r>
              <w:rPr>
                <w:color w:val="auto"/>
                <w:spacing w:val="5"/>
                <w:highlight w:val="none"/>
              </w:rPr>
              <w:t>应处理。</w:t>
            </w:r>
          </w:p>
          <w:p w14:paraId="5C0C5025">
            <w:pPr>
              <w:pStyle w:val="179"/>
              <w:spacing w:before="1" w:line="377" w:lineRule="auto"/>
              <w:ind w:left="106" w:right="109" w:firstLine="3"/>
              <w:rPr>
                <w:color w:val="auto"/>
                <w:highlight w:val="none"/>
              </w:rPr>
            </w:pPr>
            <w:r>
              <w:rPr>
                <w:color w:val="auto"/>
                <w:spacing w:val="9"/>
                <w:highlight w:val="none"/>
              </w:rPr>
              <w:t>2、供应商要配合采购人开展复检。复检结果为最终结果。</w:t>
            </w:r>
            <w:r>
              <w:rPr>
                <w:color w:val="auto"/>
                <w:spacing w:val="8"/>
                <w:highlight w:val="none"/>
              </w:rPr>
              <w:t>复检结果</w:t>
            </w:r>
            <w:r>
              <w:rPr>
                <w:color w:val="auto"/>
                <w:spacing w:val="13"/>
                <w:highlight w:val="none"/>
              </w:rPr>
              <w:t>表明合格的，复检费用由抽样检验的部门承担；</w:t>
            </w:r>
            <w:r>
              <w:rPr>
                <w:color w:val="auto"/>
                <w:spacing w:val="12"/>
                <w:highlight w:val="none"/>
              </w:rPr>
              <w:t>复检结论表明不合</w:t>
            </w:r>
            <w:r>
              <w:rPr>
                <w:color w:val="auto"/>
                <w:spacing w:val="9"/>
                <w:highlight w:val="none"/>
              </w:rPr>
              <w:t>格的，复检费用由要求复检申请人或单位承担。</w:t>
            </w:r>
          </w:p>
          <w:p w14:paraId="6F00E361">
            <w:pPr>
              <w:pStyle w:val="179"/>
              <w:spacing w:line="377" w:lineRule="auto"/>
              <w:ind w:left="105" w:right="109" w:firstLine="5"/>
              <w:rPr>
                <w:color w:val="auto"/>
                <w:highlight w:val="none"/>
              </w:rPr>
            </w:pPr>
            <w:r>
              <w:rPr>
                <w:color w:val="auto"/>
                <w:spacing w:val="9"/>
                <w:highlight w:val="none"/>
              </w:rPr>
              <w:t>3、</w:t>
            </w:r>
            <w:r>
              <w:rPr>
                <w:rFonts w:hint="eastAsia" w:ascii="宋体" w:hAnsi="宋体" w:eastAsia="宋体" w:cs="宋体"/>
                <w:color w:val="auto"/>
                <w:spacing w:val="9"/>
                <w:sz w:val="20"/>
                <w:szCs w:val="20"/>
                <w:highlight w:val="none"/>
                <w:lang w:eastAsia="zh-CN"/>
              </w:rPr>
              <w:t>供应商需额外计划支持不超过</w:t>
            </w:r>
            <w:r>
              <w:rPr>
                <w:rFonts w:hint="eastAsia" w:ascii="宋体" w:hAnsi="宋体" w:eastAsia="宋体" w:cs="宋体"/>
                <w:color w:val="auto"/>
                <w:spacing w:val="9"/>
                <w:sz w:val="20"/>
                <w:szCs w:val="20"/>
                <w:highlight w:val="none"/>
                <w:lang w:val="en-US" w:eastAsia="zh-CN"/>
              </w:rPr>
              <w:t>50批次的抽检批次作为采购方应急抽检任务使用，</w:t>
            </w:r>
            <w:r>
              <w:rPr>
                <w:color w:val="auto"/>
                <w:spacing w:val="9"/>
                <w:highlight w:val="none"/>
              </w:rPr>
              <w:t>如采购人出现需要应急抽检的项目，成交供应商需</w:t>
            </w:r>
            <w:r>
              <w:rPr>
                <w:color w:val="auto"/>
                <w:spacing w:val="8"/>
                <w:highlight w:val="none"/>
              </w:rPr>
              <w:t>无条件配合采</w:t>
            </w:r>
            <w:r>
              <w:rPr>
                <w:color w:val="auto"/>
                <w:spacing w:val="9"/>
                <w:highlight w:val="none"/>
              </w:rPr>
              <w:t>购人的要求。</w:t>
            </w:r>
            <w:r>
              <w:rPr>
                <w:b/>
                <w:bCs/>
                <w:color w:val="auto"/>
                <w:spacing w:val="9"/>
                <w:highlight w:val="none"/>
              </w:rPr>
              <w:t>（供应商须在响应文件中提供书</w:t>
            </w:r>
            <w:r>
              <w:rPr>
                <w:b/>
                <w:bCs/>
                <w:color w:val="auto"/>
                <w:spacing w:val="8"/>
                <w:highlight w:val="none"/>
              </w:rPr>
              <w:t>面承诺并加盖供应商</w:t>
            </w:r>
            <w:r>
              <w:rPr>
                <w:b/>
                <w:bCs/>
                <w:color w:val="auto"/>
                <w:spacing w:val="7"/>
                <w:highlight w:val="none"/>
              </w:rPr>
              <w:t>单位公章，否则按无效响应处理，格式自拟）</w:t>
            </w:r>
          </w:p>
          <w:p w14:paraId="3F802D7A">
            <w:pPr>
              <w:pStyle w:val="179"/>
              <w:spacing w:before="2" w:line="376" w:lineRule="auto"/>
              <w:ind w:left="106" w:right="38"/>
              <w:rPr>
                <w:color w:val="auto"/>
                <w:highlight w:val="none"/>
              </w:rPr>
            </w:pPr>
            <w:r>
              <w:rPr>
                <w:color w:val="auto"/>
                <w:spacing w:val="4"/>
                <w:highlight w:val="none"/>
              </w:rPr>
              <w:t>4、供应商结合自身能力，在响应文件中提供项目整体组织实施方案、</w:t>
            </w:r>
            <w:r>
              <w:rPr>
                <w:color w:val="auto"/>
                <w:spacing w:val="10"/>
                <w:highlight w:val="none"/>
              </w:rPr>
              <w:t>抽样方案、检测方案、工作实施方案以供评</w:t>
            </w:r>
            <w:r>
              <w:rPr>
                <w:color w:val="auto"/>
                <w:spacing w:val="9"/>
                <w:highlight w:val="none"/>
              </w:rPr>
              <w:t>审，具体要求详见评审</w:t>
            </w:r>
            <w:r>
              <w:rPr>
                <w:color w:val="auto"/>
                <w:spacing w:val="3"/>
                <w:highlight w:val="none"/>
              </w:rPr>
              <w:t>标准。</w:t>
            </w:r>
          </w:p>
          <w:p w14:paraId="416C496D">
            <w:pPr>
              <w:pStyle w:val="179"/>
              <w:spacing w:before="1" w:line="376" w:lineRule="auto"/>
              <w:ind w:left="106" w:right="109" w:firstLine="4"/>
              <w:rPr>
                <w:color w:val="auto"/>
                <w:highlight w:val="none"/>
              </w:rPr>
            </w:pPr>
            <w:r>
              <w:rPr>
                <w:color w:val="auto"/>
                <w:spacing w:val="9"/>
                <w:highlight w:val="none"/>
              </w:rPr>
              <w:t>5、供应商须在响应文件中提供《供应商可以承检的食</w:t>
            </w:r>
            <w:r>
              <w:rPr>
                <w:color w:val="auto"/>
                <w:spacing w:val="8"/>
                <w:highlight w:val="none"/>
              </w:rPr>
              <w:t>品监督抽检品</w:t>
            </w:r>
            <w:r>
              <w:rPr>
                <w:color w:val="auto"/>
                <w:spacing w:val="9"/>
                <w:highlight w:val="none"/>
              </w:rPr>
              <w:t>种及项目表》并加盖供应商单位电子签章，</w:t>
            </w:r>
            <w:r>
              <w:rPr>
                <w:b/>
                <w:bCs/>
                <w:color w:val="auto"/>
                <w:spacing w:val="9"/>
                <w:highlight w:val="none"/>
              </w:rPr>
              <w:t>否则按无效响</w:t>
            </w:r>
            <w:r>
              <w:rPr>
                <w:b/>
                <w:bCs/>
                <w:color w:val="auto"/>
                <w:spacing w:val="8"/>
                <w:highlight w:val="none"/>
              </w:rPr>
              <w:t>应处理。</w:t>
            </w:r>
          </w:p>
          <w:p w14:paraId="10F4CCE3">
            <w:pPr>
              <w:pStyle w:val="179"/>
              <w:spacing w:before="2" w:line="370" w:lineRule="auto"/>
              <w:ind w:left="106" w:right="109" w:firstLine="1"/>
              <w:rPr>
                <w:color w:val="auto"/>
                <w:highlight w:val="none"/>
              </w:rPr>
            </w:pPr>
            <w:r>
              <w:rPr>
                <w:color w:val="auto"/>
                <w:spacing w:val="9"/>
                <w:highlight w:val="none"/>
              </w:rPr>
              <w:t>6、供应商的履约能力要求：投入人员配置、实验室食品能</w:t>
            </w:r>
            <w:r>
              <w:rPr>
                <w:color w:val="auto"/>
                <w:spacing w:val="8"/>
                <w:highlight w:val="none"/>
              </w:rPr>
              <w:t>力验证情</w:t>
            </w:r>
            <w:r>
              <w:rPr>
                <w:color w:val="auto"/>
                <w:spacing w:val="9"/>
                <w:highlight w:val="none"/>
              </w:rPr>
              <w:t>况、实验室综合能力证明开展食品抽检任务服务时效性、风险分析服务承诺、实验室内用于食品检验的大型检验仪器设备情况、202</w:t>
            </w:r>
            <w:r>
              <w:rPr>
                <w:rFonts w:hint="eastAsia"/>
                <w:color w:val="auto"/>
                <w:spacing w:val="9"/>
                <w:highlight w:val="none"/>
                <w:lang w:val="en-US" w:eastAsia="zh-CN"/>
              </w:rPr>
              <w:t>6</w:t>
            </w:r>
            <w:r>
              <w:rPr>
                <w:color w:val="auto"/>
                <w:spacing w:val="9"/>
                <w:highlight w:val="none"/>
              </w:rPr>
              <w:t>年度食品（含普通食品和农产品）安全监督抽检情况、与项目相关</w:t>
            </w:r>
            <w:r>
              <w:rPr>
                <w:color w:val="auto"/>
                <w:spacing w:val="7"/>
                <w:highlight w:val="none"/>
              </w:rPr>
              <w:t>的信誉及业绩（如有）。</w:t>
            </w:r>
          </w:p>
        </w:tc>
      </w:tr>
    </w:tbl>
    <w:p w14:paraId="70D6E294">
      <w:pPr>
        <w:rPr>
          <w:color w:val="auto"/>
          <w:szCs w:val="21"/>
          <w:highlight w:val="none"/>
        </w:rPr>
      </w:pPr>
      <w:r>
        <w:rPr>
          <w:color w:val="auto"/>
          <w:szCs w:val="21"/>
          <w:highlight w:val="none"/>
        </w:rPr>
        <w:br w:type="page"/>
      </w:r>
    </w:p>
    <w:p w14:paraId="77E3C642">
      <w:pPr>
        <w:pStyle w:val="19"/>
        <w:spacing w:line="229" w:lineRule="auto"/>
        <w:ind w:left="560"/>
        <w:rPr>
          <w:color w:val="auto"/>
          <w:highlight w:val="none"/>
        </w:rPr>
      </w:pPr>
      <w:r>
        <w:rPr>
          <w:b/>
          <w:bCs/>
          <w:color w:val="auto"/>
          <w:spacing w:val="3"/>
          <w:highlight w:val="none"/>
        </w:rPr>
        <w:t>标项</w:t>
      </w:r>
      <w:r>
        <w:rPr>
          <w:rFonts w:hint="eastAsia"/>
          <w:b/>
          <w:bCs/>
          <w:color w:val="auto"/>
          <w:spacing w:val="3"/>
          <w:highlight w:val="none"/>
          <w:lang w:val="en-US" w:eastAsia="zh-CN"/>
        </w:rPr>
        <w:t>四</w:t>
      </w:r>
      <w:r>
        <w:rPr>
          <w:b/>
          <w:bCs/>
          <w:color w:val="auto"/>
          <w:spacing w:val="3"/>
          <w:highlight w:val="none"/>
        </w:rPr>
        <w:t>：</w:t>
      </w:r>
    </w:p>
    <w:p w14:paraId="1F8F4669">
      <w:pPr>
        <w:spacing w:line="92" w:lineRule="exact"/>
        <w:rPr>
          <w:color w:val="auto"/>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8"/>
        <w:gridCol w:w="678"/>
        <w:gridCol w:w="108"/>
        <w:gridCol w:w="421"/>
        <w:gridCol w:w="436"/>
        <w:gridCol w:w="470"/>
        <w:gridCol w:w="450"/>
        <w:gridCol w:w="493"/>
        <w:gridCol w:w="571"/>
        <w:gridCol w:w="477"/>
        <w:gridCol w:w="477"/>
        <w:gridCol w:w="571"/>
        <w:gridCol w:w="571"/>
        <w:gridCol w:w="906"/>
        <w:gridCol w:w="455"/>
      </w:tblGrid>
      <w:tr w14:paraId="3B0E5F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265" w:type="dxa"/>
            <w:gridSpan w:val="17"/>
            <w:vAlign w:val="top"/>
          </w:tcPr>
          <w:p w14:paraId="171E4B77">
            <w:pPr>
              <w:spacing w:before="135" w:line="228" w:lineRule="auto"/>
              <w:ind w:left="11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w:t>
            </w:r>
            <w:r>
              <w:rPr>
                <w:rFonts w:ascii="宋体" w:hAnsi="宋体" w:eastAsia="宋体" w:cs="宋体"/>
                <w:b/>
                <w:bCs/>
                <w:color w:val="auto"/>
                <w:spacing w:val="6"/>
                <w:sz w:val="20"/>
                <w:szCs w:val="20"/>
                <w:highlight w:val="none"/>
              </w:rPr>
              <w:t>一、技术要求</w:t>
            </w:r>
          </w:p>
        </w:tc>
      </w:tr>
      <w:tr w14:paraId="4864C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652" w:type="dxa"/>
            <w:vAlign w:val="top"/>
          </w:tcPr>
          <w:p w14:paraId="0467A530">
            <w:pPr>
              <w:pStyle w:val="179"/>
              <w:spacing w:line="265" w:lineRule="auto"/>
              <w:rPr>
                <w:color w:val="auto"/>
                <w:highlight w:val="none"/>
              </w:rPr>
            </w:pPr>
          </w:p>
          <w:p w14:paraId="56D63DA2">
            <w:pPr>
              <w:pStyle w:val="179"/>
              <w:spacing w:line="265" w:lineRule="auto"/>
              <w:rPr>
                <w:color w:val="auto"/>
                <w:highlight w:val="none"/>
              </w:rPr>
            </w:pPr>
          </w:p>
          <w:p w14:paraId="647D2623">
            <w:pPr>
              <w:spacing w:before="65" w:line="230" w:lineRule="auto"/>
              <w:ind w:left="11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序号</w:t>
            </w:r>
          </w:p>
        </w:tc>
        <w:tc>
          <w:tcPr>
            <w:tcW w:w="871" w:type="dxa"/>
            <w:vAlign w:val="top"/>
          </w:tcPr>
          <w:p w14:paraId="39FB386C">
            <w:pPr>
              <w:pStyle w:val="179"/>
              <w:spacing w:line="297" w:lineRule="auto"/>
              <w:rPr>
                <w:color w:val="auto"/>
                <w:highlight w:val="none"/>
              </w:rPr>
            </w:pPr>
          </w:p>
          <w:p w14:paraId="23D5BE2F">
            <w:pPr>
              <w:spacing w:before="65" w:line="434" w:lineRule="auto"/>
              <w:ind w:left="228" w:right="124" w:hanging="10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标的的</w:t>
            </w:r>
            <w:r>
              <w:rPr>
                <w:rFonts w:ascii="宋体" w:hAnsi="宋体" w:eastAsia="宋体" w:cs="宋体"/>
                <w:color w:val="auto"/>
                <w:spacing w:val="3"/>
                <w:sz w:val="20"/>
                <w:szCs w:val="20"/>
                <w:highlight w:val="none"/>
              </w:rPr>
              <w:t>名称</w:t>
            </w:r>
          </w:p>
        </w:tc>
        <w:tc>
          <w:tcPr>
            <w:tcW w:w="658" w:type="dxa"/>
            <w:vAlign w:val="top"/>
          </w:tcPr>
          <w:p w14:paraId="794EDA0B">
            <w:pPr>
              <w:spacing w:before="131" w:line="228" w:lineRule="auto"/>
              <w:ind w:left="12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数量</w:t>
            </w:r>
          </w:p>
          <w:p w14:paraId="011A8F55">
            <w:pPr>
              <w:spacing w:before="220" w:line="369" w:lineRule="auto"/>
              <w:ind w:left="226" w:right="122" w:hanging="10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及单</w:t>
            </w:r>
            <w:r>
              <w:rPr>
                <w:rFonts w:ascii="宋体" w:hAnsi="宋体" w:eastAsia="宋体" w:cs="宋体"/>
                <w:color w:val="auto"/>
                <w:sz w:val="20"/>
                <w:szCs w:val="20"/>
                <w:highlight w:val="none"/>
              </w:rPr>
              <w:t>位</w:t>
            </w:r>
          </w:p>
        </w:tc>
        <w:tc>
          <w:tcPr>
            <w:tcW w:w="678" w:type="dxa"/>
            <w:vAlign w:val="top"/>
          </w:tcPr>
          <w:p w14:paraId="7ECE9ED8">
            <w:pPr>
              <w:pStyle w:val="179"/>
              <w:spacing w:line="296" w:lineRule="auto"/>
              <w:rPr>
                <w:color w:val="auto"/>
                <w:highlight w:val="none"/>
              </w:rPr>
            </w:pPr>
          </w:p>
          <w:p w14:paraId="35C0305F">
            <w:pPr>
              <w:spacing w:before="65" w:line="434" w:lineRule="auto"/>
              <w:ind w:left="135" w:right="130" w:hanging="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所属</w:t>
            </w:r>
            <w:r>
              <w:rPr>
                <w:rFonts w:ascii="宋体" w:hAnsi="宋体" w:eastAsia="宋体" w:cs="宋体"/>
                <w:color w:val="auto"/>
                <w:spacing w:val="3"/>
                <w:sz w:val="20"/>
                <w:szCs w:val="20"/>
                <w:highlight w:val="none"/>
              </w:rPr>
              <w:t>行业</w:t>
            </w:r>
          </w:p>
        </w:tc>
        <w:tc>
          <w:tcPr>
            <w:tcW w:w="6406" w:type="dxa"/>
            <w:gridSpan w:val="13"/>
            <w:vAlign w:val="top"/>
          </w:tcPr>
          <w:p w14:paraId="5A4966C5">
            <w:pPr>
              <w:pStyle w:val="179"/>
              <w:spacing w:line="265" w:lineRule="auto"/>
              <w:rPr>
                <w:color w:val="auto"/>
                <w:highlight w:val="none"/>
              </w:rPr>
            </w:pPr>
          </w:p>
          <w:p w14:paraId="44D6D5D8">
            <w:pPr>
              <w:pStyle w:val="179"/>
              <w:spacing w:line="266" w:lineRule="auto"/>
              <w:rPr>
                <w:color w:val="auto"/>
                <w:highlight w:val="none"/>
              </w:rPr>
            </w:pPr>
          </w:p>
          <w:p w14:paraId="21B023E0">
            <w:pPr>
              <w:spacing w:before="65" w:line="228" w:lineRule="auto"/>
              <w:ind w:left="2785"/>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服务要求</w:t>
            </w:r>
          </w:p>
        </w:tc>
      </w:tr>
      <w:tr w14:paraId="35D7B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52" w:type="dxa"/>
            <w:vMerge w:val="restart"/>
            <w:vAlign w:val="top"/>
          </w:tcPr>
          <w:p w14:paraId="4870B943">
            <w:pPr>
              <w:pStyle w:val="179"/>
              <w:spacing w:line="255" w:lineRule="auto"/>
              <w:rPr>
                <w:color w:val="auto"/>
                <w:highlight w:val="none"/>
              </w:rPr>
            </w:pPr>
          </w:p>
          <w:p w14:paraId="3AC4FE92">
            <w:pPr>
              <w:pStyle w:val="179"/>
              <w:spacing w:line="255" w:lineRule="auto"/>
              <w:rPr>
                <w:color w:val="auto"/>
                <w:highlight w:val="none"/>
              </w:rPr>
            </w:pPr>
          </w:p>
          <w:p w14:paraId="3EE1A530">
            <w:pPr>
              <w:pStyle w:val="179"/>
              <w:spacing w:line="255" w:lineRule="auto"/>
              <w:rPr>
                <w:color w:val="auto"/>
                <w:highlight w:val="none"/>
              </w:rPr>
            </w:pPr>
          </w:p>
          <w:p w14:paraId="714A87AC">
            <w:pPr>
              <w:pStyle w:val="179"/>
              <w:spacing w:line="255" w:lineRule="auto"/>
              <w:rPr>
                <w:color w:val="auto"/>
                <w:highlight w:val="none"/>
              </w:rPr>
            </w:pPr>
          </w:p>
          <w:p w14:paraId="33852492">
            <w:pPr>
              <w:pStyle w:val="179"/>
              <w:spacing w:line="255" w:lineRule="auto"/>
              <w:rPr>
                <w:color w:val="auto"/>
                <w:highlight w:val="none"/>
              </w:rPr>
            </w:pPr>
          </w:p>
          <w:p w14:paraId="4CC4A3F2">
            <w:pPr>
              <w:pStyle w:val="179"/>
              <w:spacing w:line="256" w:lineRule="auto"/>
              <w:rPr>
                <w:color w:val="auto"/>
                <w:highlight w:val="none"/>
              </w:rPr>
            </w:pPr>
          </w:p>
          <w:p w14:paraId="7D1CF8E4">
            <w:pPr>
              <w:pStyle w:val="179"/>
              <w:spacing w:line="256" w:lineRule="auto"/>
              <w:rPr>
                <w:color w:val="auto"/>
                <w:highlight w:val="none"/>
              </w:rPr>
            </w:pPr>
          </w:p>
          <w:p w14:paraId="26895E8C">
            <w:pPr>
              <w:pStyle w:val="179"/>
              <w:spacing w:line="256" w:lineRule="auto"/>
              <w:rPr>
                <w:color w:val="auto"/>
                <w:highlight w:val="none"/>
              </w:rPr>
            </w:pPr>
          </w:p>
          <w:p w14:paraId="1B94A67C">
            <w:pPr>
              <w:spacing w:before="65" w:line="271" w:lineRule="exact"/>
              <w:ind w:left="291"/>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1</w:t>
            </w:r>
          </w:p>
        </w:tc>
        <w:tc>
          <w:tcPr>
            <w:tcW w:w="871" w:type="dxa"/>
            <w:vMerge w:val="restart"/>
            <w:vAlign w:val="top"/>
          </w:tcPr>
          <w:p w14:paraId="6E39900E">
            <w:pPr>
              <w:pStyle w:val="179"/>
              <w:spacing w:line="293" w:lineRule="auto"/>
              <w:rPr>
                <w:color w:val="auto"/>
                <w:highlight w:val="none"/>
              </w:rPr>
            </w:pPr>
          </w:p>
          <w:p w14:paraId="3D866377">
            <w:pPr>
              <w:pStyle w:val="179"/>
              <w:spacing w:line="293" w:lineRule="auto"/>
              <w:rPr>
                <w:color w:val="auto"/>
                <w:highlight w:val="none"/>
              </w:rPr>
            </w:pPr>
          </w:p>
          <w:p w14:paraId="5B544615">
            <w:pPr>
              <w:pStyle w:val="179"/>
              <w:spacing w:line="293" w:lineRule="auto"/>
              <w:rPr>
                <w:color w:val="auto"/>
                <w:highlight w:val="none"/>
              </w:rPr>
            </w:pPr>
          </w:p>
          <w:p w14:paraId="7CDADE4A">
            <w:pPr>
              <w:spacing w:before="65" w:line="228" w:lineRule="auto"/>
              <w:ind w:left="109"/>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202</w:t>
            </w:r>
            <w:r>
              <w:rPr>
                <w:rFonts w:hint="eastAsia" w:ascii="宋体" w:hAnsi="宋体" w:eastAsia="宋体" w:cs="宋体"/>
                <w:color w:val="auto"/>
                <w:spacing w:val="1"/>
                <w:sz w:val="20"/>
                <w:szCs w:val="20"/>
                <w:highlight w:val="none"/>
                <w:lang w:val="en-US" w:eastAsia="zh-CN"/>
              </w:rPr>
              <w:t>6</w:t>
            </w:r>
            <w:r>
              <w:rPr>
                <w:rFonts w:ascii="宋体" w:hAnsi="宋体" w:eastAsia="宋体" w:cs="宋体"/>
                <w:color w:val="auto"/>
                <w:spacing w:val="-57"/>
                <w:sz w:val="20"/>
                <w:szCs w:val="20"/>
                <w:highlight w:val="none"/>
              </w:rPr>
              <w:t xml:space="preserve"> </w:t>
            </w:r>
            <w:r>
              <w:rPr>
                <w:rFonts w:ascii="宋体" w:hAnsi="宋体" w:eastAsia="宋体" w:cs="宋体"/>
                <w:color w:val="auto"/>
                <w:spacing w:val="1"/>
                <w:sz w:val="20"/>
                <w:szCs w:val="20"/>
                <w:highlight w:val="none"/>
              </w:rPr>
              <w:t>年</w:t>
            </w:r>
          </w:p>
          <w:p w14:paraId="0B5461E4">
            <w:pPr>
              <w:spacing w:before="220" w:line="228" w:lineRule="auto"/>
              <w:ind w:left="12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市局片</w:t>
            </w:r>
          </w:p>
          <w:p w14:paraId="47258749">
            <w:pPr>
              <w:spacing w:before="220" w:line="229" w:lineRule="auto"/>
              <w:ind w:left="136"/>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区食品</w:t>
            </w:r>
          </w:p>
          <w:p w14:paraId="7C9301CE">
            <w:pPr>
              <w:spacing w:before="220" w:line="230" w:lineRule="auto"/>
              <w:ind w:left="12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安全监</w:t>
            </w:r>
          </w:p>
          <w:p w14:paraId="7404D358">
            <w:pPr>
              <w:spacing w:before="219" w:line="228" w:lineRule="auto"/>
              <w:ind w:left="12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督抽检</w:t>
            </w:r>
          </w:p>
          <w:p w14:paraId="369B7885">
            <w:pPr>
              <w:spacing w:before="221" w:line="228" w:lineRule="auto"/>
              <w:ind w:left="226"/>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服务</w:t>
            </w:r>
          </w:p>
        </w:tc>
        <w:tc>
          <w:tcPr>
            <w:tcW w:w="658" w:type="dxa"/>
            <w:vMerge w:val="restart"/>
            <w:vAlign w:val="top"/>
          </w:tcPr>
          <w:p w14:paraId="1C5C826A">
            <w:pPr>
              <w:pStyle w:val="179"/>
              <w:spacing w:line="255" w:lineRule="auto"/>
              <w:rPr>
                <w:color w:val="auto"/>
                <w:highlight w:val="none"/>
              </w:rPr>
            </w:pPr>
          </w:p>
          <w:p w14:paraId="1B80753A">
            <w:pPr>
              <w:pStyle w:val="179"/>
              <w:spacing w:line="255" w:lineRule="auto"/>
              <w:rPr>
                <w:color w:val="auto"/>
                <w:highlight w:val="none"/>
              </w:rPr>
            </w:pPr>
          </w:p>
          <w:p w14:paraId="2AFF658E">
            <w:pPr>
              <w:pStyle w:val="179"/>
              <w:spacing w:line="255" w:lineRule="auto"/>
              <w:rPr>
                <w:color w:val="auto"/>
                <w:highlight w:val="none"/>
              </w:rPr>
            </w:pPr>
          </w:p>
          <w:p w14:paraId="6288D8FD">
            <w:pPr>
              <w:pStyle w:val="179"/>
              <w:spacing w:line="255" w:lineRule="auto"/>
              <w:rPr>
                <w:color w:val="auto"/>
                <w:highlight w:val="none"/>
              </w:rPr>
            </w:pPr>
          </w:p>
          <w:p w14:paraId="0B5DF82B">
            <w:pPr>
              <w:pStyle w:val="179"/>
              <w:spacing w:line="255" w:lineRule="auto"/>
              <w:rPr>
                <w:color w:val="auto"/>
                <w:highlight w:val="none"/>
              </w:rPr>
            </w:pPr>
          </w:p>
          <w:p w14:paraId="5754C829">
            <w:pPr>
              <w:pStyle w:val="179"/>
              <w:spacing w:line="256" w:lineRule="auto"/>
              <w:rPr>
                <w:color w:val="auto"/>
                <w:highlight w:val="none"/>
              </w:rPr>
            </w:pPr>
          </w:p>
          <w:p w14:paraId="52023DE1">
            <w:pPr>
              <w:pStyle w:val="179"/>
              <w:spacing w:line="256" w:lineRule="auto"/>
              <w:rPr>
                <w:color w:val="auto"/>
                <w:highlight w:val="none"/>
              </w:rPr>
            </w:pPr>
          </w:p>
          <w:p w14:paraId="66C1BB50">
            <w:pPr>
              <w:pStyle w:val="179"/>
              <w:spacing w:line="256" w:lineRule="auto"/>
              <w:rPr>
                <w:color w:val="auto"/>
                <w:highlight w:val="none"/>
              </w:rPr>
            </w:pPr>
          </w:p>
          <w:p w14:paraId="1EB20D85">
            <w:pPr>
              <w:spacing w:before="65" w:line="229" w:lineRule="auto"/>
              <w:ind w:left="163"/>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1</w:t>
            </w:r>
            <w:r>
              <w:rPr>
                <w:rFonts w:ascii="宋体" w:hAnsi="宋体" w:eastAsia="宋体" w:cs="宋体"/>
                <w:color w:val="auto"/>
                <w:spacing w:val="-35"/>
                <w:sz w:val="20"/>
                <w:szCs w:val="20"/>
                <w:highlight w:val="none"/>
              </w:rPr>
              <w:t xml:space="preserve"> </w:t>
            </w:r>
            <w:r>
              <w:rPr>
                <w:rFonts w:ascii="宋体" w:hAnsi="宋体" w:eastAsia="宋体" w:cs="宋体"/>
                <w:color w:val="auto"/>
                <w:spacing w:val="-10"/>
                <w:sz w:val="20"/>
                <w:szCs w:val="20"/>
                <w:highlight w:val="none"/>
              </w:rPr>
              <w:t>项</w:t>
            </w:r>
          </w:p>
        </w:tc>
        <w:tc>
          <w:tcPr>
            <w:tcW w:w="678" w:type="dxa"/>
            <w:vMerge w:val="restart"/>
            <w:vAlign w:val="top"/>
          </w:tcPr>
          <w:p w14:paraId="029EE3D0">
            <w:pPr>
              <w:pStyle w:val="179"/>
              <w:spacing w:line="268" w:lineRule="auto"/>
              <w:rPr>
                <w:color w:val="auto"/>
                <w:highlight w:val="none"/>
              </w:rPr>
            </w:pPr>
          </w:p>
          <w:p w14:paraId="1FDF5B16">
            <w:pPr>
              <w:pStyle w:val="179"/>
              <w:spacing w:line="268" w:lineRule="auto"/>
              <w:rPr>
                <w:color w:val="auto"/>
                <w:highlight w:val="none"/>
              </w:rPr>
            </w:pPr>
          </w:p>
          <w:p w14:paraId="5270C89D">
            <w:pPr>
              <w:pStyle w:val="179"/>
              <w:spacing w:line="269" w:lineRule="auto"/>
              <w:rPr>
                <w:color w:val="auto"/>
                <w:highlight w:val="none"/>
              </w:rPr>
            </w:pPr>
          </w:p>
          <w:p w14:paraId="4D72A294">
            <w:pPr>
              <w:pStyle w:val="179"/>
              <w:spacing w:line="269" w:lineRule="auto"/>
              <w:rPr>
                <w:color w:val="auto"/>
                <w:highlight w:val="none"/>
              </w:rPr>
            </w:pPr>
          </w:p>
          <w:p w14:paraId="648F1575">
            <w:pPr>
              <w:pStyle w:val="179"/>
              <w:spacing w:line="269" w:lineRule="auto"/>
              <w:rPr>
                <w:color w:val="auto"/>
                <w:highlight w:val="none"/>
              </w:rPr>
            </w:pPr>
          </w:p>
          <w:p w14:paraId="4CE9EFB2">
            <w:pPr>
              <w:spacing w:before="65" w:line="436" w:lineRule="auto"/>
              <w:ind w:left="135" w:right="130" w:hanging="2"/>
              <w:jc w:val="both"/>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其他</w:t>
            </w:r>
            <w:r>
              <w:rPr>
                <w:rFonts w:ascii="宋体" w:hAnsi="宋体" w:eastAsia="宋体" w:cs="宋体"/>
                <w:color w:val="auto"/>
                <w:spacing w:val="3"/>
                <w:sz w:val="20"/>
                <w:szCs w:val="20"/>
                <w:highlight w:val="none"/>
              </w:rPr>
              <w:t>未列明行业</w:t>
            </w:r>
          </w:p>
        </w:tc>
        <w:tc>
          <w:tcPr>
            <w:tcW w:w="5951" w:type="dxa"/>
            <w:gridSpan w:val="12"/>
            <w:tcBorders>
              <w:right w:val="nil"/>
            </w:tcBorders>
            <w:vAlign w:val="top"/>
          </w:tcPr>
          <w:p w14:paraId="7A3C0B41">
            <w:pPr>
              <w:spacing w:before="122" w:line="215" w:lineRule="auto"/>
              <w:ind w:left="120"/>
              <w:rPr>
                <w:rFonts w:ascii="宋体" w:hAnsi="宋体" w:eastAsia="宋体" w:cs="宋体"/>
                <w:color w:val="auto"/>
                <w:sz w:val="20"/>
                <w:szCs w:val="20"/>
                <w:highlight w:val="none"/>
              </w:rPr>
            </w:pPr>
            <w:r>
              <w:rPr>
                <w:rFonts w:ascii="宋体" w:hAnsi="宋体" w:eastAsia="宋体" w:cs="宋体"/>
                <w:b/>
                <w:bCs/>
                <w:color w:val="auto"/>
                <w:spacing w:val="8"/>
                <w:sz w:val="20"/>
                <w:szCs w:val="20"/>
                <w:highlight w:val="none"/>
              </w:rPr>
              <w:t>（一）抽检监测任务分配</w:t>
            </w:r>
            <w:r>
              <w:rPr>
                <w:rFonts w:ascii="宋体" w:hAnsi="宋体" w:eastAsia="宋体" w:cs="宋体"/>
                <w:b/>
                <w:bCs/>
                <w:color w:val="auto"/>
                <w:spacing w:val="-2"/>
                <w:sz w:val="20"/>
                <w:szCs w:val="20"/>
                <w:highlight w:val="none"/>
              </w:rPr>
              <w:t>：（</w:t>
            </w:r>
            <w:r>
              <w:rPr>
                <w:rFonts w:ascii="宋体" w:hAnsi="宋体" w:eastAsia="宋体" w:cs="宋体"/>
                <w:b/>
                <w:bCs/>
                <w:color w:val="auto"/>
                <w:spacing w:val="8"/>
                <w:sz w:val="20"/>
                <w:szCs w:val="20"/>
                <w:highlight w:val="none"/>
              </w:rPr>
              <w:t>单位：批次）</w:t>
            </w:r>
          </w:p>
        </w:tc>
        <w:tc>
          <w:tcPr>
            <w:tcW w:w="455" w:type="dxa"/>
            <w:vMerge w:val="restart"/>
            <w:tcBorders>
              <w:bottom w:val="nil"/>
            </w:tcBorders>
            <w:vAlign w:val="top"/>
          </w:tcPr>
          <w:p w14:paraId="73A9577F">
            <w:pPr>
              <w:pStyle w:val="179"/>
              <w:rPr>
                <w:color w:val="auto"/>
                <w:highlight w:val="none"/>
              </w:rPr>
            </w:pPr>
          </w:p>
        </w:tc>
      </w:tr>
      <w:tr w14:paraId="7B5865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1" w:hRule="atLeast"/>
        </w:trPr>
        <w:tc>
          <w:tcPr>
            <w:tcW w:w="652" w:type="dxa"/>
            <w:vMerge w:val="continue"/>
            <w:vAlign w:val="top"/>
          </w:tcPr>
          <w:p w14:paraId="2AF618B3">
            <w:pPr>
              <w:pStyle w:val="179"/>
              <w:rPr>
                <w:color w:val="auto"/>
                <w:highlight w:val="none"/>
              </w:rPr>
            </w:pPr>
          </w:p>
        </w:tc>
        <w:tc>
          <w:tcPr>
            <w:tcW w:w="871" w:type="dxa"/>
            <w:vMerge w:val="continue"/>
            <w:vAlign w:val="top"/>
          </w:tcPr>
          <w:p w14:paraId="3B60CB8E">
            <w:pPr>
              <w:pStyle w:val="179"/>
              <w:rPr>
                <w:color w:val="auto"/>
                <w:highlight w:val="none"/>
              </w:rPr>
            </w:pPr>
          </w:p>
        </w:tc>
        <w:tc>
          <w:tcPr>
            <w:tcW w:w="658" w:type="dxa"/>
            <w:vMerge w:val="continue"/>
            <w:vAlign w:val="top"/>
          </w:tcPr>
          <w:p w14:paraId="57FAE45D">
            <w:pPr>
              <w:pStyle w:val="179"/>
              <w:rPr>
                <w:color w:val="auto"/>
                <w:highlight w:val="none"/>
              </w:rPr>
            </w:pPr>
          </w:p>
        </w:tc>
        <w:tc>
          <w:tcPr>
            <w:tcW w:w="678" w:type="dxa"/>
            <w:vMerge w:val="continue"/>
            <w:vAlign w:val="top"/>
          </w:tcPr>
          <w:p w14:paraId="22C46FC9">
            <w:pPr>
              <w:pStyle w:val="179"/>
              <w:rPr>
                <w:color w:val="auto"/>
                <w:highlight w:val="none"/>
              </w:rPr>
            </w:pPr>
          </w:p>
        </w:tc>
        <w:tc>
          <w:tcPr>
            <w:tcW w:w="108" w:type="dxa"/>
            <w:tcBorders>
              <w:top w:val="nil"/>
              <w:bottom w:val="nil"/>
            </w:tcBorders>
            <w:vAlign w:val="top"/>
          </w:tcPr>
          <w:p w14:paraId="787923DC">
            <w:pPr>
              <w:pStyle w:val="179"/>
              <w:rPr>
                <w:color w:val="auto"/>
                <w:highlight w:val="none"/>
              </w:rPr>
            </w:pPr>
          </w:p>
        </w:tc>
        <w:tc>
          <w:tcPr>
            <w:tcW w:w="421" w:type="dxa"/>
            <w:textDirection w:val="tbRlV"/>
            <w:vAlign w:val="top"/>
          </w:tcPr>
          <w:p w14:paraId="29532235">
            <w:pPr>
              <w:spacing w:before="104" w:line="218" w:lineRule="auto"/>
              <w:ind w:left="67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序 号</w:t>
            </w:r>
          </w:p>
        </w:tc>
        <w:tc>
          <w:tcPr>
            <w:tcW w:w="436" w:type="dxa"/>
            <w:textDirection w:val="tbRlV"/>
            <w:vAlign w:val="top"/>
          </w:tcPr>
          <w:p w14:paraId="68CFADDF">
            <w:pPr>
              <w:spacing w:before="114"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任 务 类 型</w:t>
            </w:r>
          </w:p>
        </w:tc>
        <w:tc>
          <w:tcPr>
            <w:tcW w:w="470" w:type="dxa"/>
            <w:textDirection w:val="tbRlV"/>
            <w:vAlign w:val="top"/>
          </w:tcPr>
          <w:p w14:paraId="3DAC1C57">
            <w:pPr>
              <w:spacing w:before="129"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生 产 环 节</w:t>
            </w:r>
          </w:p>
        </w:tc>
        <w:tc>
          <w:tcPr>
            <w:tcW w:w="450" w:type="dxa"/>
            <w:textDirection w:val="tbRlV"/>
            <w:vAlign w:val="top"/>
          </w:tcPr>
          <w:p w14:paraId="3FB94EBC">
            <w:pPr>
              <w:spacing w:before="119"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销 售 环 节</w:t>
            </w:r>
          </w:p>
        </w:tc>
        <w:tc>
          <w:tcPr>
            <w:tcW w:w="493" w:type="dxa"/>
            <w:textDirection w:val="tbRlV"/>
            <w:vAlign w:val="top"/>
          </w:tcPr>
          <w:p w14:paraId="5595BD53">
            <w:pPr>
              <w:spacing w:before="141" w:line="216" w:lineRule="auto"/>
              <w:ind w:left="36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餐 饮 环 节</w:t>
            </w:r>
          </w:p>
        </w:tc>
        <w:tc>
          <w:tcPr>
            <w:tcW w:w="571" w:type="dxa"/>
            <w:textDirection w:val="tbRlV"/>
            <w:vAlign w:val="top"/>
          </w:tcPr>
          <w:p w14:paraId="6551A27A">
            <w:pPr>
              <w:spacing w:before="179" w:line="216" w:lineRule="auto"/>
              <w:ind w:left="21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区 级 农 产 品</w:t>
            </w:r>
          </w:p>
        </w:tc>
        <w:tc>
          <w:tcPr>
            <w:tcW w:w="477" w:type="dxa"/>
            <w:textDirection w:val="tbRlV"/>
            <w:vAlign w:val="top"/>
          </w:tcPr>
          <w:p w14:paraId="1DD7F317">
            <w:pPr>
              <w:spacing w:before="134" w:line="217" w:lineRule="auto"/>
              <w:ind w:left="5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区 抽 转 移 调 度</w:t>
            </w:r>
          </w:p>
        </w:tc>
        <w:tc>
          <w:tcPr>
            <w:tcW w:w="477" w:type="dxa"/>
            <w:textDirection w:val="tbRlV"/>
            <w:vAlign w:val="top"/>
          </w:tcPr>
          <w:p w14:paraId="438EE63D">
            <w:pPr>
              <w:spacing w:before="133" w:line="216" w:lineRule="auto"/>
              <w:ind w:left="5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市 级 农 产 品</w:t>
            </w:r>
          </w:p>
        </w:tc>
        <w:tc>
          <w:tcPr>
            <w:tcW w:w="571" w:type="dxa"/>
            <w:textDirection w:val="tbRlV"/>
            <w:vAlign w:val="top"/>
          </w:tcPr>
          <w:p w14:paraId="242B8851">
            <w:pPr>
              <w:spacing w:before="181" w:line="216" w:lineRule="auto"/>
              <w:ind w:left="5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市 级 普 通 食 品</w:t>
            </w:r>
          </w:p>
        </w:tc>
        <w:tc>
          <w:tcPr>
            <w:tcW w:w="571" w:type="dxa"/>
            <w:textDirection w:val="tbRlV"/>
            <w:vAlign w:val="top"/>
          </w:tcPr>
          <w:p w14:paraId="77819D79">
            <w:pPr>
              <w:spacing w:before="181" w:line="217" w:lineRule="auto"/>
              <w:ind w:left="67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合 计</w:t>
            </w:r>
          </w:p>
        </w:tc>
        <w:tc>
          <w:tcPr>
            <w:tcW w:w="906" w:type="dxa"/>
            <w:vAlign w:val="top"/>
          </w:tcPr>
          <w:p w14:paraId="029C5901">
            <w:pPr>
              <w:pStyle w:val="179"/>
              <w:spacing w:line="254" w:lineRule="auto"/>
              <w:rPr>
                <w:color w:val="auto"/>
                <w:highlight w:val="none"/>
              </w:rPr>
            </w:pPr>
          </w:p>
          <w:p w14:paraId="0D642009">
            <w:pPr>
              <w:pStyle w:val="179"/>
              <w:spacing w:line="255" w:lineRule="auto"/>
              <w:rPr>
                <w:color w:val="auto"/>
                <w:highlight w:val="none"/>
              </w:rPr>
            </w:pPr>
          </w:p>
          <w:p w14:paraId="4DE071FB">
            <w:pPr>
              <w:pStyle w:val="179"/>
              <w:spacing w:line="255" w:lineRule="auto"/>
              <w:rPr>
                <w:color w:val="auto"/>
                <w:highlight w:val="none"/>
              </w:rPr>
            </w:pPr>
          </w:p>
          <w:p w14:paraId="6604C30F">
            <w:pPr>
              <w:spacing w:before="65" w:line="230" w:lineRule="auto"/>
              <w:ind w:left="251"/>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备注</w:t>
            </w:r>
          </w:p>
        </w:tc>
        <w:tc>
          <w:tcPr>
            <w:tcW w:w="455" w:type="dxa"/>
            <w:vMerge w:val="continue"/>
            <w:tcBorders>
              <w:top w:val="nil"/>
              <w:bottom w:val="nil"/>
            </w:tcBorders>
            <w:vAlign w:val="top"/>
          </w:tcPr>
          <w:p w14:paraId="2B84C0D8">
            <w:pPr>
              <w:pStyle w:val="179"/>
              <w:rPr>
                <w:color w:val="auto"/>
                <w:highlight w:val="none"/>
              </w:rPr>
            </w:pPr>
          </w:p>
        </w:tc>
      </w:tr>
      <w:tr w14:paraId="6804F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652" w:type="dxa"/>
            <w:vMerge w:val="continue"/>
            <w:vAlign w:val="top"/>
          </w:tcPr>
          <w:p w14:paraId="38440A6A">
            <w:pPr>
              <w:pStyle w:val="179"/>
              <w:rPr>
                <w:color w:val="auto"/>
                <w:highlight w:val="none"/>
              </w:rPr>
            </w:pPr>
          </w:p>
        </w:tc>
        <w:tc>
          <w:tcPr>
            <w:tcW w:w="871" w:type="dxa"/>
            <w:vMerge w:val="continue"/>
            <w:vAlign w:val="top"/>
          </w:tcPr>
          <w:p w14:paraId="7EA7FC55">
            <w:pPr>
              <w:pStyle w:val="179"/>
              <w:rPr>
                <w:color w:val="auto"/>
                <w:highlight w:val="none"/>
              </w:rPr>
            </w:pPr>
          </w:p>
        </w:tc>
        <w:tc>
          <w:tcPr>
            <w:tcW w:w="658" w:type="dxa"/>
            <w:vMerge w:val="continue"/>
            <w:vAlign w:val="top"/>
          </w:tcPr>
          <w:p w14:paraId="63D6E9E7">
            <w:pPr>
              <w:pStyle w:val="179"/>
              <w:rPr>
                <w:color w:val="auto"/>
                <w:highlight w:val="none"/>
              </w:rPr>
            </w:pPr>
          </w:p>
        </w:tc>
        <w:tc>
          <w:tcPr>
            <w:tcW w:w="678" w:type="dxa"/>
            <w:vMerge w:val="continue"/>
            <w:vAlign w:val="top"/>
          </w:tcPr>
          <w:p w14:paraId="0CE3A726">
            <w:pPr>
              <w:pStyle w:val="179"/>
              <w:rPr>
                <w:color w:val="auto"/>
                <w:highlight w:val="none"/>
              </w:rPr>
            </w:pPr>
          </w:p>
        </w:tc>
        <w:tc>
          <w:tcPr>
            <w:tcW w:w="108" w:type="dxa"/>
            <w:tcBorders>
              <w:top w:val="nil"/>
              <w:bottom w:val="nil"/>
            </w:tcBorders>
            <w:vAlign w:val="top"/>
          </w:tcPr>
          <w:p w14:paraId="684FB6BF">
            <w:pPr>
              <w:pStyle w:val="179"/>
              <w:rPr>
                <w:color w:val="auto"/>
                <w:highlight w:val="none"/>
              </w:rPr>
            </w:pPr>
          </w:p>
        </w:tc>
        <w:tc>
          <w:tcPr>
            <w:tcW w:w="421" w:type="dxa"/>
            <w:vAlign w:val="top"/>
          </w:tcPr>
          <w:p w14:paraId="486D4553">
            <w:pPr>
              <w:pStyle w:val="179"/>
              <w:spacing w:line="305" w:lineRule="auto"/>
              <w:rPr>
                <w:color w:val="auto"/>
                <w:highlight w:val="none"/>
              </w:rPr>
            </w:pPr>
          </w:p>
          <w:p w14:paraId="258B6003">
            <w:pPr>
              <w:pStyle w:val="179"/>
              <w:spacing w:line="306" w:lineRule="auto"/>
              <w:rPr>
                <w:color w:val="auto"/>
                <w:highlight w:val="none"/>
              </w:rPr>
            </w:pPr>
          </w:p>
          <w:p w14:paraId="7F3B9976">
            <w:pPr>
              <w:spacing w:before="65" w:line="270" w:lineRule="exact"/>
              <w:ind w:left="178"/>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1</w:t>
            </w:r>
          </w:p>
        </w:tc>
        <w:tc>
          <w:tcPr>
            <w:tcW w:w="436" w:type="dxa"/>
            <w:textDirection w:val="tbRlV"/>
            <w:vAlign w:val="top"/>
          </w:tcPr>
          <w:p w14:paraId="3F909061">
            <w:pPr>
              <w:spacing w:before="113" w:line="207" w:lineRule="auto"/>
              <w:ind w:left="55"/>
              <w:rPr>
                <w:rFonts w:ascii="宋体" w:hAnsi="宋体" w:eastAsia="宋体" w:cs="宋体"/>
                <w:color w:val="auto"/>
                <w:sz w:val="20"/>
                <w:szCs w:val="20"/>
                <w:highlight w:val="none"/>
              </w:rPr>
            </w:pPr>
            <w:r>
              <w:rPr>
                <w:rFonts w:ascii="宋体" w:hAnsi="宋体" w:eastAsia="宋体" w:cs="宋体"/>
                <w:color w:val="auto"/>
                <w:spacing w:val="6"/>
                <w:position w:val="1"/>
                <w:sz w:val="20"/>
                <w:szCs w:val="20"/>
                <w:highlight w:val="none"/>
              </w:rPr>
              <w:t xml:space="preserve">自 </w:t>
            </w:r>
            <w:r>
              <w:rPr>
                <w:rFonts w:ascii="宋体" w:hAnsi="宋体" w:eastAsia="宋体" w:cs="宋体"/>
                <w:color w:val="auto"/>
                <w:spacing w:val="6"/>
                <w:sz w:val="20"/>
                <w:szCs w:val="20"/>
                <w:highlight w:val="none"/>
              </w:rPr>
              <w:t>治 区 转 移</w:t>
            </w:r>
          </w:p>
        </w:tc>
        <w:tc>
          <w:tcPr>
            <w:tcW w:w="470" w:type="dxa"/>
            <w:vAlign w:val="top"/>
          </w:tcPr>
          <w:p w14:paraId="6C758684">
            <w:pPr>
              <w:pStyle w:val="179"/>
              <w:spacing w:line="305" w:lineRule="auto"/>
              <w:rPr>
                <w:color w:val="auto"/>
                <w:highlight w:val="none"/>
              </w:rPr>
            </w:pPr>
          </w:p>
          <w:p w14:paraId="72F60674">
            <w:pPr>
              <w:pStyle w:val="179"/>
              <w:spacing w:line="306" w:lineRule="auto"/>
              <w:rPr>
                <w:color w:val="auto"/>
                <w:highlight w:val="none"/>
              </w:rPr>
            </w:pPr>
          </w:p>
          <w:p w14:paraId="12E3FB9C">
            <w:pPr>
              <w:spacing w:before="65" w:line="269" w:lineRule="exact"/>
              <w:ind w:left="187"/>
              <w:rPr>
                <w:rFonts w:hint="eastAsia" w:ascii="宋体" w:hAnsi="宋体" w:eastAsia="宋体" w:cs="宋体"/>
                <w:color w:val="auto"/>
                <w:sz w:val="20"/>
                <w:szCs w:val="20"/>
                <w:highlight w:val="none"/>
                <w:lang w:eastAsia="zh-CN"/>
              </w:rPr>
            </w:pPr>
            <w:r>
              <w:rPr>
                <w:rFonts w:hint="eastAsia" w:ascii="宋体" w:hAnsi="宋体" w:eastAsia="宋体" w:cs="宋体"/>
                <w:color w:val="auto"/>
                <w:position w:val="1"/>
                <w:sz w:val="20"/>
                <w:szCs w:val="20"/>
                <w:highlight w:val="none"/>
                <w:lang w:val="en-US" w:eastAsia="zh-CN"/>
              </w:rPr>
              <w:t>8</w:t>
            </w:r>
          </w:p>
        </w:tc>
        <w:tc>
          <w:tcPr>
            <w:tcW w:w="450" w:type="dxa"/>
            <w:vAlign w:val="top"/>
          </w:tcPr>
          <w:p w14:paraId="4F4BBA72">
            <w:pPr>
              <w:pStyle w:val="179"/>
              <w:spacing w:line="305" w:lineRule="auto"/>
              <w:rPr>
                <w:color w:val="auto"/>
                <w:highlight w:val="none"/>
              </w:rPr>
            </w:pPr>
          </w:p>
          <w:p w14:paraId="3D1EAC9A">
            <w:pPr>
              <w:pStyle w:val="179"/>
              <w:spacing w:line="306" w:lineRule="auto"/>
              <w:rPr>
                <w:color w:val="auto"/>
                <w:highlight w:val="none"/>
              </w:rPr>
            </w:pPr>
          </w:p>
          <w:p w14:paraId="3C1ABDDD">
            <w:pPr>
              <w:spacing w:before="65" w:line="269" w:lineRule="exact"/>
              <w:ind w:left="128"/>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2"/>
                <w:position w:val="1"/>
                <w:sz w:val="20"/>
                <w:szCs w:val="20"/>
                <w:highlight w:val="none"/>
                <w:lang w:val="en-US" w:eastAsia="zh-CN"/>
              </w:rPr>
              <w:t>70</w:t>
            </w:r>
          </w:p>
        </w:tc>
        <w:tc>
          <w:tcPr>
            <w:tcW w:w="493" w:type="dxa"/>
            <w:vAlign w:val="top"/>
          </w:tcPr>
          <w:p w14:paraId="0CE34382">
            <w:pPr>
              <w:pStyle w:val="179"/>
              <w:spacing w:line="305" w:lineRule="auto"/>
              <w:rPr>
                <w:color w:val="auto"/>
                <w:highlight w:val="none"/>
              </w:rPr>
            </w:pPr>
          </w:p>
          <w:p w14:paraId="60F17021">
            <w:pPr>
              <w:pStyle w:val="179"/>
              <w:spacing w:line="306" w:lineRule="auto"/>
              <w:rPr>
                <w:color w:val="auto"/>
                <w:highlight w:val="none"/>
              </w:rPr>
            </w:pPr>
          </w:p>
          <w:p w14:paraId="3DF1F22A">
            <w:pPr>
              <w:spacing w:before="65" w:line="269" w:lineRule="exact"/>
              <w:ind w:left="160"/>
              <w:rPr>
                <w:rFonts w:ascii="宋体" w:hAnsi="宋体" w:eastAsia="宋体" w:cs="宋体"/>
                <w:color w:val="auto"/>
                <w:sz w:val="20"/>
                <w:szCs w:val="20"/>
                <w:highlight w:val="none"/>
              </w:rPr>
            </w:pPr>
            <w:r>
              <w:rPr>
                <w:rFonts w:ascii="宋体" w:hAnsi="宋体" w:eastAsia="宋体" w:cs="宋体"/>
                <w:color w:val="auto"/>
                <w:spacing w:val="-7"/>
                <w:position w:val="1"/>
                <w:sz w:val="20"/>
                <w:szCs w:val="20"/>
                <w:highlight w:val="none"/>
              </w:rPr>
              <w:t>10</w:t>
            </w:r>
          </w:p>
        </w:tc>
        <w:tc>
          <w:tcPr>
            <w:tcW w:w="571" w:type="dxa"/>
            <w:vAlign w:val="top"/>
          </w:tcPr>
          <w:p w14:paraId="2256290D">
            <w:pPr>
              <w:pStyle w:val="179"/>
              <w:spacing w:line="305" w:lineRule="auto"/>
              <w:rPr>
                <w:color w:val="auto"/>
                <w:highlight w:val="none"/>
              </w:rPr>
            </w:pPr>
          </w:p>
          <w:p w14:paraId="4774576E">
            <w:pPr>
              <w:pStyle w:val="179"/>
              <w:spacing w:line="306" w:lineRule="auto"/>
              <w:rPr>
                <w:color w:val="auto"/>
                <w:highlight w:val="none"/>
              </w:rPr>
            </w:pPr>
          </w:p>
          <w:p w14:paraId="0A92ED4C">
            <w:pPr>
              <w:spacing w:before="65" w:line="269" w:lineRule="exact"/>
              <w:ind w:left="147"/>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200</w:t>
            </w:r>
          </w:p>
        </w:tc>
        <w:tc>
          <w:tcPr>
            <w:tcW w:w="477" w:type="dxa"/>
            <w:vAlign w:val="top"/>
          </w:tcPr>
          <w:p w14:paraId="5D6B3400">
            <w:pPr>
              <w:pStyle w:val="179"/>
              <w:spacing w:line="305" w:lineRule="auto"/>
              <w:rPr>
                <w:color w:val="auto"/>
                <w:highlight w:val="none"/>
              </w:rPr>
            </w:pPr>
          </w:p>
          <w:p w14:paraId="7ABA8F65">
            <w:pPr>
              <w:pStyle w:val="179"/>
              <w:spacing w:line="306" w:lineRule="auto"/>
              <w:rPr>
                <w:color w:val="auto"/>
                <w:highlight w:val="none"/>
              </w:rPr>
            </w:pPr>
          </w:p>
          <w:p w14:paraId="1E8E5711">
            <w:pPr>
              <w:spacing w:before="65" w:line="269" w:lineRule="exact"/>
              <w:ind w:left="138"/>
              <w:rPr>
                <w:rFonts w:hint="default" w:ascii="宋体" w:hAnsi="宋体" w:eastAsia="宋体" w:cs="宋体"/>
                <w:color w:val="auto"/>
                <w:sz w:val="20"/>
                <w:szCs w:val="20"/>
                <w:highlight w:val="none"/>
                <w:lang w:val="en-US" w:eastAsia="zh-CN"/>
              </w:rPr>
            </w:pPr>
            <w:r>
              <w:rPr>
                <w:rFonts w:hint="eastAsia" w:ascii="宋体" w:hAnsi="宋体" w:eastAsia="宋体" w:cs="宋体"/>
                <w:color w:val="auto"/>
                <w:position w:val="1"/>
                <w:sz w:val="20"/>
                <w:szCs w:val="20"/>
                <w:highlight w:val="none"/>
                <w:lang w:val="en-US" w:eastAsia="zh-CN"/>
              </w:rPr>
              <w:t>73</w:t>
            </w:r>
          </w:p>
        </w:tc>
        <w:tc>
          <w:tcPr>
            <w:tcW w:w="477" w:type="dxa"/>
            <w:vAlign w:val="top"/>
          </w:tcPr>
          <w:p w14:paraId="1E3D3D4B">
            <w:pPr>
              <w:pStyle w:val="179"/>
              <w:spacing w:line="305" w:lineRule="auto"/>
              <w:rPr>
                <w:color w:val="auto"/>
                <w:highlight w:val="none"/>
              </w:rPr>
            </w:pPr>
          </w:p>
          <w:p w14:paraId="12D72B6F">
            <w:pPr>
              <w:pStyle w:val="179"/>
              <w:spacing w:line="306" w:lineRule="auto"/>
              <w:rPr>
                <w:color w:val="auto"/>
                <w:highlight w:val="none"/>
              </w:rPr>
            </w:pPr>
          </w:p>
          <w:p w14:paraId="6B92E2B5">
            <w:pPr>
              <w:spacing w:before="65" w:line="233" w:lineRule="auto"/>
              <w:ind w:left="189"/>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571" w:type="dxa"/>
            <w:vAlign w:val="top"/>
          </w:tcPr>
          <w:p w14:paraId="7DFD33C8">
            <w:pPr>
              <w:pStyle w:val="179"/>
              <w:spacing w:line="305" w:lineRule="auto"/>
              <w:rPr>
                <w:color w:val="auto"/>
                <w:highlight w:val="none"/>
              </w:rPr>
            </w:pPr>
          </w:p>
          <w:p w14:paraId="4F8E3961">
            <w:pPr>
              <w:pStyle w:val="179"/>
              <w:spacing w:line="306" w:lineRule="auto"/>
              <w:rPr>
                <w:color w:val="auto"/>
                <w:highlight w:val="none"/>
              </w:rPr>
            </w:pPr>
          </w:p>
          <w:p w14:paraId="47CCE7C8">
            <w:pPr>
              <w:spacing w:before="65" w:line="233" w:lineRule="auto"/>
              <w:ind w:left="108"/>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571" w:type="dxa"/>
            <w:vAlign w:val="top"/>
          </w:tcPr>
          <w:p w14:paraId="56275CB9">
            <w:pPr>
              <w:pStyle w:val="179"/>
              <w:spacing w:line="305" w:lineRule="auto"/>
              <w:rPr>
                <w:color w:val="auto"/>
                <w:highlight w:val="none"/>
              </w:rPr>
            </w:pPr>
          </w:p>
          <w:p w14:paraId="54775441">
            <w:pPr>
              <w:pStyle w:val="179"/>
              <w:spacing w:line="306" w:lineRule="auto"/>
              <w:rPr>
                <w:color w:val="auto"/>
                <w:highlight w:val="none"/>
              </w:rPr>
            </w:pPr>
          </w:p>
          <w:p w14:paraId="4F03C081">
            <w:pPr>
              <w:spacing w:before="65" w:line="269" w:lineRule="exact"/>
              <w:ind w:left="133"/>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1"/>
                <w:position w:val="1"/>
                <w:sz w:val="20"/>
                <w:szCs w:val="20"/>
                <w:highlight w:val="none"/>
                <w:lang w:val="en-US" w:eastAsia="zh-CN"/>
              </w:rPr>
              <w:t>361</w:t>
            </w:r>
          </w:p>
        </w:tc>
        <w:tc>
          <w:tcPr>
            <w:tcW w:w="906" w:type="dxa"/>
            <w:vAlign w:val="top"/>
          </w:tcPr>
          <w:p w14:paraId="2D422D4C">
            <w:pPr>
              <w:spacing w:before="152" w:line="228" w:lineRule="auto"/>
              <w:ind w:left="109"/>
              <w:rPr>
                <w:rFonts w:ascii="宋体" w:hAnsi="宋体" w:eastAsia="宋体" w:cs="宋体"/>
                <w:color w:val="auto"/>
                <w:sz w:val="20"/>
                <w:szCs w:val="20"/>
                <w:highlight w:val="none"/>
              </w:rPr>
            </w:pPr>
            <w:r>
              <w:rPr>
                <w:rFonts w:ascii="宋体" w:hAnsi="宋体" w:eastAsia="宋体" w:cs="宋体"/>
                <w:color w:val="auto"/>
                <w:spacing w:val="29"/>
                <w:sz w:val="20"/>
                <w:szCs w:val="20"/>
                <w:highlight w:val="none"/>
              </w:rPr>
              <w:t>包含普</w:t>
            </w:r>
          </w:p>
          <w:p w14:paraId="69A374B2">
            <w:pPr>
              <w:spacing w:before="64" w:line="229" w:lineRule="auto"/>
              <w:ind w:left="109"/>
              <w:rPr>
                <w:rFonts w:ascii="宋体" w:hAnsi="宋体" w:eastAsia="宋体" w:cs="宋体"/>
                <w:color w:val="auto"/>
                <w:sz w:val="20"/>
                <w:szCs w:val="20"/>
                <w:highlight w:val="none"/>
              </w:rPr>
            </w:pPr>
            <w:r>
              <w:rPr>
                <w:rFonts w:ascii="宋体" w:hAnsi="宋体" w:eastAsia="宋体" w:cs="宋体"/>
                <w:color w:val="auto"/>
                <w:spacing w:val="33"/>
                <w:sz w:val="20"/>
                <w:szCs w:val="20"/>
                <w:highlight w:val="none"/>
              </w:rPr>
              <w:t>通食品</w:t>
            </w:r>
            <w:r>
              <w:rPr>
                <w:rFonts w:ascii="宋体" w:hAnsi="宋体" w:eastAsia="宋体" w:cs="宋体"/>
                <w:color w:val="auto"/>
                <w:spacing w:val="28"/>
                <w:sz w:val="20"/>
                <w:szCs w:val="20"/>
                <w:highlight w:val="none"/>
              </w:rPr>
              <w:t>和食用</w:t>
            </w:r>
            <w:r>
              <w:rPr>
                <w:rFonts w:ascii="宋体" w:hAnsi="宋体" w:eastAsia="宋体" w:cs="宋体"/>
                <w:color w:val="auto"/>
                <w:spacing w:val="6"/>
                <w:sz w:val="20"/>
                <w:szCs w:val="20"/>
                <w:highlight w:val="none"/>
              </w:rPr>
              <w:t>农产品</w:t>
            </w:r>
          </w:p>
        </w:tc>
        <w:tc>
          <w:tcPr>
            <w:tcW w:w="455" w:type="dxa"/>
            <w:vMerge w:val="continue"/>
            <w:tcBorders>
              <w:top w:val="nil"/>
              <w:bottom w:val="nil"/>
            </w:tcBorders>
            <w:vAlign w:val="top"/>
          </w:tcPr>
          <w:p w14:paraId="746D0F10">
            <w:pPr>
              <w:pStyle w:val="179"/>
              <w:rPr>
                <w:color w:val="auto"/>
                <w:highlight w:val="none"/>
              </w:rPr>
            </w:pPr>
          </w:p>
        </w:tc>
      </w:tr>
      <w:tr w14:paraId="10CD0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52" w:type="dxa"/>
            <w:vMerge w:val="continue"/>
            <w:vAlign w:val="top"/>
          </w:tcPr>
          <w:p w14:paraId="2CCBF461">
            <w:pPr>
              <w:pStyle w:val="179"/>
              <w:rPr>
                <w:color w:val="auto"/>
                <w:highlight w:val="none"/>
              </w:rPr>
            </w:pPr>
          </w:p>
        </w:tc>
        <w:tc>
          <w:tcPr>
            <w:tcW w:w="871" w:type="dxa"/>
            <w:vMerge w:val="continue"/>
            <w:vAlign w:val="top"/>
          </w:tcPr>
          <w:p w14:paraId="5A83AB10">
            <w:pPr>
              <w:pStyle w:val="179"/>
              <w:rPr>
                <w:color w:val="auto"/>
                <w:highlight w:val="none"/>
              </w:rPr>
            </w:pPr>
          </w:p>
        </w:tc>
        <w:tc>
          <w:tcPr>
            <w:tcW w:w="658" w:type="dxa"/>
            <w:vMerge w:val="continue"/>
            <w:vAlign w:val="top"/>
          </w:tcPr>
          <w:p w14:paraId="08AA5244">
            <w:pPr>
              <w:pStyle w:val="179"/>
              <w:rPr>
                <w:color w:val="auto"/>
                <w:highlight w:val="none"/>
              </w:rPr>
            </w:pPr>
          </w:p>
        </w:tc>
        <w:tc>
          <w:tcPr>
            <w:tcW w:w="678" w:type="dxa"/>
            <w:vMerge w:val="continue"/>
            <w:vAlign w:val="top"/>
          </w:tcPr>
          <w:p w14:paraId="0740E6B8">
            <w:pPr>
              <w:pStyle w:val="179"/>
              <w:rPr>
                <w:color w:val="auto"/>
                <w:highlight w:val="none"/>
              </w:rPr>
            </w:pPr>
          </w:p>
        </w:tc>
        <w:tc>
          <w:tcPr>
            <w:tcW w:w="108" w:type="dxa"/>
            <w:tcBorders>
              <w:top w:val="nil"/>
              <w:bottom w:val="nil"/>
            </w:tcBorders>
            <w:vAlign w:val="top"/>
          </w:tcPr>
          <w:p w14:paraId="5316F297">
            <w:pPr>
              <w:pStyle w:val="179"/>
              <w:rPr>
                <w:color w:val="auto"/>
                <w:highlight w:val="none"/>
              </w:rPr>
            </w:pPr>
          </w:p>
        </w:tc>
        <w:tc>
          <w:tcPr>
            <w:tcW w:w="421" w:type="dxa"/>
            <w:vMerge w:val="restart"/>
            <w:vAlign w:val="top"/>
          </w:tcPr>
          <w:p w14:paraId="13746664">
            <w:pPr>
              <w:spacing w:before="212" w:line="271" w:lineRule="exact"/>
              <w:ind w:left="165"/>
              <w:rPr>
                <w:rFonts w:ascii="宋体" w:hAnsi="宋体" w:eastAsia="宋体" w:cs="宋体"/>
                <w:color w:val="auto"/>
                <w:sz w:val="20"/>
                <w:szCs w:val="20"/>
                <w:highlight w:val="none"/>
              </w:rPr>
            </w:pPr>
            <w:r>
              <w:rPr>
                <w:rFonts w:ascii="宋体" w:hAnsi="宋体" w:eastAsia="宋体" w:cs="宋体"/>
                <w:color w:val="auto"/>
                <w:position w:val="1"/>
                <w:sz w:val="20"/>
                <w:szCs w:val="20"/>
                <w:highlight w:val="none"/>
              </w:rPr>
              <w:t>2</w:t>
            </w:r>
          </w:p>
        </w:tc>
        <w:tc>
          <w:tcPr>
            <w:tcW w:w="436" w:type="dxa"/>
            <w:vMerge w:val="restart"/>
            <w:textDirection w:val="tbRlV"/>
            <w:vAlign w:val="top"/>
          </w:tcPr>
          <w:p w14:paraId="243CC600">
            <w:pPr>
              <w:spacing w:before="114" w:line="214" w:lineRule="auto"/>
              <w:ind w:left="56"/>
              <w:rPr>
                <w:rFonts w:hint="eastAsia" w:ascii="宋体" w:hAnsi="宋体" w:eastAsia="宋体" w:cs="宋体"/>
                <w:color w:val="auto"/>
                <w:spacing w:val="7"/>
                <w:sz w:val="20"/>
                <w:szCs w:val="20"/>
                <w:highlight w:val="none"/>
                <w:lang w:val="en-US" w:eastAsia="zh-CN"/>
              </w:rPr>
            </w:pPr>
            <w:r>
              <w:rPr>
                <w:rFonts w:ascii="宋体" w:hAnsi="宋体" w:eastAsia="宋体" w:cs="宋体"/>
                <w:color w:val="auto"/>
                <w:spacing w:val="7"/>
                <w:sz w:val="20"/>
                <w:szCs w:val="20"/>
                <w:highlight w:val="none"/>
              </w:rPr>
              <w:t>市 本</w:t>
            </w:r>
            <w:r>
              <w:rPr>
                <w:rFonts w:hint="eastAsia" w:ascii="宋体" w:hAnsi="宋体" w:cs="宋体"/>
                <w:color w:val="auto"/>
                <w:spacing w:val="7"/>
                <w:sz w:val="20"/>
                <w:szCs w:val="20"/>
                <w:highlight w:val="none"/>
                <w:lang w:val="en-US" w:eastAsia="zh-CN"/>
              </w:rPr>
              <w:t>级</w:t>
            </w:r>
          </w:p>
          <w:p w14:paraId="072D11D0">
            <w:pPr>
              <w:spacing w:before="65" w:line="231" w:lineRule="auto"/>
              <w:ind w:left="119" w:leftChars="0"/>
              <w:rPr>
                <w:rFonts w:ascii="宋体" w:hAnsi="宋体" w:eastAsia="宋体" w:cs="宋体"/>
                <w:color w:val="auto"/>
                <w:spacing w:val="7"/>
                <w:sz w:val="20"/>
                <w:szCs w:val="20"/>
                <w:highlight w:val="none"/>
              </w:rPr>
            </w:pPr>
            <w:r>
              <w:rPr>
                <w:rFonts w:ascii="宋体" w:hAnsi="宋体" w:eastAsia="宋体" w:cs="宋体"/>
                <w:color w:val="auto"/>
                <w:sz w:val="20"/>
                <w:szCs w:val="20"/>
                <w:highlight w:val="none"/>
              </w:rPr>
              <w:t>级</w:t>
            </w:r>
          </w:p>
        </w:tc>
        <w:tc>
          <w:tcPr>
            <w:tcW w:w="470" w:type="dxa"/>
            <w:vMerge w:val="restart"/>
            <w:vAlign w:val="top"/>
          </w:tcPr>
          <w:p w14:paraId="240A7643">
            <w:pPr>
              <w:spacing w:before="212" w:line="233" w:lineRule="auto"/>
              <w:ind w:left="185"/>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450" w:type="dxa"/>
            <w:vMerge w:val="restart"/>
            <w:vAlign w:val="top"/>
          </w:tcPr>
          <w:p w14:paraId="300980D8">
            <w:pPr>
              <w:spacing w:before="212" w:line="233" w:lineRule="auto"/>
              <w:ind w:left="176"/>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493" w:type="dxa"/>
            <w:vMerge w:val="restart"/>
            <w:vAlign w:val="top"/>
          </w:tcPr>
          <w:p w14:paraId="4EE0E4C0">
            <w:pPr>
              <w:spacing w:before="212" w:line="233" w:lineRule="auto"/>
              <w:ind w:left="196"/>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571" w:type="dxa"/>
            <w:vMerge w:val="restart"/>
            <w:vAlign w:val="top"/>
          </w:tcPr>
          <w:p w14:paraId="7D059FF0">
            <w:pPr>
              <w:spacing w:before="212" w:line="233" w:lineRule="auto"/>
              <w:ind w:left="236"/>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477" w:type="dxa"/>
            <w:vMerge w:val="restart"/>
            <w:vAlign w:val="top"/>
          </w:tcPr>
          <w:p w14:paraId="25C8BD44">
            <w:pPr>
              <w:spacing w:before="212" w:line="233" w:lineRule="auto"/>
              <w:ind w:left="188"/>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477" w:type="dxa"/>
            <w:vMerge w:val="restart"/>
            <w:vAlign w:val="top"/>
          </w:tcPr>
          <w:p w14:paraId="6BD4DC91">
            <w:pPr>
              <w:spacing w:before="212" w:line="269" w:lineRule="exact"/>
              <w:ind w:left="141"/>
              <w:rPr>
                <w:rFonts w:ascii="宋体" w:hAnsi="宋体" w:eastAsia="宋体" w:cs="宋体"/>
                <w:color w:val="auto"/>
                <w:sz w:val="20"/>
                <w:szCs w:val="20"/>
                <w:highlight w:val="none"/>
              </w:rPr>
            </w:pPr>
            <w:r>
              <w:rPr>
                <w:rFonts w:ascii="宋体" w:hAnsi="宋体" w:eastAsia="宋体" w:cs="宋体"/>
                <w:color w:val="auto"/>
                <w:sz w:val="20"/>
                <w:szCs w:val="20"/>
                <w:highlight w:val="none"/>
              </w:rPr>
              <w:t>/</w:t>
            </w:r>
          </w:p>
        </w:tc>
        <w:tc>
          <w:tcPr>
            <w:tcW w:w="571" w:type="dxa"/>
            <w:vMerge w:val="restart"/>
            <w:vAlign w:val="top"/>
          </w:tcPr>
          <w:p w14:paraId="6CA33341">
            <w:pPr>
              <w:spacing w:before="212" w:line="269" w:lineRule="exact"/>
              <w:ind w:left="146"/>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153</w:t>
            </w:r>
          </w:p>
        </w:tc>
        <w:tc>
          <w:tcPr>
            <w:tcW w:w="571" w:type="dxa"/>
            <w:vMerge w:val="restart"/>
            <w:vAlign w:val="top"/>
          </w:tcPr>
          <w:p w14:paraId="0D1EA8DA">
            <w:pPr>
              <w:spacing w:before="212" w:line="269" w:lineRule="exact"/>
              <w:ind w:left="146"/>
              <w:rPr>
                <w:rFonts w:hint="default" w:ascii="宋体" w:hAnsi="宋体" w:eastAsia="宋体" w:cs="宋体"/>
                <w:color w:val="auto"/>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153</w:t>
            </w:r>
          </w:p>
        </w:tc>
        <w:tc>
          <w:tcPr>
            <w:tcW w:w="906" w:type="dxa"/>
            <w:vMerge w:val="restart"/>
            <w:vAlign w:val="top"/>
          </w:tcPr>
          <w:p w14:paraId="407F3CAF">
            <w:pPr>
              <w:spacing w:before="56" w:line="228" w:lineRule="auto"/>
              <w:ind w:left="109"/>
              <w:rPr>
                <w:rFonts w:ascii="宋体" w:hAnsi="宋体" w:eastAsia="宋体" w:cs="宋体"/>
                <w:color w:val="auto"/>
                <w:sz w:val="20"/>
                <w:szCs w:val="20"/>
                <w:highlight w:val="none"/>
              </w:rPr>
            </w:pPr>
            <w:r>
              <w:rPr>
                <w:rFonts w:ascii="宋体" w:hAnsi="宋体" w:eastAsia="宋体" w:cs="宋体"/>
                <w:color w:val="auto"/>
                <w:spacing w:val="29"/>
                <w:sz w:val="20"/>
                <w:szCs w:val="20"/>
                <w:highlight w:val="none"/>
              </w:rPr>
              <w:t>包含普</w:t>
            </w:r>
          </w:p>
          <w:p w14:paraId="04A5729F">
            <w:pPr>
              <w:spacing w:before="64" w:line="229" w:lineRule="auto"/>
              <w:ind w:left="109"/>
              <w:rPr>
                <w:rFonts w:ascii="宋体" w:hAnsi="宋体" w:eastAsia="宋体" w:cs="宋体"/>
                <w:color w:val="auto"/>
                <w:spacing w:val="33"/>
                <w:sz w:val="20"/>
                <w:szCs w:val="20"/>
                <w:highlight w:val="none"/>
              </w:rPr>
            </w:pPr>
            <w:r>
              <w:rPr>
                <w:rFonts w:ascii="宋体" w:hAnsi="宋体" w:eastAsia="宋体" w:cs="宋体"/>
                <w:color w:val="auto"/>
                <w:spacing w:val="33"/>
                <w:sz w:val="20"/>
                <w:szCs w:val="20"/>
                <w:highlight w:val="none"/>
              </w:rPr>
              <w:t>通食品</w:t>
            </w:r>
            <w:r>
              <w:rPr>
                <w:rFonts w:ascii="宋体" w:hAnsi="宋体" w:eastAsia="宋体" w:cs="宋体"/>
                <w:color w:val="auto"/>
                <w:spacing w:val="28"/>
                <w:sz w:val="20"/>
                <w:szCs w:val="20"/>
                <w:highlight w:val="none"/>
              </w:rPr>
              <w:t>和食用</w:t>
            </w:r>
            <w:r>
              <w:rPr>
                <w:rFonts w:ascii="宋体" w:hAnsi="宋体" w:eastAsia="宋体" w:cs="宋体"/>
                <w:color w:val="auto"/>
                <w:spacing w:val="6"/>
                <w:sz w:val="20"/>
                <w:szCs w:val="20"/>
                <w:highlight w:val="none"/>
              </w:rPr>
              <w:t>农产品</w:t>
            </w:r>
          </w:p>
        </w:tc>
        <w:tc>
          <w:tcPr>
            <w:tcW w:w="455" w:type="dxa"/>
            <w:vMerge w:val="continue"/>
            <w:tcBorders>
              <w:top w:val="nil"/>
              <w:bottom w:val="nil"/>
            </w:tcBorders>
            <w:vAlign w:val="top"/>
          </w:tcPr>
          <w:p w14:paraId="588544DD">
            <w:pPr>
              <w:pStyle w:val="179"/>
              <w:rPr>
                <w:color w:val="auto"/>
                <w:highlight w:val="none"/>
              </w:rPr>
            </w:pPr>
          </w:p>
        </w:tc>
      </w:tr>
      <w:tr w14:paraId="28B48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52" w:type="dxa"/>
            <w:vMerge w:val="continue"/>
            <w:vAlign w:val="top"/>
          </w:tcPr>
          <w:p w14:paraId="34E1CEEE">
            <w:pPr>
              <w:pStyle w:val="179"/>
              <w:rPr>
                <w:color w:val="auto"/>
                <w:highlight w:val="none"/>
              </w:rPr>
            </w:pPr>
          </w:p>
        </w:tc>
        <w:tc>
          <w:tcPr>
            <w:tcW w:w="871" w:type="dxa"/>
            <w:vMerge w:val="continue"/>
            <w:vAlign w:val="top"/>
          </w:tcPr>
          <w:p w14:paraId="38A84FDA">
            <w:pPr>
              <w:pStyle w:val="179"/>
              <w:rPr>
                <w:color w:val="auto"/>
                <w:highlight w:val="none"/>
              </w:rPr>
            </w:pPr>
          </w:p>
        </w:tc>
        <w:tc>
          <w:tcPr>
            <w:tcW w:w="658" w:type="dxa"/>
            <w:vMerge w:val="continue"/>
            <w:vAlign w:val="top"/>
          </w:tcPr>
          <w:p w14:paraId="6B23D57E">
            <w:pPr>
              <w:pStyle w:val="179"/>
              <w:rPr>
                <w:color w:val="auto"/>
                <w:highlight w:val="none"/>
              </w:rPr>
            </w:pPr>
          </w:p>
        </w:tc>
        <w:tc>
          <w:tcPr>
            <w:tcW w:w="678" w:type="dxa"/>
            <w:vMerge w:val="continue"/>
            <w:vAlign w:val="top"/>
          </w:tcPr>
          <w:p w14:paraId="4D72F254">
            <w:pPr>
              <w:pStyle w:val="179"/>
              <w:rPr>
                <w:color w:val="auto"/>
                <w:highlight w:val="none"/>
              </w:rPr>
            </w:pPr>
          </w:p>
        </w:tc>
        <w:tc>
          <w:tcPr>
            <w:tcW w:w="108" w:type="dxa"/>
            <w:tcBorders>
              <w:top w:val="nil"/>
              <w:bottom w:val="nil"/>
            </w:tcBorders>
            <w:vAlign w:val="top"/>
          </w:tcPr>
          <w:p w14:paraId="6E10673F">
            <w:pPr>
              <w:pStyle w:val="179"/>
              <w:rPr>
                <w:color w:val="auto"/>
                <w:highlight w:val="none"/>
              </w:rPr>
            </w:pPr>
          </w:p>
        </w:tc>
        <w:tc>
          <w:tcPr>
            <w:tcW w:w="421" w:type="dxa"/>
            <w:vMerge w:val="continue"/>
            <w:vAlign w:val="top"/>
          </w:tcPr>
          <w:p w14:paraId="72988416">
            <w:pPr>
              <w:pStyle w:val="179"/>
              <w:rPr>
                <w:rFonts w:ascii="宋体" w:hAnsi="宋体" w:eastAsia="宋体" w:cs="宋体"/>
                <w:color w:val="auto"/>
                <w:position w:val="1"/>
                <w:sz w:val="20"/>
                <w:szCs w:val="20"/>
                <w:highlight w:val="none"/>
              </w:rPr>
            </w:pPr>
          </w:p>
        </w:tc>
        <w:tc>
          <w:tcPr>
            <w:tcW w:w="436" w:type="dxa"/>
            <w:vMerge w:val="continue"/>
            <w:vAlign w:val="top"/>
          </w:tcPr>
          <w:p w14:paraId="29CAEFDA">
            <w:pPr>
              <w:spacing w:before="65" w:line="231" w:lineRule="auto"/>
              <w:ind w:left="119" w:leftChars="0"/>
              <w:rPr>
                <w:rFonts w:ascii="宋体" w:hAnsi="宋体" w:eastAsia="宋体" w:cs="宋体"/>
                <w:color w:val="auto"/>
                <w:spacing w:val="7"/>
                <w:sz w:val="20"/>
                <w:szCs w:val="20"/>
                <w:highlight w:val="none"/>
              </w:rPr>
            </w:pPr>
          </w:p>
        </w:tc>
        <w:tc>
          <w:tcPr>
            <w:tcW w:w="470" w:type="dxa"/>
            <w:vMerge w:val="continue"/>
            <w:vAlign w:val="top"/>
          </w:tcPr>
          <w:p w14:paraId="065416B3">
            <w:pPr>
              <w:pStyle w:val="179"/>
              <w:rPr>
                <w:rFonts w:ascii="宋体" w:hAnsi="宋体" w:eastAsia="宋体" w:cs="宋体"/>
                <w:color w:val="auto"/>
                <w:sz w:val="20"/>
                <w:szCs w:val="20"/>
                <w:highlight w:val="none"/>
              </w:rPr>
            </w:pPr>
          </w:p>
        </w:tc>
        <w:tc>
          <w:tcPr>
            <w:tcW w:w="450" w:type="dxa"/>
            <w:vMerge w:val="continue"/>
            <w:vAlign w:val="top"/>
          </w:tcPr>
          <w:p w14:paraId="128CF903">
            <w:pPr>
              <w:pStyle w:val="179"/>
              <w:rPr>
                <w:rFonts w:ascii="宋体" w:hAnsi="宋体" w:eastAsia="宋体" w:cs="宋体"/>
                <w:color w:val="auto"/>
                <w:sz w:val="20"/>
                <w:szCs w:val="20"/>
                <w:highlight w:val="none"/>
              </w:rPr>
            </w:pPr>
          </w:p>
        </w:tc>
        <w:tc>
          <w:tcPr>
            <w:tcW w:w="493" w:type="dxa"/>
            <w:vMerge w:val="continue"/>
            <w:vAlign w:val="top"/>
          </w:tcPr>
          <w:p w14:paraId="34D2931E">
            <w:pPr>
              <w:pStyle w:val="179"/>
              <w:rPr>
                <w:rFonts w:ascii="宋体" w:hAnsi="宋体" w:eastAsia="宋体" w:cs="宋体"/>
                <w:color w:val="auto"/>
                <w:sz w:val="20"/>
                <w:szCs w:val="20"/>
                <w:highlight w:val="none"/>
              </w:rPr>
            </w:pPr>
          </w:p>
        </w:tc>
        <w:tc>
          <w:tcPr>
            <w:tcW w:w="571" w:type="dxa"/>
            <w:vMerge w:val="continue"/>
            <w:vAlign w:val="top"/>
          </w:tcPr>
          <w:p w14:paraId="37655E8E">
            <w:pPr>
              <w:pStyle w:val="179"/>
              <w:rPr>
                <w:rFonts w:ascii="宋体" w:hAnsi="宋体" w:eastAsia="宋体" w:cs="宋体"/>
                <w:color w:val="auto"/>
                <w:sz w:val="20"/>
                <w:szCs w:val="20"/>
                <w:highlight w:val="none"/>
              </w:rPr>
            </w:pPr>
          </w:p>
        </w:tc>
        <w:tc>
          <w:tcPr>
            <w:tcW w:w="477" w:type="dxa"/>
            <w:vMerge w:val="continue"/>
            <w:vAlign w:val="top"/>
          </w:tcPr>
          <w:p w14:paraId="7C8C14BD">
            <w:pPr>
              <w:pStyle w:val="179"/>
              <w:rPr>
                <w:rFonts w:ascii="宋体" w:hAnsi="宋体" w:eastAsia="宋体" w:cs="宋体"/>
                <w:color w:val="auto"/>
                <w:sz w:val="20"/>
                <w:szCs w:val="20"/>
                <w:highlight w:val="none"/>
              </w:rPr>
            </w:pPr>
          </w:p>
        </w:tc>
        <w:tc>
          <w:tcPr>
            <w:tcW w:w="477" w:type="dxa"/>
            <w:vMerge w:val="continue"/>
            <w:vAlign w:val="top"/>
          </w:tcPr>
          <w:p w14:paraId="34BAC3CF">
            <w:pPr>
              <w:pStyle w:val="179"/>
              <w:rPr>
                <w:rFonts w:ascii="宋体" w:hAnsi="宋体" w:eastAsia="宋体" w:cs="宋体"/>
                <w:color w:val="auto"/>
                <w:sz w:val="20"/>
                <w:szCs w:val="20"/>
                <w:highlight w:val="none"/>
              </w:rPr>
            </w:pPr>
          </w:p>
        </w:tc>
        <w:tc>
          <w:tcPr>
            <w:tcW w:w="571" w:type="dxa"/>
            <w:vMerge w:val="continue"/>
            <w:vAlign w:val="top"/>
          </w:tcPr>
          <w:p w14:paraId="1269D1C2">
            <w:pPr>
              <w:pStyle w:val="179"/>
              <w:rPr>
                <w:rFonts w:hint="eastAsia" w:ascii="宋体" w:hAnsi="宋体" w:eastAsia="宋体" w:cs="宋体"/>
                <w:color w:val="auto"/>
                <w:spacing w:val="-3"/>
                <w:position w:val="1"/>
                <w:sz w:val="20"/>
                <w:szCs w:val="20"/>
                <w:highlight w:val="none"/>
                <w:lang w:val="en-US" w:eastAsia="zh-CN"/>
              </w:rPr>
            </w:pPr>
          </w:p>
        </w:tc>
        <w:tc>
          <w:tcPr>
            <w:tcW w:w="571" w:type="dxa"/>
            <w:vMerge w:val="continue"/>
            <w:vAlign w:val="top"/>
          </w:tcPr>
          <w:p w14:paraId="3CB1D327">
            <w:pPr>
              <w:pStyle w:val="179"/>
              <w:rPr>
                <w:rFonts w:hint="eastAsia" w:ascii="宋体" w:hAnsi="宋体" w:eastAsia="宋体" w:cs="宋体"/>
                <w:color w:val="auto"/>
                <w:spacing w:val="-3"/>
                <w:position w:val="1"/>
                <w:sz w:val="20"/>
                <w:szCs w:val="20"/>
                <w:highlight w:val="none"/>
                <w:lang w:val="en-US" w:eastAsia="zh-CN"/>
              </w:rPr>
            </w:pPr>
          </w:p>
        </w:tc>
        <w:tc>
          <w:tcPr>
            <w:tcW w:w="906" w:type="dxa"/>
            <w:vMerge w:val="continue"/>
            <w:vAlign w:val="top"/>
          </w:tcPr>
          <w:p w14:paraId="70C073DB">
            <w:pPr>
              <w:spacing w:before="64" w:line="228" w:lineRule="auto"/>
              <w:ind w:left="109" w:leftChars="0"/>
              <w:rPr>
                <w:rFonts w:ascii="宋体" w:hAnsi="宋体" w:eastAsia="宋体" w:cs="宋体"/>
                <w:color w:val="auto"/>
                <w:spacing w:val="33"/>
                <w:sz w:val="20"/>
                <w:szCs w:val="20"/>
                <w:highlight w:val="none"/>
              </w:rPr>
            </w:pPr>
          </w:p>
        </w:tc>
        <w:tc>
          <w:tcPr>
            <w:tcW w:w="455" w:type="dxa"/>
            <w:tcBorders>
              <w:top w:val="nil"/>
              <w:bottom w:val="nil"/>
            </w:tcBorders>
            <w:vAlign w:val="top"/>
          </w:tcPr>
          <w:p w14:paraId="27AC2FA4">
            <w:pPr>
              <w:pStyle w:val="179"/>
              <w:rPr>
                <w:color w:val="auto"/>
                <w:highlight w:val="none"/>
              </w:rPr>
            </w:pPr>
          </w:p>
        </w:tc>
      </w:tr>
      <w:tr w14:paraId="41407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52" w:type="dxa"/>
            <w:vMerge w:val="continue"/>
            <w:vAlign w:val="top"/>
          </w:tcPr>
          <w:p w14:paraId="47A44B30">
            <w:pPr>
              <w:pStyle w:val="179"/>
              <w:rPr>
                <w:color w:val="auto"/>
                <w:highlight w:val="none"/>
              </w:rPr>
            </w:pPr>
          </w:p>
        </w:tc>
        <w:tc>
          <w:tcPr>
            <w:tcW w:w="871" w:type="dxa"/>
            <w:vMerge w:val="continue"/>
            <w:vAlign w:val="top"/>
          </w:tcPr>
          <w:p w14:paraId="296B17EA">
            <w:pPr>
              <w:pStyle w:val="179"/>
              <w:rPr>
                <w:color w:val="auto"/>
                <w:highlight w:val="none"/>
              </w:rPr>
            </w:pPr>
          </w:p>
        </w:tc>
        <w:tc>
          <w:tcPr>
            <w:tcW w:w="658" w:type="dxa"/>
            <w:vMerge w:val="continue"/>
            <w:vAlign w:val="top"/>
          </w:tcPr>
          <w:p w14:paraId="2F37FCDA">
            <w:pPr>
              <w:pStyle w:val="179"/>
              <w:rPr>
                <w:color w:val="auto"/>
                <w:highlight w:val="none"/>
              </w:rPr>
            </w:pPr>
          </w:p>
        </w:tc>
        <w:tc>
          <w:tcPr>
            <w:tcW w:w="678" w:type="dxa"/>
            <w:vMerge w:val="continue"/>
            <w:vAlign w:val="top"/>
          </w:tcPr>
          <w:p w14:paraId="2EEA42F4">
            <w:pPr>
              <w:pStyle w:val="179"/>
              <w:rPr>
                <w:color w:val="auto"/>
                <w:highlight w:val="none"/>
              </w:rPr>
            </w:pPr>
          </w:p>
        </w:tc>
        <w:tc>
          <w:tcPr>
            <w:tcW w:w="108" w:type="dxa"/>
            <w:tcBorders>
              <w:top w:val="nil"/>
            </w:tcBorders>
            <w:vAlign w:val="top"/>
          </w:tcPr>
          <w:p w14:paraId="411354A6">
            <w:pPr>
              <w:pStyle w:val="179"/>
              <w:rPr>
                <w:color w:val="auto"/>
                <w:highlight w:val="none"/>
              </w:rPr>
            </w:pPr>
          </w:p>
        </w:tc>
        <w:tc>
          <w:tcPr>
            <w:tcW w:w="857" w:type="dxa"/>
            <w:gridSpan w:val="2"/>
            <w:vAlign w:val="top"/>
          </w:tcPr>
          <w:p w14:paraId="6A6C31C7">
            <w:pPr>
              <w:spacing w:before="301" w:line="230" w:lineRule="auto"/>
              <w:ind w:left="228" w:leftChars="0"/>
              <w:rPr>
                <w:rFonts w:ascii="宋体" w:hAnsi="宋体" w:eastAsia="宋体" w:cs="宋体"/>
                <w:color w:val="auto"/>
                <w:spacing w:val="7"/>
                <w:sz w:val="20"/>
                <w:szCs w:val="20"/>
                <w:highlight w:val="none"/>
              </w:rPr>
            </w:pPr>
            <w:r>
              <w:rPr>
                <w:rFonts w:ascii="宋体" w:hAnsi="宋体" w:eastAsia="宋体" w:cs="宋体"/>
                <w:color w:val="auto"/>
                <w:spacing w:val="2"/>
                <w:sz w:val="20"/>
                <w:szCs w:val="20"/>
                <w:highlight w:val="none"/>
              </w:rPr>
              <w:t>小计</w:t>
            </w:r>
          </w:p>
        </w:tc>
        <w:tc>
          <w:tcPr>
            <w:tcW w:w="470" w:type="dxa"/>
            <w:vAlign w:val="top"/>
          </w:tcPr>
          <w:p w14:paraId="5F1FE869">
            <w:pPr>
              <w:spacing w:before="301" w:line="269" w:lineRule="exact"/>
              <w:ind w:left="187" w:leftChars="0"/>
              <w:rPr>
                <w:rFonts w:ascii="宋体" w:hAnsi="宋体" w:eastAsia="宋体" w:cs="宋体"/>
                <w:color w:val="auto"/>
                <w:sz w:val="20"/>
                <w:szCs w:val="20"/>
                <w:highlight w:val="none"/>
              </w:rPr>
            </w:pPr>
            <w:r>
              <w:rPr>
                <w:rFonts w:hint="eastAsia" w:ascii="宋体" w:hAnsi="宋体" w:eastAsia="宋体" w:cs="宋体"/>
                <w:color w:val="auto"/>
                <w:position w:val="1"/>
                <w:sz w:val="20"/>
                <w:szCs w:val="20"/>
                <w:highlight w:val="none"/>
                <w:lang w:val="en-US" w:eastAsia="zh-CN"/>
              </w:rPr>
              <w:t>8</w:t>
            </w:r>
          </w:p>
        </w:tc>
        <w:tc>
          <w:tcPr>
            <w:tcW w:w="450" w:type="dxa"/>
            <w:vAlign w:val="top"/>
          </w:tcPr>
          <w:p w14:paraId="0FA7DFBB">
            <w:pPr>
              <w:spacing w:before="301" w:line="269" w:lineRule="exact"/>
              <w:ind w:left="128" w:leftChars="0"/>
              <w:rPr>
                <w:rFonts w:ascii="宋体" w:hAnsi="宋体" w:eastAsia="宋体" w:cs="宋体"/>
                <w:color w:val="auto"/>
                <w:sz w:val="20"/>
                <w:szCs w:val="20"/>
                <w:highlight w:val="none"/>
              </w:rPr>
            </w:pPr>
            <w:r>
              <w:rPr>
                <w:rFonts w:hint="eastAsia" w:ascii="宋体" w:hAnsi="宋体" w:eastAsia="宋体" w:cs="宋体"/>
                <w:color w:val="auto"/>
                <w:spacing w:val="-2"/>
                <w:position w:val="1"/>
                <w:sz w:val="20"/>
                <w:szCs w:val="20"/>
                <w:highlight w:val="none"/>
                <w:lang w:val="en-US" w:eastAsia="zh-CN"/>
              </w:rPr>
              <w:t>70</w:t>
            </w:r>
          </w:p>
        </w:tc>
        <w:tc>
          <w:tcPr>
            <w:tcW w:w="493" w:type="dxa"/>
            <w:vAlign w:val="top"/>
          </w:tcPr>
          <w:p w14:paraId="17FF72BC">
            <w:pPr>
              <w:spacing w:before="301" w:line="269" w:lineRule="exact"/>
              <w:ind w:left="160" w:leftChars="0"/>
              <w:rPr>
                <w:rFonts w:ascii="宋体" w:hAnsi="宋体" w:eastAsia="宋体" w:cs="宋体"/>
                <w:color w:val="auto"/>
                <w:sz w:val="20"/>
                <w:szCs w:val="20"/>
                <w:highlight w:val="none"/>
              </w:rPr>
            </w:pPr>
            <w:r>
              <w:rPr>
                <w:rFonts w:ascii="宋体" w:hAnsi="宋体" w:eastAsia="宋体" w:cs="宋体"/>
                <w:color w:val="auto"/>
                <w:spacing w:val="-7"/>
                <w:position w:val="1"/>
                <w:sz w:val="20"/>
                <w:szCs w:val="20"/>
                <w:highlight w:val="none"/>
              </w:rPr>
              <w:t>10</w:t>
            </w:r>
          </w:p>
        </w:tc>
        <w:tc>
          <w:tcPr>
            <w:tcW w:w="571" w:type="dxa"/>
            <w:vAlign w:val="top"/>
          </w:tcPr>
          <w:p w14:paraId="57E84834">
            <w:pPr>
              <w:spacing w:before="301" w:line="269" w:lineRule="exact"/>
              <w:ind w:left="147" w:leftChars="0"/>
              <w:rPr>
                <w:rFonts w:ascii="宋体" w:hAnsi="宋体" w:eastAsia="宋体" w:cs="宋体"/>
                <w:color w:val="auto"/>
                <w:sz w:val="20"/>
                <w:szCs w:val="20"/>
                <w:highlight w:val="none"/>
              </w:rPr>
            </w:pPr>
            <w:r>
              <w:rPr>
                <w:rFonts w:hint="eastAsia" w:ascii="宋体" w:hAnsi="宋体" w:eastAsia="宋体" w:cs="宋体"/>
                <w:color w:val="auto"/>
                <w:spacing w:val="-3"/>
                <w:position w:val="1"/>
                <w:sz w:val="20"/>
                <w:szCs w:val="20"/>
                <w:highlight w:val="none"/>
                <w:lang w:val="en-US" w:eastAsia="zh-CN"/>
              </w:rPr>
              <w:t>200</w:t>
            </w:r>
          </w:p>
        </w:tc>
        <w:tc>
          <w:tcPr>
            <w:tcW w:w="477" w:type="dxa"/>
            <w:vAlign w:val="top"/>
          </w:tcPr>
          <w:p w14:paraId="0AF7D62B">
            <w:pPr>
              <w:spacing w:before="301" w:line="269" w:lineRule="exact"/>
              <w:ind w:left="138" w:leftChars="0"/>
              <w:rPr>
                <w:rFonts w:ascii="宋体" w:hAnsi="宋体" w:eastAsia="宋体" w:cs="宋体"/>
                <w:color w:val="auto"/>
                <w:sz w:val="20"/>
                <w:szCs w:val="20"/>
                <w:highlight w:val="none"/>
              </w:rPr>
            </w:pPr>
            <w:r>
              <w:rPr>
                <w:rFonts w:hint="eastAsia" w:ascii="宋体" w:hAnsi="宋体" w:eastAsia="宋体" w:cs="宋体"/>
                <w:color w:val="auto"/>
                <w:position w:val="1"/>
                <w:sz w:val="20"/>
                <w:szCs w:val="20"/>
                <w:highlight w:val="none"/>
                <w:lang w:val="en-US" w:eastAsia="zh-CN"/>
              </w:rPr>
              <w:t>73</w:t>
            </w:r>
          </w:p>
        </w:tc>
        <w:tc>
          <w:tcPr>
            <w:tcW w:w="477" w:type="dxa"/>
            <w:vAlign w:val="top"/>
          </w:tcPr>
          <w:p w14:paraId="7AEEADAF">
            <w:pPr>
              <w:spacing w:before="301" w:line="269" w:lineRule="exact"/>
              <w:ind w:left="141" w:leftChars="0"/>
              <w:rPr>
                <w:rFonts w:ascii="宋体" w:hAnsi="宋体" w:eastAsia="宋体" w:cs="宋体"/>
                <w:color w:val="auto"/>
                <w:sz w:val="20"/>
                <w:szCs w:val="20"/>
                <w:highlight w:val="none"/>
              </w:rPr>
            </w:pPr>
          </w:p>
        </w:tc>
        <w:tc>
          <w:tcPr>
            <w:tcW w:w="571" w:type="dxa"/>
            <w:vAlign w:val="top"/>
          </w:tcPr>
          <w:p w14:paraId="0601B6AB">
            <w:pPr>
              <w:spacing w:before="301" w:line="269" w:lineRule="exact"/>
              <w:ind w:left="146" w:leftChars="0"/>
              <w:rPr>
                <w:rFonts w:hint="eastAsia" w:ascii="宋体" w:hAnsi="宋体" w:eastAsia="宋体" w:cs="宋体"/>
                <w:color w:val="auto"/>
                <w:spacing w:val="-3"/>
                <w:position w:val="1"/>
                <w:sz w:val="20"/>
                <w:szCs w:val="20"/>
                <w:highlight w:val="none"/>
                <w:lang w:val="en-US" w:eastAsia="zh-CN"/>
              </w:rPr>
            </w:pPr>
            <w:r>
              <w:rPr>
                <w:rFonts w:hint="eastAsia" w:ascii="宋体" w:hAnsi="宋体" w:eastAsia="宋体" w:cs="宋体"/>
                <w:color w:val="auto"/>
                <w:spacing w:val="-3"/>
                <w:position w:val="1"/>
                <w:sz w:val="20"/>
                <w:szCs w:val="20"/>
                <w:highlight w:val="none"/>
                <w:lang w:val="en-US" w:eastAsia="zh-CN"/>
              </w:rPr>
              <w:t>153</w:t>
            </w:r>
          </w:p>
        </w:tc>
        <w:tc>
          <w:tcPr>
            <w:tcW w:w="571" w:type="dxa"/>
            <w:vAlign w:val="top"/>
          </w:tcPr>
          <w:p w14:paraId="204F627F">
            <w:pPr>
              <w:spacing w:before="301" w:line="269" w:lineRule="exact"/>
              <w:ind w:left="130" w:leftChars="0"/>
              <w:rPr>
                <w:rFonts w:hint="eastAsia" w:ascii="宋体" w:hAnsi="宋体" w:eastAsia="宋体" w:cs="宋体"/>
                <w:color w:val="auto"/>
                <w:spacing w:val="-3"/>
                <w:position w:val="1"/>
                <w:sz w:val="20"/>
                <w:szCs w:val="20"/>
                <w:highlight w:val="none"/>
                <w:lang w:val="en-US" w:eastAsia="zh-CN"/>
              </w:rPr>
            </w:pPr>
            <w:r>
              <w:rPr>
                <w:rFonts w:hint="eastAsia" w:ascii="宋体" w:hAnsi="宋体" w:eastAsia="宋体" w:cs="宋体"/>
                <w:color w:val="auto"/>
                <w:spacing w:val="2"/>
                <w:position w:val="1"/>
                <w:sz w:val="20"/>
                <w:szCs w:val="20"/>
                <w:highlight w:val="none"/>
                <w:lang w:val="en-US" w:eastAsia="zh-CN"/>
              </w:rPr>
              <w:t>514</w:t>
            </w:r>
          </w:p>
        </w:tc>
        <w:tc>
          <w:tcPr>
            <w:tcW w:w="906" w:type="dxa"/>
            <w:vAlign w:val="top"/>
          </w:tcPr>
          <w:p w14:paraId="71ECCF13">
            <w:pPr>
              <w:spacing w:before="64" w:line="228" w:lineRule="auto"/>
              <w:ind w:left="109" w:leftChars="0"/>
              <w:rPr>
                <w:rFonts w:ascii="宋体" w:hAnsi="宋体" w:eastAsia="宋体" w:cs="宋体"/>
                <w:color w:val="auto"/>
                <w:spacing w:val="33"/>
                <w:sz w:val="20"/>
                <w:szCs w:val="20"/>
                <w:highlight w:val="none"/>
              </w:rPr>
            </w:pPr>
          </w:p>
        </w:tc>
        <w:tc>
          <w:tcPr>
            <w:tcW w:w="455" w:type="dxa"/>
            <w:tcBorders>
              <w:top w:val="nil"/>
            </w:tcBorders>
            <w:vAlign w:val="top"/>
          </w:tcPr>
          <w:p w14:paraId="1837AC1B">
            <w:pPr>
              <w:pStyle w:val="179"/>
              <w:rPr>
                <w:color w:val="auto"/>
                <w:highlight w:val="none"/>
              </w:rPr>
            </w:pPr>
          </w:p>
        </w:tc>
      </w:tr>
    </w:tbl>
    <w:p w14:paraId="4C628B65">
      <w:pPr>
        <w:rPr>
          <w:rFonts w:ascii="Arial"/>
          <w:color w:val="auto"/>
          <w:sz w:val="21"/>
          <w:highlight w:val="none"/>
        </w:rPr>
      </w:pPr>
    </w:p>
    <w:p w14:paraId="69F40D5D">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7F9FF01E">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8"/>
        <w:gridCol w:w="678"/>
        <w:gridCol w:w="6406"/>
      </w:tblGrid>
      <w:tr w14:paraId="53A5C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43" w:hRule="atLeast"/>
        </w:trPr>
        <w:tc>
          <w:tcPr>
            <w:tcW w:w="652" w:type="dxa"/>
            <w:tcBorders>
              <w:top w:val="nil"/>
            </w:tcBorders>
            <w:vAlign w:val="top"/>
          </w:tcPr>
          <w:p w14:paraId="114756D4">
            <w:pPr>
              <w:pStyle w:val="179"/>
              <w:rPr>
                <w:color w:val="auto"/>
                <w:highlight w:val="none"/>
              </w:rPr>
            </w:pPr>
          </w:p>
        </w:tc>
        <w:tc>
          <w:tcPr>
            <w:tcW w:w="871" w:type="dxa"/>
            <w:tcBorders>
              <w:top w:val="nil"/>
            </w:tcBorders>
            <w:vAlign w:val="top"/>
          </w:tcPr>
          <w:p w14:paraId="0FA87662">
            <w:pPr>
              <w:pStyle w:val="179"/>
              <w:rPr>
                <w:color w:val="auto"/>
                <w:highlight w:val="none"/>
              </w:rPr>
            </w:pPr>
          </w:p>
        </w:tc>
        <w:tc>
          <w:tcPr>
            <w:tcW w:w="658" w:type="dxa"/>
            <w:tcBorders>
              <w:top w:val="nil"/>
            </w:tcBorders>
            <w:vAlign w:val="top"/>
          </w:tcPr>
          <w:p w14:paraId="214B77CD">
            <w:pPr>
              <w:pStyle w:val="179"/>
              <w:rPr>
                <w:color w:val="auto"/>
                <w:highlight w:val="none"/>
              </w:rPr>
            </w:pPr>
          </w:p>
        </w:tc>
        <w:tc>
          <w:tcPr>
            <w:tcW w:w="678" w:type="dxa"/>
            <w:tcBorders>
              <w:top w:val="nil"/>
            </w:tcBorders>
            <w:vAlign w:val="top"/>
          </w:tcPr>
          <w:p w14:paraId="3010342C">
            <w:pPr>
              <w:pStyle w:val="179"/>
              <w:rPr>
                <w:color w:val="auto"/>
                <w:highlight w:val="none"/>
              </w:rPr>
            </w:pPr>
          </w:p>
        </w:tc>
        <w:tc>
          <w:tcPr>
            <w:tcW w:w="6406" w:type="dxa"/>
            <w:vAlign w:val="top"/>
          </w:tcPr>
          <w:p w14:paraId="2E161DAF">
            <w:pPr>
              <w:spacing w:before="120" w:line="228" w:lineRule="auto"/>
              <w:ind w:left="120"/>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（二）承检服务技术要求：</w:t>
            </w:r>
          </w:p>
          <w:p w14:paraId="0D578EA4">
            <w:pPr>
              <w:spacing w:before="114" w:line="332" w:lineRule="auto"/>
              <w:ind w:left="109" w:right="109" w:firstLine="1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1、在防城港市市辖区范围内开展食品（含食用农产品，</w:t>
            </w:r>
            <w:r>
              <w:rPr>
                <w:rFonts w:ascii="宋体" w:hAnsi="宋体" w:eastAsia="宋体" w:cs="宋体"/>
                <w:color w:val="auto"/>
                <w:spacing w:val="8"/>
                <w:sz w:val="20"/>
                <w:szCs w:val="20"/>
                <w:highlight w:val="none"/>
              </w:rPr>
              <w:t>下同）抽检任务。具体需提供的抽检、监测品种及检验项目详见附件</w:t>
            </w:r>
            <w:r>
              <w:rPr>
                <w:rFonts w:ascii="宋体" w:hAnsi="宋体" w:eastAsia="宋体" w:cs="宋体"/>
                <w:color w:val="auto"/>
                <w:spacing w:val="-20"/>
                <w:sz w:val="20"/>
                <w:szCs w:val="20"/>
                <w:highlight w:val="none"/>
              </w:rPr>
              <w:t xml:space="preserve"> </w:t>
            </w:r>
            <w:r>
              <w:rPr>
                <w:rFonts w:ascii="宋体" w:hAnsi="宋体" w:eastAsia="宋体" w:cs="宋体"/>
                <w:color w:val="auto"/>
                <w:spacing w:val="8"/>
                <w:sz w:val="20"/>
                <w:szCs w:val="20"/>
                <w:highlight w:val="none"/>
              </w:rPr>
              <w:t>1</w:t>
            </w:r>
            <w:r>
              <w:rPr>
                <w:rFonts w:ascii="宋体" w:hAnsi="宋体" w:eastAsia="宋体" w:cs="宋体"/>
                <w:color w:val="auto"/>
                <w:spacing w:val="5"/>
                <w:sz w:val="20"/>
                <w:szCs w:val="20"/>
                <w:highlight w:val="none"/>
              </w:rPr>
              <w:t>《</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年自治区转</w:t>
            </w:r>
            <w:r>
              <w:rPr>
                <w:rFonts w:ascii="宋体" w:hAnsi="宋体" w:eastAsia="宋体" w:cs="宋体"/>
                <w:color w:val="auto"/>
                <w:spacing w:val="6"/>
                <w:sz w:val="20"/>
                <w:szCs w:val="20"/>
                <w:highlight w:val="none"/>
              </w:rPr>
              <w:t>移支付</w:t>
            </w:r>
            <w:r>
              <w:rPr>
                <w:rFonts w:hint="eastAsia" w:ascii="宋体" w:hAnsi="宋体" w:eastAsia="宋体" w:cs="宋体"/>
                <w:color w:val="auto"/>
                <w:spacing w:val="6"/>
                <w:sz w:val="20"/>
                <w:szCs w:val="20"/>
                <w:highlight w:val="none"/>
                <w:lang w:eastAsia="zh-CN"/>
              </w:rPr>
              <w:t>各市加工</w:t>
            </w:r>
            <w:r>
              <w:rPr>
                <w:rFonts w:ascii="宋体" w:hAnsi="宋体" w:eastAsia="宋体" w:cs="宋体"/>
                <w:color w:val="auto"/>
                <w:spacing w:val="7"/>
                <w:sz w:val="20"/>
                <w:szCs w:val="20"/>
                <w:highlight w:val="none"/>
              </w:rPr>
              <w:t>食品</w:t>
            </w:r>
            <w:r>
              <w:rPr>
                <w:rFonts w:hint="eastAsia" w:ascii="宋体" w:hAnsi="宋体" w:eastAsia="宋体" w:cs="宋体"/>
                <w:color w:val="auto"/>
                <w:spacing w:val="6"/>
                <w:sz w:val="20"/>
                <w:szCs w:val="20"/>
                <w:highlight w:val="none"/>
                <w:lang w:eastAsia="zh-CN"/>
              </w:rPr>
              <w:t>监督抽检</w:t>
            </w:r>
            <w:r>
              <w:rPr>
                <w:rFonts w:ascii="宋体" w:hAnsi="宋体" w:eastAsia="宋体" w:cs="宋体"/>
                <w:color w:val="auto"/>
                <w:spacing w:val="6"/>
                <w:sz w:val="20"/>
                <w:szCs w:val="20"/>
                <w:highlight w:val="none"/>
              </w:rPr>
              <w:t>品种及项目表》和附件</w:t>
            </w:r>
            <w:r>
              <w:rPr>
                <w:rFonts w:ascii="宋体" w:hAnsi="宋体" w:eastAsia="宋体" w:cs="宋体"/>
                <w:color w:val="auto"/>
                <w:spacing w:val="7"/>
                <w:sz w:val="20"/>
                <w:szCs w:val="20"/>
                <w:highlight w:val="none"/>
              </w:rPr>
              <w:t>2《202</w:t>
            </w:r>
            <w:r>
              <w:rPr>
                <w:rFonts w:hint="eastAsia" w:ascii="宋体" w:hAnsi="宋体" w:eastAsia="宋体" w:cs="宋体"/>
                <w:color w:val="auto"/>
                <w:spacing w:val="7"/>
                <w:sz w:val="20"/>
                <w:szCs w:val="20"/>
                <w:highlight w:val="none"/>
                <w:lang w:val="en-US" w:eastAsia="zh-CN"/>
              </w:rPr>
              <w:t>6</w:t>
            </w:r>
            <w:r>
              <w:rPr>
                <w:rFonts w:ascii="宋体" w:hAnsi="宋体" w:eastAsia="宋体" w:cs="宋体"/>
                <w:color w:val="auto"/>
                <w:spacing w:val="-23"/>
                <w:sz w:val="20"/>
                <w:szCs w:val="20"/>
                <w:highlight w:val="none"/>
              </w:rPr>
              <w:t xml:space="preserve"> </w:t>
            </w:r>
            <w:r>
              <w:rPr>
                <w:rFonts w:ascii="宋体" w:hAnsi="宋体" w:eastAsia="宋体" w:cs="宋体"/>
                <w:color w:val="auto"/>
                <w:spacing w:val="7"/>
                <w:sz w:val="20"/>
                <w:szCs w:val="20"/>
                <w:highlight w:val="none"/>
              </w:rPr>
              <w:t>年自治区转移支付</w:t>
            </w:r>
            <w:r>
              <w:rPr>
                <w:rFonts w:hint="eastAsia" w:ascii="宋体" w:hAnsi="宋体" w:eastAsia="宋体" w:cs="宋体"/>
                <w:color w:val="auto"/>
                <w:spacing w:val="7"/>
                <w:sz w:val="20"/>
                <w:szCs w:val="20"/>
                <w:highlight w:val="none"/>
                <w:lang w:eastAsia="zh-CN"/>
              </w:rPr>
              <w:t>各市</w:t>
            </w:r>
            <w:r>
              <w:rPr>
                <w:rFonts w:ascii="宋体" w:hAnsi="宋体" w:eastAsia="宋体" w:cs="宋体"/>
                <w:color w:val="auto"/>
                <w:spacing w:val="6"/>
                <w:sz w:val="20"/>
                <w:szCs w:val="20"/>
                <w:highlight w:val="none"/>
              </w:rPr>
              <w:t>食用农产品</w:t>
            </w:r>
            <w:r>
              <w:rPr>
                <w:rFonts w:ascii="宋体" w:hAnsi="宋体" w:eastAsia="宋体" w:cs="宋体"/>
                <w:color w:val="auto"/>
                <w:spacing w:val="7"/>
                <w:sz w:val="20"/>
                <w:szCs w:val="20"/>
                <w:highlight w:val="none"/>
              </w:rPr>
              <w:t>抽检品种及项目表》</w:t>
            </w:r>
            <w:r>
              <w:rPr>
                <w:rFonts w:ascii="宋体" w:hAnsi="宋体" w:eastAsia="宋体" w:cs="宋体"/>
                <w:color w:val="auto"/>
                <w:spacing w:val="10"/>
                <w:sz w:val="20"/>
                <w:szCs w:val="20"/>
                <w:highlight w:val="none"/>
              </w:rPr>
              <w:t>。同时在合同期内须按要求完</w:t>
            </w:r>
            <w:r>
              <w:rPr>
                <w:rFonts w:ascii="宋体" w:hAnsi="宋体" w:eastAsia="宋体" w:cs="宋体"/>
                <w:color w:val="auto"/>
                <w:spacing w:val="9"/>
                <w:sz w:val="20"/>
                <w:szCs w:val="20"/>
                <w:highlight w:val="none"/>
              </w:rPr>
              <w:t>成国家市场监督管理总局或自治区市场监督局安排的抽检工作，及防城港市市场监督管理局根据工作需要安排的食品、食用农产品检测工作。</w:t>
            </w:r>
          </w:p>
          <w:p w14:paraId="68D03F83">
            <w:pPr>
              <w:spacing w:before="1" w:line="332" w:lineRule="auto"/>
              <w:ind w:left="111" w:right="1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2、抽样办法、检测方法及检验依据以《食品安全抽样检测管理办法》</w:t>
            </w:r>
            <w:r>
              <w:rPr>
                <w:rFonts w:ascii="宋体" w:hAnsi="宋体" w:eastAsia="宋体" w:cs="宋体"/>
                <w:color w:val="auto"/>
                <w:spacing w:val="16"/>
                <w:sz w:val="20"/>
                <w:szCs w:val="20"/>
                <w:highlight w:val="none"/>
              </w:rPr>
              <w:t xml:space="preserve"> </w:t>
            </w:r>
            <w:r>
              <w:rPr>
                <w:rFonts w:ascii="宋体" w:hAnsi="宋体" w:eastAsia="宋体" w:cs="宋体"/>
                <w:color w:val="auto"/>
                <w:spacing w:val="8"/>
                <w:sz w:val="20"/>
                <w:szCs w:val="20"/>
                <w:highlight w:val="none"/>
              </w:rPr>
              <w:t>（国家市场监督管理总局令第</w:t>
            </w:r>
            <w:r>
              <w:rPr>
                <w:rFonts w:ascii="宋体" w:hAnsi="宋体" w:eastAsia="宋体" w:cs="宋体"/>
                <w:color w:val="auto"/>
                <w:spacing w:val="-24"/>
                <w:sz w:val="20"/>
                <w:szCs w:val="20"/>
                <w:highlight w:val="none"/>
              </w:rPr>
              <w:t xml:space="preserve"> </w:t>
            </w:r>
            <w:r>
              <w:rPr>
                <w:rFonts w:ascii="宋体" w:hAnsi="宋体" w:eastAsia="宋体" w:cs="宋体"/>
                <w:color w:val="auto"/>
                <w:spacing w:val="8"/>
                <w:sz w:val="20"/>
                <w:szCs w:val="20"/>
                <w:highlight w:val="none"/>
              </w:rPr>
              <w:t>15</w:t>
            </w:r>
            <w:r>
              <w:rPr>
                <w:rFonts w:ascii="宋体" w:hAnsi="宋体" w:eastAsia="宋体" w:cs="宋体"/>
                <w:color w:val="auto"/>
                <w:spacing w:val="-33"/>
                <w:sz w:val="20"/>
                <w:szCs w:val="20"/>
                <w:highlight w:val="none"/>
              </w:rPr>
              <w:t xml:space="preserve"> </w:t>
            </w:r>
            <w:r>
              <w:rPr>
                <w:rFonts w:ascii="宋体" w:hAnsi="宋体" w:eastAsia="宋体" w:cs="宋体"/>
                <w:color w:val="auto"/>
                <w:spacing w:val="8"/>
                <w:sz w:val="20"/>
                <w:szCs w:val="20"/>
                <w:highlight w:val="none"/>
              </w:rPr>
              <w:t>号）和国家市场监督管</w:t>
            </w:r>
            <w:r>
              <w:rPr>
                <w:rFonts w:ascii="宋体" w:hAnsi="宋体" w:eastAsia="宋体" w:cs="宋体"/>
                <w:color w:val="auto"/>
                <w:spacing w:val="7"/>
                <w:sz w:val="20"/>
                <w:szCs w:val="20"/>
                <w:highlight w:val="none"/>
              </w:rPr>
              <w:t>理总局《全</w:t>
            </w:r>
            <w:r>
              <w:rPr>
                <w:rFonts w:ascii="宋体" w:hAnsi="宋体" w:eastAsia="宋体" w:cs="宋体"/>
                <w:color w:val="auto"/>
                <w:spacing w:val="9"/>
                <w:sz w:val="20"/>
                <w:szCs w:val="20"/>
                <w:highlight w:val="none"/>
              </w:rPr>
              <w:t>国食品安全监督抽检实施细则（202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9"/>
                <w:sz w:val="20"/>
                <w:szCs w:val="20"/>
                <w:highlight w:val="none"/>
              </w:rPr>
              <w:t>年版）》</w:t>
            </w:r>
            <w:r>
              <w:rPr>
                <w:rFonts w:ascii="宋体" w:hAnsi="宋体" w:eastAsia="宋体" w:cs="宋体"/>
                <w:color w:val="auto"/>
                <w:spacing w:val="8"/>
                <w:sz w:val="20"/>
                <w:szCs w:val="20"/>
                <w:highlight w:val="none"/>
              </w:rPr>
              <w:t>以及广西壮族自治区</w:t>
            </w:r>
            <w:r>
              <w:rPr>
                <w:rFonts w:ascii="宋体" w:hAnsi="宋体" w:eastAsia="宋体" w:cs="宋体"/>
                <w:color w:val="auto"/>
                <w:spacing w:val="9"/>
                <w:sz w:val="20"/>
                <w:szCs w:val="20"/>
                <w:highlight w:val="none"/>
              </w:rPr>
              <w:t>市场监督管理局《广西食品安全监督抽检实施</w:t>
            </w:r>
            <w:r>
              <w:rPr>
                <w:rFonts w:ascii="宋体" w:hAnsi="宋体" w:eastAsia="宋体" w:cs="宋体"/>
                <w:color w:val="auto"/>
                <w:spacing w:val="8"/>
                <w:sz w:val="20"/>
                <w:szCs w:val="20"/>
                <w:highlight w:val="none"/>
              </w:rPr>
              <w:t>细则（202</w:t>
            </w:r>
            <w:r>
              <w:rPr>
                <w:rFonts w:hint="eastAsia" w:ascii="宋体" w:hAnsi="宋体" w:eastAsia="宋体" w:cs="宋体"/>
                <w:color w:val="auto"/>
                <w:spacing w:val="8"/>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年版）为</w:t>
            </w:r>
            <w:r>
              <w:rPr>
                <w:rFonts w:ascii="宋体" w:hAnsi="宋体" w:eastAsia="宋体" w:cs="宋体"/>
                <w:color w:val="auto"/>
                <w:spacing w:val="-1"/>
                <w:sz w:val="20"/>
                <w:szCs w:val="20"/>
                <w:highlight w:val="none"/>
              </w:rPr>
              <w:t>准。</w:t>
            </w:r>
          </w:p>
          <w:p w14:paraId="00C9BC8C">
            <w:pPr>
              <w:spacing w:line="332" w:lineRule="auto"/>
              <w:ind w:left="111" w:right="103" w:firstLine="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3、成果要求：202</w:t>
            </w:r>
            <w:r>
              <w:rPr>
                <w:rFonts w:hint="eastAsia" w:ascii="宋体" w:hAnsi="宋体" w:eastAsia="宋体" w:cs="宋体"/>
                <w:color w:val="auto"/>
                <w:spacing w:val="3"/>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年</w:t>
            </w:r>
            <w:r>
              <w:rPr>
                <w:rFonts w:ascii="宋体" w:hAnsi="宋体" w:eastAsia="宋体" w:cs="宋体"/>
                <w:color w:val="auto"/>
                <w:spacing w:val="-22"/>
                <w:sz w:val="20"/>
                <w:szCs w:val="20"/>
                <w:highlight w:val="none"/>
              </w:rPr>
              <w:t xml:space="preserve"> </w:t>
            </w:r>
            <w:r>
              <w:rPr>
                <w:rFonts w:ascii="宋体" w:hAnsi="宋体" w:eastAsia="宋体" w:cs="宋体"/>
                <w:color w:val="auto"/>
                <w:spacing w:val="3"/>
                <w:sz w:val="20"/>
                <w:szCs w:val="20"/>
                <w:highlight w:val="none"/>
              </w:rPr>
              <w:t>12</w:t>
            </w:r>
            <w:r>
              <w:rPr>
                <w:rFonts w:ascii="宋体" w:hAnsi="宋体" w:eastAsia="宋体" w:cs="宋体"/>
                <w:color w:val="auto"/>
                <w:spacing w:val="-35"/>
                <w:sz w:val="20"/>
                <w:szCs w:val="20"/>
                <w:highlight w:val="none"/>
              </w:rPr>
              <w:t xml:space="preserve"> </w:t>
            </w:r>
            <w:r>
              <w:rPr>
                <w:rFonts w:ascii="宋体" w:hAnsi="宋体" w:eastAsia="宋体" w:cs="宋体"/>
                <w:color w:val="auto"/>
                <w:spacing w:val="3"/>
                <w:sz w:val="20"/>
                <w:szCs w:val="20"/>
                <w:highlight w:val="none"/>
              </w:rPr>
              <w:t>月</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10 日前全部抽检完成并录入国抽</w:t>
            </w:r>
            <w:r>
              <w:rPr>
                <w:rFonts w:ascii="宋体" w:hAnsi="宋体" w:eastAsia="宋体" w:cs="宋体"/>
                <w:color w:val="auto"/>
                <w:spacing w:val="2"/>
                <w:sz w:val="20"/>
                <w:szCs w:val="20"/>
                <w:highlight w:val="none"/>
              </w:rPr>
              <w:t>系统，</w:t>
            </w:r>
            <w:r>
              <w:rPr>
                <w:rFonts w:ascii="宋体" w:hAnsi="宋体" w:eastAsia="宋体" w:cs="宋体"/>
                <w:color w:val="auto"/>
                <w:spacing w:val="8"/>
                <w:sz w:val="20"/>
                <w:szCs w:val="20"/>
                <w:highlight w:val="none"/>
              </w:rPr>
              <w:t>按具体方案时间节点要求提供质量分析报告。</w:t>
            </w:r>
          </w:p>
          <w:p w14:paraId="5EAB6C7C">
            <w:pPr>
              <w:spacing w:line="228" w:lineRule="auto"/>
              <w:ind w:left="1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4、服务工作要求</w:t>
            </w:r>
          </w:p>
          <w:p w14:paraId="6D151552">
            <w:pPr>
              <w:spacing w:before="114" w:line="332" w:lineRule="auto"/>
              <w:ind w:left="109"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（1）要求供应商严格遵守法律、法规的规定和检验工作有关纪律要</w:t>
            </w:r>
            <w:r>
              <w:rPr>
                <w:rFonts w:ascii="宋体" w:hAnsi="宋体" w:eastAsia="宋体" w:cs="宋体"/>
                <w:color w:val="auto"/>
                <w:spacing w:val="10"/>
                <w:sz w:val="20"/>
                <w:szCs w:val="20"/>
                <w:highlight w:val="none"/>
              </w:rPr>
              <w:t>求，确保检验结果真实有效；检验活动中无</w:t>
            </w:r>
            <w:r>
              <w:rPr>
                <w:rFonts w:ascii="宋体" w:hAnsi="宋体" w:eastAsia="宋体" w:cs="宋体"/>
                <w:color w:val="auto"/>
                <w:spacing w:val="9"/>
                <w:sz w:val="20"/>
                <w:szCs w:val="20"/>
                <w:highlight w:val="none"/>
              </w:rPr>
              <w:t>重大差错，能够保证检</w:t>
            </w:r>
            <w:r>
              <w:rPr>
                <w:rFonts w:ascii="宋体" w:hAnsi="宋体" w:eastAsia="宋体" w:cs="宋体"/>
                <w:color w:val="auto"/>
                <w:spacing w:val="10"/>
                <w:sz w:val="20"/>
                <w:szCs w:val="20"/>
                <w:highlight w:val="none"/>
              </w:rPr>
              <w:t>验结果质量；检测范围涵盖承担的食品安全</w:t>
            </w:r>
            <w:r>
              <w:rPr>
                <w:rFonts w:ascii="宋体" w:hAnsi="宋体" w:eastAsia="宋体" w:cs="宋体"/>
                <w:color w:val="auto"/>
                <w:spacing w:val="9"/>
                <w:sz w:val="20"/>
                <w:szCs w:val="20"/>
                <w:highlight w:val="none"/>
              </w:rPr>
              <w:t>抽检监测任务中相应的</w:t>
            </w:r>
            <w:r>
              <w:rPr>
                <w:rFonts w:ascii="宋体" w:hAnsi="宋体" w:eastAsia="宋体" w:cs="宋体"/>
                <w:color w:val="auto"/>
                <w:spacing w:val="8"/>
                <w:sz w:val="20"/>
                <w:szCs w:val="20"/>
                <w:highlight w:val="none"/>
              </w:rPr>
              <w:t>食品品种和检验项目；</w:t>
            </w:r>
          </w:p>
          <w:p w14:paraId="18F834CB">
            <w:pPr>
              <w:spacing w:before="1" w:line="332" w:lineRule="auto"/>
              <w:ind w:left="111" w:right="109"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（2）供应商负责样品的抽样检验、检验报告的寄送、结果分析、异</w:t>
            </w:r>
            <w:r>
              <w:rPr>
                <w:rFonts w:ascii="宋体" w:hAnsi="宋体" w:eastAsia="宋体" w:cs="宋体"/>
                <w:color w:val="auto"/>
                <w:spacing w:val="8"/>
                <w:sz w:val="20"/>
                <w:szCs w:val="20"/>
                <w:highlight w:val="none"/>
              </w:rPr>
              <w:t>议处理和检验过程中技术问题的处理工作；</w:t>
            </w:r>
          </w:p>
          <w:p w14:paraId="0F7C838D">
            <w:pPr>
              <w:spacing w:line="332" w:lineRule="auto"/>
              <w:ind w:left="112" w:right="109" w:firstLine="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（3）供应商必须接受采购人对承担检验任务工作质量情况的监督检查和考核，积极参加与检验任务相关的能力验证并取得满意结果；</w:t>
            </w:r>
          </w:p>
          <w:p w14:paraId="5BF68F3D">
            <w:pPr>
              <w:spacing w:before="1" w:line="227" w:lineRule="auto"/>
              <w:ind w:left="12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（4）能按时完成采购人安排的临时性和应急性任务。</w:t>
            </w:r>
          </w:p>
          <w:p w14:paraId="2C8F26E5">
            <w:pPr>
              <w:spacing w:before="114" w:line="229" w:lineRule="auto"/>
              <w:ind w:left="120"/>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（三）其他要求：</w:t>
            </w:r>
          </w:p>
          <w:p w14:paraId="596EE020">
            <w:pPr>
              <w:spacing w:before="113" w:line="332" w:lineRule="auto"/>
              <w:ind w:left="109" w:right="139" w:firstLine="16"/>
              <w:jc w:val="both"/>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1、要求供应商具有与能承担食品监督抽检任务相匹配的</w:t>
            </w:r>
            <w:r>
              <w:rPr>
                <w:rFonts w:ascii="宋体" w:hAnsi="宋体" w:eastAsia="宋体" w:cs="宋体"/>
                <w:color w:val="auto"/>
                <w:spacing w:val="7"/>
                <w:sz w:val="20"/>
                <w:szCs w:val="20"/>
                <w:highlight w:val="none"/>
              </w:rPr>
              <w:t>工作人员、</w:t>
            </w:r>
            <w:r>
              <w:rPr>
                <w:rFonts w:ascii="宋体" w:hAnsi="宋体" w:eastAsia="宋体" w:cs="宋体"/>
                <w:color w:val="auto"/>
                <w:spacing w:val="10"/>
                <w:sz w:val="20"/>
                <w:szCs w:val="20"/>
                <w:highlight w:val="none"/>
              </w:rPr>
              <w:t>仪器设备、实验室环境设施；拥有运行良好</w:t>
            </w:r>
            <w:r>
              <w:rPr>
                <w:rFonts w:ascii="宋体" w:hAnsi="宋体" w:eastAsia="宋体" w:cs="宋体"/>
                <w:color w:val="auto"/>
                <w:spacing w:val="9"/>
                <w:sz w:val="20"/>
                <w:szCs w:val="20"/>
                <w:highlight w:val="none"/>
              </w:rPr>
              <w:t>的实验室管理体系，授</w:t>
            </w:r>
            <w:r>
              <w:rPr>
                <w:rFonts w:ascii="宋体" w:hAnsi="宋体" w:eastAsia="宋体" w:cs="宋体"/>
                <w:color w:val="auto"/>
                <w:spacing w:val="10"/>
                <w:sz w:val="20"/>
                <w:szCs w:val="20"/>
                <w:highlight w:val="none"/>
              </w:rPr>
              <w:t>权范围涵盖本标项食品监督抽检监测任务中</w:t>
            </w:r>
            <w:r>
              <w:rPr>
                <w:rFonts w:ascii="宋体" w:hAnsi="宋体" w:eastAsia="宋体" w:cs="宋体"/>
                <w:color w:val="auto"/>
                <w:spacing w:val="9"/>
                <w:sz w:val="20"/>
                <w:szCs w:val="20"/>
                <w:highlight w:val="none"/>
              </w:rPr>
              <w:t>相应的食品品种和监督</w:t>
            </w:r>
            <w:r>
              <w:rPr>
                <w:rFonts w:ascii="宋体" w:hAnsi="宋体" w:eastAsia="宋体" w:cs="宋体"/>
                <w:color w:val="auto"/>
                <w:spacing w:val="10"/>
                <w:sz w:val="20"/>
                <w:szCs w:val="20"/>
                <w:highlight w:val="none"/>
              </w:rPr>
              <w:t>抽检项目。具有相应的检验和质量分析人员</w:t>
            </w:r>
            <w:r>
              <w:rPr>
                <w:rFonts w:ascii="宋体" w:hAnsi="宋体" w:eastAsia="宋体" w:cs="宋体"/>
                <w:color w:val="auto"/>
                <w:spacing w:val="9"/>
                <w:sz w:val="20"/>
                <w:szCs w:val="20"/>
                <w:highlight w:val="none"/>
              </w:rPr>
              <w:t>，参与检验的有关人员</w:t>
            </w:r>
            <w:r>
              <w:rPr>
                <w:rFonts w:ascii="宋体" w:hAnsi="宋体" w:eastAsia="宋体" w:cs="宋体"/>
                <w:color w:val="auto"/>
                <w:spacing w:val="10"/>
                <w:sz w:val="20"/>
                <w:szCs w:val="20"/>
                <w:highlight w:val="none"/>
              </w:rPr>
              <w:t>具有检验员证或上岗证，并具备相应的专业</w:t>
            </w:r>
            <w:r>
              <w:rPr>
                <w:rFonts w:ascii="宋体" w:hAnsi="宋体" w:eastAsia="宋体" w:cs="宋体"/>
                <w:color w:val="auto"/>
                <w:spacing w:val="9"/>
                <w:sz w:val="20"/>
                <w:szCs w:val="20"/>
                <w:highlight w:val="none"/>
              </w:rPr>
              <w:t>知识和能力，具体要求</w:t>
            </w:r>
            <w:r>
              <w:rPr>
                <w:rFonts w:ascii="宋体" w:hAnsi="宋体" w:eastAsia="宋体" w:cs="宋体"/>
                <w:color w:val="auto"/>
                <w:sz w:val="20"/>
                <w:szCs w:val="20"/>
                <w:highlight w:val="none"/>
              </w:rPr>
              <w:t>为：</w:t>
            </w:r>
          </w:p>
          <w:p w14:paraId="268C0F24">
            <w:pPr>
              <w:spacing w:before="123" w:line="228" w:lineRule="auto"/>
              <w:ind w:right="15"/>
              <w:jc w:val="right"/>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（1）具有固定且能够独立运行的检验工作场所以及能满足本项目检测所需的抽样、检验检测、运输贮存（冷藏和冷冻）、数据处理与分析、信息传输等设施设备，能够满足本标项要求的承检任务需要。</w:t>
            </w:r>
          </w:p>
          <w:p w14:paraId="48CAAD81">
            <w:pPr>
              <w:spacing w:before="114" w:line="332" w:lineRule="auto"/>
              <w:ind w:left="108" w:right="186" w:firstLine="9"/>
              <w:jc w:val="both"/>
              <w:rPr>
                <w:rFonts w:ascii="宋体" w:hAnsi="宋体" w:eastAsia="宋体" w:cs="宋体"/>
                <w:color w:val="auto"/>
                <w:sz w:val="20"/>
                <w:szCs w:val="20"/>
                <w:highlight w:val="none"/>
              </w:rPr>
            </w:pPr>
            <w:r>
              <w:rPr>
                <w:rFonts w:ascii="宋体" w:hAnsi="宋体" w:eastAsia="宋体" w:cs="宋体"/>
                <w:b/>
                <w:bCs/>
                <w:color w:val="auto"/>
                <w:spacing w:val="8"/>
                <w:sz w:val="20"/>
                <w:szCs w:val="20"/>
                <w:highlight w:val="none"/>
              </w:rPr>
              <w:t>（响应文件中须提供供应商检验工作场所实验室平面图及供应商拥有的相关检验、检测设施和设备清单，并附供应商实验室有效的房</w:t>
            </w:r>
            <w:r>
              <w:rPr>
                <w:rFonts w:ascii="宋体" w:hAnsi="宋体" w:eastAsia="宋体" w:cs="宋体"/>
                <w:b/>
                <w:bCs/>
                <w:color w:val="auto"/>
                <w:spacing w:val="7"/>
                <w:sz w:val="20"/>
                <w:szCs w:val="20"/>
                <w:highlight w:val="none"/>
              </w:rPr>
              <w:t>屋产权使用证明或租赁合同及仪器设备购置一览表。）</w:t>
            </w:r>
          </w:p>
          <w:p w14:paraId="65B6F0ED">
            <w:pPr>
              <w:spacing w:before="2" w:line="273" w:lineRule="auto"/>
              <w:ind w:left="110" w:right="109" w:firstLine="9"/>
              <w:rPr>
                <w:rFonts w:ascii="宋体" w:hAnsi="宋体" w:eastAsia="宋体" w:cs="宋体"/>
                <w:color w:val="auto"/>
                <w:sz w:val="20"/>
                <w:szCs w:val="20"/>
                <w:highlight w:val="none"/>
              </w:rPr>
            </w:pPr>
          </w:p>
        </w:tc>
      </w:tr>
    </w:tbl>
    <w:p w14:paraId="66E624B2">
      <w:pPr>
        <w:rPr>
          <w:rFonts w:ascii="Arial"/>
          <w:color w:val="auto"/>
          <w:sz w:val="21"/>
          <w:highlight w:val="none"/>
        </w:rPr>
      </w:pPr>
    </w:p>
    <w:p w14:paraId="77E02B91">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36F33F03">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9"/>
        <w:gridCol w:w="679"/>
        <w:gridCol w:w="6404"/>
      </w:tblGrid>
      <w:tr w14:paraId="58AD7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59" w:hRule="atLeast"/>
        </w:trPr>
        <w:tc>
          <w:tcPr>
            <w:tcW w:w="652" w:type="dxa"/>
            <w:vAlign w:val="top"/>
          </w:tcPr>
          <w:p w14:paraId="778043CD">
            <w:pPr>
              <w:pStyle w:val="179"/>
              <w:rPr>
                <w:color w:val="auto"/>
                <w:highlight w:val="none"/>
              </w:rPr>
            </w:pPr>
          </w:p>
        </w:tc>
        <w:tc>
          <w:tcPr>
            <w:tcW w:w="871" w:type="dxa"/>
            <w:vAlign w:val="top"/>
          </w:tcPr>
          <w:p w14:paraId="33EDF269">
            <w:pPr>
              <w:pStyle w:val="179"/>
              <w:rPr>
                <w:color w:val="auto"/>
                <w:highlight w:val="none"/>
              </w:rPr>
            </w:pPr>
          </w:p>
        </w:tc>
        <w:tc>
          <w:tcPr>
            <w:tcW w:w="659" w:type="dxa"/>
            <w:vAlign w:val="top"/>
          </w:tcPr>
          <w:p w14:paraId="3F7E88A5">
            <w:pPr>
              <w:pStyle w:val="179"/>
              <w:rPr>
                <w:color w:val="auto"/>
                <w:highlight w:val="none"/>
              </w:rPr>
            </w:pPr>
          </w:p>
        </w:tc>
        <w:tc>
          <w:tcPr>
            <w:tcW w:w="679" w:type="dxa"/>
            <w:vAlign w:val="top"/>
          </w:tcPr>
          <w:p w14:paraId="29B2A234">
            <w:pPr>
              <w:pStyle w:val="179"/>
              <w:rPr>
                <w:color w:val="auto"/>
                <w:highlight w:val="none"/>
              </w:rPr>
            </w:pPr>
          </w:p>
        </w:tc>
        <w:tc>
          <w:tcPr>
            <w:tcW w:w="6404" w:type="dxa"/>
            <w:vAlign w:val="top"/>
          </w:tcPr>
          <w:p w14:paraId="32EB6F6F">
            <w:pPr>
              <w:spacing w:before="3" w:line="316" w:lineRule="auto"/>
              <w:ind w:left="109" w:right="131" w:firstLine="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（2）具有稳定的抽样、检验和技术管理人员</w:t>
            </w:r>
            <w:r>
              <w:rPr>
                <w:rFonts w:ascii="宋体" w:hAnsi="宋体" w:eastAsia="宋体" w:cs="宋体"/>
                <w:b/>
                <w:bCs/>
                <w:color w:val="auto"/>
                <w:spacing w:val="8"/>
                <w:sz w:val="20"/>
                <w:szCs w:val="20"/>
                <w:highlight w:val="none"/>
              </w:rPr>
              <w:t>[响应文件中须提供拟投入人员名单、职称（资格）证书、及所属于供应商单位在职人员</w:t>
            </w:r>
            <w:r>
              <w:rPr>
                <w:rFonts w:ascii="宋体" w:hAnsi="宋体" w:eastAsia="宋体" w:cs="宋体"/>
                <w:b/>
                <w:bCs/>
                <w:color w:val="auto"/>
                <w:spacing w:val="7"/>
                <w:sz w:val="20"/>
                <w:szCs w:val="20"/>
                <w:highlight w:val="none"/>
              </w:rPr>
              <w:t>的相关证明材料，如</w:t>
            </w:r>
            <w:r>
              <w:rPr>
                <w:rFonts w:ascii="宋体" w:hAnsi="宋体" w:eastAsia="宋体" w:cs="宋体"/>
                <w:color w:val="auto"/>
                <w:spacing w:val="-29"/>
                <w:sz w:val="20"/>
                <w:szCs w:val="20"/>
                <w:highlight w:val="none"/>
              </w:rPr>
              <w:t xml:space="preserve"> </w:t>
            </w:r>
            <w:r>
              <w:rPr>
                <w:rFonts w:ascii="宋体" w:hAnsi="宋体" w:eastAsia="宋体" w:cs="宋体"/>
                <w:b/>
                <w:bCs/>
                <w:color w:val="auto"/>
                <w:spacing w:val="7"/>
                <w:sz w:val="20"/>
                <w:szCs w:val="20"/>
                <w:highlight w:val="none"/>
              </w:rPr>
              <w:t>202</w:t>
            </w:r>
            <w:r>
              <w:rPr>
                <w:rFonts w:hint="eastAsia" w:ascii="宋体" w:hAnsi="宋体" w:eastAsia="宋体" w:cs="宋体"/>
                <w:b/>
                <w:bCs/>
                <w:color w:val="auto"/>
                <w:spacing w:val="7"/>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b/>
                <w:bCs/>
                <w:color w:val="auto"/>
                <w:spacing w:val="7"/>
                <w:sz w:val="20"/>
                <w:szCs w:val="20"/>
                <w:highlight w:val="none"/>
              </w:rPr>
              <w:t>年</w:t>
            </w:r>
            <w:r>
              <w:rPr>
                <w:rFonts w:hint="eastAsia" w:ascii="宋体" w:hAnsi="宋体" w:cs="宋体"/>
                <w:b/>
                <w:bCs/>
                <w:color w:val="auto"/>
                <w:spacing w:val="7"/>
                <w:sz w:val="20"/>
                <w:szCs w:val="20"/>
                <w:highlight w:val="none"/>
                <w:lang w:val="en-US" w:eastAsia="zh-CN"/>
              </w:rPr>
              <w:t>任意一个</w:t>
            </w:r>
            <w:r>
              <w:rPr>
                <w:rFonts w:ascii="宋体" w:hAnsi="宋体" w:eastAsia="宋体" w:cs="宋体"/>
                <w:b/>
                <w:bCs/>
                <w:color w:val="auto"/>
                <w:spacing w:val="7"/>
                <w:sz w:val="20"/>
                <w:szCs w:val="20"/>
                <w:highlight w:val="none"/>
              </w:rPr>
              <w:t>月工资流水或</w:t>
            </w:r>
            <w:r>
              <w:rPr>
                <w:rFonts w:ascii="宋体" w:hAnsi="宋体" w:eastAsia="宋体" w:cs="宋体"/>
                <w:color w:val="auto"/>
                <w:spacing w:val="-34"/>
                <w:sz w:val="20"/>
                <w:szCs w:val="20"/>
                <w:highlight w:val="none"/>
              </w:rPr>
              <w:t xml:space="preserve"> </w:t>
            </w:r>
            <w:r>
              <w:rPr>
                <w:rFonts w:ascii="宋体" w:hAnsi="宋体" w:eastAsia="宋体" w:cs="宋体"/>
                <w:b/>
                <w:bCs/>
                <w:color w:val="auto"/>
                <w:spacing w:val="7"/>
                <w:sz w:val="20"/>
                <w:szCs w:val="20"/>
                <w:highlight w:val="none"/>
              </w:rPr>
              <w:t>202</w:t>
            </w:r>
            <w:r>
              <w:rPr>
                <w:rFonts w:hint="eastAsia" w:ascii="宋体" w:hAnsi="宋体" w:eastAsia="宋体" w:cs="宋体"/>
                <w:b/>
                <w:bCs/>
                <w:color w:val="auto"/>
                <w:spacing w:val="7"/>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b/>
                <w:bCs/>
                <w:color w:val="auto"/>
                <w:spacing w:val="7"/>
                <w:sz w:val="20"/>
                <w:szCs w:val="20"/>
                <w:highlight w:val="none"/>
              </w:rPr>
              <w:t>年4</w:t>
            </w:r>
            <w:r>
              <w:rPr>
                <w:rFonts w:ascii="宋体" w:hAnsi="宋体" w:eastAsia="宋体" w:cs="宋体"/>
                <w:color w:val="auto"/>
                <w:spacing w:val="-33"/>
                <w:sz w:val="20"/>
                <w:szCs w:val="20"/>
                <w:highlight w:val="none"/>
              </w:rPr>
              <w:t xml:space="preserve"> </w:t>
            </w:r>
            <w:r>
              <w:rPr>
                <w:rFonts w:ascii="宋体" w:hAnsi="宋体" w:eastAsia="宋体" w:cs="宋体"/>
                <w:b/>
                <w:bCs/>
                <w:color w:val="auto"/>
                <w:spacing w:val="7"/>
                <w:sz w:val="20"/>
                <w:szCs w:val="20"/>
                <w:highlight w:val="none"/>
              </w:rPr>
              <w:t>月至</w:t>
            </w:r>
            <w:r>
              <w:rPr>
                <w:rFonts w:ascii="宋体" w:hAnsi="宋体" w:eastAsia="宋体" w:cs="宋体"/>
                <w:b/>
                <w:bCs/>
                <w:color w:val="auto"/>
                <w:spacing w:val="1"/>
                <w:sz w:val="20"/>
                <w:szCs w:val="20"/>
                <w:highlight w:val="none"/>
                <w:u w:val="single" w:color="auto"/>
              </w:rPr>
              <w:t>6</w:t>
            </w:r>
            <w:r>
              <w:rPr>
                <w:rFonts w:ascii="宋体" w:hAnsi="宋体" w:eastAsia="宋体" w:cs="宋体"/>
                <w:color w:val="auto"/>
                <w:spacing w:val="-28"/>
                <w:sz w:val="20"/>
                <w:szCs w:val="20"/>
                <w:highlight w:val="none"/>
                <w:u w:val="single" w:color="auto"/>
              </w:rPr>
              <w:t xml:space="preserve"> </w:t>
            </w:r>
            <w:r>
              <w:rPr>
                <w:rFonts w:ascii="宋体" w:hAnsi="宋体" w:eastAsia="宋体" w:cs="宋体"/>
                <w:b/>
                <w:bCs/>
                <w:color w:val="auto"/>
                <w:spacing w:val="1"/>
                <w:sz w:val="20"/>
                <w:szCs w:val="20"/>
                <w:highlight w:val="none"/>
              </w:rPr>
              <w:t>月社保等]。</w:t>
            </w:r>
          </w:p>
          <w:p w14:paraId="365CDA5C">
            <w:pPr>
              <w:spacing w:before="2" w:line="288" w:lineRule="auto"/>
              <w:ind w:left="107" w:right="1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①本标项拟投入从事食品检验相关工作人员总数不低于</w:t>
            </w:r>
            <w:r>
              <w:rPr>
                <w:rFonts w:ascii="宋体" w:hAnsi="宋体" w:eastAsia="宋体" w:cs="宋体"/>
                <w:color w:val="auto"/>
                <w:spacing w:val="-20"/>
                <w:sz w:val="20"/>
                <w:szCs w:val="20"/>
                <w:highlight w:val="none"/>
              </w:rPr>
              <w:t xml:space="preserve"> </w:t>
            </w:r>
            <w:r>
              <w:rPr>
                <w:rFonts w:ascii="宋体" w:hAnsi="宋体" w:eastAsia="宋体" w:cs="宋体"/>
                <w:color w:val="auto"/>
                <w:spacing w:val="8"/>
                <w:sz w:val="20"/>
                <w:szCs w:val="20"/>
                <w:highlight w:val="none"/>
              </w:rPr>
              <w:t>10</w:t>
            </w:r>
            <w:r>
              <w:rPr>
                <w:rFonts w:ascii="宋体" w:hAnsi="宋体" w:eastAsia="宋体" w:cs="宋体"/>
                <w:color w:val="auto"/>
                <w:spacing w:val="-39"/>
                <w:sz w:val="20"/>
                <w:szCs w:val="20"/>
                <w:highlight w:val="none"/>
              </w:rPr>
              <w:t xml:space="preserve"> </w:t>
            </w:r>
            <w:r>
              <w:rPr>
                <w:rFonts w:ascii="宋体" w:hAnsi="宋体" w:eastAsia="宋体" w:cs="宋体"/>
                <w:color w:val="auto"/>
                <w:spacing w:val="8"/>
                <w:sz w:val="20"/>
                <w:szCs w:val="20"/>
                <w:highlight w:val="none"/>
              </w:rPr>
              <w:t>人，且直</w:t>
            </w:r>
            <w:r>
              <w:rPr>
                <w:rFonts w:ascii="宋体" w:hAnsi="宋体" w:eastAsia="宋体" w:cs="宋体"/>
                <w:color w:val="auto"/>
                <w:spacing w:val="9"/>
                <w:sz w:val="20"/>
                <w:szCs w:val="20"/>
                <w:highlight w:val="none"/>
              </w:rPr>
              <w:t>接从事食品检验工作满</w:t>
            </w:r>
            <w:r>
              <w:rPr>
                <w:rFonts w:ascii="宋体" w:hAnsi="宋体" w:eastAsia="宋体" w:cs="宋体"/>
                <w:color w:val="auto"/>
                <w:spacing w:val="-34"/>
                <w:sz w:val="20"/>
                <w:szCs w:val="20"/>
                <w:highlight w:val="none"/>
              </w:rPr>
              <w:t xml:space="preserve"> </w:t>
            </w:r>
            <w:r>
              <w:rPr>
                <w:rFonts w:ascii="宋体" w:hAnsi="宋体" w:eastAsia="宋体" w:cs="宋体"/>
                <w:color w:val="auto"/>
                <w:spacing w:val="9"/>
                <w:sz w:val="20"/>
                <w:szCs w:val="20"/>
                <w:highlight w:val="none"/>
              </w:rPr>
              <w:t>2</w:t>
            </w:r>
            <w:r>
              <w:rPr>
                <w:rFonts w:ascii="宋体" w:hAnsi="宋体" w:eastAsia="宋体" w:cs="宋体"/>
                <w:color w:val="auto"/>
                <w:spacing w:val="-39"/>
                <w:sz w:val="20"/>
                <w:szCs w:val="20"/>
                <w:highlight w:val="none"/>
              </w:rPr>
              <w:t xml:space="preserve"> </w:t>
            </w:r>
            <w:r>
              <w:rPr>
                <w:rFonts w:ascii="宋体" w:hAnsi="宋体" w:eastAsia="宋体" w:cs="宋体"/>
                <w:color w:val="auto"/>
                <w:spacing w:val="9"/>
                <w:sz w:val="20"/>
                <w:szCs w:val="20"/>
                <w:highlight w:val="none"/>
              </w:rPr>
              <w:t>年及以上的检验人</w:t>
            </w:r>
            <w:r>
              <w:rPr>
                <w:rFonts w:ascii="宋体" w:hAnsi="宋体" w:eastAsia="宋体" w:cs="宋体"/>
                <w:color w:val="auto"/>
                <w:spacing w:val="8"/>
                <w:sz w:val="20"/>
                <w:szCs w:val="20"/>
                <w:highlight w:val="none"/>
              </w:rPr>
              <w:t>员占直接从事食品检验</w:t>
            </w:r>
            <w:r>
              <w:rPr>
                <w:rFonts w:ascii="宋体" w:hAnsi="宋体" w:eastAsia="宋体" w:cs="宋体"/>
                <w:color w:val="auto"/>
                <w:spacing w:val="7"/>
                <w:sz w:val="20"/>
                <w:szCs w:val="20"/>
                <w:highlight w:val="none"/>
              </w:rPr>
              <w:t>人员总数的比例不低于</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50%（含</w:t>
            </w:r>
            <w:r>
              <w:rPr>
                <w:rFonts w:ascii="宋体" w:hAnsi="宋体" w:eastAsia="宋体" w:cs="宋体"/>
                <w:color w:val="auto"/>
                <w:spacing w:val="5"/>
                <w:sz w:val="20"/>
                <w:szCs w:val="20"/>
                <w:highlight w:val="none"/>
              </w:rPr>
              <w:t>），</w:t>
            </w:r>
            <w:r>
              <w:rPr>
                <w:rFonts w:ascii="宋体" w:hAnsi="宋体" w:eastAsia="宋体" w:cs="宋体"/>
                <w:color w:val="auto"/>
                <w:spacing w:val="7"/>
                <w:sz w:val="20"/>
                <w:szCs w:val="20"/>
                <w:highlight w:val="none"/>
              </w:rPr>
              <w:t>能保证食品抽样检验工作的连续</w:t>
            </w:r>
            <w:r>
              <w:rPr>
                <w:rFonts w:ascii="宋体" w:hAnsi="宋体" w:eastAsia="宋体" w:cs="宋体"/>
                <w:color w:val="auto"/>
                <w:spacing w:val="6"/>
                <w:sz w:val="20"/>
                <w:szCs w:val="20"/>
                <w:highlight w:val="none"/>
              </w:rPr>
              <w:t>性和稳定性。</w:t>
            </w:r>
            <w:r>
              <w:rPr>
                <w:rFonts w:ascii="宋体" w:hAnsi="宋体" w:eastAsia="宋体" w:cs="宋体"/>
                <w:color w:val="auto"/>
                <w:spacing w:val="-35"/>
                <w:sz w:val="20"/>
                <w:szCs w:val="20"/>
                <w:highlight w:val="none"/>
              </w:rPr>
              <w:t xml:space="preserve"> </w:t>
            </w:r>
            <w:r>
              <w:rPr>
                <w:rFonts w:ascii="宋体" w:hAnsi="宋体" w:eastAsia="宋体" w:cs="宋体"/>
                <w:b/>
                <w:bCs/>
                <w:color w:val="auto"/>
                <w:spacing w:val="6"/>
                <w:sz w:val="20"/>
                <w:szCs w:val="20"/>
                <w:highlight w:val="none"/>
              </w:rPr>
              <w:t>[响应文件中须提供工作满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2</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年及以上直接从事食品</w:t>
            </w:r>
            <w:r>
              <w:rPr>
                <w:rFonts w:ascii="宋体" w:hAnsi="宋体" w:eastAsia="宋体" w:cs="宋体"/>
                <w:b/>
                <w:bCs/>
                <w:color w:val="auto"/>
                <w:spacing w:val="8"/>
                <w:sz w:val="20"/>
                <w:szCs w:val="20"/>
                <w:highlight w:val="none"/>
              </w:rPr>
              <w:t>检验个人工作经历证明材料（如</w:t>
            </w:r>
            <w:r>
              <w:rPr>
                <w:rFonts w:hint="eastAsia" w:ascii="宋体" w:hAnsi="宋体" w:cs="宋体"/>
                <w:b/>
                <w:bCs/>
                <w:color w:val="auto"/>
                <w:spacing w:val="8"/>
                <w:sz w:val="20"/>
                <w:szCs w:val="20"/>
                <w:highlight w:val="none"/>
                <w:lang w:val="en-US" w:eastAsia="zh-CN"/>
              </w:rPr>
              <w:t>工资流水或</w:t>
            </w:r>
            <w:r>
              <w:rPr>
                <w:rFonts w:ascii="宋体" w:hAnsi="宋体" w:eastAsia="宋体" w:cs="宋体"/>
                <w:b/>
                <w:bCs/>
                <w:color w:val="auto"/>
                <w:spacing w:val="8"/>
                <w:sz w:val="20"/>
                <w:szCs w:val="20"/>
                <w:highlight w:val="none"/>
              </w:rPr>
              <w:t>社保证明或承诺等</w:t>
            </w:r>
            <w:r>
              <w:rPr>
                <w:rFonts w:ascii="宋体" w:hAnsi="宋体" w:eastAsia="宋体" w:cs="宋体"/>
                <w:b/>
                <w:bCs/>
                <w:color w:val="auto"/>
                <w:spacing w:val="15"/>
                <w:sz w:val="20"/>
                <w:szCs w:val="20"/>
                <w:highlight w:val="none"/>
              </w:rPr>
              <w:t>），</w:t>
            </w:r>
            <w:r>
              <w:rPr>
                <w:rFonts w:ascii="宋体" w:hAnsi="宋体" w:eastAsia="宋体" w:cs="宋体"/>
                <w:b/>
                <w:bCs/>
                <w:color w:val="auto"/>
                <w:spacing w:val="8"/>
                <w:sz w:val="20"/>
                <w:szCs w:val="20"/>
                <w:highlight w:val="none"/>
              </w:rPr>
              <w:t>并</w:t>
            </w:r>
            <w:r>
              <w:rPr>
                <w:rFonts w:ascii="宋体" w:hAnsi="宋体" w:eastAsia="宋体" w:cs="宋体"/>
                <w:b/>
                <w:bCs/>
                <w:color w:val="auto"/>
                <w:spacing w:val="7"/>
                <w:sz w:val="20"/>
                <w:szCs w:val="20"/>
                <w:highlight w:val="none"/>
              </w:rPr>
              <w:t>加盖供应商单位公章或电子签章]</w:t>
            </w:r>
          </w:p>
          <w:p w14:paraId="452E5BA1">
            <w:pPr>
              <w:spacing w:before="65" w:line="332" w:lineRule="auto"/>
              <w:ind w:left="110" w:right="212" w:hanging="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②要求检验和技术管理人员熟悉有关食品检验的标准、检验方法原理，掌握检验操作技能、标准操作程序、计量和数据处理知识等；</w:t>
            </w:r>
          </w:p>
          <w:p w14:paraId="221C68CD">
            <w:pPr>
              <w:spacing w:before="1" w:line="332" w:lineRule="auto"/>
              <w:ind w:left="109" w:right="109" w:hanging="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技术负责人、质量负责人至少从事食品检验管理及相关工作</w:t>
            </w:r>
            <w:r>
              <w:rPr>
                <w:rFonts w:ascii="宋体" w:hAnsi="宋体" w:eastAsia="宋体" w:cs="宋体"/>
                <w:color w:val="auto"/>
                <w:spacing w:val="-16"/>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年或</w:t>
            </w:r>
            <w:r>
              <w:rPr>
                <w:rFonts w:ascii="宋体" w:hAnsi="宋体" w:eastAsia="宋体" w:cs="宋体"/>
                <w:color w:val="auto"/>
                <w:spacing w:val="5"/>
                <w:sz w:val="20"/>
                <w:szCs w:val="20"/>
                <w:highlight w:val="none"/>
              </w:rPr>
              <w:t>以上；</w:t>
            </w:r>
            <w:r>
              <w:rPr>
                <w:rFonts w:ascii="宋体" w:hAnsi="宋体" w:eastAsia="宋体" w:cs="宋体"/>
                <w:b/>
                <w:bCs/>
                <w:color w:val="auto"/>
                <w:spacing w:val="5"/>
                <w:sz w:val="20"/>
                <w:szCs w:val="20"/>
                <w:highlight w:val="none"/>
              </w:rPr>
              <w:t>[响应文件中须提供工作满</w:t>
            </w:r>
            <w:r>
              <w:rPr>
                <w:rFonts w:ascii="宋体" w:hAnsi="宋体" w:eastAsia="宋体" w:cs="宋体"/>
                <w:color w:val="auto"/>
                <w:spacing w:val="5"/>
                <w:sz w:val="20"/>
                <w:szCs w:val="20"/>
                <w:highlight w:val="none"/>
              </w:rPr>
              <w:t xml:space="preserve"> </w:t>
            </w:r>
            <w:r>
              <w:rPr>
                <w:rFonts w:ascii="宋体" w:hAnsi="宋体" w:eastAsia="宋体" w:cs="宋体"/>
                <w:b/>
                <w:bCs/>
                <w:color w:val="auto"/>
                <w:spacing w:val="5"/>
                <w:sz w:val="20"/>
                <w:szCs w:val="20"/>
                <w:highlight w:val="none"/>
              </w:rPr>
              <w:t>2</w:t>
            </w:r>
            <w:r>
              <w:rPr>
                <w:rFonts w:ascii="宋体" w:hAnsi="宋体" w:eastAsia="宋体" w:cs="宋体"/>
                <w:color w:val="auto"/>
                <w:spacing w:val="-34"/>
                <w:sz w:val="20"/>
                <w:szCs w:val="20"/>
                <w:highlight w:val="none"/>
              </w:rPr>
              <w:t xml:space="preserve"> </w:t>
            </w:r>
            <w:r>
              <w:rPr>
                <w:rFonts w:ascii="宋体" w:hAnsi="宋体" w:eastAsia="宋体" w:cs="宋体"/>
                <w:b/>
                <w:bCs/>
                <w:color w:val="auto"/>
                <w:spacing w:val="5"/>
                <w:sz w:val="20"/>
                <w:szCs w:val="20"/>
                <w:highlight w:val="none"/>
              </w:rPr>
              <w:t>年及以上直接从事食品检验个人</w:t>
            </w:r>
            <w:r>
              <w:rPr>
                <w:rFonts w:ascii="宋体" w:hAnsi="宋体" w:eastAsia="宋体" w:cs="宋体"/>
                <w:b/>
                <w:bCs/>
                <w:color w:val="auto"/>
                <w:spacing w:val="7"/>
                <w:sz w:val="20"/>
                <w:szCs w:val="20"/>
                <w:highlight w:val="none"/>
              </w:rPr>
              <w:t>工作经历证明材料（如</w:t>
            </w:r>
            <w:r>
              <w:rPr>
                <w:rFonts w:hint="eastAsia" w:ascii="宋体" w:hAnsi="宋体" w:cs="宋体"/>
                <w:b/>
                <w:bCs/>
                <w:color w:val="auto"/>
                <w:spacing w:val="8"/>
                <w:sz w:val="20"/>
                <w:szCs w:val="20"/>
                <w:highlight w:val="none"/>
                <w:lang w:val="en-US" w:eastAsia="zh-CN"/>
              </w:rPr>
              <w:t>工资流水或</w:t>
            </w:r>
            <w:r>
              <w:rPr>
                <w:rFonts w:ascii="宋体" w:hAnsi="宋体" w:eastAsia="宋体" w:cs="宋体"/>
                <w:b/>
                <w:bCs/>
                <w:color w:val="auto"/>
                <w:spacing w:val="7"/>
                <w:sz w:val="20"/>
                <w:szCs w:val="20"/>
                <w:highlight w:val="none"/>
              </w:rPr>
              <w:t>社保证明或承诺等</w:t>
            </w:r>
            <w:r>
              <w:rPr>
                <w:rFonts w:ascii="宋体" w:hAnsi="宋体" w:eastAsia="宋体" w:cs="宋体"/>
                <w:b/>
                <w:bCs/>
                <w:color w:val="auto"/>
                <w:spacing w:val="25"/>
                <w:sz w:val="20"/>
                <w:szCs w:val="20"/>
                <w:highlight w:val="none"/>
              </w:rPr>
              <w:t>），</w:t>
            </w:r>
            <w:r>
              <w:rPr>
                <w:rFonts w:ascii="宋体" w:hAnsi="宋体" w:eastAsia="宋体" w:cs="宋体"/>
                <w:b/>
                <w:bCs/>
                <w:color w:val="auto"/>
                <w:spacing w:val="7"/>
                <w:sz w:val="20"/>
                <w:szCs w:val="20"/>
                <w:highlight w:val="none"/>
              </w:rPr>
              <w:t>并加盖供应商单位公</w:t>
            </w:r>
            <w:r>
              <w:rPr>
                <w:rFonts w:ascii="宋体" w:hAnsi="宋体" w:eastAsia="宋体" w:cs="宋体"/>
                <w:b/>
                <w:bCs/>
                <w:color w:val="auto"/>
                <w:spacing w:val="6"/>
                <w:sz w:val="20"/>
                <w:szCs w:val="20"/>
                <w:highlight w:val="none"/>
              </w:rPr>
              <w:t>章或电子签章]</w:t>
            </w:r>
          </w:p>
          <w:p w14:paraId="3EB131BF">
            <w:pPr>
              <w:spacing w:before="1" w:line="332" w:lineRule="auto"/>
              <w:ind w:left="106" w:right="109"/>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③从事食品检验工作满</w:t>
            </w:r>
            <w:r>
              <w:rPr>
                <w:rFonts w:ascii="宋体" w:hAnsi="宋体" w:eastAsia="宋体" w:cs="宋体"/>
                <w:color w:val="auto"/>
                <w:spacing w:val="-24"/>
                <w:sz w:val="20"/>
                <w:szCs w:val="20"/>
                <w:highlight w:val="none"/>
              </w:rPr>
              <w:t xml:space="preserve"> </w:t>
            </w:r>
            <w:r>
              <w:rPr>
                <w:rFonts w:ascii="宋体" w:hAnsi="宋体" w:eastAsia="宋体" w:cs="宋体"/>
                <w:color w:val="auto"/>
                <w:spacing w:val="10"/>
                <w:sz w:val="20"/>
                <w:szCs w:val="20"/>
                <w:highlight w:val="none"/>
              </w:rPr>
              <w:t>2</w:t>
            </w:r>
            <w:r>
              <w:rPr>
                <w:rFonts w:ascii="宋体" w:hAnsi="宋体" w:eastAsia="宋体" w:cs="宋体"/>
                <w:color w:val="auto"/>
                <w:spacing w:val="-34"/>
                <w:sz w:val="20"/>
                <w:szCs w:val="20"/>
                <w:highlight w:val="none"/>
              </w:rPr>
              <w:t xml:space="preserve"> </w:t>
            </w:r>
            <w:r>
              <w:rPr>
                <w:rFonts w:ascii="宋体" w:hAnsi="宋体" w:eastAsia="宋体" w:cs="宋体"/>
                <w:color w:val="auto"/>
                <w:spacing w:val="10"/>
                <w:sz w:val="20"/>
                <w:szCs w:val="20"/>
                <w:highlight w:val="none"/>
              </w:rPr>
              <w:t>年（含）</w:t>
            </w:r>
            <w:r>
              <w:rPr>
                <w:rFonts w:ascii="宋体" w:hAnsi="宋体" w:eastAsia="宋体" w:cs="宋体"/>
                <w:color w:val="auto"/>
                <w:spacing w:val="-50"/>
                <w:sz w:val="20"/>
                <w:szCs w:val="20"/>
                <w:highlight w:val="none"/>
              </w:rPr>
              <w:t xml:space="preserve"> </w:t>
            </w:r>
            <w:r>
              <w:rPr>
                <w:rFonts w:ascii="宋体" w:hAnsi="宋体" w:eastAsia="宋体" w:cs="宋体"/>
                <w:color w:val="auto"/>
                <w:spacing w:val="10"/>
                <w:sz w:val="20"/>
                <w:szCs w:val="20"/>
                <w:highlight w:val="none"/>
              </w:rPr>
              <w:t>以上具有中级或以上系列职称的</w:t>
            </w:r>
            <w:r>
              <w:rPr>
                <w:rFonts w:ascii="宋体" w:hAnsi="宋体" w:eastAsia="宋体" w:cs="宋体"/>
                <w:color w:val="auto"/>
                <w:spacing w:val="8"/>
                <w:sz w:val="20"/>
                <w:szCs w:val="20"/>
                <w:highlight w:val="none"/>
              </w:rPr>
              <w:t>技术人员不低于</w:t>
            </w:r>
            <w:r>
              <w:rPr>
                <w:rFonts w:ascii="宋体" w:hAnsi="宋体" w:eastAsia="宋体" w:cs="宋体"/>
                <w:color w:val="auto"/>
                <w:spacing w:val="-21"/>
                <w:sz w:val="20"/>
                <w:szCs w:val="20"/>
                <w:highlight w:val="none"/>
              </w:rPr>
              <w:t xml:space="preserve"> </w:t>
            </w:r>
            <w:r>
              <w:rPr>
                <w:rFonts w:ascii="宋体" w:hAnsi="宋体" w:eastAsia="宋体" w:cs="宋体"/>
                <w:color w:val="auto"/>
                <w:spacing w:val="8"/>
                <w:sz w:val="20"/>
                <w:szCs w:val="20"/>
                <w:highlight w:val="none"/>
              </w:rPr>
              <w:t>5</w:t>
            </w:r>
            <w:r>
              <w:rPr>
                <w:rFonts w:ascii="宋体" w:hAnsi="宋体" w:eastAsia="宋体" w:cs="宋体"/>
                <w:color w:val="auto"/>
                <w:spacing w:val="-33"/>
                <w:sz w:val="20"/>
                <w:szCs w:val="20"/>
                <w:highlight w:val="none"/>
              </w:rPr>
              <w:t xml:space="preserve"> </w:t>
            </w:r>
            <w:r>
              <w:rPr>
                <w:rFonts w:ascii="宋体" w:hAnsi="宋体" w:eastAsia="宋体" w:cs="宋体"/>
                <w:color w:val="auto"/>
                <w:spacing w:val="8"/>
                <w:sz w:val="20"/>
                <w:szCs w:val="20"/>
                <w:highlight w:val="none"/>
              </w:rPr>
              <w:t>名</w:t>
            </w:r>
            <w:r>
              <w:rPr>
                <w:rFonts w:ascii="宋体" w:hAnsi="宋体" w:eastAsia="宋体" w:cs="宋体"/>
                <w:color w:val="auto"/>
                <w:spacing w:val="-57"/>
                <w:sz w:val="20"/>
                <w:szCs w:val="20"/>
                <w:highlight w:val="none"/>
              </w:rPr>
              <w:t xml:space="preserve"> </w:t>
            </w:r>
            <w:r>
              <w:rPr>
                <w:rFonts w:ascii="宋体" w:hAnsi="宋体" w:eastAsia="宋体" w:cs="宋体"/>
                <w:b/>
                <w:bCs/>
                <w:color w:val="auto"/>
                <w:spacing w:val="8"/>
                <w:sz w:val="20"/>
                <w:szCs w:val="20"/>
                <w:highlight w:val="none"/>
              </w:rPr>
              <w:t>[响应文件中须提供工作满</w:t>
            </w:r>
            <w:r>
              <w:rPr>
                <w:rFonts w:ascii="宋体" w:hAnsi="宋体" w:eastAsia="宋体" w:cs="宋体"/>
                <w:color w:val="auto"/>
                <w:spacing w:val="8"/>
                <w:sz w:val="20"/>
                <w:szCs w:val="20"/>
                <w:highlight w:val="none"/>
              </w:rPr>
              <w:t xml:space="preserve"> </w:t>
            </w:r>
            <w:r>
              <w:rPr>
                <w:rFonts w:ascii="宋体" w:hAnsi="宋体" w:eastAsia="宋体" w:cs="宋体"/>
                <w:b/>
                <w:bCs/>
                <w:color w:val="auto"/>
                <w:spacing w:val="8"/>
                <w:sz w:val="20"/>
                <w:szCs w:val="20"/>
                <w:highlight w:val="none"/>
              </w:rPr>
              <w:t>2</w:t>
            </w:r>
            <w:r>
              <w:rPr>
                <w:rFonts w:ascii="宋体" w:hAnsi="宋体" w:eastAsia="宋体" w:cs="宋体"/>
                <w:color w:val="auto"/>
                <w:spacing w:val="8"/>
                <w:sz w:val="20"/>
                <w:szCs w:val="20"/>
                <w:highlight w:val="none"/>
              </w:rPr>
              <w:t xml:space="preserve"> </w:t>
            </w:r>
            <w:r>
              <w:rPr>
                <w:rFonts w:ascii="宋体" w:hAnsi="宋体" w:eastAsia="宋体" w:cs="宋体"/>
                <w:b/>
                <w:bCs/>
                <w:color w:val="auto"/>
                <w:spacing w:val="8"/>
                <w:sz w:val="20"/>
                <w:szCs w:val="20"/>
                <w:highlight w:val="none"/>
              </w:rPr>
              <w:t>年及以上直接从</w:t>
            </w:r>
            <w:r>
              <w:rPr>
                <w:rFonts w:ascii="宋体" w:hAnsi="宋体" w:eastAsia="宋体" w:cs="宋体"/>
                <w:b/>
                <w:bCs/>
                <w:color w:val="auto"/>
                <w:spacing w:val="7"/>
                <w:sz w:val="20"/>
                <w:szCs w:val="20"/>
                <w:highlight w:val="none"/>
              </w:rPr>
              <w:t>事食品检验个人工作经历证明材料（如</w:t>
            </w:r>
            <w:r>
              <w:rPr>
                <w:rFonts w:hint="eastAsia" w:ascii="宋体" w:hAnsi="宋体" w:cs="宋体"/>
                <w:b/>
                <w:bCs/>
                <w:color w:val="auto"/>
                <w:spacing w:val="8"/>
                <w:sz w:val="20"/>
                <w:szCs w:val="20"/>
                <w:highlight w:val="none"/>
                <w:lang w:val="en-US" w:eastAsia="zh-CN"/>
              </w:rPr>
              <w:t>工资流水或</w:t>
            </w:r>
            <w:r>
              <w:rPr>
                <w:rFonts w:ascii="宋体" w:hAnsi="宋体" w:eastAsia="宋体" w:cs="宋体"/>
                <w:b/>
                <w:bCs/>
                <w:color w:val="auto"/>
                <w:spacing w:val="7"/>
                <w:sz w:val="20"/>
                <w:szCs w:val="20"/>
                <w:highlight w:val="none"/>
              </w:rPr>
              <w:t>社保证明或承诺等)、人力资</w:t>
            </w:r>
            <w:r>
              <w:rPr>
                <w:rFonts w:ascii="宋体" w:hAnsi="宋体" w:eastAsia="宋体" w:cs="宋体"/>
                <w:b/>
                <w:bCs/>
                <w:color w:val="auto"/>
                <w:spacing w:val="11"/>
                <w:sz w:val="20"/>
                <w:szCs w:val="20"/>
                <w:highlight w:val="none"/>
              </w:rPr>
              <w:t>源部门颁发的相关职称证明文件，并加盖供应商单位公章或电子签</w:t>
            </w:r>
            <w:r>
              <w:rPr>
                <w:rFonts w:ascii="宋体" w:hAnsi="宋体" w:eastAsia="宋体" w:cs="宋体"/>
                <w:b/>
                <w:bCs/>
                <w:color w:val="auto"/>
                <w:spacing w:val="-1"/>
                <w:sz w:val="20"/>
                <w:szCs w:val="20"/>
                <w:highlight w:val="none"/>
              </w:rPr>
              <w:t>章]。</w:t>
            </w:r>
          </w:p>
          <w:p w14:paraId="2C1475E2">
            <w:pPr>
              <w:spacing w:before="1" w:line="226" w:lineRule="auto"/>
              <w:ind w:left="10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④同时承担抽样任务的，具有与抽样工作相匹配的独立抽样人员、</w:t>
            </w:r>
          </w:p>
          <w:p w14:paraId="0966B9F1">
            <w:pPr>
              <w:spacing w:before="115" w:line="332" w:lineRule="auto"/>
              <w:ind w:left="111" w:right="210" w:hanging="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抽样工具、设备等条件；熟悉食品抽样程序</w:t>
            </w:r>
            <w:r>
              <w:rPr>
                <w:rFonts w:ascii="宋体" w:hAnsi="宋体" w:eastAsia="宋体" w:cs="宋体"/>
                <w:color w:val="auto"/>
                <w:spacing w:val="9"/>
                <w:sz w:val="20"/>
                <w:szCs w:val="20"/>
                <w:highlight w:val="none"/>
              </w:rPr>
              <w:t>，能按照要求派出不少</w:t>
            </w:r>
            <w:r>
              <w:rPr>
                <w:rFonts w:ascii="宋体" w:hAnsi="宋体" w:eastAsia="宋体" w:cs="宋体"/>
                <w:color w:val="auto"/>
                <w:spacing w:val="8"/>
                <w:sz w:val="20"/>
                <w:szCs w:val="20"/>
                <w:highlight w:val="none"/>
              </w:rPr>
              <w:t>于</w:t>
            </w:r>
            <w:r>
              <w:rPr>
                <w:rFonts w:ascii="宋体" w:hAnsi="宋体" w:eastAsia="宋体" w:cs="宋体"/>
                <w:color w:val="auto"/>
                <w:spacing w:val="-31"/>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人的抽样人员完成抽样工作，抽样人员熟悉相关法律、法规、</w:t>
            </w:r>
          </w:p>
          <w:p w14:paraId="7E5F9775">
            <w:pPr>
              <w:spacing w:before="2" w:line="332" w:lineRule="auto"/>
              <w:ind w:left="108" w:right="10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规章和标准等有关规定。抽样人员使用规范的抽样文书，准确、完整记录抽样信息，抽样程序符合规定。</w:t>
            </w:r>
            <w:r>
              <w:rPr>
                <w:rFonts w:ascii="宋体" w:hAnsi="宋体" w:eastAsia="宋体" w:cs="宋体"/>
                <w:b/>
                <w:bCs/>
                <w:color w:val="auto"/>
                <w:spacing w:val="9"/>
                <w:sz w:val="20"/>
                <w:szCs w:val="20"/>
                <w:highlight w:val="none"/>
              </w:rPr>
              <w:t>（响应文件中须提供抽样工</w:t>
            </w:r>
            <w:r>
              <w:rPr>
                <w:rFonts w:ascii="宋体" w:hAnsi="宋体" w:eastAsia="宋体" w:cs="宋体"/>
                <w:b/>
                <w:bCs/>
                <w:color w:val="auto"/>
                <w:spacing w:val="8"/>
                <w:sz w:val="20"/>
                <w:szCs w:val="20"/>
                <w:highlight w:val="none"/>
              </w:rPr>
              <w:t>具，设备清单、专职抽样人员名单，及所属于供应商单位在职人员</w:t>
            </w:r>
            <w:r>
              <w:rPr>
                <w:rFonts w:ascii="宋体" w:hAnsi="宋体" w:eastAsia="宋体" w:cs="宋体"/>
                <w:b/>
                <w:bCs/>
                <w:color w:val="auto"/>
                <w:spacing w:val="4"/>
                <w:sz w:val="20"/>
                <w:szCs w:val="20"/>
                <w:highlight w:val="none"/>
              </w:rPr>
              <w:t>的相关证明材料，如202</w:t>
            </w:r>
            <w:r>
              <w:rPr>
                <w:rFonts w:hint="eastAsia" w:ascii="宋体" w:hAnsi="宋体" w:eastAsia="宋体" w:cs="宋体"/>
                <w:b/>
                <w:bCs/>
                <w:color w:val="auto"/>
                <w:spacing w:val="4"/>
                <w:sz w:val="20"/>
                <w:szCs w:val="20"/>
                <w:highlight w:val="none"/>
                <w:lang w:val="en-US" w:eastAsia="zh-CN"/>
              </w:rPr>
              <w:t>6</w:t>
            </w:r>
            <w:r>
              <w:rPr>
                <w:rFonts w:ascii="宋体" w:hAnsi="宋体" w:eastAsia="宋体" w:cs="宋体"/>
                <w:color w:val="auto"/>
                <w:spacing w:val="-42"/>
                <w:sz w:val="20"/>
                <w:szCs w:val="20"/>
                <w:highlight w:val="none"/>
              </w:rPr>
              <w:t xml:space="preserve"> </w:t>
            </w:r>
            <w:r>
              <w:rPr>
                <w:rFonts w:ascii="宋体" w:hAnsi="宋体" w:eastAsia="宋体" w:cs="宋体"/>
                <w:b/>
                <w:bCs/>
                <w:color w:val="auto"/>
                <w:spacing w:val="4"/>
                <w:sz w:val="20"/>
                <w:szCs w:val="20"/>
                <w:highlight w:val="none"/>
              </w:rPr>
              <w:t>年</w:t>
            </w:r>
            <w:r>
              <w:rPr>
                <w:rFonts w:hint="eastAsia" w:ascii="宋体" w:hAnsi="宋体" w:cs="宋体"/>
                <w:b/>
                <w:bCs/>
                <w:color w:val="auto"/>
                <w:spacing w:val="4"/>
                <w:sz w:val="20"/>
                <w:szCs w:val="20"/>
                <w:highlight w:val="none"/>
                <w:lang w:val="en-US" w:eastAsia="zh-CN"/>
              </w:rPr>
              <w:t>任意一个</w:t>
            </w:r>
            <w:r>
              <w:rPr>
                <w:rFonts w:ascii="宋体" w:hAnsi="宋体" w:eastAsia="宋体" w:cs="宋体"/>
                <w:color w:val="auto"/>
                <w:spacing w:val="-60"/>
                <w:sz w:val="20"/>
                <w:szCs w:val="20"/>
                <w:highlight w:val="none"/>
              </w:rPr>
              <w:t xml:space="preserve"> </w:t>
            </w:r>
            <w:r>
              <w:rPr>
                <w:rFonts w:ascii="宋体" w:hAnsi="宋体" w:eastAsia="宋体" w:cs="宋体"/>
                <w:b/>
                <w:bCs/>
                <w:color w:val="auto"/>
                <w:spacing w:val="4"/>
                <w:sz w:val="20"/>
                <w:szCs w:val="20"/>
                <w:highlight w:val="none"/>
              </w:rPr>
              <w:t>月工资流水或</w:t>
            </w:r>
            <w:r>
              <w:rPr>
                <w:rFonts w:ascii="宋体" w:hAnsi="宋体" w:eastAsia="宋体" w:cs="宋体"/>
                <w:color w:val="auto"/>
                <w:spacing w:val="-58"/>
                <w:sz w:val="20"/>
                <w:szCs w:val="20"/>
                <w:highlight w:val="none"/>
              </w:rPr>
              <w:t xml:space="preserve"> </w:t>
            </w:r>
            <w:r>
              <w:rPr>
                <w:rFonts w:ascii="宋体" w:hAnsi="宋体" w:eastAsia="宋体" w:cs="宋体"/>
                <w:b/>
                <w:bCs/>
                <w:color w:val="auto"/>
                <w:spacing w:val="4"/>
                <w:sz w:val="20"/>
                <w:szCs w:val="20"/>
                <w:highlight w:val="none"/>
              </w:rPr>
              <w:t>202</w:t>
            </w:r>
            <w:r>
              <w:rPr>
                <w:rFonts w:hint="eastAsia" w:ascii="宋体" w:hAnsi="宋体" w:eastAsia="宋体" w:cs="宋体"/>
                <w:b/>
                <w:bCs/>
                <w:color w:val="auto"/>
                <w:spacing w:val="4"/>
                <w:sz w:val="20"/>
                <w:szCs w:val="20"/>
                <w:highlight w:val="none"/>
                <w:lang w:val="en-US" w:eastAsia="zh-CN"/>
              </w:rPr>
              <w:t>6</w:t>
            </w:r>
            <w:r>
              <w:rPr>
                <w:rFonts w:ascii="宋体" w:hAnsi="宋体" w:eastAsia="宋体" w:cs="宋体"/>
                <w:b/>
                <w:bCs/>
                <w:color w:val="auto"/>
                <w:spacing w:val="4"/>
                <w:sz w:val="20"/>
                <w:szCs w:val="20"/>
                <w:highlight w:val="none"/>
              </w:rPr>
              <w:t>年4</w:t>
            </w:r>
            <w:r>
              <w:rPr>
                <w:rFonts w:ascii="宋体" w:hAnsi="宋体" w:eastAsia="宋体" w:cs="宋体"/>
                <w:color w:val="auto"/>
                <w:spacing w:val="-57"/>
                <w:sz w:val="20"/>
                <w:szCs w:val="20"/>
                <w:highlight w:val="none"/>
              </w:rPr>
              <w:t xml:space="preserve"> </w:t>
            </w:r>
            <w:r>
              <w:rPr>
                <w:rFonts w:ascii="宋体" w:hAnsi="宋体" w:eastAsia="宋体" w:cs="宋体"/>
                <w:b/>
                <w:bCs/>
                <w:color w:val="auto"/>
                <w:spacing w:val="4"/>
                <w:sz w:val="20"/>
                <w:szCs w:val="20"/>
                <w:highlight w:val="none"/>
              </w:rPr>
              <w:t>月至</w:t>
            </w:r>
            <w:r>
              <w:rPr>
                <w:rFonts w:ascii="宋体" w:hAnsi="宋体" w:eastAsia="宋体" w:cs="宋体"/>
                <w:color w:val="auto"/>
                <w:spacing w:val="4"/>
                <w:sz w:val="20"/>
                <w:szCs w:val="20"/>
                <w:highlight w:val="none"/>
              </w:rPr>
              <w:t xml:space="preserve"> </w:t>
            </w:r>
            <w:r>
              <w:rPr>
                <w:rFonts w:ascii="宋体" w:hAnsi="宋体" w:eastAsia="宋体" w:cs="宋体"/>
                <w:color w:val="auto"/>
                <w:spacing w:val="4"/>
                <w:sz w:val="20"/>
                <w:szCs w:val="20"/>
                <w:highlight w:val="none"/>
                <w:u w:val="single" w:color="auto"/>
              </w:rPr>
              <w:t xml:space="preserve">  </w:t>
            </w:r>
            <w:r>
              <w:rPr>
                <w:rFonts w:ascii="宋体" w:hAnsi="宋体" w:eastAsia="宋体" w:cs="宋体"/>
                <w:b/>
                <w:bCs/>
                <w:color w:val="auto"/>
                <w:spacing w:val="4"/>
                <w:sz w:val="20"/>
                <w:szCs w:val="20"/>
                <w:highlight w:val="none"/>
                <w:u w:val="single" w:color="auto"/>
              </w:rPr>
              <w:t>6</w:t>
            </w:r>
            <w:r>
              <w:rPr>
                <w:rFonts w:ascii="宋体" w:hAnsi="宋体" w:eastAsia="宋体" w:cs="宋体"/>
                <w:b/>
                <w:bCs/>
                <w:color w:val="auto"/>
                <w:spacing w:val="4"/>
                <w:sz w:val="20"/>
                <w:szCs w:val="20"/>
                <w:highlight w:val="none"/>
              </w:rPr>
              <w:t>月社保等）</w:t>
            </w:r>
          </w:p>
          <w:p w14:paraId="05410C66">
            <w:pPr>
              <w:spacing w:before="5" w:line="312" w:lineRule="auto"/>
              <w:ind w:left="108" w:right="109" w:firstLine="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（3）能严格遵守检验工作委托时间进度安排和及时报送检验报告、</w:t>
            </w:r>
            <w:r>
              <w:rPr>
                <w:rFonts w:ascii="宋体" w:hAnsi="宋体" w:eastAsia="宋体" w:cs="宋体"/>
                <w:color w:val="auto"/>
                <w:spacing w:val="8"/>
                <w:sz w:val="20"/>
                <w:szCs w:val="20"/>
                <w:highlight w:val="none"/>
              </w:rPr>
              <w:t>质量分析报告等规定的材料。具体时限要求为：接到样品后</w:t>
            </w:r>
            <w:r>
              <w:rPr>
                <w:rFonts w:ascii="宋体" w:hAnsi="宋体" w:eastAsia="宋体" w:cs="宋体"/>
                <w:color w:val="auto"/>
                <w:spacing w:val="-23"/>
                <w:sz w:val="20"/>
                <w:szCs w:val="20"/>
                <w:highlight w:val="none"/>
              </w:rPr>
              <w:t xml:space="preserve"> </w:t>
            </w:r>
            <w:r>
              <w:rPr>
                <w:rFonts w:ascii="宋体" w:hAnsi="宋体" w:eastAsia="宋体" w:cs="宋体"/>
                <w:color w:val="auto"/>
                <w:spacing w:val="8"/>
                <w:sz w:val="20"/>
                <w:szCs w:val="20"/>
                <w:highlight w:val="none"/>
              </w:rPr>
              <w:t>20</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个工</w:t>
            </w:r>
            <w:r>
              <w:rPr>
                <w:rFonts w:ascii="宋体" w:hAnsi="宋体" w:eastAsia="宋体" w:cs="宋体"/>
                <w:color w:val="auto"/>
                <w:spacing w:val="7"/>
                <w:sz w:val="20"/>
                <w:szCs w:val="20"/>
                <w:highlight w:val="none"/>
              </w:rPr>
              <w:t>作日内完成检验工作并在“</w:t>
            </w:r>
            <w:r>
              <w:rPr>
                <w:rFonts w:ascii="宋体" w:hAnsi="宋体" w:eastAsia="宋体" w:cs="宋体"/>
                <w:color w:val="auto"/>
                <w:spacing w:val="-57"/>
                <w:sz w:val="20"/>
                <w:szCs w:val="20"/>
                <w:highlight w:val="none"/>
              </w:rPr>
              <w:t xml:space="preserve"> </w:t>
            </w:r>
            <w:r>
              <w:rPr>
                <w:rFonts w:ascii="宋体" w:hAnsi="宋体" w:eastAsia="宋体" w:cs="宋体"/>
                <w:color w:val="auto"/>
                <w:spacing w:val="7"/>
                <w:sz w:val="20"/>
                <w:szCs w:val="20"/>
                <w:highlight w:val="none"/>
              </w:rPr>
              <w:t>国家食品安全抽样检验信息系统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7"/>
                <w:sz w:val="20"/>
                <w:szCs w:val="20"/>
                <w:highlight w:val="none"/>
              </w:rPr>
              <w:t>”上出</w:t>
            </w:r>
            <w:r>
              <w:rPr>
                <w:rFonts w:ascii="宋体" w:hAnsi="宋体" w:eastAsia="宋体" w:cs="宋体"/>
                <w:color w:val="auto"/>
                <w:spacing w:val="9"/>
                <w:sz w:val="20"/>
                <w:szCs w:val="20"/>
                <w:highlight w:val="none"/>
              </w:rPr>
              <w:t>具通过</w:t>
            </w:r>
            <w:r>
              <w:rPr>
                <w:rFonts w:ascii="宋体" w:hAnsi="宋体" w:eastAsia="宋体" w:cs="宋体"/>
                <w:color w:val="auto"/>
                <w:spacing w:val="-35"/>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8"/>
                <w:sz w:val="20"/>
                <w:szCs w:val="20"/>
                <w:highlight w:val="none"/>
              </w:rPr>
              <w:t xml:space="preserve"> </w:t>
            </w:r>
            <w:r>
              <w:rPr>
                <w:rFonts w:ascii="宋体" w:hAnsi="宋体" w:eastAsia="宋体" w:cs="宋体"/>
                <w:color w:val="auto"/>
                <w:spacing w:val="9"/>
                <w:sz w:val="20"/>
                <w:szCs w:val="20"/>
                <w:highlight w:val="none"/>
              </w:rPr>
              <w:t>认证的电子检验报告书。监督抽检检验结论不合格的，应</w:t>
            </w:r>
            <w:r>
              <w:rPr>
                <w:rFonts w:ascii="宋体" w:hAnsi="宋体" w:eastAsia="宋体" w:cs="宋体"/>
                <w:color w:val="auto"/>
                <w:spacing w:val="8"/>
                <w:sz w:val="20"/>
                <w:szCs w:val="20"/>
                <w:highlight w:val="none"/>
              </w:rPr>
              <w:t>当在检验结论做出后</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个工作日内在“</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国家</w:t>
            </w:r>
            <w:r>
              <w:rPr>
                <w:rFonts w:ascii="宋体" w:hAnsi="宋体" w:eastAsia="宋体" w:cs="宋体"/>
                <w:color w:val="auto"/>
                <w:spacing w:val="7"/>
                <w:sz w:val="20"/>
                <w:szCs w:val="20"/>
                <w:highlight w:val="none"/>
              </w:rPr>
              <w:t>食品安全抽样检验信息</w:t>
            </w:r>
            <w:r>
              <w:rPr>
                <w:rFonts w:ascii="宋体" w:hAnsi="宋体" w:eastAsia="宋体" w:cs="宋体"/>
                <w:color w:val="auto"/>
                <w:spacing w:val="6"/>
                <w:sz w:val="20"/>
                <w:szCs w:val="20"/>
                <w:highlight w:val="none"/>
              </w:rPr>
              <w:t>系统</w:t>
            </w:r>
            <w:r>
              <w:rPr>
                <w:rFonts w:ascii="宋体" w:hAnsi="宋体" w:eastAsia="宋体" w:cs="宋体"/>
                <w:color w:val="auto"/>
                <w:spacing w:val="-59"/>
                <w:sz w:val="20"/>
                <w:szCs w:val="20"/>
                <w:highlight w:val="none"/>
              </w:rPr>
              <w:t xml:space="preserve"> </w:t>
            </w:r>
            <w:r>
              <w:rPr>
                <w:rFonts w:ascii="宋体" w:hAnsi="宋体" w:eastAsia="宋体" w:cs="宋体"/>
                <w:color w:val="auto"/>
                <w:spacing w:val="6"/>
                <w:sz w:val="20"/>
                <w:szCs w:val="20"/>
                <w:highlight w:val="none"/>
              </w:rPr>
              <w:t>”出具通过</w:t>
            </w:r>
            <w:r>
              <w:rPr>
                <w:rFonts w:ascii="宋体" w:hAnsi="宋体" w:eastAsia="宋体" w:cs="宋体"/>
                <w:color w:val="auto"/>
                <w:spacing w:val="-38"/>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认证的电子检验报告书。</w:t>
            </w:r>
          </w:p>
        </w:tc>
      </w:tr>
    </w:tbl>
    <w:p w14:paraId="1E460788">
      <w:pPr>
        <w:rPr>
          <w:rFonts w:ascii="Arial"/>
          <w:color w:val="auto"/>
          <w:sz w:val="21"/>
          <w:highlight w:val="none"/>
        </w:rPr>
      </w:pPr>
    </w:p>
    <w:p w14:paraId="336EE864">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3E0914F1">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9"/>
        <w:gridCol w:w="679"/>
        <w:gridCol w:w="6404"/>
      </w:tblGrid>
      <w:tr w14:paraId="759509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7" w:hRule="atLeast"/>
        </w:trPr>
        <w:tc>
          <w:tcPr>
            <w:tcW w:w="652" w:type="dxa"/>
            <w:vAlign w:val="top"/>
          </w:tcPr>
          <w:p w14:paraId="72B82A5F">
            <w:pPr>
              <w:pStyle w:val="179"/>
              <w:rPr>
                <w:color w:val="auto"/>
                <w:highlight w:val="none"/>
              </w:rPr>
            </w:pPr>
          </w:p>
        </w:tc>
        <w:tc>
          <w:tcPr>
            <w:tcW w:w="871" w:type="dxa"/>
            <w:vAlign w:val="top"/>
          </w:tcPr>
          <w:p w14:paraId="2CF71399">
            <w:pPr>
              <w:pStyle w:val="179"/>
              <w:rPr>
                <w:color w:val="auto"/>
                <w:highlight w:val="none"/>
              </w:rPr>
            </w:pPr>
          </w:p>
        </w:tc>
        <w:tc>
          <w:tcPr>
            <w:tcW w:w="659" w:type="dxa"/>
            <w:vAlign w:val="top"/>
          </w:tcPr>
          <w:p w14:paraId="42580207">
            <w:pPr>
              <w:pStyle w:val="179"/>
              <w:rPr>
                <w:color w:val="auto"/>
                <w:highlight w:val="none"/>
              </w:rPr>
            </w:pPr>
          </w:p>
        </w:tc>
        <w:tc>
          <w:tcPr>
            <w:tcW w:w="679" w:type="dxa"/>
            <w:vAlign w:val="top"/>
          </w:tcPr>
          <w:p w14:paraId="4C6B047F">
            <w:pPr>
              <w:pStyle w:val="179"/>
              <w:rPr>
                <w:color w:val="auto"/>
                <w:highlight w:val="none"/>
              </w:rPr>
            </w:pPr>
          </w:p>
        </w:tc>
        <w:tc>
          <w:tcPr>
            <w:tcW w:w="6404" w:type="dxa"/>
            <w:vAlign w:val="top"/>
          </w:tcPr>
          <w:p w14:paraId="637F822F">
            <w:pPr>
              <w:spacing w:before="124" w:line="332" w:lineRule="auto"/>
              <w:ind w:left="107" w:right="37" w:firstLine="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（4）24</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小时限时报告要求：发现不合格</w:t>
            </w:r>
            <w:r>
              <w:rPr>
                <w:rFonts w:ascii="宋体" w:hAnsi="宋体" w:eastAsia="宋体" w:cs="宋体"/>
                <w:color w:val="auto"/>
                <w:spacing w:val="6"/>
                <w:sz w:val="20"/>
                <w:szCs w:val="20"/>
                <w:highlight w:val="none"/>
              </w:rPr>
              <w:t>样品中含有非食用物质或其</w:t>
            </w:r>
            <w:r>
              <w:rPr>
                <w:rFonts w:ascii="宋体" w:hAnsi="宋体" w:eastAsia="宋体" w:cs="宋体"/>
                <w:color w:val="auto"/>
                <w:spacing w:val="9"/>
                <w:sz w:val="20"/>
                <w:szCs w:val="20"/>
                <w:highlight w:val="none"/>
              </w:rPr>
              <w:t>他可能对身体健康和生命安全造成严重危害的，应当在确认检验结</w:t>
            </w:r>
            <w:r>
              <w:rPr>
                <w:rFonts w:ascii="宋体" w:hAnsi="宋体" w:eastAsia="宋体" w:cs="宋体"/>
                <w:color w:val="auto"/>
                <w:spacing w:val="4"/>
                <w:sz w:val="20"/>
                <w:szCs w:val="20"/>
                <w:highlight w:val="none"/>
              </w:rPr>
              <w:t>果无误后</w:t>
            </w:r>
            <w:r>
              <w:rPr>
                <w:rFonts w:ascii="宋体" w:hAnsi="宋体" w:eastAsia="宋体" w:cs="宋体"/>
                <w:color w:val="auto"/>
                <w:spacing w:val="-35"/>
                <w:sz w:val="20"/>
                <w:szCs w:val="20"/>
                <w:highlight w:val="none"/>
              </w:rPr>
              <w:t xml:space="preserve"> </w:t>
            </w:r>
            <w:r>
              <w:rPr>
                <w:rFonts w:ascii="宋体" w:hAnsi="宋体" w:eastAsia="宋体" w:cs="宋体"/>
                <w:color w:val="auto"/>
                <w:spacing w:val="4"/>
                <w:sz w:val="20"/>
                <w:szCs w:val="20"/>
                <w:highlight w:val="none"/>
              </w:rPr>
              <w:t>24</w:t>
            </w:r>
            <w:r>
              <w:rPr>
                <w:rFonts w:ascii="宋体" w:hAnsi="宋体" w:eastAsia="宋体" w:cs="宋体"/>
                <w:color w:val="auto"/>
                <w:spacing w:val="-34"/>
                <w:sz w:val="20"/>
                <w:szCs w:val="20"/>
                <w:highlight w:val="none"/>
              </w:rPr>
              <w:t xml:space="preserve"> </w:t>
            </w:r>
            <w:r>
              <w:rPr>
                <w:rFonts w:ascii="宋体" w:hAnsi="宋体" w:eastAsia="宋体" w:cs="宋体"/>
                <w:color w:val="auto"/>
                <w:spacing w:val="4"/>
                <w:sz w:val="20"/>
                <w:szCs w:val="20"/>
                <w:highlight w:val="none"/>
              </w:rPr>
              <w:t>小时之内，将限时报告表上传系统，并报告采购人</w:t>
            </w:r>
            <w:r>
              <w:rPr>
                <w:rFonts w:ascii="宋体" w:hAnsi="宋体" w:eastAsia="宋体" w:cs="宋体"/>
                <w:color w:val="auto"/>
                <w:spacing w:val="3"/>
                <w:sz w:val="20"/>
                <w:szCs w:val="20"/>
                <w:highlight w:val="none"/>
              </w:rPr>
              <w:t>备案。</w:t>
            </w:r>
          </w:p>
          <w:p w14:paraId="6BC039ED">
            <w:pPr>
              <w:spacing w:before="2" w:line="332" w:lineRule="auto"/>
              <w:ind w:left="107" w:right="56"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（5）拥有实验室信息化管理系统和信息分析汇总人员，能够完成食</w:t>
            </w:r>
            <w:r>
              <w:rPr>
                <w:rFonts w:ascii="宋体" w:hAnsi="宋体" w:eastAsia="宋体" w:cs="宋体"/>
                <w:color w:val="auto"/>
                <w:spacing w:val="8"/>
                <w:sz w:val="20"/>
                <w:szCs w:val="20"/>
                <w:highlight w:val="none"/>
              </w:rPr>
              <w:t>品安全抽检监测数据上报和结果分析工作；按照“谁采</w:t>
            </w:r>
            <w:r>
              <w:rPr>
                <w:rFonts w:ascii="宋体" w:hAnsi="宋体" w:eastAsia="宋体" w:cs="宋体"/>
                <w:color w:val="auto"/>
                <w:spacing w:val="7"/>
                <w:sz w:val="20"/>
                <w:szCs w:val="20"/>
                <w:highlight w:val="none"/>
              </w:rPr>
              <w:t>集、谁录入；</w:t>
            </w:r>
            <w:r>
              <w:rPr>
                <w:rFonts w:ascii="宋体" w:hAnsi="宋体" w:eastAsia="宋体" w:cs="宋体"/>
                <w:color w:val="auto"/>
                <w:spacing w:val="8"/>
                <w:sz w:val="20"/>
                <w:szCs w:val="20"/>
                <w:highlight w:val="none"/>
              </w:rPr>
              <w:t>谁检验、谁录入</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”的原则，应当在抽样完成</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个工作日</w:t>
            </w:r>
            <w:r>
              <w:rPr>
                <w:rFonts w:ascii="宋体" w:hAnsi="宋体" w:eastAsia="宋体" w:cs="宋体"/>
                <w:color w:val="auto"/>
                <w:spacing w:val="7"/>
                <w:sz w:val="20"/>
                <w:szCs w:val="20"/>
                <w:highlight w:val="none"/>
              </w:rPr>
              <w:t>内将抽样信</w:t>
            </w:r>
            <w:r>
              <w:rPr>
                <w:rFonts w:ascii="宋体" w:hAnsi="宋体" w:eastAsia="宋体" w:cs="宋体"/>
                <w:color w:val="auto"/>
                <w:spacing w:val="6"/>
                <w:sz w:val="20"/>
                <w:szCs w:val="20"/>
                <w:highlight w:val="none"/>
              </w:rPr>
              <w:t>息录入“</w:t>
            </w:r>
            <w:r>
              <w:rPr>
                <w:rFonts w:ascii="宋体" w:hAnsi="宋体" w:eastAsia="宋体" w:cs="宋体"/>
                <w:color w:val="auto"/>
                <w:spacing w:val="-53"/>
                <w:sz w:val="20"/>
                <w:szCs w:val="20"/>
                <w:highlight w:val="none"/>
              </w:rPr>
              <w:t xml:space="preserve"> </w:t>
            </w:r>
            <w:r>
              <w:rPr>
                <w:rFonts w:ascii="宋体" w:hAnsi="宋体" w:eastAsia="宋体" w:cs="宋体"/>
                <w:color w:val="auto"/>
                <w:spacing w:val="6"/>
                <w:sz w:val="20"/>
                <w:szCs w:val="20"/>
                <w:highlight w:val="none"/>
              </w:rPr>
              <w:t>国家食品安全抽样检验信息系统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6"/>
                <w:sz w:val="20"/>
                <w:szCs w:val="20"/>
                <w:highlight w:val="none"/>
              </w:rPr>
              <w:t>”；检验结论做出后</w:t>
            </w:r>
            <w:r>
              <w:rPr>
                <w:rFonts w:ascii="宋体" w:hAnsi="宋体" w:eastAsia="宋体" w:cs="宋体"/>
                <w:color w:val="auto"/>
                <w:spacing w:val="-33"/>
                <w:sz w:val="20"/>
                <w:szCs w:val="20"/>
                <w:highlight w:val="none"/>
              </w:rPr>
              <w:t xml:space="preserve"> </w:t>
            </w:r>
            <w:r>
              <w:rPr>
                <w:rFonts w:ascii="宋体" w:hAnsi="宋体" w:eastAsia="宋体" w:cs="宋体"/>
                <w:color w:val="auto"/>
                <w:spacing w:val="6"/>
                <w:sz w:val="20"/>
                <w:szCs w:val="20"/>
                <w:highlight w:val="none"/>
              </w:rPr>
              <w:t>5</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个</w:t>
            </w:r>
            <w:r>
              <w:rPr>
                <w:rFonts w:ascii="宋体" w:hAnsi="宋体" w:eastAsia="宋体" w:cs="宋体"/>
                <w:color w:val="auto"/>
                <w:spacing w:val="8"/>
                <w:sz w:val="20"/>
                <w:szCs w:val="20"/>
                <w:highlight w:val="none"/>
              </w:rPr>
              <w:t>工作日内完成检验数据录入“</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国家食品安全</w:t>
            </w:r>
            <w:r>
              <w:rPr>
                <w:rFonts w:ascii="宋体" w:hAnsi="宋体" w:eastAsia="宋体" w:cs="宋体"/>
                <w:color w:val="auto"/>
                <w:spacing w:val="7"/>
                <w:sz w:val="20"/>
                <w:szCs w:val="20"/>
                <w:highlight w:val="none"/>
              </w:rPr>
              <w:t>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7"/>
                <w:sz w:val="20"/>
                <w:szCs w:val="20"/>
                <w:highlight w:val="none"/>
              </w:rPr>
              <w:t>”的</w:t>
            </w:r>
            <w:r>
              <w:rPr>
                <w:rFonts w:ascii="宋体" w:hAnsi="宋体" w:eastAsia="宋体" w:cs="宋体"/>
                <w:color w:val="auto"/>
                <w:spacing w:val="9"/>
                <w:sz w:val="20"/>
                <w:szCs w:val="20"/>
                <w:highlight w:val="none"/>
              </w:rPr>
              <w:t>工作。录入的信息、数据应当及时、准确。</w:t>
            </w:r>
            <w:r>
              <w:rPr>
                <w:rFonts w:ascii="宋体" w:hAnsi="宋体" w:eastAsia="宋体" w:cs="宋体"/>
                <w:b/>
                <w:bCs/>
                <w:color w:val="auto"/>
                <w:spacing w:val="9"/>
                <w:sz w:val="20"/>
                <w:szCs w:val="20"/>
                <w:highlight w:val="none"/>
              </w:rPr>
              <w:t>（响应文件中须提供拟</w:t>
            </w:r>
            <w:r>
              <w:rPr>
                <w:rFonts w:ascii="宋体" w:hAnsi="宋体" w:eastAsia="宋体" w:cs="宋体"/>
                <w:b/>
                <w:bCs/>
                <w:color w:val="auto"/>
                <w:spacing w:val="6"/>
                <w:sz w:val="20"/>
                <w:szCs w:val="20"/>
                <w:highlight w:val="none"/>
              </w:rPr>
              <w:t>投入相关人员名单）</w:t>
            </w:r>
          </w:p>
          <w:p w14:paraId="1FB368C5">
            <w:pPr>
              <w:spacing w:line="332" w:lineRule="auto"/>
              <w:ind w:left="106" w:right="203" w:firstLine="1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（6）供应商必须通过</w:t>
            </w:r>
            <w:r>
              <w:rPr>
                <w:rFonts w:ascii="宋体" w:hAnsi="宋体" w:eastAsia="宋体" w:cs="宋体"/>
                <w:color w:val="auto"/>
                <w:spacing w:val="-32"/>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39"/>
                <w:sz w:val="20"/>
                <w:szCs w:val="20"/>
                <w:highlight w:val="none"/>
              </w:rPr>
              <w:t xml:space="preserve"> </w:t>
            </w:r>
            <w:r>
              <w:rPr>
                <w:rFonts w:ascii="宋体" w:hAnsi="宋体" w:eastAsia="宋体" w:cs="宋体"/>
                <w:color w:val="auto"/>
                <w:spacing w:val="8"/>
                <w:sz w:val="20"/>
                <w:szCs w:val="20"/>
                <w:highlight w:val="none"/>
              </w:rPr>
              <w:t>数字证书认证。</w:t>
            </w:r>
            <w:r>
              <w:rPr>
                <w:rFonts w:ascii="宋体" w:hAnsi="宋体" w:eastAsia="宋体" w:cs="宋体"/>
                <w:b/>
                <w:bCs/>
                <w:color w:val="auto"/>
                <w:spacing w:val="8"/>
                <w:sz w:val="20"/>
                <w:szCs w:val="20"/>
                <w:highlight w:val="none"/>
              </w:rPr>
              <w:t>（响应文件中须提供购买</w:t>
            </w:r>
            <w:r>
              <w:rPr>
                <w:rFonts w:ascii="宋体" w:hAnsi="宋体" w:eastAsia="宋体" w:cs="宋体"/>
                <w:b/>
                <w:bCs/>
                <w:color w:val="auto"/>
                <w:sz w:val="20"/>
                <w:szCs w:val="20"/>
                <w:highlight w:val="none"/>
              </w:rPr>
              <w:t>CA</w:t>
            </w:r>
            <w:r>
              <w:rPr>
                <w:rFonts w:ascii="宋体" w:hAnsi="宋体" w:eastAsia="宋体" w:cs="宋体"/>
                <w:color w:val="auto"/>
                <w:spacing w:val="-39"/>
                <w:sz w:val="20"/>
                <w:szCs w:val="20"/>
                <w:highlight w:val="none"/>
              </w:rPr>
              <w:t xml:space="preserve"> </w:t>
            </w:r>
            <w:r>
              <w:rPr>
                <w:rFonts w:ascii="宋体" w:hAnsi="宋体" w:eastAsia="宋体" w:cs="宋体"/>
                <w:b/>
                <w:bCs/>
                <w:color w:val="auto"/>
                <w:spacing w:val="8"/>
                <w:sz w:val="20"/>
                <w:szCs w:val="20"/>
                <w:highlight w:val="none"/>
              </w:rPr>
              <w:t>数字证书的发票或通过受理审批的数字证书申请表</w:t>
            </w:r>
            <w:r>
              <w:rPr>
                <w:rFonts w:ascii="宋体" w:hAnsi="宋体" w:eastAsia="宋体" w:cs="宋体"/>
                <w:b/>
                <w:bCs/>
                <w:color w:val="auto"/>
                <w:spacing w:val="7"/>
                <w:sz w:val="20"/>
                <w:szCs w:val="20"/>
                <w:highlight w:val="none"/>
              </w:rPr>
              <w:t>复印件）</w:t>
            </w:r>
          </w:p>
          <w:p w14:paraId="2766DBD2">
            <w:pPr>
              <w:spacing w:line="229" w:lineRule="auto"/>
              <w:ind w:left="118"/>
              <w:rPr>
                <w:rFonts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（四）项目实施要求：</w:t>
            </w:r>
          </w:p>
          <w:p w14:paraId="7F70BDEB">
            <w:pPr>
              <w:spacing w:before="112" w:line="228" w:lineRule="auto"/>
              <w:ind w:left="1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1、抽样进度安排</w:t>
            </w:r>
          </w:p>
          <w:p w14:paraId="530A4CB2">
            <w:pPr>
              <w:spacing w:before="113"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（1）抽检进度要按照防城港市市场监管局食品安全抽检检测工作实</w:t>
            </w:r>
            <w:r>
              <w:rPr>
                <w:rFonts w:ascii="宋体" w:hAnsi="宋体" w:eastAsia="宋体" w:cs="宋体"/>
                <w:color w:val="auto"/>
                <w:spacing w:val="3"/>
                <w:sz w:val="20"/>
                <w:szCs w:val="20"/>
                <w:highlight w:val="none"/>
              </w:rPr>
              <w:t>施方案要求时限完成，检验时限不得超过</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202</w:t>
            </w:r>
            <w:r>
              <w:rPr>
                <w:rFonts w:hint="eastAsia" w:ascii="宋体" w:hAnsi="宋体" w:eastAsia="宋体" w:cs="宋体"/>
                <w:color w:val="auto"/>
                <w:spacing w:val="3"/>
                <w:sz w:val="20"/>
                <w:szCs w:val="20"/>
                <w:highlight w:val="none"/>
                <w:lang w:val="en-US" w:eastAsia="zh-CN"/>
              </w:rPr>
              <w:t>6</w:t>
            </w:r>
            <w:r>
              <w:rPr>
                <w:rFonts w:ascii="宋体" w:hAnsi="宋体" w:eastAsia="宋体" w:cs="宋体"/>
                <w:color w:val="auto"/>
                <w:spacing w:val="-37"/>
                <w:sz w:val="20"/>
                <w:szCs w:val="20"/>
                <w:highlight w:val="none"/>
              </w:rPr>
              <w:t xml:space="preserve"> </w:t>
            </w:r>
            <w:r>
              <w:rPr>
                <w:rFonts w:ascii="宋体" w:hAnsi="宋体" w:eastAsia="宋体" w:cs="宋体"/>
                <w:color w:val="auto"/>
                <w:spacing w:val="3"/>
                <w:sz w:val="20"/>
                <w:szCs w:val="20"/>
                <w:highlight w:val="none"/>
              </w:rPr>
              <w:t>年</w:t>
            </w:r>
            <w:r>
              <w:rPr>
                <w:rFonts w:ascii="宋体" w:hAnsi="宋体" w:eastAsia="宋体" w:cs="宋体"/>
                <w:color w:val="auto"/>
                <w:spacing w:val="-24"/>
                <w:sz w:val="20"/>
                <w:szCs w:val="20"/>
                <w:highlight w:val="none"/>
              </w:rPr>
              <w:t xml:space="preserve"> </w:t>
            </w:r>
            <w:r>
              <w:rPr>
                <w:rFonts w:ascii="宋体" w:hAnsi="宋体" w:eastAsia="宋体" w:cs="宋体"/>
                <w:color w:val="auto"/>
                <w:spacing w:val="3"/>
                <w:sz w:val="20"/>
                <w:szCs w:val="20"/>
                <w:highlight w:val="none"/>
              </w:rPr>
              <w:t>12</w:t>
            </w:r>
            <w:r>
              <w:rPr>
                <w:rFonts w:ascii="宋体" w:hAnsi="宋体" w:eastAsia="宋体" w:cs="宋体"/>
                <w:color w:val="auto"/>
                <w:spacing w:val="-35"/>
                <w:sz w:val="20"/>
                <w:szCs w:val="20"/>
                <w:highlight w:val="none"/>
              </w:rPr>
              <w:t xml:space="preserve"> </w:t>
            </w:r>
            <w:r>
              <w:rPr>
                <w:rFonts w:ascii="宋体" w:hAnsi="宋体" w:eastAsia="宋体" w:cs="宋体"/>
                <w:color w:val="auto"/>
                <w:spacing w:val="3"/>
                <w:sz w:val="20"/>
                <w:szCs w:val="20"/>
                <w:highlight w:val="none"/>
              </w:rPr>
              <w:t>月</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10 日。</w:t>
            </w:r>
          </w:p>
          <w:p w14:paraId="33EBDA88">
            <w:pPr>
              <w:spacing w:line="228" w:lineRule="auto"/>
              <w:ind w:left="1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2、抽检分工</w:t>
            </w:r>
          </w:p>
          <w:p w14:paraId="17799590">
            <w:pPr>
              <w:spacing w:before="113" w:line="332" w:lineRule="auto"/>
              <w:ind w:left="106" w:right="109"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（1）供应商须负责样品采集、检验、复核、信息汇总、抽检数据报</w:t>
            </w:r>
            <w:r>
              <w:rPr>
                <w:rFonts w:ascii="宋体" w:hAnsi="宋体" w:eastAsia="宋体" w:cs="宋体"/>
                <w:color w:val="auto"/>
                <w:spacing w:val="8"/>
                <w:sz w:val="20"/>
                <w:szCs w:val="20"/>
                <w:highlight w:val="none"/>
              </w:rPr>
              <w:t>送和检验报告等工作。</w:t>
            </w:r>
          </w:p>
          <w:p w14:paraId="62B3619E">
            <w:pPr>
              <w:spacing w:before="1" w:line="332" w:lineRule="auto"/>
              <w:ind w:left="108" w:right="109" w:firstLine="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（2）供应商抽检区域应覆盖防城港市市辖区内；抽检产品类别应覆</w:t>
            </w:r>
            <w:r>
              <w:rPr>
                <w:rFonts w:ascii="宋体" w:hAnsi="宋体" w:eastAsia="宋体" w:cs="宋体"/>
                <w:color w:val="auto"/>
                <w:spacing w:val="8"/>
                <w:sz w:val="20"/>
                <w:szCs w:val="20"/>
                <w:highlight w:val="none"/>
              </w:rPr>
              <w:t>盖本标项要求的食品品种。</w:t>
            </w:r>
          </w:p>
          <w:p w14:paraId="0ACCCA60">
            <w:pPr>
              <w:spacing w:before="1" w:line="228" w:lineRule="auto"/>
              <w:ind w:left="1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3、抽样检验要求</w:t>
            </w:r>
          </w:p>
          <w:p w14:paraId="3035A5D2">
            <w:pPr>
              <w:spacing w:before="114" w:line="332" w:lineRule="auto"/>
              <w:ind w:left="107" w:right="16"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（1）供应商在抽检工作执行过程中要严格按照《中华人民共和国食</w:t>
            </w:r>
            <w:r>
              <w:rPr>
                <w:rFonts w:ascii="宋体" w:hAnsi="宋体" w:eastAsia="宋体" w:cs="宋体"/>
                <w:color w:val="auto"/>
                <w:spacing w:val="10"/>
                <w:sz w:val="20"/>
                <w:szCs w:val="20"/>
                <w:highlight w:val="none"/>
              </w:rPr>
              <w:t>品安全法》《中华人民共和国食品安全法实</w:t>
            </w:r>
            <w:r>
              <w:rPr>
                <w:rFonts w:ascii="宋体" w:hAnsi="宋体" w:eastAsia="宋体" w:cs="宋体"/>
                <w:color w:val="auto"/>
                <w:spacing w:val="9"/>
                <w:sz w:val="20"/>
                <w:szCs w:val="20"/>
                <w:highlight w:val="none"/>
              </w:rPr>
              <w:t>施条例》《食品安全抽</w:t>
            </w:r>
            <w:r>
              <w:rPr>
                <w:rFonts w:ascii="宋体" w:hAnsi="宋体" w:eastAsia="宋体" w:cs="宋体"/>
                <w:color w:val="auto"/>
                <w:spacing w:val="7"/>
                <w:sz w:val="20"/>
                <w:szCs w:val="20"/>
                <w:highlight w:val="none"/>
              </w:rPr>
              <w:t>样检验管理办法》《全国食品安全监督抽检实施</w:t>
            </w:r>
            <w:r>
              <w:rPr>
                <w:rFonts w:ascii="宋体" w:hAnsi="宋体" w:eastAsia="宋体" w:cs="宋体"/>
                <w:color w:val="auto"/>
                <w:spacing w:val="6"/>
                <w:sz w:val="20"/>
                <w:szCs w:val="20"/>
                <w:highlight w:val="none"/>
              </w:rPr>
              <w:t>细则（202</w:t>
            </w:r>
            <w:r>
              <w:rPr>
                <w:rFonts w:hint="eastAsia" w:ascii="宋体" w:hAnsi="宋体" w:eastAsia="宋体" w:cs="宋体"/>
                <w:color w:val="auto"/>
                <w:spacing w:val="6"/>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年版）》</w:t>
            </w:r>
            <w:r>
              <w:rPr>
                <w:rFonts w:ascii="宋体" w:hAnsi="宋体" w:eastAsia="宋体" w:cs="宋体"/>
                <w:color w:val="auto"/>
                <w:spacing w:val="10"/>
                <w:sz w:val="20"/>
                <w:szCs w:val="20"/>
                <w:highlight w:val="none"/>
              </w:rPr>
              <w:t>及广西壮族自治区市场监督管理局《广西食</w:t>
            </w:r>
            <w:r>
              <w:rPr>
                <w:rFonts w:ascii="宋体" w:hAnsi="宋体" w:eastAsia="宋体" w:cs="宋体"/>
                <w:color w:val="auto"/>
                <w:spacing w:val="9"/>
                <w:sz w:val="20"/>
                <w:szCs w:val="20"/>
                <w:highlight w:val="none"/>
              </w:rPr>
              <w:t>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9"/>
                <w:sz w:val="20"/>
                <w:szCs w:val="20"/>
                <w:highlight w:val="none"/>
              </w:rPr>
              <w:t>年版）等有关法律法规、规章及相关规定</w:t>
            </w:r>
            <w:r>
              <w:rPr>
                <w:rFonts w:ascii="宋体" w:hAnsi="宋体" w:eastAsia="宋体" w:cs="宋体"/>
                <w:color w:val="auto"/>
                <w:spacing w:val="8"/>
                <w:sz w:val="20"/>
                <w:szCs w:val="20"/>
                <w:highlight w:val="none"/>
              </w:rPr>
              <w:t>，抽样过程严格按照监督抽检工作程序，履行法定手续。</w:t>
            </w:r>
          </w:p>
          <w:p w14:paraId="2E38F7E3">
            <w:pPr>
              <w:spacing w:before="2"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（2）供应商要严格按照《全国食品安全监督抽检实施细则（202</w:t>
            </w:r>
            <w:r>
              <w:rPr>
                <w:rFonts w:hint="eastAsia" w:ascii="宋体" w:hAnsi="宋体" w:eastAsia="宋体" w:cs="宋体"/>
                <w:color w:val="auto"/>
                <w:spacing w:val="6"/>
                <w:sz w:val="20"/>
                <w:szCs w:val="20"/>
                <w:highlight w:val="none"/>
                <w:lang w:val="en-US" w:eastAsia="zh-CN"/>
              </w:rPr>
              <w:t>6</w:t>
            </w:r>
            <w:r>
              <w:rPr>
                <w:rFonts w:ascii="宋体" w:hAnsi="宋体" w:eastAsia="宋体" w:cs="宋体"/>
                <w:color w:val="auto"/>
                <w:spacing w:val="-22"/>
                <w:sz w:val="20"/>
                <w:szCs w:val="20"/>
                <w:highlight w:val="none"/>
              </w:rPr>
              <w:t xml:space="preserve"> </w:t>
            </w:r>
            <w:r>
              <w:rPr>
                <w:rFonts w:ascii="宋体" w:hAnsi="宋体" w:eastAsia="宋体" w:cs="宋体"/>
                <w:color w:val="auto"/>
                <w:spacing w:val="6"/>
                <w:sz w:val="20"/>
                <w:szCs w:val="20"/>
                <w:highlight w:val="none"/>
              </w:rPr>
              <w:t>年</w:t>
            </w:r>
            <w:r>
              <w:rPr>
                <w:rFonts w:ascii="宋体" w:hAnsi="宋体" w:eastAsia="宋体" w:cs="宋体"/>
                <w:color w:val="auto"/>
                <w:spacing w:val="9"/>
                <w:sz w:val="20"/>
                <w:szCs w:val="20"/>
                <w:highlight w:val="none"/>
              </w:rPr>
              <w:t>版）》及广西壮族自治区市场监督管理局《广西食品安全监督抽检实施细则（202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9"/>
                <w:sz w:val="20"/>
                <w:szCs w:val="20"/>
                <w:highlight w:val="none"/>
              </w:rPr>
              <w:t>年版）的相关要求开展样品</w:t>
            </w:r>
            <w:r>
              <w:rPr>
                <w:rFonts w:ascii="宋体" w:hAnsi="宋体" w:eastAsia="宋体" w:cs="宋体"/>
                <w:color w:val="auto"/>
                <w:spacing w:val="8"/>
                <w:sz w:val="20"/>
                <w:szCs w:val="20"/>
                <w:highlight w:val="none"/>
              </w:rPr>
              <w:t>的采集、检验，数据审</w:t>
            </w:r>
            <w:r>
              <w:rPr>
                <w:rFonts w:ascii="宋体" w:hAnsi="宋体" w:eastAsia="宋体" w:cs="宋体"/>
                <w:color w:val="auto"/>
                <w:spacing w:val="9"/>
                <w:sz w:val="20"/>
                <w:szCs w:val="20"/>
                <w:highlight w:val="none"/>
              </w:rPr>
              <w:t>核报送、数据分析和研判等工作。抽样过程要保留现场抽样视频图</w:t>
            </w:r>
            <w:r>
              <w:rPr>
                <w:rFonts w:ascii="宋体" w:hAnsi="宋体" w:eastAsia="宋体" w:cs="宋体"/>
                <w:color w:val="auto"/>
                <w:spacing w:val="5"/>
                <w:sz w:val="20"/>
                <w:szCs w:val="20"/>
                <w:highlight w:val="none"/>
              </w:rPr>
              <w:t>像证据。</w:t>
            </w:r>
          </w:p>
          <w:p w14:paraId="528253D1">
            <w:pPr>
              <w:spacing w:line="332" w:lineRule="auto"/>
              <w:ind w:left="107" w:right="154" w:firstLine="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（3）供应商要严格按照食品安全标准和检验规范对食品进行检验，</w:t>
            </w:r>
            <w:r>
              <w:rPr>
                <w:rFonts w:ascii="宋体" w:hAnsi="宋体" w:eastAsia="宋体" w:cs="宋体"/>
                <w:color w:val="auto"/>
                <w:spacing w:val="8"/>
                <w:sz w:val="20"/>
                <w:szCs w:val="20"/>
                <w:highlight w:val="none"/>
              </w:rPr>
              <w:t>确保数据和结论客观、公正。</w:t>
            </w:r>
          </w:p>
          <w:p w14:paraId="0B341560">
            <w:pPr>
              <w:spacing w:before="1" w:line="332" w:lineRule="auto"/>
              <w:ind w:left="112"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（4）供应商采取人员比对、设备比对或实验室间比对等多种质控方</w:t>
            </w:r>
            <w:r>
              <w:rPr>
                <w:rFonts w:ascii="宋体" w:hAnsi="宋体" w:eastAsia="宋体" w:cs="宋体"/>
                <w:color w:val="auto"/>
                <w:spacing w:val="8"/>
                <w:sz w:val="20"/>
                <w:szCs w:val="20"/>
                <w:highlight w:val="none"/>
              </w:rPr>
              <w:t>式，确保抽检数据的准确性。</w:t>
            </w:r>
          </w:p>
          <w:p w14:paraId="509CC76F">
            <w:pPr>
              <w:spacing w:line="215" w:lineRule="auto"/>
              <w:ind w:right="15"/>
              <w:jc w:val="right"/>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（5）供应商对于不合格样品必须进行复核，确保检测结果准确可靠。</w:t>
            </w:r>
          </w:p>
        </w:tc>
      </w:tr>
    </w:tbl>
    <w:p w14:paraId="1528E821">
      <w:pPr>
        <w:rPr>
          <w:rFonts w:ascii="Arial"/>
          <w:color w:val="auto"/>
          <w:sz w:val="21"/>
          <w:highlight w:val="none"/>
        </w:rPr>
      </w:pPr>
    </w:p>
    <w:p w14:paraId="04A8FFE8">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462675CA">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871"/>
        <w:gridCol w:w="659"/>
        <w:gridCol w:w="679"/>
        <w:gridCol w:w="6404"/>
      </w:tblGrid>
      <w:tr w14:paraId="03EF5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7" w:hRule="atLeast"/>
        </w:trPr>
        <w:tc>
          <w:tcPr>
            <w:tcW w:w="652" w:type="dxa"/>
            <w:vAlign w:val="top"/>
          </w:tcPr>
          <w:p w14:paraId="19A41DAC">
            <w:pPr>
              <w:pStyle w:val="179"/>
              <w:rPr>
                <w:color w:val="auto"/>
                <w:highlight w:val="none"/>
              </w:rPr>
            </w:pPr>
          </w:p>
        </w:tc>
        <w:tc>
          <w:tcPr>
            <w:tcW w:w="871" w:type="dxa"/>
            <w:vAlign w:val="top"/>
          </w:tcPr>
          <w:p w14:paraId="0FA870D1">
            <w:pPr>
              <w:pStyle w:val="179"/>
              <w:rPr>
                <w:color w:val="auto"/>
                <w:highlight w:val="none"/>
              </w:rPr>
            </w:pPr>
          </w:p>
        </w:tc>
        <w:tc>
          <w:tcPr>
            <w:tcW w:w="659" w:type="dxa"/>
            <w:vAlign w:val="top"/>
          </w:tcPr>
          <w:p w14:paraId="702F2F35">
            <w:pPr>
              <w:pStyle w:val="179"/>
              <w:rPr>
                <w:color w:val="auto"/>
                <w:highlight w:val="none"/>
              </w:rPr>
            </w:pPr>
          </w:p>
        </w:tc>
        <w:tc>
          <w:tcPr>
            <w:tcW w:w="679" w:type="dxa"/>
            <w:vAlign w:val="top"/>
          </w:tcPr>
          <w:p w14:paraId="67C9AAD5">
            <w:pPr>
              <w:pStyle w:val="179"/>
              <w:rPr>
                <w:color w:val="auto"/>
                <w:highlight w:val="none"/>
              </w:rPr>
            </w:pPr>
          </w:p>
        </w:tc>
        <w:tc>
          <w:tcPr>
            <w:tcW w:w="6404" w:type="dxa"/>
            <w:vAlign w:val="top"/>
          </w:tcPr>
          <w:p w14:paraId="01B286B2">
            <w:pPr>
              <w:spacing w:before="124" w:line="332" w:lineRule="auto"/>
              <w:ind w:left="112" w:right="109" w:firstLine="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（6）供应商负责将所有抽检数据录入国家市场监管总局“</w:t>
            </w:r>
            <w:r>
              <w:rPr>
                <w:rFonts w:ascii="宋体" w:hAnsi="宋体" w:eastAsia="宋体" w:cs="宋体"/>
                <w:color w:val="auto"/>
                <w:spacing w:val="-70"/>
                <w:sz w:val="20"/>
                <w:szCs w:val="20"/>
                <w:highlight w:val="none"/>
              </w:rPr>
              <w:t xml:space="preserve"> </w:t>
            </w:r>
            <w:r>
              <w:rPr>
                <w:rFonts w:ascii="宋体" w:hAnsi="宋体" w:eastAsia="宋体" w:cs="宋体"/>
                <w:color w:val="auto"/>
                <w:spacing w:val="8"/>
                <w:sz w:val="20"/>
                <w:szCs w:val="20"/>
                <w:highlight w:val="none"/>
              </w:rPr>
              <w:t>国家食品</w:t>
            </w:r>
            <w:r>
              <w:rPr>
                <w:rFonts w:ascii="宋体" w:hAnsi="宋体" w:eastAsia="宋体" w:cs="宋体"/>
                <w:color w:val="auto"/>
                <w:spacing w:val="6"/>
                <w:sz w:val="20"/>
                <w:szCs w:val="20"/>
                <w:highlight w:val="none"/>
              </w:rPr>
              <w:t>安全抽样检验信息系统</w:t>
            </w:r>
            <w:r>
              <w:rPr>
                <w:rFonts w:ascii="宋体" w:hAnsi="宋体" w:eastAsia="宋体" w:cs="宋体"/>
                <w:color w:val="auto"/>
                <w:spacing w:val="-70"/>
                <w:sz w:val="20"/>
                <w:szCs w:val="20"/>
                <w:highlight w:val="none"/>
              </w:rPr>
              <w:t xml:space="preserve"> </w:t>
            </w:r>
            <w:r>
              <w:rPr>
                <w:rFonts w:ascii="宋体" w:hAnsi="宋体" w:eastAsia="宋体" w:cs="宋体"/>
                <w:color w:val="auto"/>
                <w:spacing w:val="6"/>
                <w:sz w:val="20"/>
                <w:szCs w:val="20"/>
                <w:highlight w:val="none"/>
              </w:rPr>
              <w:t>”平台。</w:t>
            </w:r>
          </w:p>
          <w:p w14:paraId="3D453E29">
            <w:pPr>
              <w:spacing w:before="1" w:line="226" w:lineRule="auto"/>
              <w:ind w:left="107"/>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4、监督与评估</w:t>
            </w:r>
          </w:p>
          <w:p w14:paraId="3552BD1F">
            <w:pPr>
              <w:spacing w:before="115" w:line="332" w:lineRule="auto"/>
              <w:ind w:left="110" w:right="109" w:firstLine="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（1）供应商对其出具的检验报告的真实性和准确性负责。供应商应当按规定的报告格式出具国家食品安全监督抽检检验报告，检验报</w:t>
            </w:r>
            <w:r>
              <w:rPr>
                <w:rFonts w:ascii="宋体" w:hAnsi="宋体" w:eastAsia="宋体" w:cs="宋体"/>
                <w:color w:val="auto"/>
                <w:spacing w:val="5"/>
                <w:sz w:val="20"/>
                <w:szCs w:val="20"/>
                <w:highlight w:val="none"/>
              </w:rPr>
              <w:t>告应当内容真实齐全、数据准确。供应商应在收到样品之日起 20 个</w:t>
            </w:r>
            <w:r>
              <w:rPr>
                <w:rFonts w:ascii="宋体" w:hAnsi="宋体" w:eastAsia="宋体" w:cs="宋体"/>
                <w:color w:val="auto"/>
                <w:spacing w:val="7"/>
                <w:sz w:val="20"/>
                <w:szCs w:val="20"/>
                <w:highlight w:val="none"/>
              </w:rPr>
              <w:t>工作日内出具检验报告。</w:t>
            </w:r>
          </w:p>
          <w:p w14:paraId="53776F68">
            <w:pPr>
              <w:spacing w:before="1" w:line="332" w:lineRule="auto"/>
              <w:ind w:left="108" w:right="109" w:firstLine="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（2）供应商应当依照有关法律、法规的规定，并按照食品安全标准和检验规范对食品进行检验，尊重科学，恪守职业道德，保证出具的检验数据和结论客观、公正，不得出具虚假检验报告。</w:t>
            </w:r>
          </w:p>
          <w:p w14:paraId="3E56668E">
            <w:pPr>
              <w:spacing w:line="332" w:lineRule="auto"/>
              <w:ind w:left="112"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（3）防城港市市场监督管理局负责食品安全抽检实施的监督管理和</w:t>
            </w:r>
            <w:r>
              <w:rPr>
                <w:rFonts w:ascii="宋体" w:hAnsi="宋体" w:eastAsia="宋体" w:cs="宋体"/>
                <w:color w:val="auto"/>
                <w:spacing w:val="6"/>
                <w:sz w:val="20"/>
                <w:szCs w:val="20"/>
                <w:highlight w:val="none"/>
              </w:rPr>
              <w:t>效果评价工作。</w:t>
            </w:r>
          </w:p>
          <w:p w14:paraId="05917540">
            <w:pPr>
              <w:spacing w:line="332" w:lineRule="auto"/>
              <w:ind w:left="109" w:right="109" w:firstLine="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（4）供应商不得私自泄露、擅自使用或对外发布食品安全抽样检验</w:t>
            </w:r>
            <w:r>
              <w:rPr>
                <w:rFonts w:ascii="宋体" w:hAnsi="宋体" w:eastAsia="宋体" w:cs="宋体"/>
                <w:color w:val="auto"/>
                <w:spacing w:val="7"/>
                <w:sz w:val="20"/>
                <w:szCs w:val="20"/>
                <w:highlight w:val="none"/>
              </w:rPr>
              <w:t>数据结果和相关信息。</w:t>
            </w:r>
          </w:p>
          <w:p w14:paraId="5267A8A0">
            <w:pPr>
              <w:spacing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（5）供应商不得接受被抽样单位的馈赠，不得利用抽检结果开展有</w:t>
            </w:r>
            <w:r>
              <w:rPr>
                <w:rFonts w:ascii="宋体" w:hAnsi="宋体" w:eastAsia="宋体" w:cs="宋体"/>
                <w:color w:val="auto"/>
                <w:spacing w:val="8"/>
                <w:sz w:val="20"/>
                <w:szCs w:val="20"/>
                <w:highlight w:val="none"/>
              </w:rPr>
              <w:t>偿活动，谋取不正当利益。</w:t>
            </w:r>
          </w:p>
          <w:p w14:paraId="47E16BEA">
            <w:pPr>
              <w:spacing w:before="1" w:line="332"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（6）供应商应严格遵守防城港市市场监督管理局食品安全抽检监测</w:t>
            </w:r>
            <w:r>
              <w:rPr>
                <w:rFonts w:ascii="宋体" w:hAnsi="宋体" w:eastAsia="宋体" w:cs="宋体"/>
                <w:color w:val="auto"/>
                <w:spacing w:val="8"/>
                <w:sz w:val="20"/>
                <w:szCs w:val="20"/>
                <w:highlight w:val="none"/>
              </w:rPr>
              <w:t>承检机构管理制度等相关规定。</w:t>
            </w:r>
          </w:p>
          <w:p w14:paraId="22617DB0">
            <w:pPr>
              <w:spacing w:before="1" w:line="293"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（7）在抽检服务过程中，采购人发现供应商出具虚假报告、透露检</w:t>
            </w:r>
            <w:r>
              <w:rPr>
                <w:rFonts w:ascii="宋体" w:hAnsi="宋体" w:eastAsia="宋体" w:cs="宋体"/>
                <w:color w:val="auto"/>
                <w:spacing w:val="10"/>
                <w:sz w:val="20"/>
                <w:szCs w:val="20"/>
                <w:highlight w:val="none"/>
              </w:rPr>
              <w:t>验结果的，采购人将对供应商不诚信行为进</w:t>
            </w:r>
            <w:r>
              <w:rPr>
                <w:rFonts w:ascii="宋体" w:hAnsi="宋体" w:eastAsia="宋体" w:cs="宋体"/>
                <w:color w:val="auto"/>
                <w:spacing w:val="9"/>
                <w:sz w:val="20"/>
                <w:szCs w:val="20"/>
                <w:highlight w:val="none"/>
              </w:rPr>
              <w:t>行通报并纳入信用记录</w:t>
            </w:r>
            <w:r>
              <w:rPr>
                <w:rFonts w:ascii="宋体" w:hAnsi="宋体" w:eastAsia="宋体" w:cs="宋体"/>
                <w:color w:val="auto"/>
                <w:spacing w:val="7"/>
                <w:sz w:val="20"/>
                <w:szCs w:val="20"/>
                <w:highlight w:val="none"/>
              </w:rPr>
              <w:t>上报财政部门。</w:t>
            </w:r>
          </w:p>
        </w:tc>
      </w:tr>
      <w:tr w14:paraId="11EAE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265" w:type="dxa"/>
            <w:gridSpan w:val="5"/>
            <w:vAlign w:val="top"/>
          </w:tcPr>
          <w:p w14:paraId="62D34242">
            <w:pPr>
              <w:spacing w:before="160" w:line="228" w:lineRule="auto"/>
              <w:ind w:left="117"/>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▲二、商务要求</w:t>
            </w:r>
          </w:p>
        </w:tc>
      </w:tr>
      <w:tr w14:paraId="0BCD6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2861" w:type="dxa"/>
            <w:gridSpan w:val="4"/>
            <w:vAlign w:val="top"/>
          </w:tcPr>
          <w:p w14:paraId="25E3F352">
            <w:pPr>
              <w:spacing w:before="241" w:line="231" w:lineRule="auto"/>
              <w:ind w:left="101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合同签订</w:t>
            </w:r>
          </w:p>
        </w:tc>
        <w:tc>
          <w:tcPr>
            <w:tcW w:w="6404" w:type="dxa"/>
            <w:vAlign w:val="top"/>
          </w:tcPr>
          <w:p w14:paraId="32569F86">
            <w:pPr>
              <w:spacing w:before="241" w:line="228" w:lineRule="auto"/>
              <w:ind w:left="142"/>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自成交通知书发出之日起</w:t>
            </w:r>
            <w:r>
              <w:rPr>
                <w:rFonts w:ascii="宋体" w:hAnsi="宋体" w:eastAsia="宋体" w:cs="宋体"/>
                <w:color w:val="auto"/>
                <w:spacing w:val="-35"/>
                <w:sz w:val="20"/>
                <w:szCs w:val="20"/>
                <w:highlight w:val="none"/>
              </w:rPr>
              <w:t xml:space="preserve"> </w:t>
            </w:r>
            <w:r>
              <w:rPr>
                <w:rFonts w:ascii="宋体" w:hAnsi="宋体" w:eastAsia="宋体" w:cs="宋体"/>
                <w:color w:val="auto"/>
                <w:spacing w:val="2"/>
                <w:sz w:val="20"/>
                <w:szCs w:val="20"/>
                <w:highlight w:val="none"/>
              </w:rPr>
              <w:t>25 日内。</w:t>
            </w:r>
          </w:p>
        </w:tc>
      </w:tr>
      <w:tr w14:paraId="5A161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2861" w:type="dxa"/>
            <w:gridSpan w:val="4"/>
            <w:vAlign w:val="top"/>
          </w:tcPr>
          <w:p w14:paraId="1FDF19BF">
            <w:pPr>
              <w:pStyle w:val="179"/>
              <w:spacing w:line="323" w:lineRule="auto"/>
              <w:rPr>
                <w:color w:val="auto"/>
                <w:highlight w:val="none"/>
              </w:rPr>
            </w:pPr>
          </w:p>
          <w:p w14:paraId="51C6F1BC">
            <w:pPr>
              <w:pStyle w:val="179"/>
              <w:spacing w:line="324" w:lineRule="auto"/>
              <w:rPr>
                <w:color w:val="auto"/>
                <w:highlight w:val="none"/>
              </w:rPr>
            </w:pPr>
          </w:p>
          <w:p w14:paraId="2DD9DFA8">
            <w:pPr>
              <w:spacing w:before="65" w:line="228" w:lineRule="auto"/>
              <w:ind w:left="69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服务时间及地点</w:t>
            </w:r>
          </w:p>
        </w:tc>
        <w:tc>
          <w:tcPr>
            <w:tcW w:w="6404" w:type="dxa"/>
            <w:vAlign w:val="top"/>
          </w:tcPr>
          <w:p w14:paraId="748A1218">
            <w:pPr>
              <w:spacing w:before="33" w:line="377" w:lineRule="auto"/>
              <w:ind w:left="107" w:right="109" w:firstLine="15"/>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1、服务时间：自合同签订之日起开始提供服务，202</w:t>
            </w:r>
            <w:r>
              <w:rPr>
                <w:rFonts w:hint="eastAsia" w:ascii="宋体" w:hAnsi="宋体" w:eastAsia="宋体" w:cs="宋体"/>
                <w:color w:val="auto"/>
                <w:spacing w:val="2"/>
                <w:sz w:val="20"/>
                <w:szCs w:val="20"/>
                <w:highlight w:val="none"/>
                <w:lang w:val="en-US" w:eastAsia="zh-CN"/>
              </w:rPr>
              <w:t>6</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年</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12</w:t>
            </w:r>
            <w:r>
              <w:rPr>
                <w:rFonts w:ascii="宋体" w:hAnsi="宋体" w:eastAsia="宋体" w:cs="宋体"/>
                <w:color w:val="auto"/>
                <w:spacing w:val="-33"/>
                <w:sz w:val="20"/>
                <w:szCs w:val="20"/>
                <w:highlight w:val="none"/>
              </w:rPr>
              <w:t xml:space="preserve"> </w:t>
            </w:r>
            <w:r>
              <w:rPr>
                <w:rFonts w:ascii="宋体" w:hAnsi="宋体" w:eastAsia="宋体" w:cs="宋体"/>
                <w:color w:val="auto"/>
                <w:spacing w:val="2"/>
                <w:sz w:val="20"/>
                <w:szCs w:val="20"/>
                <w:highlight w:val="none"/>
              </w:rPr>
              <w:t>月</w:t>
            </w:r>
            <w:r>
              <w:rPr>
                <w:rFonts w:ascii="宋体" w:hAnsi="宋体" w:eastAsia="宋体" w:cs="宋体"/>
                <w:color w:val="auto"/>
                <w:spacing w:val="-23"/>
                <w:sz w:val="20"/>
                <w:szCs w:val="20"/>
                <w:highlight w:val="none"/>
              </w:rPr>
              <w:t xml:space="preserve"> </w:t>
            </w:r>
            <w:r>
              <w:rPr>
                <w:rFonts w:ascii="宋体" w:hAnsi="宋体" w:eastAsia="宋体" w:cs="宋体"/>
                <w:color w:val="auto"/>
                <w:spacing w:val="2"/>
                <w:sz w:val="20"/>
                <w:szCs w:val="20"/>
                <w:highlight w:val="none"/>
              </w:rPr>
              <w:t>10 日</w:t>
            </w:r>
            <w:r>
              <w:rPr>
                <w:rFonts w:ascii="宋体" w:hAnsi="宋体" w:eastAsia="宋体" w:cs="宋体"/>
                <w:color w:val="auto"/>
                <w:spacing w:val="13"/>
                <w:sz w:val="20"/>
                <w:szCs w:val="20"/>
                <w:highlight w:val="none"/>
              </w:rPr>
              <w:t>前全部抽检完成并录入国抽系统，按具体方案时间节点要求提供质</w:t>
            </w:r>
            <w:r>
              <w:rPr>
                <w:rFonts w:ascii="宋体" w:hAnsi="宋体" w:eastAsia="宋体" w:cs="宋体"/>
                <w:color w:val="auto"/>
                <w:spacing w:val="6"/>
                <w:sz w:val="20"/>
                <w:szCs w:val="20"/>
                <w:highlight w:val="none"/>
              </w:rPr>
              <w:t>量分析报告。</w:t>
            </w:r>
          </w:p>
          <w:p w14:paraId="5523E889">
            <w:pPr>
              <w:spacing w:line="227" w:lineRule="auto"/>
              <w:ind w:left="11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2、服务地点：防城港市内采购人指定地点。</w:t>
            </w:r>
          </w:p>
        </w:tc>
      </w:tr>
      <w:tr w14:paraId="0A960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4" w:hRule="atLeast"/>
        </w:trPr>
        <w:tc>
          <w:tcPr>
            <w:tcW w:w="2861" w:type="dxa"/>
            <w:gridSpan w:val="4"/>
            <w:vAlign w:val="top"/>
          </w:tcPr>
          <w:p w14:paraId="0861A724">
            <w:pPr>
              <w:pStyle w:val="179"/>
              <w:spacing w:line="243" w:lineRule="auto"/>
              <w:rPr>
                <w:color w:val="auto"/>
                <w:highlight w:val="none"/>
              </w:rPr>
            </w:pPr>
          </w:p>
          <w:p w14:paraId="0CEE24B0">
            <w:pPr>
              <w:pStyle w:val="179"/>
              <w:spacing w:line="243" w:lineRule="auto"/>
              <w:rPr>
                <w:color w:val="auto"/>
                <w:highlight w:val="none"/>
              </w:rPr>
            </w:pPr>
          </w:p>
          <w:p w14:paraId="3005382D">
            <w:pPr>
              <w:pStyle w:val="179"/>
              <w:spacing w:line="243" w:lineRule="auto"/>
              <w:rPr>
                <w:color w:val="auto"/>
                <w:highlight w:val="none"/>
              </w:rPr>
            </w:pPr>
          </w:p>
          <w:p w14:paraId="6FECD994">
            <w:pPr>
              <w:pStyle w:val="179"/>
              <w:spacing w:line="243" w:lineRule="auto"/>
              <w:rPr>
                <w:color w:val="auto"/>
                <w:highlight w:val="none"/>
              </w:rPr>
            </w:pPr>
          </w:p>
          <w:p w14:paraId="04B97F61">
            <w:pPr>
              <w:pStyle w:val="179"/>
              <w:spacing w:line="243" w:lineRule="auto"/>
              <w:rPr>
                <w:color w:val="auto"/>
                <w:highlight w:val="none"/>
              </w:rPr>
            </w:pPr>
          </w:p>
          <w:p w14:paraId="7286005E">
            <w:pPr>
              <w:pStyle w:val="179"/>
              <w:spacing w:line="244" w:lineRule="auto"/>
              <w:rPr>
                <w:color w:val="auto"/>
                <w:highlight w:val="none"/>
              </w:rPr>
            </w:pPr>
          </w:p>
          <w:p w14:paraId="7437B466">
            <w:pPr>
              <w:spacing w:before="65" w:line="227"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磋商报价</w:t>
            </w:r>
          </w:p>
        </w:tc>
        <w:tc>
          <w:tcPr>
            <w:tcW w:w="6404" w:type="dxa"/>
            <w:vAlign w:val="top"/>
          </w:tcPr>
          <w:p w14:paraId="685DE3CB">
            <w:pPr>
              <w:spacing w:before="35" w:line="377" w:lineRule="auto"/>
              <w:ind w:left="107" w:right="37"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1、磋商报价应遵照由广西壮族自治区物价局和广西壮</w:t>
            </w:r>
            <w:r>
              <w:rPr>
                <w:rFonts w:ascii="宋体" w:hAnsi="宋体" w:eastAsia="宋体" w:cs="宋体"/>
                <w:color w:val="auto"/>
                <w:spacing w:val="8"/>
                <w:sz w:val="20"/>
                <w:szCs w:val="20"/>
                <w:highlight w:val="none"/>
              </w:rPr>
              <w:t>族自治区财政</w:t>
            </w:r>
            <w:r>
              <w:rPr>
                <w:rFonts w:ascii="宋体" w:hAnsi="宋体" w:eastAsia="宋体" w:cs="宋体"/>
                <w:color w:val="auto"/>
                <w:spacing w:val="9"/>
                <w:sz w:val="20"/>
                <w:szCs w:val="20"/>
                <w:highlight w:val="none"/>
              </w:rPr>
              <w:t>厅发布的《关于正式核定全区产品质量检验收费项目和收费标准的</w:t>
            </w:r>
            <w:r>
              <w:rPr>
                <w:rFonts w:ascii="宋体" w:hAnsi="宋体" w:eastAsia="宋体" w:cs="宋体"/>
                <w:color w:val="auto"/>
                <w:spacing w:val="8"/>
                <w:sz w:val="20"/>
                <w:szCs w:val="20"/>
                <w:highlight w:val="none"/>
              </w:rPr>
              <w:t>通知》（桂价费〔2013〕16</w:t>
            </w:r>
            <w:r>
              <w:rPr>
                <w:rFonts w:ascii="宋体" w:hAnsi="宋体" w:eastAsia="宋体" w:cs="宋体"/>
                <w:color w:val="auto"/>
                <w:spacing w:val="-24"/>
                <w:sz w:val="20"/>
                <w:szCs w:val="20"/>
                <w:highlight w:val="none"/>
              </w:rPr>
              <w:t xml:space="preserve"> </w:t>
            </w:r>
            <w:r>
              <w:rPr>
                <w:rFonts w:ascii="宋体" w:hAnsi="宋体" w:eastAsia="宋体" w:cs="宋体"/>
                <w:color w:val="auto"/>
                <w:spacing w:val="8"/>
                <w:sz w:val="20"/>
                <w:szCs w:val="20"/>
                <w:highlight w:val="none"/>
              </w:rPr>
              <w:t>号）和《财政厅关于降低产品质量监督</w:t>
            </w:r>
            <w:r>
              <w:rPr>
                <w:rFonts w:ascii="宋体" w:hAnsi="宋体" w:eastAsia="宋体" w:cs="宋体"/>
                <w:color w:val="auto"/>
                <w:spacing w:val="6"/>
                <w:sz w:val="20"/>
                <w:szCs w:val="20"/>
                <w:highlight w:val="none"/>
              </w:rPr>
              <w:t>检验收费标准及有关问题的通知》（桂价费〔20</w:t>
            </w:r>
            <w:r>
              <w:rPr>
                <w:rFonts w:ascii="宋体" w:hAnsi="宋体" w:eastAsia="宋体" w:cs="宋体"/>
                <w:color w:val="auto"/>
                <w:spacing w:val="5"/>
                <w:sz w:val="20"/>
                <w:szCs w:val="20"/>
                <w:highlight w:val="none"/>
              </w:rPr>
              <w:t>15〕54</w:t>
            </w:r>
            <w:r>
              <w:rPr>
                <w:rFonts w:ascii="宋体" w:hAnsi="宋体" w:eastAsia="宋体" w:cs="宋体"/>
                <w:color w:val="auto"/>
                <w:spacing w:val="-35"/>
                <w:sz w:val="20"/>
                <w:szCs w:val="20"/>
                <w:highlight w:val="none"/>
              </w:rPr>
              <w:t xml:space="preserve"> </w:t>
            </w:r>
            <w:r>
              <w:rPr>
                <w:rFonts w:ascii="宋体" w:hAnsi="宋体" w:eastAsia="宋体" w:cs="宋体"/>
                <w:color w:val="auto"/>
                <w:spacing w:val="5"/>
                <w:sz w:val="20"/>
                <w:szCs w:val="20"/>
                <w:highlight w:val="none"/>
              </w:rPr>
              <w:t>号）的规定。</w:t>
            </w:r>
          </w:p>
          <w:p w14:paraId="036C8AC8">
            <w:pPr>
              <w:spacing w:line="368" w:lineRule="auto"/>
              <w:ind w:left="107" w:right="38"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2、磋商报价包括但不限于：供应商完成本项目所有工作任务（出具</w:t>
            </w:r>
            <w:r>
              <w:rPr>
                <w:rFonts w:ascii="宋体" w:hAnsi="宋体" w:eastAsia="宋体" w:cs="宋体"/>
                <w:color w:val="auto"/>
                <w:spacing w:val="13"/>
                <w:sz w:val="20"/>
                <w:szCs w:val="20"/>
                <w:highlight w:val="none"/>
              </w:rPr>
              <w:t>成果文件）所需的一切费用（含完成项目过程中所需的劳务、技术服务费、交通差旅费、资料印刷费、</w:t>
            </w:r>
            <w:r>
              <w:rPr>
                <w:rFonts w:hint="eastAsia" w:ascii="宋体" w:hAnsi="宋体" w:eastAsia="宋体" w:cs="宋体"/>
                <w:color w:val="auto"/>
                <w:spacing w:val="13"/>
                <w:sz w:val="20"/>
                <w:szCs w:val="20"/>
                <w:highlight w:val="none"/>
                <w:lang w:val="en-US" w:eastAsia="zh-CN"/>
              </w:rPr>
              <w:t>招标代理费</w:t>
            </w:r>
            <w:r>
              <w:rPr>
                <w:rFonts w:ascii="宋体" w:hAnsi="宋体" w:eastAsia="宋体" w:cs="宋体"/>
                <w:color w:val="auto"/>
                <w:spacing w:val="13"/>
                <w:sz w:val="20"/>
                <w:szCs w:val="20"/>
                <w:highlight w:val="none"/>
              </w:rPr>
              <w:t>、调研、材料、设备、仪器、运</w:t>
            </w:r>
            <w:r>
              <w:rPr>
                <w:rFonts w:ascii="宋体" w:hAnsi="宋体" w:eastAsia="宋体" w:cs="宋体"/>
                <w:color w:val="auto"/>
                <w:spacing w:val="8"/>
                <w:sz w:val="20"/>
                <w:szCs w:val="20"/>
                <w:highlight w:val="none"/>
              </w:rPr>
              <w:t>输、检测与试验、应急抽检、验收、安全警戒、评审、咨询、会务、</w:t>
            </w:r>
          </w:p>
        </w:tc>
      </w:tr>
    </w:tbl>
    <w:p w14:paraId="6E139F66">
      <w:pPr>
        <w:rPr>
          <w:rFonts w:ascii="Arial"/>
          <w:color w:val="auto"/>
          <w:sz w:val="21"/>
          <w:highlight w:val="none"/>
        </w:rPr>
      </w:pPr>
    </w:p>
    <w:p w14:paraId="6BD589F9">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68B66216">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61"/>
        <w:gridCol w:w="108"/>
        <w:gridCol w:w="3015"/>
        <w:gridCol w:w="2322"/>
        <w:gridCol w:w="959"/>
      </w:tblGrid>
      <w:tr w14:paraId="56A6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3" w:hRule="atLeast"/>
        </w:trPr>
        <w:tc>
          <w:tcPr>
            <w:tcW w:w="2861" w:type="dxa"/>
            <w:vAlign w:val="top"/>
          </w:tcPr>
          <w:p w14:paraId="59E3865C">
            <w:pPr>
              <w:pStyle w:val="179"/>
              <w:rPr>
                <w:color w:val="auto"/>
                <w:highlight w:val="none"/>
              </w:rPr>
            </w:pPr>
          </w:p>
        </w:tc>
        <w:tc>
          <w:tcPr>
            <w:tcW w:w="6404" w:type="dxa"/>
            <w:gridSpan w:val="4"/>
            <w:vAlign w:val="top"/>
          </w:tcPr>
          <w:p w14:paraId="7EDCFCAC">
            <w:pPr>
              <w:spacing w:before="38" w:line="368" w:lineRule="auto"/>
              <w:ind w:left="107" w:right="38" w:firstLine="4"/>
              <w:jc w:val="both"/>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管理、保险、税费、利润等费用，以及合同明示或暗示的所有责任、</w:t>
            </w:r>
            <w:r>
              <w:rPr>
                <w:rFonts w:ascii="宋体" w:hAnsi="宋体" w:eastAsia="宋体" w:cs="宋体"/>
                <w:color w:val="auto"/>
                <w:spacing w:val="11"/>
                <w:sz w:val="20"/>
                <w:szCs w:val="20"/>
                <w:highlight w:val="none"/>
              </w:rPr>
              <w:t>义务和一般风险等的一切费用等各种费用在内）</w:t>
            </w:r>
            <w:r>
              <w:rPr>
                <w:rFonts w:ascii="宋体" w:hAnsi="宋体" w:eastAsia="宋体" w:cs="宋体"/>
                <w:color w:val="auto"/>
                <w:spacing w:val="-39"/>
                <w:sz w:val="20"/>
                <w:szCs w:val="20"/>
                <w:highlight w:val="none"/>
              </w:rPr>
              <w:t xml:space="preserve"> </w:t>
            </w:r>
            <w:r>
              <w:rPr>
                <w:rFonts w:ascii="宋体" w:hAnsi="宋体" w:eastAsia="宋体" w:cs="宋体"/>
                <w:color w:val="auto"/>
                <w:spacing w:val="11"/>
                <w:sz w:val="20"/>
                <w:szCs w:val="20"/>
                <w:highlight w:val="none"/>
              </w:rPr>
              <w:t>。合同价不因任何</w:t>
            </w:r>
            <w:r>
              <w:rPr>
                <w:rFonts w:ascii="宋体" w:hAnsi="宋体" w:eastAsia="宋体" w:cs="宋体"/>
                <w:color w:val="auto"/>
                <w:spacing w:val="13"/>
                <w:sz w:val="20"/>
                <w:szCs w:val="20"/>
                <w:highlight w:val="none"/>
              </w:rPr>
              <w:t>因素而调整。根据采购人的需要，供应商将无条件提供抽检合格备</w:t>
            </w:r>
            <w:r>
              <w:rPr>
                <w:rFonts w:ascii="宋体" w:hAnsi="宋体" w:eastAsia="宋体" w:cs="宋体"/>
                <w:color w:val="auto"/>
                <w:spacing w:val="8"/>
                <w:sz w:val="20"/>
                <w:szCs w:val="20"/>
                <w:highlight w:val="none"/>
              </w:rPr>
              <w:t>份样品给防城港市市场监督管理局。</w:t>
            </w:r>
          </w:p>
        </w:tc>
      </w:tr>
      <w:tr w14:paraId="7C68C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2861" w:type="dxa"/>
            <w:vAlign w:val="top"/>
          </w:tcPr>
          <w:p w14:paraId="1A949782">
            <w:pPr>
              <w:spacing w:before="105" w:line="228" w:lineRule="auto"/>
              <w:ind w:left="9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检出率要求</w:t>
            </w:r>
          </w:p>
        </w:tc>
        <w:tc>
          <w:tcPr>
            <w:tcW w:w="6404" w:type="dxa"/>
            <w:gridSpan w:val="4"/>
            <w:vAlign w:val="top"/>
          </w:tcPr>
          <w:p w14:paraId="36B9D9A8">
            <w:pPr>
              <w:spacing w:before="104" w:line="228" w:lineRule="auto"/>
              <w:ind w:left="10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监督抽检不合格率检出率必须达到</w:t>
            </w:r>
            <w:r>
              <w:rPr>
                <w:rFonts w:ascii="宋体" w:hAnsi="宋体" w:eastAsia="宋体" w:cs="宋体"/>
                <w:color w:val="auto"/>
                <w:spacing w:val="-35"/>
                <w:sz w:val="20"/>
                <w:szCs w:val="20"/>
                <w:highlight w:val="none"/>
              </w:rPr>
              <w:t xml:space="preserve"> </w:t>
            </w:r>
            <w:r>
              <w:rPr>
                <w:rFonts w:ascii="宋体" w:hAnsi="宋体" w:eastAsia="宋体" w:cs="宋体"/>
                <w:color w:val="auto"/>
                <w:spacing w:val="8"/>
                <w:sz w:val="20"/>
                <w:szCs w:val="20"/>
                <w:highlight w:val="none"/>
              </w:rPr>
              <w:t>5%以上（含本数</w:t>
            </w:r>
            <w:r>
              <w:rPr>
                <w:rFonts w:ascii="宋体" w:hAnsi="宋体" w:eastAsia="宋体" w:cs="宋体"/>
                <w:color w:val="auto"/>
                <w:spacing w:val="7"/>
                <w:sz w:val="20"/>
                <w:szCs w:val="20"/>
                <w:highlight w:val="none"/>
              </w:rPr>
              <w:t>）。</w:t>
            </w:r>
          </w:p>
        </w:tc>
      </w:tr>
      <w:tr w14:paraId="7EBB1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7" w:hRule="atLeast"/>
        </w:trPr>
        <w:tc>
          <w:tcPr>
            <w:tcW w:w="2861" w:type="dxa"/>
            <w:vMerge w:val="restart"/>
            <w:tcBorders>
              <w:bottom w:val="nil"/>
            </w:tcBorders>
            <w:vAlign w:val="top"/>
          </w:tcPr>
          <w:p w14:paraId="6A3B09DB">
            <w:pPr>
              <w:pStyle w:val="179"/>
              <w:spacing w:line="265" w:lineRule="auto"/>
              <w:rPr>
                <w:color w:val="auto"/>
                <w:highlight w:val="none"/>
              </w:rPr>
            </w:pPr>
          </w:p>
          <w:p w14:paraId="32D9EE62">
            <w:pPr>
              <w:pStyle w:val="179"/>
              <w:spacing w:line="266" w:lineRule="auto"/>
              <w:rPr>
                <w:color w:val="auto"/>
                <w:highlight w:val="none"/>
              </w:rPr>
            </w:pPr>
          </w:p>
          <w:p w14:paraId="0E00D22B">
            <w:pPr>
              <w:pStyle w:val="179"/>
              <w:spacing w:line="266" w:lineRule="auto"/>
              <w:rPr>
                <w:color w:val="auto"/>
                <w:highlight w:val="none"/>
              </w:rPr>
            </w:pPr>
          </w:p>
          <w:p w14:paraId="5479D638">
            <w:pPr>
              <w:pStyle w:val="179"/>
              <w:spacing w:line="266" w:lineRule="auto"/>
              <w:rPr>
                <w:color w:val="auto"/>
                <w:highlight w:val="none"/>
              </w:rPr>
            </w:pPr>
          </w:p>
          <w:p w14:paraId="06FC205D">
            <w:pPr>
              <w:pStyle w:val="179"/>
              <w:spacing w:line="266" w:lineRule="auto"/>
              <w:rPr>
                <w:color w:val="auto"/>
                <w:highlight w:val="none"/>
              </w:rPr>
            </w:pPr>
          </w:p>
          <w:p w14:paraId="2B338AB6">
            <w:pPr>
              <w:pStyle w:val="179"/>
              <w:spacing w:line="266" w:lineRule="auto"/>
              <w:rPr>
                <w:color w:val="auto"/>
                <w:highlight w:val="none"/>
              </w:rPr>
            </w:pPr>
          </w:p>
          <w:p w14:paraId="497DA39F">
            <w:pPr>
              <w:pStyle w:val="179"/>
              <w:spacing w:line="266" w:lineRule="auto"/>
              <w:rPr>
                <w:color w:val="auto"/>
                <w:highlight w:val="none"/>
              </w:rPr>
            </w:pPr>
          </w:p>
          <w:p w14:paraId="6D747ED0">
            <w:pPr>
              <w:pStyle w:val="179"/>
              <w:spacing w:line="266" w:lineRule="auto"/>
              <w:rPr>
                <w:color w:val="auto"/>
                <w:highlight w:val="none"/>
              </w:rPr>
            </w:pPr>
          </w:p>
          <w:p w14:paraId="7ED7796B">
            <w:pPr>
              <w:pStyle w:val="179"/>
              <w:spacing w:line="266" w:lineRule="auto"/>
              <w:rPr>
                <w:color w:val="auto"/>
                <w:highlight w:val="none"/>
              </w:rPr>
            </w:pPr>
          </w:p>
          <w:p w14:paraId="677B7953">
            <w:pPr>
              <w:spacing w:before="65" w:line="228"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付款条件</w:t>
            </w:r>
          </w:p>
        </w:tc>
        <w:tc>
          <w:tcPr>
            <w:tcW w:w="6404" w:type="dxa"/>
            <w:gridSpan w:val="4"/>
            <w:vAlign w:val="top"/>
          </w:tcPr>
          <w:p w14:paraId="41C9968D">
            <w:pPr>
              <w:spacing w:before="51" w:line="228" w:lineRule="auto"/>
              <w:ind w:left="12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1、付款方式：</w:t>
            </w:r>
          </w:p>
          <w:p w14:paraId="7281AF06">
            <w:pPr>
              <w:spacing w:before="64" w:line="288" w:lineRule="auto"/>
              <w:ind w:left="106" w:right="109"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9"/>
                <w:sz w:val="20"/>
                <w:szCs w:val="20"/>
                <w:highlight w:val="none"/>
              </w:rPr>
              <w:t>自合同签订之日起且财政拨付项目预算款到位后</w:t>
            </w:r>
            <w:r>
              <w:rPr>
                <w:rFonts w:ascii="宋体" w:hAnsi="宋体" w:eastAsia="宋体" w:cs="宋体"/>
                <w:color w:val="auto"/>
                <w:spacing w:val="-18"/>
                <w:sz w:val="20"/>
                <w:szCs w:val="20"/>
                <w:highlight w:val="none"/>
              </w:rPr>
              <w:t xml:space="preserve"> </w:t>
            </w:r>
            <w:r>
              <w:rPr>
                <w:rFonts w:ascii="宋体" w:hAnsi="宋体" w:eastAsia="宋体" w:cs="宋体"/>
                <w:color w:val="auto"/>
                <w:spacing w:val="9"/>
                <w:sz w:val="20"/>
                <w:szCs w:val="20"/>
                <w:highlight w:val="none"/>
              </w:rPr>
              <w:t>1</w:t>
            </w:r>
            <w:r>
              <w:rPr>
                <w:rFonts w:ascii="宋体" w:hAnsi="宋体" w:eastAsia="宋体" w:cs="宋体"/>
                <w:color w:val="auto"/>
                <w:spacing w:val="8"/>
                <w:sz w:val="20"/>
                <w:szCs w:val="20"/>
                <w:highlight w:val="none"/>
              </w:rPr>
              <w:t>0</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个工作日</w:t>
            </w:r>
            <w:r>
              <w:rPr>
                <w:rFonts w:ascii="宋体" w:hAnsi="宋体" w:eastAsia="宋体" w:cs="宋体"/>
                <w:color w:val="auto"/>
                <w:spacing w:val="7"/>
                <w:sz w:val="20"/>
                <w:szCs w:val="20"/>
                <w:highlight w:val="none"/>
              </w:rPr>
              <w:t>内，采购人向成交供应商支付成交金额的</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50%作为预付款；预</w:t>
            </w:r>
            <w:r>
              <w:rPr>
                <w:rFonts w:ascii="宋体" w:hAnsi="宋体" w:eastAsia="宋体" w:cs="宋体"/>
                <w:color w:val="auto"/>
                <w:spacing w:val="6"/>
                <w:sz w:val="20"/>
                <w:szCs w:val="20"/>
                <w:highlight w:val="none"/>
              </w:rPr>
              <w:t>付款申</w:t>
            </w:r>
            <w:r>
              <w:rPr>
                <w:rFonts w:ascii="宋体" w:hAnsi="宋体" w:eastAsia="宋体" w:cs="宋体"/>
                <w:color w:val="auto"/>
                <w:spacing w:val="9"/>
                <w:sz w:val="20"/>
                <w:szCs w:val="20"/>
                <w:highlight w:val="none"/>
              </w:rPr>
              <w:t>请时，成交供应商须开具相应金额的税额发票给采购人。</w:t>
            </w:r>
          </w:p>
          <w:p w14:paraId="273246F7">
            <w:pPr>
              <w:spacing w:before="3" w:line="287" w:lineRule="auto"/>
              <w:ind w:left="107" w:right="109" w:firstLine="10"/>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（2）成交供应商提交最终检验结果后，由采购人按抽检批次及整个</w:t>
            </w:r>
            <w:r>
              <w:rPr>
                <w:rFonts w:ascii="宋体" w:hAnsi="宋体" w:eastAsia="宋体" w:cs="宋体"/>
                <w:color w:val="auto"/>
                <w:spacing w:val="13"/>
                <w:sz w:val="20"/>
                <w:szCs w:val="20"/>
                <w:highlight w:val="none"/>
              </w:rPr>
              <w:t>抽检不合格率支付剩余检测服务费。剩余检测服务费申请时，成交</w:t>
            </w:r>
            <w:r>
              <w:rPr>
                <w:rFonts w:ascii="宋体" w:hAnsi="宋体" w:eastAsia="宋体" w:cs="宋体"/>
                <w:color w:val="auto"/>
                <w:spacing w:val="9"/>
                <w:sz w:val="20"/>
                <w:szCs w:val="20"/>
                <w:highlight w:val="none"/>
              </w:rPr>
              <w:t>供应商须开具相应金额的税额发票给采购人。</w:t>
            </w:r>
          </w:p>
          <w:p w14:paraId="67EF2DB8">
            <w:pPr>
              <w:spacing w:before="1" w:line="277" w:lineRule="auto"/>
              <w:ind w:left="107" w:right="37" w:firstLine="2"/>
              <w:jc w:val="both"/>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2、付款条件：成交供应商须按采购人要求进行抽样检验。抽检不合</w:t>
            </w:r>
            <w:r>
              <w:rPr>
                <w:rFonts w:ascii="宋体" w:hAnsi="宋体" w:eastAsia="宋体" w:cs="宋体"/>
                <w:color w:val="auto"/>
                <w:spacing w:val="8"/>
                <w:sz w:val="20"/>
                <w:szCs w:val="20"/>
                <w:highlight w:val="none"/>
              </w:rPr>
              <w:t>格率</w:t>
            </w:r>
            <w:r>
              <w:rPr>
                <w:rFonts w:hint="eastAsia" w:ascii="东文宋体" w:hAnsi="东文宋体" w:eastAsia="东文宋体" w:cs="东文宋体"/>
                <w:color w:val="auto"/>
                <w:spacing w:val="8"/>
                <w:sz w:val="20"/>
                <w:szCs w:val="20"/>
                <w:highlight w:val="none"/>
              </w:rPr>
              <w:t>≥</w:t>
            </w:r>
            <w:r>
              <w:rPr>
                <w:rFonts w:ascii="宋体" w:hAnsi="宋体" w:eastAsia="宋体" w:cs="宋体"/>
                <w:color w:val="auto"/>
                <w:spacing w:val="8"/>
                <w:sz w:val="20"/>
                <w:szCs w:val="20"/>
                <w:highlight w:val="none"/>
              </w:rPr>
              <w:t>5%。若成交供应商达到工作要求，则采购人支付抽检服务款。</w:t>
            </w:r>
            <w:r>
              <w:rPr>
                <w:rFonts w:ascii="宋体" w:hAnsi="宋体" w:eastAsia="宋体" w:cs="宋体"/>
                <w:color w:val="auto"/>
                <w:spacing w:val="13"/>
                <w:sz w:val="20"/>
                <w:szCs w:val="20"/>
                <w:highlight w:val="none"/>
              </w:rPr>
              <w:t>若成交供应商未达到工作要求，则采购人按比例支付部分抽检服务</w:t>
            </w:r>
            <w:r>
              <w:rPr>
                <w:rFonts w:ascii="宋体" w:hAnsi="宋体" w:eastAsia="宋体" w:cs="宋体"/>
                <w:color w:val="auto"/>
                <w:spacing w:val="7"/>
                <w:sz w:val="20"/>
                <w:szCs w:val="20"/>
                <w:highlight w:val="none"/>
              </w:rPr>
              <w:t>款（最少不低于成交金额的</w:t>
            </w:r>
            <w:r>
              <w:rPr>
                <w:rFonts w:ascii="宋体" w:hAnsi="宋体" w:eastAsia="宋体" w:cs="宋体"/>
                <w:color w:val="auto"/>
                <w:spacing w:val="-36"/>
                <w:sz w:val="20"/>
                <w:szCs w:val="20"/>
                <w:highlight w:val="none"/>
              </w:rPr>
              <w:t xml:space="preserve"> </w:t>
            </w:r>
            <w:r>
              <w:rPr>
                <w:rFonts w:ascii="宋体" w:hAnsi="宋体" w:eastAsia="宋体" w:cs="宋体"/>
                <w:color w:val="auto"/>
                <w:spacing w:val="7"/>
                <w:sz w:val="20"/>
                <w:szCs w:val="20"/>
                <w:highlight w:val="none"/>
              </w:rPr>
              <w:t>90%）。实际支付的抽检服务款比例与工</w:t>
            </w:r>
            <w:r>
              <w:rPr>
                <w:rFonts w:ascii="宋体" w:hAnsi="宋体" w:eastAsia="宋体" w:cs="宋体"/>
                <w:color w:val="auto"/>
                <w:spacing w:val="8"/>
                <w:sz w:val="20"/>
                <w:szCs w:val="20"/>
                <w:highlight w:val="none"/>
              </w:rPr>
              <w:t>作要求的对应关系见下表。</w:t>
            </w:r>
          </w:p>
        </w:tc>
      </w:tr>
      <w:tr w14:paraId="10E45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2861" w:type="dxa"/>
            <w:vMerge w:val="continue"/>
            <w:tcBorders>
              <w:top w:val="nil"/>
              <w:bottom w:val="nil"/>
            </w:tcBorders>
            <w:vAlign w:val="top"/>
          </w:tcPr>
          <w:p w14:paraId="093E897C">
            <w:pPr>
              <w:pStyle w:val="179"/>
              <w:rPr>
                <w:color w:val="auto"/>
                <w:highlight w:val="none"/>
              </w:rPr>
            </w:pPr>
          </w:p>
        </w:tc>
        <w:tc>
          <w:tcPr>
            <w:tcW w:w="108" w:type="dxa"/>
            <w:tcBorders>
              <w:top w:val="nil"/>
              <w:bottom w:val="nil"/>
            </w:tcBorders>
            <w:vAlign w:val="top"/>
          </w:tcPr>
          <w:p w14:paraId="3A6A5E0D">
            <w:pPr>
              <w:pStyle w:val="179"/>
              <w:rPr>
                <w:color w:val="auto"/>
                <w:highlight w:val="none"/>
              </w:rPr>
            </w:pPr>
          </w:p>
        </w:tc>
        <w:tc>
          <w:tcPr>
            <w:tcW w:w="3015" w:type="dxa"/>
            <w:vAlign w:val="top"/>
          </w:tcPr>
          <w:p w14:paraId="66855395">
            <w:pPr>
              <w:spacing w:before="170" w:line="228" w:lineRule="auto"/>
              <w:ind w:left="67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食品抽检不合格率</w:t>
            </w:r>
          </w:p>
        </w:tc>
        <w:tc>
          <w:tcPr>
            <w:tcW w:w="2322" w:type="dxa"/>
            <w:vAlign w:val="top"/>
          </w:tcPr>
          <w:p w14:paraId="02BE627B">
            <w:pPr>
              <w:spacing w:before="34" w:line="228" w:lineRule="auto"/>
              <w:ind w:left="12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实际支付抽检服务款比</w:t>
            </w:r>
          </w:p>
          <w:p w14:paraId="30B782A7">
            <w:pPr>
              <w:spacing w:before="25" w:line="215" w:lineRule="auto"/>
              <w:ind w:left="1060"/>
              <w:rPr>
                <w:rFonts w:ascii="宋体" w:hAnsi="宋体" w:eastAsia="宋体" w:cs="宋体"/>
                <w:color w:val="auto"/>
                <w:sz w:val="20"/>
                <w:szCs w:val="20"/>
                <w:highlight w:val="none"/>
              </w:rPr>
            </w:pPr>
            <w:r>
              <w:rPr>
                <w:rFonts w:ascii="宋体" w:hAnsi="宋体" w:eastAsia="宋体" w:cs="宋体"/>
                <w:color w:val="auto"/>
                <w:sz w:val="20"/>
                <w:szCs w:val="20"/>
                <w:highlight w:val="none"/>
              </w:rPr>
              <w:t>例</w:t>
            </w:r>
          </w:p>
        </w:tc>
        <w:tc>
          <w:tcPr>
            <w:tcW w:w="959" w:type="dxa"/>
            <w:vMerge w:val="restart"/>
            <w:tcBorders>
              <w:top w:val="nil"/>
              <w:bottom w:val="nil"/>
            </w:tcBorders>
            <w:vAlign w:val="top"/>
          </w:tcPr>
          <w:p w14:paraId="3A439674">
            <w:pPr>
              <w:pStyle w:val="179"/>
              <w:rPr>
                <w:color w:val="auto"/>
                <w:highlight w:val="none"/>
              </w:rPr>
            </w:pPr>
          </w:p>
        </w:tc>
      </w:tr>
      <w:tr w14:paraId="23148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61" w:type="dxa"/>
            <w:vMerge w:val="continue"/>
            <w:tcBorders>
              <w:top w:val="nil"/>
              <w:bottom w:val="nil"/>
            </w:tcBorders>
            <w:vAlign w:val="top"/>
          </w:tcPr>
          <w:p w14:paraId="662E1E36">
            <w:pPr>
              <w:pStyle w:val="179"/>
              <w:rPr>
                <w:color w:val="auto"/>
                <w:highlight w:val="none"/>
              </w:rPr>
            </w:pPr>
          </w:p>
        </w:tc>
        <w:tc>
          <w:tcPr>
            <w:tcW w:w="108" w:type="dxa"/>
            <w:tcBorders>
              <w:top w:val="nil"/>
              <w:bottom w:val="nil"/>
            </w:tcBorders>
            <w:vAlign w:val="top"/>
          </w:tcPr>
          <w:p w14:paraId="7EBE3B9F">
            <w:pPr>
              <w:pStyle w:val="179"/>
              <w:rPr>
                <w:color w:val="auto"/>
                <w:highlight w:val="none"/>
              </w:rPr>
            </w:pPr>
          </w:p>
        </w:tc>
        <w:tc>
          <w:tcPr>
            <w:tcW w:w="3015" w:type="dxa"/>
            <w:vAlign w:val="top"/>
          </w:tcPr>
          <w:p w14:paraId="166302E8">
            <w:pPr>
              <w:spacing w:before="33" w:line="216" w:lineRule="auto"/>
              <w:ind w:left="884"/>
              <w:rPr>
                <w:rFonts w:ascii="宋体" w:hAnsi="宋体" w:eastAsia="宋体" w:cs="宋体"/>
                <w:color w:val="auto"/>
                <w:sz w:val="20"/>
                <w:szCs w:val="20"/>
                <w:highlight w:val="none"/>
              </w:rPr>
            </w:pPr>
            <w:r>
              <w:rPr>
                <w:rFonts w:ascii="宋体" w:hAnsi="宋体" w:eastAsia="宋体" w:cs="宋体"/>
                <w:color w:val="auto"/>
                <w:sz w:val="20"/>
                <w:szCs w:val="20"/>
                <w:highlight w:val="none"/>
              </w:rPr>
              <w:t>5%（含）</w:t>
            </w:r>
            <w:r>
              <w:rPr>
                <w:rFonts w:ascii="宋体" w:hAnsi="宋体" w:eastAsia="宋体" w:cs="宋体"/>
                <w:color w:val="auto"/>
                <w:spacing w:val="-54"/>
                <w:sz w:val="20"/>
                <w:szCs w:val="20"/>
                <w:highlight w:val="none"/>
              </w:rPr>
              <w:t xml:space="preserve"> </w:t>
            </w:r>
            <w:r>
              <w:rPr>
                <w:rFonts w:ascii="宋体" w:hAnsi="宋体" w:eastAsia="宋体" w:cs="宋体"/>
                <w:color w:val="auto"/>
                <w:sz w:val="20"/>
                <w:szCs w:val="20"/>
                <w:highlight w:val="none"/>
              </w:rPr>
              <w:t>以上</w:t>
            </w:r>
          </w:p>
        </w:tc>
        <w:tc>
          <w:tcPr>
            <w:tcW w:w="2322" w:type="dxa"/>
            <w:vAlign w:val="top"/>
          </w:tcPr>
          <w:p w14:paraId="6539D9E1">
            <w:pPr>
              <w:spacing w:before="33" w:line="216" w:lineRule="auto"/>
              <w:ind w:left="972"/>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100%</w:t>
            </w:r>
          </w:p>
        </w:tc>
        <w:tc>
          <w:tcPr>
            <w:tcW w:w="959" w:type="dxa"/>
            <w:vMerge w:val="continue"/>
            <w:tcBorders>
              <w:top w:val="nil"/>
              <w:bottom w:val="nil"/>
            </w:tcBorders>
            <w:vAlign w:val="top"/>
          </w:tcPr>
          <w:p w14:paraId="3FEF9523">
            <w:pPr>
              <w:pStyle w:val="179"/>
              <w:rPr>
                <w:color w:val="auto"/>
                <w:highlight w:val="none"/>
              </w:rPr>
            </w:pPr>
          </w:p>
        </w:tc>
      </w:tr>
      <w:tr w14:paraId="2B5EB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61" w:type="dxa"/>
            <w:vMerge w:val="continue"/>
            <w:tcBorders>
              <w:top w:val="nil"/>
              <w:bottom w:val="nil"/>
            </w:tcBorders>
            <w:vAlign w:val="top"/>
          </w:tcPr>
          <w:p w14:paraId="12789900">
            <w:pPr>
              <w:pStyle w:val="179"/>
              <w:rPr>
                <w:color w:val="auto"/>
                <w:highlight w:val="none"/>
              </w:rPr>
            </w:pPr>
          </w:p>
        </w:tc>
        <w:tc>
          <w:tcPr>
            <w:tcW w:w="108" w:type="dxa"/>
            <w:tcBorders>
              <w:top w:val="nil"/>
              <w:bottom w:val="nil"/>
            </w:tcBorders>
            <w:vAlign w:val="top"/>
          </w:tcPr>
          <w:p w14:paraId="19CC5758">
            <w:pPr>
              <w:pStyle w:val="179"/>
              <w:rPr>
                <w:color w:val="auto"/>
                <w:highlight w:val="none"/>
              </w:rPr>
            </w:pPr>
          </w:p>
        </w:tc>
        <w:tc>
          <w:tcPr>
            <w:tcW w:w="3015" w:type="dxa"/>
            <w:vAlign w:val="top"/>
          </w:tcPr>
          <w:p w14:paraId="1AEBEBFF">
            <w:pPr>
              <w:spacing w:before="34" w:line="215" w:lineRule="auto"/>
              <w:ind w:left="45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4%（含）—5%（不含）</w:t>
            </w:r>
          </w:p>
        </w:tc>
        <w:tc>
          <w:tcPr>
            <w:tcW w:w="2322" w:type="dxa"/>
            <w:vAlign w:val="top"/>
          </w:tcPr>
          <w:p w14:paraId="5B5AE03D">
            <w:pPr>
              <w:spacing w:before="34" w:line="215" w:lineRule="auto"/>
              <w:ind w:left="1008"/>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95%</w:t>
            </w:r>
          </w:p>
        </w:tc>
        <w:tc>
          <w:tcPr>
            <w:tcW w:w="959" w:type="dxa"/>
            <w:vMerge w:val="continue"/>
            <w:tcBorders>
              <w:top w:val="nil"/>
              <w:bottom w:val="nil"/>
            </w:tcBorders>
            <w:vAlign w:val="top"/>
          </w:tcPr>
          <w:p w14:paraId="3558CF7B">
            <w:pPr>
              <w:pStyle w:val="179"/>
              <w:rPr>
                <w:color w:val="auto"/>
                <w:highlight w:val="none"/>
              </w:rPr>
            </w:pPr>
          </w:p>
        </w:tc>
      </w:tr>
      <w:tr w14:paraId="447A4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861" w:type="dxa"/>
            <w:vMerge w:val="continue"/>
            <w:tcBorders>
              <w:top w:val="nil"/>
            </w:tcBorders>
            <w:vAlign w:val="top"/>
          </w:tcPr>
          <w:p w14:paraId="06FAFD0B">
            <w:pPr>
              <w:pStyle w:val="179"/>
              <w:rPr>
                <w:color w:val="auto"/>
                <w:highlight w:val="none"/>
              </w:rPr>
            </w:pPr>
          </w:p>
        </w:tc>
        <w:tc>
          <w:tcPr>
            <w:tcW w:w="108" w:type="dxa"/>
            <w:tcBorders>
              <w:top w:val="nil"/>
            </w:tcBorders>
            <w:vAlign w:val="top"/>
          </w:tcPr>
          <w:p w14:paraId="5F2851E4">
            <w:pPr>
              <w:pStyle w:val="179"/>
              <w:rPr>
                <w:color w:val="auto"/>
                <w:highlight w:val="none"/>
              </w:rPr>
            </w:pPr>
          </w:p>
        </w:tc>
        <w:tc>
          <w:tcPr>
            <w:tcW w:w="3015" w:type="dxa"/>
            <w:vAlign w:val="top"/>
          </w:tcPr>
          <w:p w14:paraId="73CA7379">
            <w:pPr>
              <w:spacing w:before="35" w:line="213" w:lineRule="auto"/>
              <w:ind w:left="774"/>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4%（不含）</w:t>
            </w:r>
            <w:r>
              <w:rPr>
                <w:rFonts w:ascii="宋体" w:hAnsi="宋体" w:eastAsia="宋体" w:cs="宋体"/>
                <w:color w:val="auto"/>
                <w:spacing w:val="-56"/>
                <w:sz w:val="20"/>
                <w:szCs w:val="20"/>
                <w:highlight w:val="none"/>
              </w:rPr>
              <w:t xml:space="preserve"> </w:t>
            </w:r>
            <w:r>
              <w:rPr>
                <w:rFonts w:ascii="宋体" w:hAnsi="宋体" w:eastAsia="宋体" w:cs="宋体"/>
                <w:color w:val="auto"/>
                <w:spacing w:val="2"/>
                <w:sz w:val="20"/>
                <w:szCs w:val="20"/>
                <w:highlight w:val="none"/>
              </w:rPr>
              <w:t>以下</w:t>
            </w:r>
          </w:p>
        </w:tc>
        <w:tc>
          <w:tcPr>
            <w:tcW w:w="2322" w:type="dxa"/>
            <w:vAlign w:val="top"/>
          </w:tcPr>
          <w:p w14:paraId="05EC8BDB">
            <w:pPr>
              <w:spacing w:before="35" w:line="213" w:lineRule="auto"/>
              <w:ind w:left="1008"/>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90%</w:t>
            </w:r>
          </w:p>
        </w:tc>
        <w:tc>
          <w:tcPr>
            <w:tcW w:w="959" w:type="dxa"/>
            <w:vMerge w:val="continue"/>
            <w:tcBorders>
              <w:top w:val="nil"/>
            </w:tcBorders>
            <w:vAlign w:val="top"/>
          </w:tcPr>
          <w:p w14:paraId="58E8CB56">
            <w:pPr>
              <w:pStyle w:val="179"/>
              <w:rPr>
                <w:color w:val="auto"/>
                <w:highlight w:val="none"/>
              </w:rPr>
            </w:pPr>
          </w:p>
        </w:tc>
      </w:tr>
      <w:tr w14:paraId="47DA8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7" w:hRule="atLeast"/>
        </w:trPr>
        <w:tc>
          <w:tcPr>
            <w:tcW w:w="2861" w:type="dxa"/>
            <w:vAlign w:val="top"/>
          </w:tcPr>
          <w:p w14:paraId="639A509B">
            <w:pPr>
              <w:pStyle w:val="179"/>
              <w:spacing w:line="258" w:lineRule="auto"/>
              <w:rPr>
                <w:color w:val="auto"/>
                <w:highlight w:val="none"/>
              </w:rPr>
            </w:pPr>
          </w:p>
          <w:p w14:paraId="3C9351C1">
            <w:pPr>
              <w:pStyle w:val="179"/>
              <w:spacing w:line="258" w:lineRule="auto"/>
              <w:rPr>
                <w:color w:val="auto"/>
                <w:highlight w:val="none"/>
              </w:rPr>
            </w:pPr>
          </w:p>
          <w:p w14:paraId="5ECF2AF5">
            <w:pPr>
              <w:pStyle w:val="179"/>
              <w:spacing w:line="258" w:lineRule="auto"/>
              <w:rPr>
                <w:color w:val="auto"/>
                <w:highlight w:val="none"/>
              </w:rPr>
            </w:pPr>
          </w:p>
          <w:p w14:paraId="4BA79298">
            <w:pPr>
              <w:pStyle w:val="179"/>
              <w:spacing w:line="258" w:lineRule="auto"/>
              <w:rPr>
                <w:color w:val="auto"/>
                <w:highlight w:val="none"/>
              </w:rPr>
            </w:pPr>
          </w:p>
          <w:p w14:paraId="3F83D5AB">
            <w:pPr>
              <w:pStyle w:val="179"/>
              <w:spacing w:line="259" w:lineRule="auto"/>
              <w:rPr>
                <w:color w:val="auto"/>
                <w:highlight w:val="none"/>
              </w:rPr>
            </w:pPr>
          </w:p>
          <w:p w14:paraId="6656606B">
            <w:pPr>
              <w:pStyle w:val="179"/>
              <w:spacing w:line="259" w:lineRule="auto"/>
              <w:rPr>
                <w:color w:val="auto"/>
                <w:highlight w:val="none"/>
              </w:rPr>
            </w:pPr>
          </w:p>
          <w:p w14:paraId="73FBC355">
            <w:pPr>
              <w:pStyle w:val="179"/>
              <w:spacing w:line="259" w:lineRule="auto"/>
              <w:rPr>
                <w:color w:val="auto"/>
                <w:highlight w:val="none"/>
              </w:rPr>
            </w:pPr>
          </w:p>
          <w:p w14:paraId="581E2255">
            <w:pPr>
              <w:pStyle w:val="179"/>
              <w:spacing w:line="259" w:lineRule="auto"/>
              <w:rPr>
                <w:color w:val="auto"/>
                <w:highlight w:val="none"/>
              </w:rPr>
            </w:pPr>
          </w:p>
          <w:p w14:paraId="4A01F3D5">
            <w:pPr>
              <w:pStyle w:val="179"/>
              <w:spacing w:line="259" w:lineRule="auto"/>
              <w:rPr>
                <w:color w:val="auto"/>
                <w:highlight w:val="none"/>
              </w:rPr>
            </w:pPr>
          </w:p>
          <w:p w14:paraId="580383AE">
            <w:pPr>
              <w:spacing w:before="65" w:line="228"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服务要求</w:t>
            </w:r>
          </w:p>
        </w:tc>
        <w:tc>
          <w:tcPr>
            <w:tcW w:w="6404" w:type="dxa"/>
            <w:gridSpan w:val="4"/>
            <w:vAlign w:val="top"/>
          </w:tcPr>
          <w:p w14:paraId="1F521854">
            <w:pPr>
              <w:spacing w:before="66" w:line="228" w:lineRule="auto"/>
              <w:ind w:left="1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1、能按时完成委托单位安排的临时性和应急性任务。</w:t>
            </w:r>
          </w:p>
          <w:p w14:paraId="5242CF78">
            <w:pPr>
              <w:spacing w:before="64" w:line="288" w:lineRule="auto"/>
              <w:ind w:left="108" w:right="109"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2、负责样品的检验、检验报告的寄送、结果分析、异议处理和检验</w:t>
            </w:r>
            <w:r>
              <w:rPr>
                <w:rFonts w:ascii="宋体" w:hAnsi="宋体" w:eastAsia="宋体" w:cs="宋体"/>
                <w:color w:val="auto"/>
                <w:spacing w:val="8"/>
                <w:sz w:val="20"/>
                <w:szCs w:val="20"/>
                <w:highlight w:val="none"/>
              </w:rPr>
              <w:t>过程中技术问题的处理工作。</w:t>
            </w:r>
          </w:p>
          <w:p w14:paraId="6B4A98EC">
            <w:pPr>
              <w:spacing w:before="4" w:line="287" w:lineRule="auto"/>
              <w:ind w:left="107" w:right="108"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3、处理问题及响应时间：成交供应商接到采购人处理问题通知后</w:t>
            </w:r>
            <w:r>
              <w:rPr>
                <w:rFonts w:ascii="宋体" w:hAnsi="宋体" w:eastAsia="宋体" w:cs="宋体"/>
                <w:color w:val="auto"/>
                <w:spacing w:val="8"/>
                <w:sz w:val="20"/>
                <w:szCs w:val="20"/>
                <w:highlight w:val="none"/>
              </w:rPr>
              <w:t xml:space="preserve"> 2小时内采取实质性响应措施，必须在</w:t>
            </w:r>
            <w:r>
              <w:rPr>
                <w:rFonts w:ascii="宋体" w:hAnsi="宋体" w:eastAsia="宋体" w:cs="宋体"/>
                <w:color w:val="auto"/>
                <w:spacing w:val="-27"/>
                <w:sz w:val="20"/>
                <w:szCs w:val="20"/>
                <w:highlight w:val="none"/>
              </w:rPr>
              <w:t xml:space="preserve"> </w:t>
            </w:r>
            <w:r>
              <w:rPr>
                <w:rFonts w:ascii="宋体" w:hAnsi="宋体" w:eastAsia="宋体" w:cs="宋体"/>
                <w:color w:val="auto"/>
                <w:spacing w:val="8"/>
                <w:sz w:val="20"/>
                <w:szCs w:val="20"/>
                <w:highlight w:val="none"/>
              </w:rPr>
              <w:t>24</w:t>
            </w:r>
            <w:r>
              <w:rPr>
                <w:rFonts w:ascii="宋体" w:hAnsi="宋体" w:eastAsia="宋体" w:cs="宋体"/>
                <w:color w:val="auto"/>
                <w:spacing w:val="-32"/>
                <w:sz w:val="20"/>
                <w:szCs w:val="20"/>
                <w:highlight w:val="none"/>
              </w:rPr>
              <w:t xml:space="preserve"> </w:t>
            </w:r>
            <w:r>
              <w:rPr>
                <w:rFonts w:ascii="宋体" w:hAnsi="宋体" w:eastAsia="宋体" w:cs="宋体"/>
                <w:color w:val="auto"/>
                <w:spacing w:val="8"/>
                <w:sz w:val="20"/>
                <w:szCs w:val="20"/>
                <w:highlight w:val="none"/>
              </w:rPr>
              <w:t>小时之内向采购人提交正式</w:t>
            </w:r>
            <w:r>
              <w:rPr>
                <w:rFonts w:ascii="宋体" w:hAnsi="宋体" w:eastAsia="宋体" w:cs="宋体"/>
                <w:color w:val="auto"/>
                <w:spacing w:val="10"/>
                <w:sz w:val="20"/>
                <w:szCs w:val="20"/>
                <w:highlight w:val="none"/>
              </w:rPr>
              <w:t>书面可行的解决方案，并在采购人指定的时</w:t>
            </w:r>
            <w:r>
              <w:rPr>
                <w:rFonts w:ascii="宋体" w:hAnsi="宋体" w:eastAsia="宋体" w:cs="宋体"/>
                <w:color w:val="auto"/>
                <w:spacing w:val="9"/>
                <w:sz w:val="20"/>
                <w:szCs w:val="20"/>
                <w:highlight w:val="none"/>
              </w:rPr>
              <w:t>间和地点对方案进行解</w:t>
            </w:r>
            <w:r>
              <w:rPr>
                <w:rFonts w:ascii="宋体" w:hAnsi="宋体" w:eastAsia="宋体" w:cs="宋体"/>
                <w:color w:val="auto"/>
                <w:spacing w:val="5"/>
                <w:sz w:val="20"/>
                <w:szCs w:val="20"/>
                <w:highlight w:val="none"/>
              </w:rPr>
              <w:t>释说明。</w:t>
            </w:r>
          </w:p>
          <w:p w14:paraId="3FD7A399">
            <w:pPr>
              <w:spacing w:line="229" w:lineRule="auto"/>
              <w:ind w:left="10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4、定期回访。</w:t>
            </w:r>
          </w:p>
          <w:p w14:paraId="19262634">
            <w:pPr>
              <w:spacing w:before="63" w:line="228" w:lineRule="auto"/>
              <w:ind w:left="11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5、供应商须在响应文件中提供具体的服务承诺。</w:t>
            </w:r>
          </w:p>
          <w:p w14:paraId="595BF1E7">
            <w:pPr>
              <w:spacing w:before="65" w:line="288" w:lineRule="auto"/>
              <w:ind w:left="107" w:right="109" w:firstLine="2"/>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6、供应商应于</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年</w:t>
            </w:r>
            <w:r>
              <w:rPr>
                <w:rFonts w:ascii="宋体" w:hAnsi="宋体" w:eastAsia="宋体" w:cs="宋体"/>
                <w:color w:val="auto"/>
                <w:spacing w:val="-21"/>
                <w:sz w:val="20"/>
                <w:szCs w:val="20"/>
                <w:highlight w:val="none"/>
              </w:rPr>
              <w:t xml:space="preserve"> </w:t>
            </w:r>
            <w:r>
              <w:rPr>
                <w:rFonts w:ascii="宋体" w:hAnsi="宋体" w:eastAsia="宋体" w:cs="宋体"/>
                <w:color w:val="auto"/>
                <w:spacing w:val="4"/>
                <w:sz w:val="20"/>
                <w:szCs w:val="20"/>
                <w:highlight w:val="none"/>
              </w:rPr>
              <w:t>12</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月</w:t>
            </w:r>
            <w:r>
              <w:rPr>
                <w:rFonts w:ascii="宋体" w:hAnsi="宋体" w:eastAsia="宋体" w:cs="宋体"/>
                <w:color w:val="auto"/>
                <w:spacing w:val="-23"/>
                <w:sz w:val="20"/>
                <w:szCs w:val="20"/>
                <w:highlight w:val="none"/>
              </w:rPr>
              <w:t xml:space="preserve"> </w:t>
            </w:r>
            <w:r>
              <w:rPr>
                <w:rFonts w:ascii="宋体" w:hAnsi="宋体" w:eastAsia="宋体" w:cs="宋体"/>
                <w:color w:val="auto"/>
                <w:spacing w:val="4"/>
                <w:sz w:val="20"/>
                <w:szCs w:val="20"/>
                <w:highlight w:val="none"/>
              </w:rPr>
              <w:t>10 日前完成抽样检测任务</w:t>
            </w:r>
            <w:r>
              <w:rPr>
                <w:rFonts w:ascii="宋体" w:hAnsi="宋体" w:eastAsia="宋体" w:cs="宋体"/>
                <w:color w:val="auto"/>
                <w:spacing w:val="3"/>
                <w:sz w:val="20"/>
                <w:szCs w:val="20"/>
                <w:highlight w:val="none"/>
              </w:rPr>
              <w:t>，并出具</w:t>
            </w:r>
            <w:r>
              <w:rPr>
                <w:rFonts w:ascii="宋体" w:hAnsi="宋体" w:eastAsia="宋体" w:cs="宋体"/>
                <w:color w:val="auto"/>
                <w:spacing w:val="-39"/>
                <w:sz w:val="20"/>
                <w:szCs w:val="20"/>
                <w:highlight w:val="none"/>
              </w:rPr>
              <w:t xml:space="preserve"> </w:t>
            </w:r>
            <w:r>
              <w:rPr>
                <w:rFonts w:ascii="宋体" w:hAnsi="宋体" w:eastAsia="宋体" w:cs="宋体"/>
                <w:color w:val="auto"/>
                <w:sz w:val="20"/>
                <w:szCs w:val="20"/>
                <w:highlight w:val="none"/>
              </w:rPr>
              <w:t>CA</w:t>
            </w:r>
            <w:r>
              <w:rPr>
                <w:rFonts w:ascii="宋体" w:hAnsi="宋体" w:eastAsia="宋体" w:cs="宋体"/>
                <w:color w:val="auto"/>
                <w:spacing w:val="4"/>
                <w:sz w:val="20"/>
                <w:szCs w:val="20"/>
                <w:highlight w:val="none"/>
              </w:rPr>
              <w:t>认证的电子检验报告书，并于</w:t>
            </w:r>
            <w:r>
              <w:rPr>
                <w:rFonts w:ascii="宋体" w:hAnsi="宋体" w:eastAsia="宋体" w:cs="宋体"/>
                <w:color w:val="auto"/>
                <w:spacing w:val="-21"/>
                <w:sz w:val="20"/>
                <w:szCs w:val="20"/>
                <w:highlight w:val="none"/>
              </w:rPr>
              <w:t xml:space="preserve"> </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39"/>
                <w:sz w:val="20"/>
                <w:szCs w:val="20"/>
                <w:highlight w:val="none"/>
              </w:rPr>
              <w:t xml:space="preserve"> </w:t>
            </w:r>
            <w:r>
              <w:rPr>
                <w:rFonts w:ascii="宋体" w:hAnsi="宋体" w:eastAsia="宋体" w:cs="宋体"/>
                <w:color w:val="auto"/>
                <w:spacing w:val="4"/>
                <w:sz w:val="20"/>
                <w:szCs w:val="20"/>
                <w:highlight w:val="none"/>
              </w:rPr>
              <w:t>年</w:t>
            </w:r>
            <w:r>
              <w:rPr>
                <w:rFonts w:ascii="宋体" w:hAnsi="宋体" w:eastAsia="宋体" w:cs="宋体"/>
                <w:color w:val="auto"/>
                <w:spacing w:val="-21"/>
                <w:sz w:val="20"/>
                <w:szCs w:val="20"/>
                <w:highlight w:val="none"/>
              </w:rPr>
              <w:t xml:space="preserve"> </w:t>
            </w:r>
            <w:r>
              <w:rPr>
                <w:rFonts w:ascii="宋体" w:hAnsi="宋体" w:eastAsia="宋体" w:cs="宋体"/>
                <w:color w:val="auto"/>
                <w:spacing w:val="4"/>
                <w:sz w:val="20"/>
                <w:szCs w:val="20"/>
                <w:highlight w:val="none"/>
              </w:rPr>
              <w:t>12</w:t>
            </w:r>
            <w:r>
              <w:rPr>
                <w:rFonts w:ascii="宋体" w:hAnsi="宋体" w:eastAsia="宋体" w:cs="宋体"/>
                <w:color w:val="auto"/>
                <w:spacing w:val="-36"/>
                <w:sz w:val="20"/>
                <w:szCs w:val="20"/>
                <w:highlight w:val="none"/>
              </w:rPr>
              <w:t xml:space="preserve"> </w:t>
            </w:r>
            <w:r>
              <w:rPr>
                <w:rFonts w:ascii="宋体" w:hAnsi="宋体" w:eastAsia="宋体" w:cs="宋体"/>
                <w:color w:val="auto"/>
                <w:spacing w:val="4"/>
                <w:sz w:val="20"/>
                <w:szCs w:val="20"/>
                <w:highlight w:val="none"/>
              </w:rPr>
              <w:t>月</w:t>
            </w:r>
            <w:r>
              <w:rPr>
                <w:rFonts w:ascii="宋体" w:hAnsi="宋体" w:eastAsia="宋体" w:cs="宋体"/>
                <w:color w:val="auto"/>
                <w:spacing w:val="-34"/>
                <w:sz w:val="20"/>
                <w:szCs w:val="20"/>
                <w:highlight w:val="none"/>
              </w:rPr>
              <w:t xml:space="preserve"> </w:t>
            </w:r>
            <w:r>
              <w:rPr>
                <w:rFonts w:ascii="宋体" w:hAnsi="宋体" w:eastAsia="宋体" w:cs="宋体"/>
                <w:color w:val="auto"/>
                <w:spacing w:val="4"/>
                <w:sz w:val="20"/>
                <w:szCs w:val="20"/>
                <w:highlight w:val="none"/>
              </w:rPr>
              <w:t>20 日前，将本次任务检</w:t>
            </w:r>
            <w:r>
              <w:rPr>
                <w:rFonts w:ascii="宋体" w:hAnsi="宋体" w:eastAsia="宋体" w:cs="宋体"/>
                <w:color w:val="auto"/>
                <w:spacing w:val="10"/>
                <w:sz w:val="20"/>
                <w:szCs w:val="20"/>
                <w:highlight w:val="none"/>
              </w:rPr>
              <w:t>验分析报告、信息汇总表及问题样品信息汇</w:t>
            </w:r>
            <w:r>
              <w:rPr>
                <w:rFonts w:ascii="宋体" w:hAnsi="宋体" w:eastAsia="宋体" w:cs="宋体"/>
                <w:color w:val="auto"/>
                <w:spacing w:val="9"/>
                <w:sz w:val="20"/>
                <w:szCs w:val="20"/>
                <w:highlight w:val="none"/>
              </w:rPr>
              <w:t>总表寄送至防城港市市</w:t>
            </w:r>
            <w:r>
              <w:rPr>
                <w:rFonts w:ascii="宋体" w:hAnsi="宋体" w:eastAsia="宋体" w:cs="宋体"/>
                <w:color w:val="auto"/>
                <w:spacing w:val="7"/>
                <w:sz w:val="20"/>
                <w:szCs w:val="20"/>
                <w:highlight w:val="none"/>
              </w:rPr>
              <w:t>场监督管理局。</w:t>
            </w:r>
          </w:p>
          <w:p w14:paraId="4CD1AE34">
            <w:pPr>
              <w:spacing w:before="1" w:line="269" w:lineRule="auto"/>
              <w:ind w:left="107" w:right="109"/>
              <w:rPr>
                <w:rFonts w:ascii="宋体" w:hAnsi="宋体" w:eastAsia="宋体" w:cs="宋体"/>
                <w:color w:val="auto"/>
                <w:sz w:val="20"/>
                <w:szCs w:val="20"/>
                <w:highlight w:val="none"/>
              </w:rPr>
            </w:pPr>
            <w:r>
              <w:rPr>
                <w:rFonts w:ascii="Times New Roman" w:hAnsi="Times New Roman" w:eastAsia="Times New Roman" w:cs="Times New Roman"/>
                <w:color w:val="auto"/>
                <w:spacing w:val="7"/>
                <w:sz w:val="20"/>
                <w:szCs w:val="20"/>
                <w:highlight w:val="none"/>
              </w:rPr>
              <w:t>7.</w:t>
            </w:r>
            <w:r>
              <w:rPr>
                <w:rFonts w:ascii="宋体" w:hAnsi="宋体" w:eastAsia="宋体" w:cs="宋体"/>
                <w:color w:val="auto"/>
                <w:spacing w:val="7"/>
                <w:sz w:val="20"/>
                <w:szCs w:val="20"/>
                <w:highlight w:val="none"/>
              </w:rPr>
              <w:t>供应商必须按照响应文件承诺的时效性开展食品抽检任务，如有一</w:t>
            </w:r>
            <w:r>
              <w:rPr>
                <w:rFonts w:ascii="宋体" w:hAnsi="宋体" w:eastAsia="宋体" w:cs="宋体"/>
                <w:color w:val="auto"/>
                <w:spacing w:val="8"/>
                <w:sz w:val="20"/>
                <w:szCs w:val="20"/>
                <w:highlight w:val="none"/>
              </w:rPr>
              <w:t>次未能按时完成抽检任务的扣</w:t>
            </w:r>
            <w:r>
              <w:rPr>
                <w:rFonts w:ascii="宋体" w:hAnsi="宋体" w:eastAsia="宋体" w:cs="宋体"/>
                <w:color w:val="auto"/>
                <w:spacing w:val="-25"/>
                <w:sz w:val="20"/>
                <w:szCs w:val="20"/>
                <w:highlight w:val="none"/>
              </w:rPr>
              <w:t xml:space="preserve"> </w:t>
            </w:r>
            <w:r>
              <w:rPr>
                <w:rFonts w:ascii="Times New Roman" w:hAnsi="Times New Roman" w:eastAsia="Times New Roman" w:cs="Times New Roman"/>
                <w:color w:val="auto"/>
                <w:spacing w:val="8"/>
                <w:sz w:val="20"/>
                <w:szCs w:val="20"/>
                <w:highlight w:val="none"/>
              </w:rPr>
              <w:t xml:space="preserve">5000 </w:t>
            </w:r>
            <w:r>
              <w:rPr>
                <w:rFonts w:ascii="宋体" w:hAnsi="宋体" w:eastAsia="宋体" w:cs="宋体"/>
                <w:color w:val="auto"/>
                <w:spacing w:val="8"/>
                <w:sz w:val="20"/>
                <w:szCs w:val="20"/>
                <w:highlight w:val="none"/>
              </w:rPr>
              <w:t>元，超过三次不能按时完成抽检任务的，采购人有权依法解除合同。</w:t>
            </w:r>
          </w:p>
        </w:tc>
      </w:tr>
      <w:tr w14:paraId="1F583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7" w:hRule="atLeast"/>
        </w:trPr>
        <w:tc>
          <w:tcPr>
            <w:tcW w:w="2861" w:type="dxa"/>
            <w:vAlign w:val="top"/>
          </w:tcPr>
          <w:p w14:paraId="00F003BC">
            <w:pPr>
              <w:pStyle w:val="179"/>
              <w:spacing w:line="305" w:lineRule="auto"/>
              <w:rPr>
                <w:color w:val="auto"/>
                <w:highlight w:val="none"/>
              </w:rPr>
            </w:pPr>
          </w:p>
          <w:p w14:paraId="5310A635">
            <w:pPr>
              <w:pStyle w:val="179"/>
              <w:spacing w:line="306" w:lineRule="auto"/>
              <w:rPr>
                <w:color w:val="auto"/>
                <w:highlight w:val="none"/>
              </w:rPr>
            </w:pPr>
          </w:p>
          <w:p w14:paraId="5EFCCE9C">
            <w:pPr>
              <w:spacing w:before="65" w:line="228" w:lineRule="auto"/>
              <w:ind w:left="10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验收标准</w:t>
            </w:r>
          </w:p>
        </w:tc>
        <w:tc>
          <w:tcPr>
            <w:tcW w:w="6404" w:type="dxa"/>
            <w:gridSpan w:val="4"/>
            <w:vAlign w:val="top"/>
          </w:tcPr>
          <w:p w14:paraId="2F30DFEB">
            <w:pPr>
              <w:spacing w:before="56" w:line="277" w:lineRule="auto"/>
              <w:ind w:left="107" w:right="109" w:firstLine="15"/>
              <w:jc w:val="both"/>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1、合同履行过程中，由采购人根据供应商所提供的服务</w:t>
            </w:r>
            <w:r>
              <w:rPr>
                <w:rFonts w:ascii="宋体" w:hAnsi="宋体" w:eastAsia="宋体" w:cs="宋体"/>
                <w:color w:val="auto"/>
                <w:spacing w:val="8"/>
                <w:sz w:val="20"/>
                <w:szCs w:val="20"/>
                <w:highlight w:val="none"/>
              </w:rPr>
              <w:t>，对照竞争</w:t>
            </w:r>
            <w:r>
              <w:rPr>
                <w:rFonts w:ascii="宋体" w:hAnsi="宋体" w:eastAsia="宋体" w:cs="宋体"/>
                <w:color w:val="auto"/>
                <w:spacing w:val="13"/>
                <w:sz w:val="20"/>
                <w:szCs w:val="20"/>
                <w:highlight w:val="none"/>
              </w:rPr>
              <w:t>性磋商文件要求及供应商响应文件中的承诺进行检验并记录，如不符合竞争性磋商文件服务要求、商务要求以及提供虚假承诺的，按相关规定做违约处理，供应商承担所有责任和费用，采购人保留进</w:t>
            </w:r>
            <w:r>
              <w:rPr>
                <w:rFonts w:ascii="宋体" w:hAnsi="宋体" w:eastAsia="宋体" w:cs="宋体"/>
                <w:color w:val="auto"/>
                <w:spacing w:val="8"/>
                <w:sz w:val="20"/>
                <w:szCs w:val="20"/>
                <w:highlight w:val="none"/>
              </w:rPr>
              <w:t>一步追究责任的权利。</w:t>
            </w:r>
          </w:p>
        </w:tc>
      </w:tr>
    </w:tbl>
    <w:p w14:paraId="173D0729">
      <w:pPr>
        <w:rPr>
          <w:rFonts w:ascii="Arial"/>
          <w:color w:val="auto"/>
          <w:sz w:val="21"/>
          <w:highlight w:val="none"/>
        </w:rPr>
      </w:pPr>
    </w:p>
    <w:p w14:paraId="0F03BB59">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682726B1">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61"/>
        <w:gridCol w:w="6404"/>
      </w:tblGrid>
      <w:tr w14:paraId="4051B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92" w:hRule="atLeast"/>
        </w:trPr>
        <w:tc>
          <w:tcPr>
            <w:tcW w:w="2861" w:type="dxa"/>
            <w:vAlign w:val="top"/>
          </w:tcPr>
          <w:p w14:paraId="787E93C3">
            <w:pPr>
              <w:pStyle w:val="179"/>
              <w:rPr>
                <w:color w:val="auto"/>
                <w:highlight w:val="none"/>
              </w:rPr>
            </w:pPr>
          </w:p>
        </w:tc>
        <w:tc>
          <w:tcPr>
            <w:tcW w:w="6404" w:type="dxa"/>
            <w:vAlign w:val="top"/>
          </w:tcPr>
          <w:p w14:paraId="1EF8A9C2">
            <w:pPr>
              <w:spacing w:before="56" w:line="288" w:lineRule="auto"/>
              <w:ind w:left="107" w:right="109"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2、供应商完成所有委托的抽检任务后，提供抽检项目品种数量明细</w:t>
            </w:r>
            <w:r>
              <w:rPr>
                <w:rFonts w:ascii="宋体" w:hAnsi="宋体" w:eastAsia="宋体" w:cs="宋体"/>
                <w:color w:val="auto"/>
                <w:spacing w:val="7"/>
                <w:sz w:val="20"/>
                <w:szCs w:val="20"/>
                <w:highlight w:val="none"/>
              </w:rPr>
              <w:t>及质量分析报告给采购人，</w:t>
            </w:r>
            <w:r>
              <w:rPr>
                <w:rFonts w:ascii="宋体" w:hAnsi="宋体" w:eastAsia="宋体" w:cs="宋体"/>
                <w:color w:val="auto"/>
                <w:spacing w:val="-46"/>
                <w:sz w:val="20"/>
                <w:szCs w:val="20"/>
                <w:highlight w:val="none"/>
              </w:rPr>
              <w:t xml:space="preserve"> </w:t>
            </w:r>
            <w:r>
              <w:rPr>
                <w:rFonts w:ascii="宋体" w:hAnsi="宋体" w:eastAsia="宋体" w:cs="宋体"/>
                <w:color w:val="auto"/>
                <w:spacing w:val="7"/>
                <w:sz w:val="20"/>
                <w:szCs w:val="20"/>
                <w:highlight w:val="none"/>
              </w:rPr>
              <w:t>由采购人组织专家进行验收。</w:t>
            </w:r>
          </w:p>
          <w:p w14:paraId="736101F1">
            <w:pPr>
              <w:spacing w:line="228" w:lineRule="auto"/>
              <w:ind w:left="11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3、项目需求中有其他要求的按其要求。</w:t>
            </w:r>
          </w:p>
          <w:p w14:paraId="3C083183">
            <w:pPr>
              <w:spacing w:before="64" w:line="288" w:lineRule="auto"/>
              <w:ind w:left="111" w:right="109" w:hanging="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4、验收过程中所产生的一切费用均由供应商承担。报价时应考虑相</w:t>
            </w:r>
            <w:r>
              <w:rPr>
                <w:rFonts w:ascii="宋体" w:hAnsi="宋体" w:eastAsia="宋体" w:cs="宋体"/>
                <w:color w:val="auto"/>
                <w:spacing w:val="4"/>
                <w:sz w:val="20"/>
                <w:szCs w:val="20"/>
                <w:highlight w:val="none"/>
              </w:rPr>
              <w:t>关费用。</w:t>
            </w:r>
          </w:p>
          <w:p w14:paraId="6489C1AF">
            <w:pPr>
              <w:spacing w:line="261" w:lineRule="auto"/>
              <w:ind w:left="106"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5、验收标准：依据采购文件、响应文件及国家、行业现行法律法规</w:t>
            </w:r>
            <w:r>
              <w:rPr>
                <w:rFonts w:ascii="宋体" w:hAnsi="宋体" w:eastAsia="宋体" w:cs="宋体"/>
                <w:color w:val="auto"/>
                <w:spacing w:val="6"/>
                <w:sz w:val="20"/>
                <w:szCs w:val="20"/>
                <w:highlight w:val="none"/>
              </w:rPr>
              <w:t>进行验收。</w:t>
            </w:r>
          </w:p>
        </w:tc>
      </w:tr>
      <w:tr w14:paraId="77509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9" w:hRule="atLeast"/>
        </w:trPr>
        <w:tc>
          <w:tcPr>
            <w:tcW w:w="2861" w:type="dxa"/>
            <w:vAlign w:val="top"/>
          </w:tcPr>
          <w:p w14:paraId="070B7021">
            <w:pPr>
              <w:pStyle w:val="179"/>
              <w:spacing w:line="249" w:lineRule="auto"/>
              <w:rPr>
                <w:color w:val="auto"/>
                <w:highlight w:val="none"/>
              </w:rPr>
            </w:pPr>
          </w:p>
          <w:p w14:paraId="4221BFF1">
            <w:pPr>
              <w:pStyle w:val="179"/>
              <w:spacing w:line="249" w:lineRule="auto"/>
              <w:rPr>
                <w:color w:val="auto"/>
                <w:highlight w:val="none"/>
              </w:rPr>
            </w:pPr>
          </w:p>
          <w:p w14:paraId="377673E7">
            <w:pPr>
              <w:pStyle w:val="179"/>
              <w:spacing w:line="249" w:lineRule="auto"/>
              <w:rPr>
                <w:color w:val="auto"/>
                <w:highlight w:val="none"/>
              </w:rPr>
            </w:pPr>
          </w:p>
          <w:p w14:paraId="6560F5C1">
            <w:pPr>
              <w:pStyle w:val="179"/>
              <w:spacing w:line="249" w:lineRule="auto"/>
              <w:rPr>
                <w:color w:val="auto"/>
                <w:highlight w:val="none"/>
              </w:rPr>
            </w:pPr>
          </w:p>
          <w:p w14:paraId="09B8278A">
            <w:pPr>
              <w:pStyle w:val="179"/>
              <w:spacing w:line="249" w:lineRule="auto"/>
              <w:rPr>
                <w:color w:val="auto"/>
                <w:highlight w:val="none"/>
              </w:rPr>
            </w:pPr>
          </w:p>
          <w:p w14:paraId="76DF6D67">
            <w:pPr>
              <w:pStyle w:val="179"/>
              <w:spacing w:line="249" w:lineRule="auto"/>
              <w:rPr>
                <w:color w:val="auto"/>
                <w:highlight w:val="none"/>
              </w:rPr>
            </w:pPr>
          </w:p>
          <w:p w14:paraId="0919A6E8">
            <w:pPr>
              <w:pStyle w:val="179"/>
              <w:spacing w:line="249" w:lineRule="auto"/>
              <w:rPr>
                <w:color w:val="auto"/>
                <w:highlight w:val="none"/>
              </w:rPr>
            </w:pPr>
          </w:p>
          <w:p w14:paraId="4920E1D7">
            <w:pPr>
              <w:pStyle w:val="179"/>
              <w:spacing w:line="249" w:lineRule="auto"/>
              <w:rPr>
                <w:color w:val="auto"/>
                <w:highlight w:val="none"/>
              </w:rPr>
            </w:pPr>
          </w:p>
          <w:p w14:paraId="0FCC60CB">
            <w:pPr>
              <w:pStyle w:val="179"/>
              <w:spacing w:line="249" w:lineRule="auto"/>
              <w:rPr>
                <w:color w:val="auto"/>
                <w:highlight w:val="none"/>
              </w:rPr>
            </w:pPr>
          </w:p>
          <w:p w14:paraId="0AAEE003">
            <w:pPr>
              <w:pStyle w:val="179"/>
              <w:spacing w:line="249" w:lineRule="auto"/>
              <w:rPr>
                <w:color w:val="auto"/>
                <w:highlight w:val="none"/>
              </w:rPr>
            </w:pPr>
          </w:p>
          <w:p w14:paraId="396AB9A1">
            <w:pPr>
              <w:pStyle w:val="179"/>
              <w:spacing w:line="249" w:lineRule="auto"/>
              <w:rPr>
                <w:color w:val="auto"/>
                <w:highlight w:val="none"/>
              </w:rPr>
            </w:pPr>
          </w:p>
          <w:p w14:paraId="2303B050">
            <w:pPr>
              <w:pStyle w:val="179"/>
              <w:spacing w:line="249" w:lineRule="auto"/>
              <w:rPr>
                <w:color w:val="auto"/>
                <w:highlight w:val="none"/>
              </w:rPr>
            </w:pPr>
          </w:p>
          <w:p w14:paraId="342D0BE0">
            <w:pPr>
              <w:pStyle w:val="179"/>
              <w:spacing w:line="249" w:lineRule="auto"/>
              <w:rPr>
                <w:color w:val="auto"/>
                <w:highlight w:val="none"/>
              </w:rPr>
            </w:pPr>
          </w:p>
          <w:p w14:paraId="3325A5F1">
            <w:pPr>
              <w:pStyle w:val="179"/>
              <w:spacing w:line="250" w:lineRule="auto"/>
              <w:rPr>
                <w:color w:val="auto"/>
                <w:highlight w:val="none"/>
              </w:rPr>
            </w:pPr>
          </w:p>
          <w:p w14:paraId="3EF3122E">
            <w:pPr>
              <w:spacing w:before="65" w:line="229" w:lineRule="auto"/>
              <w:ind w:left="80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三、其他要求</w:t>
            </w:r>
          </w:p>
        </w:tc>
        <w:tc>
          <w:tcPr>
            <w:tcW w:w="6404" w:type="dxa"/>
            <w:vAlign w:val="top"/>
          </w:tcPr>
          <w:p w14:paraId="5F50CF7F">
            <w:pPr>
              <w:spacing w:before="33" w:line="377" w:lineRule="auto"/>
              <w:ind w:left="107" w:right="109"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1、以上服务要求及商务要求均不允许负偏离，如有一项</w:t>
            </w:r>
            <w:r>
              <w:rPr>
                <w:rFonts w:ascii="宋体" w:hAnsi="宋体" w:eastAsia="宋体" w:cs="宋体"/>
                <w:color w:val="auto"/>
                <w:spacing w:val="8"/>
                <w:sz w:val="20"/>
                <w:szCs w:val="20"/>
                <w:highlight w:val="none"/>
              </w:rPr>
              <w:t>则按无效响</w:t>
            </w:r>
            <w:r>
              <w:rPr>
                <w:rFonts w:ascii="宋体" w:hAnsi="宋体" w:eastAsia="宋体" w:cs="宋体"/>
                <w:color w:val="auto"/>
                <w:spacing w:val="5"/>
                <w:sz w:val="20"/>
                <w:szCs w:val="20"/>
                <w:highlight w:val="none"/>
              </w:rPr>
              <w:t>应处理。</w:t>
            </w:r>
          </w:p>
          <w:p w14:paraId="4A2ED0FB">
            <w:pPr>
              <w:spacing w:before="1" w:line="377" w:lineRule="auto"/>
              <w:ind w:left="107" w:right="109"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2、供应商要配合采购人开展复检。复检结果为最终结果。复检结果</w:t>
            </w:r>
            <w:r>
              <w:rPr>
                <w:rFonts w:ascii="宋体" w:hAnsi="宋体" w:eastAsia="宋体" w:cs="宋体"/>
                <w:color w:val="auto"/>
                <w:spacing w:val="13"/>
                <w:sz w:val="20"/>
                <w:szCs w:val="20"/>
                <w:highlight w:val="none"/>
              </w:rPr>
              <w:t>表明合格的，复检费用由抽样检验的部门承担；复检结论表明不合</w:t>
            </w:r>
            <w:r>
              <w:rPr>
                <w:rFonts w:ascii="宋体" w:hAnsi="宋体" w:eastAsia="宋体" w:cs="宋体"/>
                <w:color w:val="auto"/>
                <w:spacing w:val="9"/>
                <w:sz w:val="20"/>
                <w:szCs w:val="20"/>
                <w:highlight w:val="none"/>
              </w:rPr>
              <w:t>格的，复检费用由要求复检申请人或单位承担。</w:t>
            </w:r>
          </w:p>
          <w:p w14:paraId="43E82CAC">
            <w:pPr>
              <w:spacing w:before="1" w:line="376" w:lineRule="auto"/>
              <w:ind w:left="106" w:right="109"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w:t>
            </w:r>
            <w:r>
              <w:rPr>
                <w:rFonts w:hint="eastAsia" w:ascii="宋体" w:hAnsi="宋体" w:eastAsia="宋体" w:cs="宋体"/>
                <w:color w:val="auto"/>
                <w:spacing w:val="9"/>
                <w:sz w:val="20"/>
                <w:szCs w:val="20"/>
                <w:highlight w:val="none"/>
                <w:lang w:eastAsia="zh-CN"/>
              </w:rPr>
              <w:t>供应商需额外计划支持不超过</w:t>
            </w:r>
            <w:r>
              <w:rPr>
                <w:rFonts w:hint="eastAsia" w:ascii="宋体" w:hAnsi="宋体" w:eastAsia="宋体" w:cs="宋体"/>
                <w:color w:val="auto"/>
                <w:spacing w:val="9"/>
                <w:sz w:val="20"/>
                <w:szCs w:val="20"/>
                <w:highlight w:val="none"/>
                <w:lang w:val="en-US" w:eastAsia="zh-CN"/>
              </w:rPr>
              <w:t>50批次的抽检批次作为采购方应急抽检任务使用，</w:t>
            </w:r>
            <w:r>
              <w:rPr>
                <w:rFonts w:ascii="宋体" w:hAnsi="宋体" w:eastAsia="宋体" w:cs="宋体"/>
                <w:color w:val="auto"/>
                <w:spacing w:val="9"/>
                <w:sz w:val="20"/>
                <w:szCs w:val="20"/>
                <w:highlight w:val="none"/>
              </w:rPr>
              <w:t>如采购人出现需要应急抽检的项目，成交供应商需无条件配合采购人的要求。</w:t>
            </w:r>
            <w:r>
              <w:rPr>
                <w:rFonts w:ascii="宋体" w:hAnsi="宋体" w:eastAsia="宋体" w:cs="宋体"/>
                <w:b/>
                <w:bCs/>
                <w:color w:val="auto"/>
                <w:spacing w:val="9"/>
                <w:sz w:val="20"/>
                <w:szCs w:val="20"/>
                <w:highlight w:val="none"/>
              </w:rPr>
              <w:t>（供应商须在响应文件中提供书</w:t>
            </w:r>
            <w:r>
              <w:rPr>
                <w:rFonts w:ascii="宋体" w:hAnsi="宋体" w:eastAsia="宋体" w:cs="宋体"/>
                <w:b/>
                <w:bCs/>
                <w:color w:val="auto"/>
                <w:spacing w:val="8"/>
                <w:sz w:val="20"/>
                <w:szCs w:val="20"/>
                <w:highlight w:val="none"/>
              </w:rPr>
              <w:t>面承诺并加盖供应商</w:t>
            </w:r>
            <w:r>
              <w:rPr>
                <w:rFonts w:ascii="宋体" w:hAnsi="宋体" w:eastAsia="宋体" w:cs="宋体"/>
                <w:b/>
                <w:bCs/>
                <w:color w:val="auto"/>
                <w:spacing w:val="7"/>
                <w:sz w:val="20"/>
                <w:szCs w:val="20"/>
                <w:highlight w:val="none"/>
              </w:rPr>
              <w:t>单位公章，否则按无效响应处理，格式自拟）</w:t>
            </w:r>
          </w:p>
          <w:p w14:paraId="0F7C004D">
            <w:pPr>
              <w:spacing w:before="1" w:line="377" w:lineRule="auto"/>
              <w:ind w:left="107" w:right="3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4、供应商结合自身能力，在响应文件中提供项目整体组织实施</w:t>
            </w:r>
            <w:r>
              <w:rPr>
                <w:rFonts w:ascii="宋体" w:hAnsi="宋体" w:eastAsia="宋体" w:cs="宋体"/>
                <w:color w:val="auto"/>
                <w:spacing w:val="4"/>
                <w:sz w:val="20"/>
                <w:szCs w:val="20"/>
                <w:highlight w:val="none"/>
              </w:rPr>
              <w:t>方案、</w:t>
            </w:r>
            <w:r>
              <w:rPr>
                <w:rFonts w:ascii="宋体" w:hAnsi="宋体" w:eastAsia="宋体" w:cs="宋体"/>
                <w:color w:val="auto"/>
                <w:spacing w:val="9"/>
                <w:sz w:val="20"/>
                <w:szCs w:val="20"/>
                <w:highlight w:val="none"/>
              </w:rPr>
              <w:t>抽样方案、检测方案、工作实施方案以供评审，具体要求详见评审</w:t>
            </w:r>
            <w:r>
              <w:rPr>
                <w:rFonts w:ascii="宋体" w:hAnsi="宋体" w:eastAsia="宋体" w:cs="宋体"/>
                <w:color w:val="auto"/>
                <w:spacing w:val="3"/>
                <w:sz w:val="20"/>
                <w:szCs w:val="20"/>
                <w:highlight w:val="none"/>
              </w:rPr>
              <w:t>标准。</w:t>
            </w:r>
          </w:p>
          <w:p w14:paraId="06E4DABD">
            <w:pPr>
              <w:spacing w:before="1" w:line="376" w:lineRule="auto"/>
              <w:ind w:left="107" w:right="109" w:firstLine="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5、供应商须在响应文件中提供《供应商可以承检的食品监督抽检品种及项目表》并加盖供应商单位电子签章，</w:t>
            </w:r>
            <w:r>
              <w:rPr>
                <w:rFonts w:ascii="宋体" w:hAnsi="宋体" w:eastAsia="宋体" w:cs="宋体"/>
                <w:b/>
                <w:bCs/>
                <w:color w:val="auto"/>
                <w:spacing w:val="9"/>
                <w:sz w:val="20"/>
                <w:szCs w:val="20"/>
                <w:highlight w:val="none"/>
              </w:rPr>
              <w:t>否则按</w:t>
            </w:r>
            <w:r>
              <w:rPr>
                <w:rFonts w:ascii="宋体" w:hAnsi="宋体" w:eastAsia="宋体" w:cs="宋体"/>
                <w:b/>
                <w:bCs/>
                <w:color w:val="auto"/>
                <w:spacing w:val="8"/>
                <w:sz w:val="20"/>
                <w:szCs w:val="20"/>
                <w:highlight w:val="none"/>
              </w:rPr>
              <w:t>无效响应处理。</w:t>
            </w:r>
          </w:p>
          <w:p w14:paraId="608988A8">
            <w:pPr>
              <w:spacing w:before="2" w:line="370" w:lineRule="auto"/>
              <w:ind w:left="107" w:right="109"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6、供应商的履约能力要求：投入人员配置、实验室食品能力验证情况、实验室综合能力证明开展食品抽检任务服务时效性、风险分析服务承诺、实验室内用于食品检验的大型检验仪器设备情况、202</w:t>
            </w:r>
            <w:r>
              <w:rPr>
                <w:rFonts w:hint="eastAsia" w:ascii="宋体" w:hAnsi="宋体" w:eastAsia="宋体" w:cs="宋体"/>
                <w:color w:val="auto"/>
                <w:spacing w:val="9"/>
                <w:sz w:val="20"/>
                <w:szCs w:val="20"/>
                <w:highlight w:val="none"/>
                <w:lang w:val="en-US" w:eastAsia="zh-CN"/>
              </w:rPr>
              <w:t>6</w:t>
            </w:r>
            <w:r>
              <w:rPr>
                <w:rFonts w:ascii="宋体" w:hAnsi="宋体" w:eastAsia="宋体" w:cs="宋体"/>
                <w:color w:val="auto"/>
                <w:spacing w:val="9"/>
                <w:sz w:val="20"/>
                <w:szCs w:val="20"/>
                <w:highlight w:val="none"/>
              </w:rPr>
              <w:t>年度食品（含普通食品和农产品）安全监督抽检情况、与项目相关</w:t>
            </w:r>
            <w:r>
              <w:rPr>
                <w:rFonts w:ascii="宋体" w:hAnsi="宋体" w:eastAsia="宋体" w:cs="宋体"/>
                <w:color w:val="auto"/>
                <w:spacing w:val="7"/>
                <w:sz w:val="20"/>
                <w:szCs w:val="20"/>
                <w:highlight w:val="none"/>
              </w:rPr>
              <w:t>的信誉及业绩（如有）。</w:t>
            </w:r>
          </w:p>
        </w:tc>
      </w:tr>
    </w:tbl>
    <w:p w14:paraId="5C0E0D8C">
      <w:pPr>
        <w:rPr>
          <w:color w:val="auto"/>
          <w:szCs w:val="21"/>
          <w:highlight w:val="none"/>
        </w:rPr>
      </w:pPr>
      <w:r>
        <w:rPr>
          <w:color w:val="auto"/>
          <w:szCs w:val="21"/>
          <w:highlight w:val="none"/>
        </w:rPr>
        <w:br w:type="page"/>
      </w:r>
    </w:p>
    <w:p w14:paraId="6364884C">
      <w:pPr>
        <w:pStyle w:val="19"/>
        <w:spacing w:line="229" w:lineRule="auto"/>
        <w:ind w:left="560"/>
        <w:rPr>
          <w:rFonts w:hint="default" w:eastAsia="宋体"/>
          <w:color w:val="auto"/>
          <w:highlight w:val="none"/>
          <w:lang w:val="en-US" w:eastAsia="zh-CN"/>
        </w:rPr>
      </w:pPr>
      <w:r>
        <w:rPr>
          <w:rFonts w:hint="eastAsia"/>
          <w:color w:val="auto"/>
          <w:highlight w:val="none"/>
          <w:lang w:val="en-US" w:eastAsia="zh-CN"/>
        </w:rPr>
        <w:t>标项五：</w:t>
      </w:r>
    </w:p>
    <w:p w14:paraId="5845122B">
      <w:pPr>
        <w:spacing w:line="92" w:lineRule="exact"/>
        <w:rPr>
          <w:color w:val="auto"/>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4DF32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265" w:type="dxa"/>
            <w:gridSpan w:val="5"/>
            <w:vAlign w:val="top"/>
          </w:tcPr>
          <w:p w14:paraId="483D8B52">
            <w:pPr>
              <w:pStyle w:val="179"/>
              <w:spacing w:before="135" w:line="228" w:lineRule="auto"/>
              <w:ind w:left="117"/>
              <w:rPr>
                <w:color w:val="auto"/>
                <w:highlight w:val="none"/>
              </w:rPr>
            </w:pPr>
            <w:r>
              <w:rPr>
                <w:color w:val="auto"/>
                <w:spacing w:val="6"/>
                <w:highlight w:val="none"/>
              </w:rPr>
              <w:t>▲</w:t>
            </w:r>
            <w:r>
              <w:rPr>
                <w:b/>
                <w:bCs/>
                <w:color w:val="auto"/>
                <w:spacing w:val="6"/>
                <w:highlight w:val="none"/>
              </w:rPr>
              <w:t>一、技术要求</w:t>
            </w:r>
          </w:p>
        </w:tc>
      </w:tr>
      <w:tr w14:paraId="1825EF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7" w:hRule="atLeast"/>
        </w:trPr>
        <w:tc>
          <w:tcPr>
            <w:tcW w:w="655" w:type="dxa"/>
            <w:vAlign w:val="top"/>
          </w:tcPr>
          <w:p w14:paraId="48C49D0B">
            <w:pPr>
              <w:spacing w:line="265" w:lineRule="auto"/>
              <w:rPr>
                <w:rFonts w:ascii="Arial"/>
                <w:color w:val="auto"/>
                <w:sz w:val="21"/>
                <w:highlight w:val="none"/>
              </w:rPr>
            </w:pPr>
          </w:p>
          <w:p w14:paraId="79F6E01C">
            <w:pPr>
              <w:spacing w:line="265" w:lineRule="auto"/>
              <w:rPr>
                <w:rFonts w:ascii="Arial"/>
                <w:color w:val="auto"/>
                <w:sz w:val="21"/>
                <w:highlight w:val="none"/>
              </w:rPr>
            </w:pPr>
          </w:p>
          <w:p w14:paraId="7DE467EA">
            <w:pPr>
              <w:pStyle w:val="179"/>
              <w:spacing w:before="65" w:line="230" w:lineRule="auto"/>
              <w:ind w:left="119"/>
              <w:rPr>
                <w:color w:val="auto"/>
                <w:highlight w:val="none"/>
              </w:rPr>
            </w:pPr>
            <w:r>
              <w:rPr>
                <w:color w:val="auto"/>
                <w:spacing w:val="5"/>
                <w:highlight w:val="none"/>
              </w:rPr>
              <w:t>序号</w:t>
            </w:r>
          </w:p>
        </w:tc>
        <w:tc>
          <w:tcPr>
            <w:tcW w:w="873" w:type="dxa"/>
            <w:vAlign w:val="top"/>
          </w:tcPr>
          <w:p w14:paraId="7F28CECC">
            <w:pPr>
              <w:spacing w:line="297" w:lineRule="auto"/>
              <w:rPr>
                <w:rFonts w:ascii="Arial"/>
                <w:color w:val="auto"/>
                <w:sz w:val="21"/>
                <w:highlight w:val="none"/>
              </w:rPr>
            </w:pPr>
          </w:p>
          <w:p w14:paraId="3F7905AA">
            <w:pPr>
              <w:pStyle w:val="179"/>
              <w:spacing w:before="65" w:line="434" w:lineRule="auto"/>
              <w:ind w:left="230" w:right="124" w:hanging="107"/>
              <w:rPr>
                <w:color w:val="auto"/>
                <w:highlight w:val="none"/>
              </w:rPr>
            </w:pPr>
            <w:r>
              <w:rPr>
                <w:color w:val="auto"/>
                <w:spacing w:val="6"/>
                <w:highlight w:val="none"/>
              </w:rPr>
              <w:t>标的的</w:t>
            </w:r>
            <w:r>
              <w:rPr>
                <w:color w:val="auto"/>
                <w:spacing w:val="3"/>
                <w:highlight w:val="none"/>
              </w:rPr>
              <w:t>名称</w:t>
            </w:r>
          </w:p>
        </w:tc>
        <w:tc>
          <w:tcPr>
            <w:tcW w:w="663" w:type="dxa"/>
            <w:vAlign w:val="top"/>
          </w:tcPr>
          <w:p w14:paraId="044AF88D">
            <w:pPr>
              <w:pStyle w:val="179"/>
              <w:spacing w:before="131" w:line="228" w:lineRule="auto"/>
              <w:ind w:left="125"/>
              <w:rPr>
                <w:color w:val="auto"/>
                <w:highlight w:val="none"/>
              </w:rPr>
            </w:pPr>
            <w:r>
              <w:rPr>
                <w:color w:val="auto"/>
                <w:spacing w:val="3"/>
                <w:highlight w:val="none"/>
              </w:rPr>
              <w:t>数量</w:t>
            </w:r>
          </w:p>
          <w:p w14:paraId="6B45FDCE">
            <w:pPr>
              <w:pStyle w:val="179"/>
              <w:spacing w:before="221" w:line="368" w:lineRule="auto"/>
              <w:ind w:left="228" w:right="125" w:hanging="106"/>
              <w:rPr>
                <w:color w:val="auto"/>
                <w:highlight w:val="none"/>
              </w:rPr>
            </w:pPr>
            <w:r>
              <w:rPr>
                <w:color w:val="auto"/>
                <w:spacing w:val="5"/>
                <w:highlight w:val="none"/>
              </w:rPr>
              <w:t>及单</w:t>
            </w:r>
            <w:r>
              <w:rPr>
                <w:color w:val="auto"/>
                <w:highlight w:val="none"/>
              </w:rPr>
              <w:t>位</w:t>
            </w:r>
          </w:p>
        </w:tc>
        <w:tc>
          <w:tcPr>
            <w:tcW w:w="683" w:type="dxa"/>
            <w:vAlign w:val="top"/>
          </w:tcPr>
          <w:p w14:paraId="11477CD0">
            <w:pPr>
              <w:spacing w:line="296" w:lineRule="auto"/>
              <w:rPr>
                <w:rFonts w:ascii="Arial"/>
                <w:color w:val="auto"/>
                <w:sz w:val="21"/>
                <w:highlight w:val="none"/>
              </w:rPr>
            </w:pPr>
          </w:p>
          <w:p w14:paraId="14549FFD">
            <w:pPr>
              <w:pStyle w:val="179"/>
              <w:spacing w:before="65" w:line="434" w:lineRule="auto"/>
              <w:ind w:left="137" w:right="133" w:hanging="3"/>
              <w:rPr>
                <w:color w:val="auto"/>
                <w:highlight w:val="none"/>
              </w:rPr>
            </w:pPr>
            <w:r>
              <w:rPr>
                <w:color w:val="auto"/>
                <w:spacing w:val="4"/>
                <w:highlight w:val="none"/>
              </w:rPr>
              <w:t>所属</w:t>
            </w:r>
            <w:r>
              <w:rPr>
                <w:color w:val="auto"/>
                <w:spacing w:val="3"/>
                <w:highlight w:val="none"/>
              </w:rPr>
              <w:t>行业</w:t>
            </w:r>
          </w:p>
        </w:tc>
        <w:tc>
          <w:tcPr>
            <w:tcW w:w="6391" w:type="dxa"/>
            <w:vAlign w:val="top"/>
          </w:tcPr>
          <w:p w14:paraId="52AB6A19">
            <w:pPr>
              <w:spacing w:line="265" w:lineRule="auto"/>
              <w:rPr>
                <w:rFonts w:ascii="Arial"/>
                <w:color w:val="auto"/>
                <w:sz w:val="21"/>
                <w:highlight w:val="none"/>
              </w:rPr>
            </w:pPr>
          </w:p>
          <w:p w14:paraId="5AD702A7">
            <w:pPr>
              <w:spacing w:line="266" w:lineRule="auto"/>
              <w:rPr>
                <w:rFonts w:ascii="Arial"/>
                <w:color w:val="auto"/>
                <w:sz w:val="21"/>
                <w:highlight w:val="none"/>
              </w:rPr>
            </w:pPr>
          </w:p>
          <w:p w14:paraId="182499E6">
            <w:pPr>
              <w:pStyle w:val="179"/>
              <w:spacing w:before="65" w:line="228" w:lineRule="auto"/>
              <w:ind w:left="2775"/>
              <w:rPr>
                <w:color w:val="auto"/>
                <w:highlight w:val="none"/>
              </w:rPr>
            </w:pPr>
            <w:r>
              <w:rPr>
                <w:color w:val="auto"/>
                <w:spacing w:val="7"/>
                <w:highlight w:val="none"/>
              </w:rPr>
              <w:t>服务要求</w:t>
            </w:r>
          </w:p>
        </w:tc>
      </w:tr>
      <w:tr w14:paraId="64694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3" w:hRule="atLeast"/>
        </w:trPr>
        <w:tc>
          <w:tcPr>
            <w:tcW w:w="655" w:type="dxa"/>
            <w:vAlign w:val="top"/>
          </w:tcPr>
          <w:p w14:paraId="3B51D386">
            <w:pPr>
              <w:spacing w:line="245" w:lineRule="auto"/>
              <w:rPr>
                <w:rFonts w:ascii="Arial"/>
                <w:color w:val="auto"/>
                <w:sz w:val="21"/>
                <w:highlight w:val="none"/>
              </w:rPr>
            </w:pPr>
          </w:p>
          <w:p w14:paraId="47904F51">
            <w:pPr>
              <w:spacing w:line="245" w:lineRule="auto"/>
              <w:rPr>
                <w:rFonts w:ascii="Arial"/>
                <w:color w:val="auto"/>
                <w:sz w:val="21"/>
                <w:highlight w:val="none"/>
              </w:rPr>
            </w:pPr>
          </w:p>
          <w:p w14:paraId="497E2454">
            <w:pPr>
              <w:spacing w:line="246" w:lineRule="auto"/>
              <w:rPr>
                <w:rFonts w:ascii="Arial"/>
                <w:color w:val="auto"/>
                <w:sz w:val="21"/>
                <w:highlight w:val="none"/>
              </w:rPr>
            </w:pPr>
          </w:p>
          <w:p w14:paraId="4D478B7A">
            <w:pPr>
              <w:spacing w:line="246" w:lineRule="auto"/>
              <w:rPr>
                <w:rFonts w:ascii="Arial"/>
                <w:color w:val="auto"/>
                <w:sz w:val="21"/>
                <w:highlight w:val="none"/>
              </w:rPr>
            </w:pPr>
          </w:p>
          <w:p w14:paraId="227F90D2">
            <w:pPr>
              <w:spacing w:line="246" w:lineRule="auto"/>
              <w:rPr>
                <w:rFonts w:ascii="Arial"/>
                <w:color w:val="auto"/>
                <w:sz w:val="21"/>
                <w:highlight w:val="none"/>
              </w:rPr>
            </w:pPr>
          </w:p>
          <w:p w14:paraId="0B02DEE2">
            <w:pPr>
              <w:pStyle w:val="179"/>
              <w:spacing w:before="65" w:line="271" w:lineRule="exact"/>
              <w:ind w:left="294"/>
              <w:rPr>
                <w:color w:val="auto"/>
                <w:highlight w:val="none"/>
              </w:rPr>
            </w:pPr>
            <w:r>
              <w:rPr>
                <w:color w:val="auto"/>
                <w:position w:val="1"/>
                <w:highlight w:val="none"/>
              </w:rPr>
              <w:t>1</w:t>
            </w:r>
          </w:p>
        </w:tc>
        <w:tc>
          <w:tcPr>
            <w:tcW w:w="873" w:type="dxa"/>
            <w:vAlign w:val="top"/>
          </w:tcPr>
          <w:p w14:paraId="00174BB8">
            <w:pPr>
              <w:pStyle w:val="179"/>
              <w:spacing w:before="132" w:line="228" w:lineRule="auto"/>
              <w:ind w:left="108"/>
              <w:rPr>
                <w:color w:val="auto"/>
                <w:highlight w:val="none"/>
              </w:rPr>
            </w:pPr>
            <w:r>
              <w:rPr>
                <w:color w:val="auto"/>
                <w:spacing w:val="2"/>
                <w:highlight w:val="none"/>
              </w:rPr>
              <w:t>202</w:t>
            </w:r>
            <w:r>
              <w:rPr>
                <w:rFonts w:hint="eastAsia"/>
                <w:color w:val="auto"/>
                <w:spacing w:val="2"/>
                <w:highlight w:val="none"/>
                <w:lang w:val="en-US" w:eastAsia="zh-CN"/>
              </w:rPr>
              <w:t>6</w:t>
            </w:r>
            <w:r>
              <w:rPr>
                <w:color w:val="auto"/>
                <w:spacing w:val="-59"/>
                <w:highlight w:val="none"/>
              </w:rPr>
              <w:t xml:space="preserve"> </w:t>
            </w:r>
            <w:r>
              <w:rPr>
                <w:color w:val="auto"/>
                <w:spacing w:val="2"/>
                <w:highlight w:val="none"/>
              </w:rPr>
              <w:t>年</w:t>
            </w:r>
          </w:p>
          <w:p w14:paraId="7BE26F5A">
            <w:pPr>
              <w:pStyle w:val="179"/>
              <w:spacing w:before="220" w:line="229" w:lineRule="auto"/>
              <w:ind w:left="124"/>
              <w:rPr>
                <w:color w:val="auto"/>
                <w:highlight w:val="none"/>
              </w:rPr>
            </w:pPr>
            <w:r>
              <w:rPr>
                <w:color w:val="auto"/>
                <w:spacing w:val="6"/>
                <w:highlight w:val="none"/>
              </w:rPr>
              <w:t>上思片</w:t>
            </w:r>
          </w:p>
          <w:p w14:paraId="78A76D24">
            <w:pPr>
              <w:pStyle w:val="179"/>
              <w:spacing w:before="219" w:line="229" w:lineRule="auto"/>
              <w:ind w:left="138"/>
              <w:rPr>
                <w:color w:val="auto"/>
                <w:highlight w:val="none"/>
              </w:rPr>
            </w:pPr>
            <w:r>
              <w:rPr>
                <w:color w:val="auto"/>
                <w:spacing w:val="1"/>
                <w:highlight w:val="none"/>
              </w:rPr>
              <w:t>区食品</w:t>
            </w:r>
          </w:p>
          <w:p w14:paraId="024C19B6">
            <w:pPr>
              <w:pStyle w:val="179"/>
              <w:spacing w:before="220" w:line="230" w:lineRule="auto"/>
              <w:ind w:left="126"/>
              <w:rPr>
                <w:color w:val="auto"/>
                <w:highlight w:val="none"/>
              </w:rPr>
            </w:pPr>
            <w:r>
              <w:rPr>
                <w:color w:val="auto"/>
                <w:spacing w:val="5"/>
                <w:highlight w:val="none"/>
              </w:rPr>
              <w:t>安全监</w:t>
            </w:r>
          </w:p>
          <w:p w14:paraId="05F72DC4">
            <w:pPr>
              <w:pStyle w:val="179"/>
              <w:spacing w:before="219" w:line="228" w:lineRule="auto"/>
              <w:ind w:left="126"/>
              <w:rPr>
                <w:color w:val="auto"/>
                <w:highlight w:val="none"/>
              </w:rPr>
            </w:pPr>
            <w:r>
              <w:rPr>
                <w:color w:val="auto"/>
                <w:spacing w:val="5"/>
                <w:highlight w:val="none"/>
              </w:rPr>
              <w:t>督抽检</w:t>
            </w:r>
          </w:p>
          <w:p w14:paraId="22F9AA0E">
            <w:pPr>
              <w:pStyle w:val="179"/>
              <w:spacing w:before="221" w:line="228" w:lineRule="auto"/>
              <w:ind w:left="228"/>
              <w:rPr>
                <w:color w:val="auto"/>
                <w:highlight w:val="none"/>
              </w:rPr>
            </w:pPr>
            <w:r>
              <w:rPr>
                <w:color w:val="auto"/>
                <w:spacing w:val="4"/>
                <w:highlight w:val="none"/>
              </w:rPr>
              <w:t>服务</w:t>
            </w:r>
          </w:p>
        </w:tc>
        <w:tc>
          <w:tcPr>
            <w:tcW w:w="663" w:type="dxa"/>
            <w:vAlign w:val="top"/>
          </w:tcPr>
          <w:p w14:paraId="1952E10A">
            <w:pPr>
              <w:spacing w:line="245" w:lineRule="auto"/>
              <w:rPr>
                <w:rFonts w:ascii="Arial"/>
                <w:color w:val="auto"/>
                <w:sz w:val="21"/>
                <w:highlight w:val="none"/>
              </w:rPr>
            </w:pPr>
          </w:p>
          <w:p w14:paraId="2336DE2B">
            <w:pPr>
              <w:spacing w:line="245" w:lineRule="auto"/>
              <w:rPr>
                <w:rFonts w:ascii="Arial"/>
                <w:color w:val="auto"/>
                <w:sz w:val="21"/>
                <w:highlight w:val="none"/>
              </w:rPr>
            </w:pPr>
          </w:p>
          <w:p w14:paraId="5237F9FE">
            <w:pPr>
              <w:spacing w:line="246" w:lineRule="auto"/>
              <w:rPr>
                <w:rFonts w:ascii="Arial"/>
                <w:color w:val="auto"/>
                <w:sz w:val="21"/>
                <w:highlight w:val="none"/>
              </w:rPr>
            </w:pPr>
          </w:p>
          <w:p w14:paraId="60D2F4FA">
            <w:pPr>
              <w:spacing w:line="246" w:lineRule="auto"/>
              <w:rPr>
                <w:rFonts w:ascii="Arial"/>
                <w:color w:val="auto"/>
                <w:sz w:val="21"/>
                <w:highlight w:val="none"/>
              </w:rPr>
            </w:pPr>
          </w:p>
          <w:p w14:paraId="202878F1">
            <w:pPr>
              <w:spacing w:line="246" w:lineRule="auto"/>
              <w:rPr>
                <w:rFonts w:ascii="Arial"/>
                <w:color w:val="auto"/>
                <w:sz w:val="21"/>
                <w:highlight w:val="none"/>
              </w:rPr>
            </w:pPr>
          </w:p>
          <w:p w14:paraId="1913051A">
            <w:pPr>
              <w:pStyle w:val="179"/>
              <w:spacing w:before="65" w:line="229" w:lineRule="auto"/>
              <w:ind w:left="165"/>
              <w:rPr>
                <w:color w:val="auto"/>
                <w:highlight w:val="none"/>
              </w:rPr>
            </w:pPr>
            <w:r>
              <w:rPr>
                <w:color w:val="auto"/>
                <w:spacing w:val="-10"/>
                <w:highlight w:val="none"/>
              </w:rPr>
              <w:t>1</w:t>
            </w:r>
            <w:r>
              <w:rPr>
                <w:color w:val="auto"/>
                <w:spacing w:val="-38"/>
                <w:highlight w:val="none"/>
              </w:rPr>
              <w:t xml:space="preserve"> </w:t>
            </w:r>
            <w:r>
              <w:rPr>
                <w:color w:val="auto"/>
                <w:spacing w:val="-10"/>
                <w:highlight w:val="none"/>
              </w:rPr>
              <w:t>项</w:t>
            </w:r>
          </w:p>
        </w:tc>
        <w:tc>
          <w:tcPr>
            <w:tcW w:w="683" w:type="dxa"/>
            <w:vAlign w:val="top"/>
          </w:tcPr>
          <w:p w14:paraId="6369EBE6">
            <w:pPr>
              <w:spacing w:line="265" w:lineRule="auto"/>
              <w:rPr>
                <w:rFonts w:ascii="Arial"/>
                <w:color w:val="auto"/>
                <w:sz w:val="21"/>
                <w:highlight w:val="none"/>
              </w:rPr>
            </w:pPr>
          </w:p>
          <w:p w14:paraId="1D8D9BBB">
            <w:pPr>
              <w:spacing w:line="266" w:lineRule="auto"/>
              <w:rPr>
                <w:rFonts w:ascii="Arial"/>
                <w:color w:val="auto"/>
                <w:sz w:val="21"/>
                <w:highlight w:val="none"/>
              </w:rPr>
            </w:pPr>
          </w:p>
          <w:p w14:paraId="4FF26504">
            <w:pPr>
              <w:pStyle w:val="179"/>
              <w:spacing w:before="65" w:line="436" w:lineRule="auto"/>
              <w:ind w:left="137" w:right="133" w:hanging="2"/>
              <w:jc w:val="both"/>
              <w:rPr>
                <w:color w:val="auto"/>
                <w:highlight w:val="none"/>
              </w:rPr>
            </w:pPr>
            <w:r>
              <w:rPr>
                <w:color w:val="auto"/>
                <w:spacing w:val="4"/>
                <w:highlight w:val="none"/>
              </w:rPr>
              <w:t>其他</w:t>
            </w:r>
            <w:r>
              <w:rPr>
                <w:color w:val="auto"/>
                <w:spacing w:val="3"/>
                <w:highlight w:val="none"/>
              </w:rPr>
              <w:t>未列明行业</w:t>
            </w:r>
          </w:p>
        </w:tc>
        <w:tc>
          <w:tcPr>
            <w:tcW w:w="6391" w:type="dxa"/>
            <w:vAlign w:val="top"/>
          </w:tcPr>
          <w:p w14:paraId="48A118E6">
            <w:pPr>
              <w:pStyle w:val="179"/>
              <w:spacing w:before="123" w:line="228" w:lineRule="auto"/>
              <w:ind w:left="117"/>
              <w:rPr>
                <w:b/>
                <w:bCs/>
                <w:color w:val="auto"/>
                <w:spacing w:val="8"/>
                <w:highlight w:val="none"/>
              </w:rPr>
            </w:pPr>
            <w:r>
              <w:rPr>
                <w:b/>
                <w:bCs/>
                <w:color w:val="auto"/>
                <w:spacing w:val="8"/>
                <w:highlight w:val="none"/>
              </w:rPr>
              <w:t>（一）抽检监测任务分配</w:t>
            </w:r>
            <w:r>
              <w:rPr>
                <w:b/>
                <w:bCs/>
                <w:color w:val="auto"/>
                <w:spacing w:val="-2"/>
                <w:highlight w:val="none"/>
              </w:rPr>
              <w:t>：（</w:t>
            </w:r>
            <w:r>
              <w:rPr>
                <w:b/>
                <w:bCs/>
                <w:color w:val="auto"/>
                <w:spacing w:val="8"/>
                <w:highlight w:val="none"/>
              </w:rPr>
              <w:t>单位：批次）</w:t>
            </w:r>
          </w:p>
          <w:tbl>
            <w:tblPr>
              <w:tblStyle w:val="178"/>
              <w:tblW w:w="5854" w:type="dxa"/>
              <w:tblInd w:w="24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9"/>
              <w:gridCol w:w="483"/>
              <w:gridCol w:w="533"/>
              <w:gridCol w:w="468"/>
              <w:gridCol w:w="544"/>
              <w:gridCol w:w="604"/>
              <w:gridCol w:w="450"/>
              <w:gridCol w:w="569"/>
              <w:gridCol w:w="628"/>
              <w:gridCol w:w="1146"/>
            </w:tblGrid>
            <w:tr w14:paraId="67090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429" w:type="dxa"/>
                  <w:noWrap w:val="0"/>
                  <w:textDirection w:val="tbRlV"/>
                  <w:vAlign w:val="top"/>
                </w:tcPr>
                <w:p w14:paraId="4B4713E1">
                  <w:pPr>
                    <w:pStyle w:val="179"/>
                    <w:spacing w:before="109" w:line="218" w:lineRule="auto"/>
                    <w:ind w:left="679"/>
                    <w:rPr>
                      <w:color w:val="auto"/>
                      <w:highlight w:val="none"/>
                    </w:rPr>
                  </w:pPr>
                  <w:r>
                    <w:rPr>
                      <w:color w:val="auto"/>
                      <w:spacing w:val="7"/>
                      <w:highlight w:val="none"/>
                    </w:rPr>
                    <w:t>序 号</w:t>
                  </w:r>
                </w:p>
              </w:tc>
              <w:tc>
                <w:tcPr>
                  <w:tcW w:w="483" w:type="dxa"/>
                  <w:noWrap w:val="0"/>
                  <w:textDirection w:val="tbRlV"/>
                  <w:vAlign w:val="top"/>
                </w:tcPr>
                <w:p w14:paraId="7BA6EDFE">
                  <w:pPr>
                    <w:pStyle w:val="179"/>
                    <w:spacing w:before="139" w:line="216" w:lineRule="auto"/>
                    <w:ind w:left="367"/>
                    <w:rPr>
                      <w:color w:val="auto"/>
                      <w:highlight w:val="none"/>
                    </w:rPr>
                  </w:pPr>
                  <w:r>
                    <w:rPr>
                      <w:color w:val="auto"/>
                      <w:spacing w:val="6"/>
                      <w:highlight w:val="none"/>
                    </w:rPr>
                    <w:t>任 务 类 型</w:t>
                  </w:r>
                </w:p>
              </w:tc>
              <w:tc>
                <w:tcPr>
                  <w:tcW w:w="533" w:type="dxa"/>
                  <w:noWrap w:val="0"/>
                  <w:textDirection w:val="tbRlV"/>
                  <w:vAlign w:val="top"/>
                </w:tcPr>
                <w:p w14:paraId="36916209">
                  <w:pPr>
                    <w:pStyle w:val="179"/>
                    <w:spacing w:before="162" w:line="216" w:lineRule="auto"/>
                    <w:ind w:left="367"/>
                    <w:rPr>
                      <w:color w:val="auto"/>
                      <w:highlight w:val="none"/>
                    </w:rPr>
                  </w:pPr>
                  <w:r>
                    <w:rPr>
                      <w:color w:val="auto"/>
                      <w:spacing w:val="6"/>
                      <w:highlight w:val="none"/>
                    </w:rPr>
                    <w:t>生 产 环 节</w:t>
                  </w:r>
                </w:p>
              </w:tc>
              <w:tc>
                <w:tcPr>
                  <w:tcW w:w="468" w:type="dxa"/>
                  <w:noWrap w:val="0"/>
                  <w:textDirection w:val="tbRlV"/>
                  <w:vAlign w:val="top"/>
                </w:tcPr>
                <w:p w14:paraId="64A3B986">
                  <w:pPr>
                    <w:pStyle w:val="179"/>
                    <w:spacing w:before="132" w:line="216" w:lineRule="auto"/>
                    <w:ind w:left="367"/>
                    <w:rPr>
                      <w:color w:val="auto"/>
                      <w:highlight w:val="none"/>
                    </w:rPr>
                  </w:pPr>
                  <w:r>
                    <w:rPr>
                      <w:color w:val="auto"/>
                      <w:spacing w:val="6"/>
                      <w:highlight w:val="none"/>
                    </w:rPr>
                    <w:t>销 售 环 节</w:t>
                  </w:r>
                </w:p>
              </w:tc>
              <w:tc>
                <w:tcPr>
                  <w:tcW w:w="544" w:type="dxa"/>
                  <w:noWrap w:val="0"/>
                  <w:textDirection w:val="tbRlV"/>
                  <w:vAlign w:val="top"/>
                </w:tcPr>
                <w:p w14:paraId="179F0C29">
                  <w:pPr>
                    <w:pStyle w:val="179"/>
                    <w:spacing w:before="169" w:line="216" w:lineRule="auto"/>
                    <w:ind w:left="367"/>
                    <w:rPr>
                      <w:color w:val="auto"/>
                      <w:highlight w:val="none"/>
                    </w:rPr>
                  </w:pPr>
                  <w:r>
                    <w:rPr>
                      <w:color w:val="auto"/>
                      <w:spacing w:val="6"/>
                      <w:highlight w:val="none"/>
                    </w:rPr>
                    <w:t>餐 饮 环 节</w:t>
                  </w:r>
                </w:p>
              </w:tc>
              <w:tc>
                <w:tcPr>
                  <w:tcW w:w="604" w:type="dxa"/>
                  <w:noWrap w:val="0"/>
                  <w:textDirection w:val="tbRlV"/>
                  <w:vAlign w:val="top"/>
                </w:tcPr>
                <w:p w14:paraId="4737A5F3">
                  <w:pPr>
                    <w:pStyle w:val="179"/>
                    <w:spacing w:before="197" w:line="216" w:lineRule="auto"/>
                    <w:ind w:left="211"/>
                    <w:rPr>
                      <w:color w:val="auto"/>
                      <w:highlight w:val="none"/>
                    </w:rPr>
                  </w:pPr>
                  <w:r>
                    <w:rPr>
                      <w:color w:val="auto"/>
                      <w:spacing w:val="6"/>
                      <w:highlight w:val="none"/>
                    </w:rPr>
                    <w:t>区 级 农 产 品</w:t>
                  </w:r>
                </w:p>
              </w:tc>
              <w:tc>
                <w:tcPr>
                  <w:tcW w:w="450" w:type="dxa"/>
                  <w:noWrap w:val="0"/>
                  <w:textDirection w:val="tbRlV"/>
                  <w:vAlign w:val="top"/>
                </w:tcPr>
                <w:p w14:paraId="692D3B22">
                  <w:pPr>
                    <w:pStyle w:val="179"/>
                    <w:spacing w:before="121" w:line="216" w:lineRule="auto"/>
                    <w:ind w:left="55"/>
                    <w:rPr>
                      <w:color w:val="auto"/>
                      <w:highlight w:val="none"/>
                    </w:rPr>
                  </w:pPr>
                  <w:r>
                    <w:rPr>
                      <w:color w:val="auto"/>
                      <w:spacing w:val="6"/>
                      <w:highlight w:val="none"/>
                    </w:rPr>
                    <w:t>市 级 农 产 品</w:t>
                  </w:r>
                </w:p>
              </w:tc>
              <w:tc>
                <w:tcPr>
                  <w:tcW w:w="569" w:type="dxa"/>
                  <w:noWrap w:val="0"/>
                  <w:textDirection w:val="tbRlV"/>
                  <w:vAlign w:val="top"/>
                </w:tcPr>
                <w:p w14:paraId="178EEE66">
                  <w:pPr>
                    <w:pStyle w:val="179"/>
                    <w:spacing w:before="180" w:line="216" w:lineRule="auto"/>
                    <w:ind w:left="55"/>
                    <w:rPr>
                      <w:color w:val="auto"/>
                      <w:highlight w:val="none"/>
                    </w:rPr>
                  </w:pPr>
                  <w:r>
                    <w:rPr>
                      <w:color w:val="auto"/>
                      <w:spacing w:val="6"/>
                      <w:highlight w:val="none"/>
                    </w:rPr>
                    <w:t xml:space="preserve">市 级 </w:t>
                  </w:r>
                  <w:r>
                    <w:rPr>
                      <w:rFonts w:hint="eastAsia"/>
                      <w:color w:val="auto"/>
                      <w:spacing w:val="6"/>
                      <w:highlight w:val="none"/>
                      <w:lang w:eastAsia="zh-CN"/>
                    </w:rPr>
                    <w:t>加工</w:t>
                  </w:r>
                  <w:r>
                    <w:rPr>
                      <w:color w:val="auto"/>
                      <w:spacing w:val="6"/>
                      <w:highlight w:val="none"/>
                    </w:rPr>
                    <w:t xml:space="preserve"> 食 品</w:t>
                  </w:r>
                </w:p>
              </w:tc>
              <w:tc>
                <w:tcPr>
                  <w:tcW w:w="628" w:type="dxa"/>
                  <w:noWrap w:val="0"/>
                  <w:textDirection w:val="tbRlV"/>
                  <w:vAlign w:val="top"/>
                </w:tcPr>
                <w:p w14:paraId="28CD52EC">
                  <w:pPr>
                    <w:pStyle w:val="179"/>
                    <w:spacing w:before="207" w:line="217" w:lineRule="auto"/>
                    <w:ind w:left="679"/>
                    <w:rPr>
                      <w:color w:val="auto"/>
                      <w:highlight w:val="none"/>
                    </w:rPr>
                  </w:pPr>
                  <w:r>
                    <w:rPr>
                      <w:color w:val="auto"/>
                      <w:spacing w:val="7"/>
                      <w:highlight w:val="none"/>
                    </w:rPr>
                    <w:t>合 计</w:t>
                  </w:r>
                </w:p>
              </w:tc>
              <w:tc>
                <w:tcPr>
                  <w:tcW w:w="1146" w:type="dxa"/>
                  <w:noWrap w:val="0"/>
                  <w:vAlign w:val="top"/>
                </w:tcPr>
                <w:p w14:paraId="46C7A146">
                  <w:pPr>
                    <w:spacing w:line="255" w:lineRule="auto"/>
                    <w:rPr>
                      <w:rFonts w:ascii="Arial"/>
                      <w:color w:val="auto"/>
                      <w:sz w:val="21"/>
                      <w:highlight w:val="none"/>
                    </w:rPr>
                  </w:pPr>
                </w:p>
                <w:p w14:paraId="0DBCAE5D">
                  <w:pPr>
                    <w:spacing w:line="255" w:lineRule="auto"/>
                    <w:rPr>
                      <w:rFonts w:ascii="Arial"/>
                      <w:color w:val="auto"/>
                      <w:sz w:val="21"/>
                      <w:highlight w:val="none"/>
                    </w:rPr>
                  </w:pPr>
                </w:p>
                <w:p w14:paraId="5E5E46A9">
                  <w:pPr>
                    <w:spacing w:line="255" w:lineRule="auto"/>
                    <w:rPr>
                      <w:rFonts w:ascii="Arial"/>
                      <w:color w:val="auto"/>
                      <w:sz w:val="21"/>
                      <w:highlight w:val="none"/>
                    </w:rPr>
                  </w:pPr>
                </w:p>
                <w:p w14:paraId="49EB9C4B">
                  <w:pPr>
                    <w:pStyle w:val="179"/>
                    <w:spacing w:before="65" w:line="230" w:lineRule="auto"/>
                    <w:ind w:left="368"/>
                    <w:rPr>
                      <w:color w:val="auto"/>
                      <w:highlight w:val="none"/>
                    </w:rPr>
                  </w:pPr>
                  <w:r>
                    <w:rPr>
                      <w:color w:val="auto"/>
                      <w:spacing w:val="3"/>
                      <w:highlight w:val="none"/>
                    </w:rPr>
                    <w:t>备注</w:t>
                  </w:r>
                </w:p>
              </w:tc>
            </w:tr>
            <w:tr w14:paraId="075F2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0" w:hRule="atLeast"/>
              </w:trPr>
              <w:tc>
                <w:tcPr>
                  <w:tcW w:w="429" w:type="dxa"/>
                  <w:noWrap w:val="0"/>
                  <w:vAlign w:val="top"/>
                </w:tcPr>
                <w:p w14:paraId="4668AC18">
                  <w:pPr>
                    <w:spacing w:line="304" w:lineRule="auto"/>
                    <w:rPr>
                      <w:rFonts w:ascii="Arial"/>
                      <w:color w:val="auto"/>
                      <w:sz w:val="21"/>
                      <w:highlight w:val="none"/>
                    </w:rPr>
                  </w:pPr>
                </w:p>
                <w:p w14:paraId="07A290F4">
                  <w:pPr>
                    <w:spacing w:line="304" w:lineRule="auto"/>
                    <w:rPr>
                      <w:rFonts w:ascii="Arial"/>
                      <w:color w:val="auto"/>
                      <w:sz w:val="21"/>
                      <w:highlight w:val="none"/>
                    </w:rPr>
                  </w:pPr>
                </w:p>
                <w:p w14:paraId="2FA0883C">
                  <w:pPr>
                    <w:pStyle w:val="179"/>
                    <w:spacing w:before="65" w:line="271" w:lineRule="exact"/>
                    <w:ind w:left="179"/>
                    <w:rPr>
                      <w:color w:val="auto"/>
                      <w:highlight w:val="none"/>
                    </w:rPr>
                  </w:pPr>
                  <w:r>
                    <w:rPr>
                      <w:color w:val="auto"/>
                      <w:position w:val="1"/>
                      <w:highlight w:val="none"/>
                    </w:rPr>
                    <w:t>1</w:t>
                  </w:r>
                </w:p>
              </w:tc>
              <w:tc>
                <w:tcPr>
                  <w:tcW w:w="483" w:type="dxa"/>
                  <w:noWrap w:val="0"/>
                  <w:textDirection w:val="tbRlV"/>
                  <w:vAlign w:val="top"/>
                </w:tcPr>
                <w:p w14:paraId="7DFA3C49">
                  <w:pPr>
                    <w:pStyle w:val="179"/>
                    <w:spacing w:before="138" w:line="207" w:lineRule="auto"/>
                    <w:ind w:left="53"/>
                    <w:rPr>
                      <w:color w:val="auto"/>
                      <w:highlight w:val="none"/>
                    </w:rPr>
                  </w:pPr>
                  <w:r>
                    <w:rPr>
                      <w:color w:val="auto"/>
                      <w:spacing w:val="6"/>
                      <w:position w:val="1"/>
                      <w:highlight w:val="none"/>
                    </w:rPr>
                    <w:t xml:space="preserve">自 </w:t>
                  </w:r>
                  <w:r>
                    <w:rPr>
                      <w:color w:val="auto"/>
                      <w:spacing w:val="6"/>
                      <w:highlight w:val="none"/>
                    </w:rPr>
                    <w:t>治 区 转 移</w:t>
                  </w:r>
                </w:p>
              </w:tc>
              <w:tc>
                <w:tcPr>
                  <w:tcW w:w="533" w:type="dxa"/>
                  <w:noWrap w:val="0"/>
                  <w:vAlign w:val="top"/>
                </w:tcPr>
                <w:p w14:paraId="6414AF0F">
                  <w:pPr>
                    <w:spacing w:line="304" w:lineRule="auto"/>
                    <w:rPr>
                      <w:rFonts w:ascii="Arial"/>
                      <w:color w:val="auto"/>
                      <w:sz w:val="21"/>
                      <w:highlight w:val="none"/>
                    </w:rPr>
                  </w:pPr>
                </w:p>
                <w:p w14:paraId="78CA334A">
                  <w:pPr>
                    <w:spacing w:line="304" w:lineRule="auto"/>
                    <w:rPr>
                      <w:rFonts w:ascii="Arial"/>
                      <w:color w:val="auto"/>
                      <w:sz w:val="21"/>
                      <w:highlight w:val="none"/>
                    </w:rPr>
                  </w:pPr>
                </w:p>
                <w:p w14:paraId="6A20D0C6">
                  <w:pPr>
                    <w:pStyle w:val="179"/>
                    <w:spacing w:before="65" w:line="271" w:lineRule="exact"/>
                    <w:ind w:left="179"/>
                    <w:rPr>
                      <w:rFonts w:hint="default" w:eastAsia="宋体"/>
                      <w:color w:val="auto"/>
                      <w:highlight w:val="none"/>
                      <w:lang w:val="en-US" w:eastAsia="zh-CN"/>
                    </w:rPr>
                  </w:pPr>
                  <w:r>
                    <w:rPr>
                      <w:rFonts w:hint="eastAsia"/>
                      <w:color w:val="auto"/>
                      <w:spacing w:val="-7"/>
                      <w:position w:val="1"/>
                      <w:highlight w:val="none"/>
                      <w:lang w:val="en-US" w:eastAsia="zh-CN"/>
                    </w:rPr>
                    <w:t>27</w:t>
                  </w:r>
                </w:p>
              </w:tc>
              <w:tc>
                <w:tcPr>
                  <w:tcW w:w="468" w:type="dxa"/>
                  <w:noWrap w:val="0"/>
                  <w:vAlign w:val="top"/>
                </w:tcPr>
                <w:p w14:paraId="1AD51BAA">
                  <w:pPr>
                    <w:spacing w:line="304" w:lineRule="auto"/>
                    <w:rPr>
                      <w:rFonts w:ascii="Arial"/>
                      <w:color w:val="auto"/>
                      <w:sz w:val="21"/>
                      <w:highlight w:val="none"/>
                    </w:rPr>
                  </w:pPr>
                </w:p>
                <w:p w14:paraId="2218DB0B">
                  <w:pPr>
                    <w:spacing w:line="304" w:lineRule="auto"/>
                    <w:rPr>
                      <w:rFonts w:ascii="Arial"/>
                      <w:color w:val="auto"/>
                      <w:sz w:val="21"/>
                      <w:highlight w:val="none"/>
                    </w:rPr>
                  </w:pPr>
                </w:p>
                <w:p w14:paraId="0AF19AA8">
                  <w:pPr>
                    <w:pStyle w:val="179"/>
                    <w:spacing w:before="65" w:line="269" w:lineRule="exact"/>
                    <w:ind w:left="184"/>
                    <w:rPr>
                      <w:rFonts w:hint="default" w:eastAsia="宋体"/>
                      <w:color w:val="auto"/>
                      <w:highlight w:val="none"/>
                      <w:lang w:val="en-US" w:eastAsia="zh-CN"/>
                    </w:rPr>
                  </w:pPr>
                  <w:r>
                    <w:rPr>
                      <w:rFonts w:hint="eastAsia"/>
                      <w:color w:val="auto"/>
                      <w:position w:val="1"/>
                      <w:highlight w:val="none"/>
                      <w:lang w:val="en-US" w:eastAsia="zh-CN"/>
                    </w:rPr>
                    <w:t>42</w:t>
                  </w:r>
                </w:p>
              </w:tc>
              <w:tc>
                <w:tcPr>
                  <w:tcW w:w="544" w:type="dxa"/>
                  <w:noWrap w:val="0"/>
                  <w:vAlign w:val="top"/>
                </w:tcPr>
                <w:p w14:paraId="088D63EB">
                  <w:pPr>
                    <w:spacing w:line="304" w:lineRule="auto"/>
                    <w:rPr>
                      <w:rFonts w:ascii="Arial"/>
                      <w:color w:val="auto"/>
                      <w:sz w:val="21"/>
                      <w:highlight w:val="none"/>
                    </w:rPr>
                  </w:pPr>
                </w:p>
                <w:p w14:paraId="31A01CB4">
                  <w:pPr>
                    <w:spacing w:line="304" w:lineRule="auto"/>
                    <w:rPr>
                      <w:rFonts w:ascii="Arial"/>
                      <w:color w:val="auto"/>
                      <w:sz w:val="21"/>
                      <w:highlight w:val="none"/>
                    </w:rPr>
                  </w:pPr>
                </w:p>
                <w:p w14:paraId="5CC71270">
                  <w:pPr>
                    <w:pStyle w:val="179"/>
                    <w:spacing w:before="65" w:line="269" w:lineRule="exact"/>
                    <w:ind w:left="172"/>
                    <w:rPr>
                      <w:rFonts w:hint="default" w:eastAsia="宋体"/>
                      <w:color w:val="auto"/>
                      <w:highlight w:val="none"/>
                      <w:lang w:val="en-US" w:eastAsia="zh-CN"/>
                    </w:rPr>
                  </w:pPr>
                  <w:r>
                    <w:rPr>
                      <w:rFonts w:hint="eastAsia"/>
                      <w:color w:val="auto"/>
                      <w:spacing w:val="-2"/>
                      <w:position w:val="1"/>
                      <w:highlight w:val="none"/>
                      <w:lang w:val="en-US" w:eastAsia="zh-CN"/>
                    </w:rPr>
                    <w:t>33</w:t>
                  </w:r>
                </w:p>
              </w:tc>
              <w:tc>
                <w:tcPr>
                  <w:tcW w:w="604" w:type="dxa"/>
                  <w:noWrap w:val="0"/>
                  <w:vAlign w:val="top"/>
                </w:tcPr>
                <w:p w14:paraId="5EE27BCF">
                  <w:pPr>
                    <w:spacing w:line="304" w:lineRule="auto"/>
                    <w:rPr>
                      <w:rFonts w:ascii="Arial"/>
                      <w:color w:val="auto"/>
                      <w:sz w:val="21"/>
                      <w:highlight w:val="none"/>
                    </w:rPr>
                  </w:pPr>
                </w:p>
                <w:p w14:paraId="0F0C2423">
                  <w:pPr>
                    <w:spacing w:line="304" w:lineRule="auto"/>
                    <w:rPr>
                      <w:rFonts w:ascii="Arial"/>
                      <w:color w:val="auto"/>
                      <w:sz w:val="21"/>
                      <w:highlight w:val="none"/>
                    </w:rPr>
                  </w:pPr>
                </w:p>
                <w:p w14:paraId="604F743A">
                  <w:pPr>
                    <w:pStyle w:val="179"/>
                    <w:spacing w:before="65" w:line="269" w:lineRule="exact"/>
                    <w:ind w:left="150"/>
                    <w:rPr>
                      <w:rFonts w:hint="default" w:eastAsia="宋体"/>
                      <w:color w:val="auto"/>
                      <w:highlight w:val="none"/>
                      <w:lang w:val="en-US" w:eastAsia="zh-CN"/>
                    </w:rPr>
                  </w:pPr>
                  <w:r>
                    <w:rPr>
                      <w:rFonts w:hint="eastAsia"/>
                      <w:color w:val="auto"/>
                      <w:spacing w:val="1"/>
                      <w:position w:val="1"/>
                      <w:highlight w:val="none"/>
                      <w:lang w:val="en-US" w:eastAsia="zh-CN"/>
                    </w:rPr>
                    <w:t>167</w:t>
                  </w:r>
                </w:p>
              </w:tc>
              <w:tc>
                <w:tcPr>
                  <w:tcW w:w="450" w:type="dxa"/>
                  <w:noWrap w:val="0"/>
                  <w:vAlign w:val="top"/>
                </w:tcPr>
                <w:p w14:paraId="5D80609A">
                  <w:pPr>
                    <w:rPr>
                      <w:rFonts w:ascii="Arial"/>
                      <w:color w:val="auto"/>
                      <w:sz w:val="21"/>
                      <w:highlight w:val="none"/>
                    </w:rPr>
                  </w:pPr>
                </w:p>
              </w:tc>
              <w:tc>
                <w:tcPr>
                  <w:tcW w:w="569" w:type="dxa"/>
                  <w:noWrap w:val="0"/>
                  <w:vAlign w:val="top"/>
                </w:tcPr>
                <w:p w14:paraId="196A5CE7">
                  <w:pPr>
                    <w:rPr>
                      <w:rFonts w:ascii="Arial"/>
                      <w:color w:val="auto"/>
                      <w:sz w:val="21"/>
                      <w:highlight w:val="none"/>
                    </w:rPr>
                  </w:pPr>
                </w:p>
              </w:tc>
              <w:tc>
                <w:tcPr>
                  <w:tcW w:w="628" w:type="dxa"/>
                  <w:noWrap w:val="0"/>
                  <w:vAlign w:val="top"/>
                </w:tcPr>
                <w:p w14:paraId="1A780B59">
                  <w:pPr>
                    <w:spacing w:line="304" w:lineRule="auto"/>
                    <w:rPr>
                      <w:rFonts w:ascii="Arial"/>
                      <w:color w:val="auto"/>
                      <w:sz w:val="21"/>
                      <w:highlight w:val="none"/>
                    </w:rPr>
                  </w:pPr>
                </w:p>
                <w:p w14:paraId="21ABFED3">
                  <w:pPr>
                    <w:spacing w:line="304" w:lineRule="auto"/>
                    <w:rPr>
                      <w:rFonts w:ascii="Arial"/>
                      <w:color w:val="auto"/>
                      <w:sz w:val="21"/>
                      <w:highlight w:val="none"/>
                    </w:rPr>
                  </w:pPr>
                </w:p>
                <w:p w14:paraId="66D3077F">
                  <w:pPr>
                    <w:pStyle w:val="179"/>
                    <w:spacing w:before="65" w:line="269" w:lineRule="exact"/>
                    <w:ind w:left="164"/>
                    <w:rPr>
                      <w:rFonts w:hint="eastAsia" w:eastAsia="宋体"/>
                      <w:color w:val="auto"/>
                      <w:highlight w:val="none"/>
                      <w:lang w:eastAsia="zh-CN"/>
                    </w:rPr>
                  </w:pPr>
                  <w:r>
                    <w:rPr>
                      <w:color w:val="auto"/>
                      <w:spacing w:val="1"/>
                      <w:position w:val="1"/>
                      <w:highlight w:val="none"/>
                    </w:rPr>
                    <w:t>26</w:t>
                  </w:r>
                  <w:r>
                    <w:rPr>
                      <w:rFonts w:hint="eastAsia"/>
                      <w:color w:val="auto"/>
                      <w:spacing w:val="1"/>
                      <w:position w:val="1"/>
                      <w:highlight w:val="none"/>
                      <w:lang w:val="en-US" w:eastAsia="zh-CN"/>
                    </w:rPr>
                    <w:t>9</w:t>
                  </w:r>
                </w:p>
              </w:tc>
              <w:tc>
                <w:tcPr>
                  <w:tcW w:w="1146" w:type="dxa"/>
                  <w:noWrap w:val="0"/>
                  <w:vAlign w:val="top"/>
                </w:tcPr>
                <w:p w14:paraId="23FE18C4">
                  <w:pPr>
                    <w:pStyle w:val="179"/>
                    <w:spacing w:before="304" w:line="289" w:lineRule="auto"/>
                    <w:ind w:left="111" w:right="108"/>
                    <w:jc w:val="both"/>
                    <w:rPr>
                      <w:color w:val="auto"/>
                      <w:highlight w:val="none"/>
                    </w:rPr>
                  </w:pPr>
                  <w:r>
                    <w:rPr>
                      <w:color w:val="auto"/>
                      <w:spacing w:val="30"/>
                      <w:highlight w:val="none"/>
                    </w:rPr>
                    <w:t>包含普通食品和食</w:t>
                  </w:r>
                  <w:r>
                    <w:rPr>
                      <w:color w:val="auto"/>
                      <w:spacing w:val="7"/>
                      <w:highlight w:val="none"/>
                    </w:rPr>
                    <w:t>用农产品</w:t>
                  </w:r>
                </w:p>
              </w:tc>
            </w:tr>
            <w:tr w14:paraId="6F6C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429" w:type="dxa"/>
                  <w:noWrap w:val="0"/>
                  <w:vAlign w:val="top"/>
                </w:tcPr>
                <w:p w14:paraId="2E73B578">
                  <w:pPr>
                    <w:spacing w:line="298" w:lineRule="auto"/>
                    <w:rPr>
                      <w:rFonts w:ascii="Arial"/>
                      <w:color w:val="auto"/>
                      <w:sz w:val="21"/>
                      <w:highlight w:val="none"/>
                    </w:rPr>
                  </w:pPr>
                </w:p>
                <w:p w14:paraId="0022C2C2">
                  <w:pPr>
                    <w:pStyle w:val="179"/>
                    <w:spacing w:before="65" w:line="270" w:lineRule="exact"/>
                    <w:ind w:left="166"/>
                    <w:rPr>
                      <w:color w:val="auto"/>
                      <w:highlight w:val="none"/>
                    </w:rPr>
                  </w:pPr>
                  <w:r>
                    <w:rPr>
                      <w:color w:val="auto"/>
                      <w:position w:val="1"/>
                      <w:highlight w:val="none"/>
                    </w:rPr>
                    <w:t>2</w:t>
                  </w:r>
                </w:p>
              </w:tc>
              <w:tc>
                <w:tcPr>
                  <w:tcW w:w="483" w:type="dxa"/>
                  <w:noWrap w:val="0"/>
                  <w:textDirection w:val="tbRlV"/>
                  <w:vAlign w:val="top"/>
                </w:tcPr>
                <w:p w14:paraId="2A92CA95">
                  <w:pPr>
                    <w:pStyle w:val="179"/>
                    <w:spacing w:before="139" w:line="214" w:lineRule="auto"/>
                    <w:ind w:left="52"/>
                    <w:rPr>
                      <w:color w:val="auto"/>
                      <w:highlight w:val="none"/>
                    </w:rPr>
                  </w:pPr>
                  <w:r>
                    <w:rPr>
                      <w:color w:val="auto"/>
                      <w:spacing w:val="6"/>
                      <w:highlight w:val="none"/>
                    </w:rPr>
                    <w:t>市 本 级</w:t>
                  </w:r>
                </w:p>
              </w:tc>
              <w:tc>
                <w:tcPr>
                  <w:tcW w:w="533" w:type="dxa"/>
                  <w:noWrap w:val="0"/>
                  <w:vAlign w:val="top"/>
                </w:tcPr>
                <w:p w14:paraId="13EAA9E1">
                  <w:pPr>
                    <w:spacing w:line="298" w:lineRule="auto"/>
                    <w:rPr>
                      <w:rFonts w:ascii="Arial"/>
                      <w:color w:val="auto"/>
                      <w:sz w:val="21"/>
                      <w:highlight w:val="none"/>
                    </w:rPr>
                  </w:pPr>
                </w:p>
                <w:p w14:paraId="03D5C6BB">
                  <w:pPr>
                    <w:pStyle w:val="179"/>
                    <w:spacing w:before="65" w:line="233" w:lineRule="auto"/>
                    <w:ind w:left="213"/>
                    <w:rPr>
                      <w:color w:val="auto"/>
                      <w:highlight w:val="none"/>
                    </w:rPr>
                  </w:pPr>
                  <w:r>
                    <w:rPr>
                      <w:color w:val="auto"/>
                      <w:highlight w:val="none"/>
                    </w:rPr>
                    <w:t>/</w:t>
                  </w:r>
                </w:p>
              </w:tc>
              <w:tc>
                <w:tcPr>
                  <w:tcW w:w="468" w:type="dxa"/>
                  <w:noWrap w:val="0"/>
                  <w:vAlign w:val="top"/>
                </w:tcPr>
                <w:p w14:paraId="6133F5E4">
                  <w:pPr>
                    <w:spacing w:line="298" w:lineRule="auto"/>
                    <w:rPr>
                      <w:rFonts w:ascii="Arial"/>
                      <w:color w:val="auto"/>
                      <w:sz w:val="21"/>
                      <w:highlight w:val="none"/>
                    </w:rPr>
                  </w:pPr>
                </w:p>
                <w:p w14:paraId="7FFD9DD4">
                  <w:pPr>
                    <w:pStyle w:val="179"/>
                    <w:spacing w:before="65" w:line="233" w:lineRule="auto"/>
                    <w:ind w:left="182"/>
                    <w:rPr>
                      <w:color w:val="auto"/>
                      <w:highlight w:val="none"/>
                    </w:rPr>
                  </w:pPr>
                  <w:r>
                    <w:rPr>
                      <w:color w:val="auto"/>
                      <w:highlight w:val="none"/>
                    </w:rPr>
                    <w:t>/</w:t>
                  </w:r>
                </w:p>
              </w:tc>
              <w:tc>
                <w:tcPr>
                  <w:tcW w:w="544" w:type="dxa"/>
                  <w:noWrap w:val="0"/>
                  <w:vAlign w:val="top"/>
                </w:tcPr>
                <w:p w14:paraId="192EA407">
                  <w:pPr>
                    <w:spacing w:line="298" w:lineRule="auto"/>
                    <w:rPr>
                      <w:rFonts w:ascii="Arial"/>
                      <w:color w:val="auto"/>
                      <w:sz w:val="21"/>
                      <w:highlight w:val="none"/>
                    </w:rPr>
                  </w:pPr>
                </w:p>
                <w:p w14:paraId="1AA87742">
                  <w:pPr>
                    <w:pStyle w:val="179"/>
                    <w:spacing w:before="65" w:line="233" w:lineRule="auto"/>
                    <w:ind w:left="220"/>
                    <w:rPr>
                      <w:color w:val="auto"/>
                      <w:highlight w:val="none"/>
                    </w:rPr>
                  </w:pPr>
                  <w:r>
                    <w:rPr>
                      <w:color w:val="auto"/>
                      <w:highlight w:val="none"/>
                    </w:rPr>
                    <w:t>/</w:t>
                  </w:r>
                </w:p>
              </w:tc>
              <w:tc>
                <w:tcPr>
                  <w:tcW w:w="604" w:type="dxa"/>
                  <w:noWrap w:val="0"/>
                  <w:vAlign w:val="top"/>
                </w:tcPr>
                <w:p w14:paraId="28021F3A">
                  <w:pPr>
                    <w:spacing w:line="298" w:lineRule="auto"/>
                    <w:rPr>
                      <w:rFonts w:ascii="Arial"/>
                      <w:color w:val="auto"/>
                      <w:sz w:val="21"/>
                      <w:highlight w:val="none"/>
                    </w:rPr>
                  </w:pPr>
                </w:p>
                <w:p w14:paraId="1A3A1131">
                  <w:pPr>
                    <w:pStyle w:val="179"/>
                    <w:spacing w:before="65" w:line="233" w:lineRule="auto"/>
                    <w:ind w:left="250"/>
                    <w:rPr>
                      <w:color w:val="auto"/>
                      <w:highlight w:val="none"/>
                    </w:rPr>
                  </w:pPr>
                  <w:r>
                    <w:rPr>
                      <w:color w:val="auto"/>
                      <w:highlight w:val="none"/>
                    </w:rPr>
                    <w:t>/</w:t>
                  </w:r>
                </w:p>
              </w:tc>
              <w:tc>
                <w:tcPr>
                  <w:tcW w:w="450" w:type="dxa"/>
                  <w:noWrap w:val="0"/>
                  <w:vAlign w:val="top"/>
                </w:tcPr>
                <w:p w14:paraId="72289F91">
                  <w:pPr>
                    <w:spacing w:line="298" w:lineRule="auto"/>
                    <w:rPr>
                      <w:rFonts w:ascii="Arial"/>
                      <w:color w:val="auto"/>
                      <w:sz w:val="21"/>
                      <w:highlight w:val="none"/>
                    </w:rPr>
                  </w:pPr>
                </w:p>
                <w:p w14:paraId="2F2EDE20">
                  <w:pPr>
                    <w:pStyle w:val="179"/>
                    <w:spacing w:before="65" w:line="269" w:lineRule="exact"/>
                    <w:ind w:left="126"/>
                    <w:rPr>
                      <w:color w:val="auto"/>
                      <w:highlight w:val="none"/>
                    </w:rPr>
                  </w:pPr>
                </w:p>
              </w:tc>
              <w:tc>
                <w:tcPr>
                  <w:tcW w:w="569" w:type="dxa"/>
                  <w:noWrap w:val="0"/>
                  <w:vAlign w:val="top"/>
                </w:tcPr>
                <w:p w14:paraId="634DB4A4">
                  <w:pPr>
                    <w:spacing w:line="298" w:lineRule="auto"/>
                    <w:rPr>
                      <w:rFonts w:ascii="Arial"/>
                      <w:color w:val="auto"/>
                      <w:sz w:val="21"/>
                      <w:highlight w:val="none"/>
                    </w:rPr>
                  </w:pPr>
                </w:p>
                <w:p w14:paraId="5F854A78">
                  <w:pPr>
                    <w:pStyle w:val="179"/>
                    <w:spacing w:before="65" w:line="269" w:lineRule="exact"/>
                    <w:ind w:left="146"/>
                    <w:rPr>
                      <w:rFonts w:hint="default" w:eastAsia="宋体"/>
                      <w:color w:val="auto"/>
                      <w:highlight w:val="none"/>
                      <w:lang w:val="en-US" w:eastAsia="zh-CN"/>
                    </w:rPr>
                  </w:pPr>
                  <w:r>
                    <w:rPr>
                      <w:rFonts w:hint="eastAsia"/>
                      <w:color w:val="auto"/>
                      <w:spacing w:val="-3"/>
                      <w:position w:val="1"/>
                      <w:highlight w:val="none"/>
                      <w:lang w:val="en-US" w:eastAsia="zh-CN"/>
                    </w:rPr>
                    <w:t>199</w:t>
                  </w:r>
                </w:p>
              </w:tc>
              <w:tc>
                <w:tcPr>
                  <w:tcW w:w="628" w:type="dxa"/>
                  <w:noWrap w:val="0"/>
                  <w:vAlign w:val="top"/>
                </w:tcPr>
                <w:p w14:paraId="61588EBA">
                  <w:pPr>
                    <w:spacing w:line="298" w:lineRule="auto"/>
                    <w:rPr>
                      <w:rFonts w:ascii="Arial"/>
                      <w:color w:val="auto"/>
                      <w:sz w:val="21"/>
                      <w:highlight w:val="none"/>
                    </w:rPr>
                  </w:pPr>
                </w:p>
                <w:p w14:paraId="372D97F7">
                  <w:pPr>
                    <w:pStyle w:val="179"/>
                    <w:spacing w:before="65" w:line="269" w:lineRule="exact"/>
                    <w:ind w:left="177"/>
                    <w:rPr>
                      <w:color w:val="auto"/>
                      <w:highlight w:val="none"/>
                    </w:rPr>
                  </w:pPr>
                  <w:r>
                    <w:rPr>
                      <w:color w:val="auto"/>
                      <w:spacing w:val="-3"/>
                      <w:position w:val="1"/>
                      <w:highlight w:val="none"/>
                    </w:rPr>
                    <w:t>199</w:t>
                  </w:r>
                </w:p>
              </w:tc>
              <w:tc>
                <w:tcPr>
                  <w:tcW w:w="1146" w:type="dxa"/>
                  <w:noWrap w:val="0"/>
                  <w:vAlign w:val="top"/>
                </w:tcPr>
                <w:p w14:paraId="4F1C27AD">
                  <w:pPr>
                    <w:pStyle w:val="179"/>
                    <w:spacing w:before="53" w:line="228" w:lineRule="auto"/>
                    <w:ind w:left="111"/>
                    <w:rPr>
                      <w:color w:val="auto"/>
                      <w:highlight w:val="none"/>
                    </w:rPr>
                  </w:pPr>
                  <w:r>
                    <w:rPr>
                      <w:color w:val="auto"/>
                      <w:spacing w:val="30"/>
                      <w:highlight w:val="none"/>
                    </w:rPr>
                    <w:t>包含普通食品和食</w:t>
                  </w:r>
                  <w:r>
                    <w:rPr>
                      <w:color w:val="auto"/>
                      <w:spacing w:val="6"/>
                      <w:highlight w:val="none"/>
                    </w:rPr>
                    <w:t>用农产品</w:t>
                  </w:r>
                </w:p>
              </w:tc>
            </w:tr>
            <w:tr w14:paraId="1F523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912" w:type="dxa"/>
                  <w:gridSpan w:val="2"/>
                  <w:tcBorders>
                    <w:bottom w:val="nil"/>
                  </w:tcBorders>
                  <w:noWrap w:val="0"/>
                  <w:vAlign w:val="top"/>
                </w:tcPr>
                <w:p w14:paraId="376A8AFC">
                  <w:pPr>
                    <w:pStyle w:val="179"/>
                    <w:spacing w:before="301" w:line="184" w:lineRule="auto"/>
                    <w:ind w:left="253"/>
                    <w:rPr>
                      <w:color w:val="auto"/>
                      <w:highlight w:val="none"/>
                    </w:rPr>
                  </w:pPr>
                  <w:r>
                    <w:rPr>
                      <w:color w:val="auto"/>
                      <w:spacing w:val="2"/>
                      <w:highlight w:val="none"/>
                    </w:rPr>
                    <w:t>小计</w:t>
                  </w:r>
                </w:p>
              </w:tc>
              <w:tc>
                <w:tcPr>
                  <w:tcW w:w="533" w:type="dxa"/>
                  <w:tcBorders>
                    <w:bottom w:val="nil"/>
                  </w:tcBorders>
                  <w:noWrap w:val="0"/>
                  <w:vAlign w:val="top"/>
                </w:tcPr>
                <w:p w14:paraId="4DE87ABF">
                  <w:pPr>
                    <w:pStyle w:val="179"/>
                    <w:spacing w:before="301" w:line="184" w:lineRule="auto"/>
                    <w:ind w:left="179"/>
                    <w:rPr>
                      <w:rFonts w:hint="default" w:eastAsia="宋体"/>
                      <w:color w:val="auto"/>
                      <w:highlight w:val="none"/>
                      <w:lang w:val="en-US" w:eastAsia="zh-CN"/>
                    </w:rPr>
                  </w:pPr>
                  <w:r>
                    <w:rPr>
                      <w:rFonts w:hint="eastAsia"/>
                      <w:color w:val="auto"/>
                      <w:spacing w:val="-7"/>
                      <w:highlight w:val="none"/>
                      <w:lang w:val="en-US" w:eastAsia="zh-CN"/>
                    </w:rPr>
                    <w:t>27</w:t>
                  </w:r>
                </w:p>
              </w:tc>
              <w:tc>
                <w:tcPr>
                  <w:tcW w:w="468" w:type="dxa"/>
                  <w:tcBorders>
                    <w:bottom w:val="nil"/>
                  </w:tcBorders>
                  <w:noWrap w:val="0"/>
                  <w:vAlign w:val="top"/>
                </w:tcPr>
                <w:p w14:paraId="087D2C03">
                  <w:pPr>
                    <w:pStyle w:val="179"/>
                    <w:spacing w:before="301" w:line="184" w:lineRule="auto"/>
                    <w:ind w:left="184"/>
                    <w:rPr>
                      <w:rFonts w:hint="default" w:eastAsia="宋体"/>
                      <w:color w:val="auto"/>
                      <w:highlight w:val="none"/>
                      <w:lang w:val="en-US" w:eastAsia="zh-CN"/>
                    </w:rPr>
                  </w:pPr>
                  <w:r>
                    <w:rPr>
                      <w:rFonts w:hint="eastAsia"/>
                      <w:color w:val="auto"/>
                      <w:highlight w:val="none"/>
                      <w:lang w:val="en-US" w:eastAsia="zh-CN"/>
                    </w:rPr>
                    <w:t>42</w:t>
                  </w:r>
                </w:p>
              </w:tc>
              <w:tc>
                <w:tcPr>
                  <w:tcW w:w="544" w:type="dxa"/>
                  <w:tcBorders>
                    <w:bottom w:val="nil"/>
                  </w:tcBorders>
                  <w:noWrap w:val="0"/>
                  <w:vAlign w:val="top"/>
                </w:tcPr>
                <w:p w14:paraId="5DFD105C">
                  <w:pPr>
                    <w:pStyle w:val="179"/>
                    <w:spacing w:before="301" w:line="184" w:lineRule="auto"/>
                    <w:ind w:left="172"/>
                    <w:rPr>
                      <w:rFonts w:hint="default" w:eastAsia="宋体"/>
                      <w:color w:val="auto"/>
                      <w:highlight w:val="none"/>
                      <w:lang w:val="en-US" w:eastAsia="zh-CN"/>
                    </w:rPr>
                  </w:pPr>
                  <w:r>
                    <w:rPr>
                      <w:rFonts w:hint="eastAsia"/>
                      <w:color w:val="auto"/>
                      <w:spacing w:val="-2"/>
                      <w:highlight w:val="none"/>
                      <w:lang w:val="en-US" w:eastAsia="zh-CN"/>
                    </w:rPr>
                    <w:t>33</w:t>
                  </w:r>
                </w:p>
              </w:tc>
              <w:tc>
                <w:tcPr>
                  <w:tcW w:w="604" w:type="dxa"/>
                  <w:tcBorders>
                    <w:bottom w:val="nil"/>
                  </w:tcBorders>
                  <w:noWrap w:val="0"/>
                  <w:vAlign w:val="top"/>
                </w:tcPr>
                <w:p w14:paraId="5222DB45">
                  <w:pPr>
                    <w:pStyle w:val="179"/>
                    <w:spacing w:before="301" w:line="184" w:lineRule="auto"/>
                    <w:ind w:left="150"/>
                    <w:rPr>
                      <w:rFonts w:hint="default" w:eastAsia="宋体"/>
                      <w:color w:val="auto"/>
                      <w:highlight w:val="none"/>
                      <w:lang w:val="en-US" w:eastAsia="zh-CN"/>
                    </w:rPr>
                  </w:pPr>
                  <w:r>
                    <w:rPr>
                      <w:rFonts w:hint="eastAsia"/>
                      <w:color w:val="auto"/>
                      <w:spacing w:val="1"/>
                      <w:highlight w:val="none"/>
                      <w:lang w:val="en-US" w:eastAsia="zh-CN"/>
                    </w:rPr>
                    <w:t>167</w:t>
                  </w:r>
                </w:p>
              </w:tc>
              <w:tc>
                <w:tcPr>
                  <w:tcW w:w="450" w:type="dxa"/>
                  <w:tcBorders>
                    <w:bottom w:val="nil"/>
                  </w:tcBorders>
                  <w:noWrap w:val="0"/>
                  <w:vAlign w:val="top"/>
                </w:tcPr>
                <w:p w14:paraId="231133BF">
                  <w:pPr>
                    <w:pStyle w:val="179"/>
                    <w:spacing w:before="301" w:line="184" w:lineRule="auto"/>
                    <w:ind w:left="126"/>
                    <w:rPr>
                      <w:color w:val="auto"/>
                      <w:highlight w:val="none"/>
                    </w:rPr>
                  </w:pPr>
                </w:p>
              </w:tc>
              <w:tc>
                <w:tcPr>
                  <w:tcW w:w="569" w:type="dxa"/>
                  <w:tcBorders>
                    <w:bottom w:val="nil"/>
                  </w:tcBorders>
                  <w:noWrap w:val="0"/>
                  <w:vAlign w:val="top"/>
                </w:tcPr>
                <w:p w14:paraId="0311ABE8">
                  <w:pPr>
                    <w:pStyle w:val="179"/>
                    <w:spacing w:before="301" w:line="184" w:lineRule="auto"/>
                    <w:ind w:left="146"/>
                    <w:rPr>
                      <w:rFonts w:hint="default" w:eastAsia="宋体"/>
                      <w:color w:val="auto"/>
                      <w:highlight w:val="none"/>
                      <w:lang w:val="en-US" w:eastAsia="zh-CN"/>
                    </w:rPr>
                  </w:pPr>
                  <w:r>
                    <w:rPr>
                      <w:rFonts w:hint="eastAsia"/>
                      <w:color w:val="auto"/>
                      <w:spacing w:val="-3"/>
                      <w:highlight w:val="none"/>
                      <w:lang w:val="en-US" w:eastAsia="zh-CN"/>
                    </w:rPr>
                    <w:t>199</w:t>
                  </w:r>
                </w:p>
              </w:tc>
              <w:tc>
                <w:tcPr>
                  <w:tcW w:w="628" w:type="dxa"/>
                  <w:tcBorders>
                    <w:bottom w:val="nil"/>
                  </w:tcBorders>
                  <w:noWrap w:val="0"/>
                  <w:vAlign w:val="top"/>
                </w:tcPr>
                <w:p w14:paraId="6BF17162">
                  <w:pPr>
                    <w:pStyle w:val="179"/>
                    <w:spacing w:before="301" w:line="184" w:lineRule="auto"/>
                    <w:ind w:left="160"/>
                    <w:rPr>
                      <w:rFonts w:hint="default" w:eastAsia="宋体"/>
                      <w:color w:val="auto"/>
                      <w:highlight w:val="none"/>
                      <w:lang w:val="en-US" w:eastAsia="zh-CN"/>
                    </w:rPr>
                  </w:pPr>
                  <w:r>
                    <w:rPr>
                      <w:rFonts w:hint="eastAsia"/>
                      <w:color w:val="auto"/>
                      <w:spacing w:val="2"/>
                      <w:highlight w:val="none"/>
                      <w:lang w:val="en-US" w:eastAsia="zh-CN"/>
                    </w:rPr>
                    <w:t>468</w:t>
                  </w:r>
                </w:p>
              </w:tc>
              <w:tc>
                <w:tcPr>
                  <w:tcW w:w="1146" w:type="dxa"/>
                  <w:tcBorders>
                    <w:bottom w:val="nil"/>
                  </w:tcBorders>
                  <w:noWrap w:val="0"/>
                  <w:vAlign w:val="top"/>
                </w:tcPr>
                <w:p w14:paraId="1E385735">
                  <w:pPr>
                    <w:rPr>
                      <w:rFonts w:ascii="Arial"/>
                      <w:color w:val="auto"/>
                      <w:sz w:val="21"/>
                      <w:highlight w:val="none"/>
                    </w:rPr>
                  </w:pPr>
                </w:p>
              </w:tc>
            </w:tr>
          </w:tbl>
          <w:p w14:paraId="54367261">
            <w:pPr>
              <w:pStyle w:val="179"/>
              <w:spacing w:before="123" w:line="228" w:lineRule="auto"/>
              <w:ind w:left="117"/>
              <w:rPr>
                <w:b/>
                <w:bCs/>
                <w:color w:val="auto"/>
                <w:spacing w:val="8"/>
                <w:highlight w:val="none"/>
              </w:rPr>
            </w:pPr>
          </w:p>
        </w:tc>
      </w:tr>
    </w:tbl>
    <w:p w14:paraId="2E199E3D">
      <w:pPr>
        <w:rPr>
          <w:rFonts w:ascii="Arial"/>
          <w:color w:val="auto"/>
          <w:sz w:val="21"/>
          <w:highlight w:val="none"/>
        </w:rPr>
      </w:pPr>
    </w:p>
    <w:p w14:paraId="69A83547">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10E69713">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30125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22" w:hRule="atLeast"/>
        </w:trPr>
        <w:tc>
          <w:tcPr>
            <w:tcW w:w="655" w:type="dxa"/>
            <w:vAlign w:val="top"/>
          </w:tcPr>
          <w:p w14:paraId="24AADF71">
            <w:pPr>
              <w:rPr>
                <w:rFonts w:ascii="Arial"/>
                <w:color w:val="auto"/>
                <w:sz w:val="21"/>
                <w:highlight w:val="none"/>
              </w:rPr>
            </w:pPr>
          </w:p>
        </w:tc>
        <w:tc>
          <w:tcPr>
            <w:tcW w:w="873" w:type="dxa"/>
            <w:vAlign w:val="top"/>
          </w:tcPr>
          <w:p w14:paraId="645C7A4E">
            <w:pPr>
              <w:rPr>
                <w:rFonts w:ascii="Arial"/>
                <w:color w:val="auto"/>
                <w:sz w:val="21"/>
                <w:highlight w:val="none"/>
              </w:rPr>
            </w:pPr>
          </w:p>
        </w:tc>
        <w:tc>
          <w:tcPr>
            <w:tcW w:w="663" w:type="dxa"/>
            <w:vAlign w:val="top"/>
          </w:tcPr>
          <w:p w14:paraId="46A3BC58">
            <w:pPr>
              <w:rPr>
                <w:rFonts w:ascii="Arial"/>
                <w:color w:val="auto"/>
                <w:sz w:val="21"/>
                <w:highlight w:val="none"/>
              </w:rPr>
            </w:pPr>
          </w:p>
        </w:tc>
        <w:tc>
          <w:tcPr>
            <w:tcW w:w="683" w:type="dxa"/>
            <w:vAlign w:val="top"/>
          </w:tcPr>
          <w:p w14:paraId="3EC3C30D">
            <w:pPr>
              <w:rPr>
                <w:rFonts w:ascii="Arial"/>
                <w:color w:val="auto"/>
                <w:sz w:val="21"/>
                <w:highlight w:val="none"/>
              </w:rPr>
            </w:pPr>
          </w:p>
        </w:tc>
        <w:tc>
          <w:tcPr>
            <w:tcW w:w="6391" w:type="dxa"/>
            <w:vAlign w:val="top"/>
          </w:tcPr>
          <w:p w14:paraId="4CF1F115">
            <w:pPr>
              <w:spacing w:before="71"/>
              <w:rPr>
                <w:color w:val="auto"/>
                <w:highlight w:val="none"/>
              </w:rPr>
            </w:pPr>
          </w:p>
          <w:p w14:paraId="6ACAEC75">
            <w:pPr>
              <w:pStyle w:val="179"/>
              <w:spacing w:before="167" w:line="228" w:lineRule="auto"/>
              <w:ind w:left="117"/>
              <w:rPr>
                <w:color w:val="auto"/>
                <w:highlight w:val="none"/>
              </w:rPr>
            </w:pPr>
            <w:r>
              <w:rPr>
                <w:b/>
                <w:bCs/>
                <w:color w:val="auto"/>
                <w:spacing w:val="6"/>
                <w:highlight w:val="none"/>
              </w:rPr>
              <w:t>（二）承检服务技术要求：</w:t>
            </w:r>
          </w:p>
          <w:p w14:paraId="430BDF50">
            <w:pPr>
              <w:pStyle w:val="179"/>
              <w:spacing w:before="114" w:line="332" w:lineRule="auto"/>
              <w:ind w:left="106" w:right="109" w:firstLine="16"/>
              <w:rPr>
                <w:color w:val="auto"/>
                <w:highlight w:val="none"/>
              </w:rPr>
            </w:pPr>
            <w:r>
              <w:rPr>
                <w:color w:val="auto"/>
                <w:spacing w:val="8"/>
                <w:highlight w:val="none"/>
              </w:rPr>
              <w:t>1、在上思县范围内开展食品（含食用农产品，下同）抽检任务。具体需提供的抽检、监测品种及检验项目详见附件</w:t>
            </w:r>
            <w:r>
              <w:rPr>
                <w:color w:val="auto"/>
                <w:spacing w:val="-21"/>
                <w:highlight w:val="none"/>
              </w:rPr>
              <w:t xml:space="preserve"> </w:t>
            </w:r>
            <w:r>
              <w:rPr>
                <w:color w:val="auto"/>
                <w:spacing w:val="8"/>
                <w:highlight w:val="none"/>
              </w:rPr>
              <w:t>1</w:t>
            </w:r>
            <w:r>
              <w:rPr>
                <w:rFonts w:ascii="宋体" w:hAnsi="宋体" w:eastAsia="宋体" w:cs="宋体"/>
                <w:color w:val="auto"/>
                <w:spacing w:val="5"/>
                <w:sz w:val="20"/>
                <w:szCs w:val="20"/>
                <w:highlight w:val="none"/>
              </w:rPr>
              <w:t>《</w:t>
            </w:r>
            <w:r>
              <w:rPr>
                <w:rFonts w:ascii="宋体" w:hAnsi="宋体" w:eastAsia="宋体" w:cs="宋体"/>
                <w:color w:val="auto"/>
                <w:spacing w:val="4"/>
                <w:sz w:val="20"/>
                <w:szCs w:val="20"/>
                <w:highlight w:val="none"/>
              </w:rPr>
              <w:t>202</w:t>
            </w:r>
            <w:r>
              <w:rPr>
                <w:rFonts w:hint="eastAsia" w:ascii="宋体" w:hAnsi="宋体" w:eastAsia="宋体" w:cs="宋体"/>
                <w:color w:val="auto"/>
                <w:spacing w:val="4"/>
                <w:sz w:val="20"/>
                <w:szCs w:val="20"/>
                <w:highlight w:val="none"/>
                <w:lang w:val="en-US" w:eastAsia="zh-CN"/>
              </w:rPr>
              <w:t>6</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年自治区转</w:t>
            </w:r>
            <w:r>
              <w:rPr>
                <w:rFonts w:ascii="宋体" w:hAnsi="宋体" w:eastAsia="宋体" w:cs="宋体"/>
                <w:color w:val="auto"/>
                <w:spacing w:val="6"/>
                <w:sz w:val="20"/>
                <w:szCs w:val="20"/>
                <w:highlight w:val="none"/>
              </w:rPr>
              <w:t>移支付</w:t>
            </w:r>
            <w:r>
              <w:rPr>
                <w:rFonts w:hint="eastAsia" w:ascii="宋体" w:hAnsi="宋体" w:eastAsia="宋体" w:cs="宋体"/>
                <w:color w:val="auto"/>
                <w:spacing w:val="6"/>
                <w:sz w:val="20"/>
                <w:szCs w:val="20"/>
                <w:highlight w:val="none"/>
                <w:lang w:eastAsia="zh-CN"/>
              </w:rPr>
              <w:t>各市加工</w:t>
            </w:r>
            <w:r>
              <w:rPr>
                <w:rFonts w:ascii="宋体" w:hAnsi="宋体" w:eastAsia="宋体" w:cs="宋体"/>
                <w:color w:val="auto"/>
                <w:spacing w:val="7"/>
                <w:sz w:val="20"/>
                <w:szCs w:val="20"/>
                <w:highlight w:val="none"/>
              </w:rPr>
              <w:t>食品</w:t>
            </w:r>
            <w:r>
              <w:rPr>
                <w:rFonts w:hint="eastAsia" w:ascii="宋体" w:hAnsi="宋体" w:eastAsia="宋体" w:cs="宋体"/>
                <w:color w:val="auto"/>
                <w:spacing w:val="6"/>
                <w:sz w:val="20"/>
                <w:szCs w:val="20"/>
                <w:highlight w:val="none"/>
                <w:lang w:eastAsia="zh-CN"/>
              </w:rPr>
              <w:t>监督抽检</w:t>
            </w:r>
            <w:r>
              <w:rPr>
                <w:rFonts w:ascii="宋体" w:hAnsi="宋体" w:eastAsia="宋体" w:cs="宋体"/>
                <w:color w:val="auto"/>
                <w:spacing w:val="6"/>
                <w:sz w:val="20"/>
                <w:szCs w:val="20"/>
                <w:highlight w:val="none"/>
              </w:rPr>
              <w:t>品种及项目表》和附件</w:t>
            </w:r>
            <w:r>
              <w:rPr>
                <w:rFonts w:ascii="宋体" w:hAnsi="宋体" w:eastAsia="宋体" w:cs="宋体"/>
                <w:color w:val="auto"/>
                <w:spacing w:val="7"/>
                <w:sz w:val="20"/>
                <w:szCs w:val="20"/>
                <w:highlight w:val="none"/>
              </w:rPr>
              <w:t>2《202</w:t>
            </w:r>
            <w:r>
              <w:rPr>
                <w:rFonts w:hint="eastAsia" w:ascii="宋体" w:hAnsi="宋体" w:eastAsia="宋体" w:cs="宋体"/>
                <w:color w:val="auto"/>
                <w:spacing w:val="7"/>
                <w:sz w:val="20"/>
                <w:szCs w:val="20"/>
                <w:highlight w:val="none"/>
                <w:lang w:val="en-US" w:eastAsia="zh-CN"/>
              </w:rPr>
              <w:t>6</w:t>
            </w:r>
            <w:r>
              <w:rPr>
                <w:rFonts w:ascii="宋体" w:hAnsi="宋体" w:eastAsia="宋体" w:cs="宋体"/>
                <w:color w:val="auto"/>
                <w:spacing w:val="-23"/>
                <w:sz w:val="20"/>
                <w:szCs w:val="20"/>
                <w:highlight w:val="none"/>
              </w:rPr>
              <w:t xml:space="preserve"> </w:t>
            </w:r>
            <w:r>
              <w:rPr>
                <w:rFonts w:ascii="宋体" w:hAnsi="宋体" w:eastAsia="宋体" w:cs="宋体"/>
                <w:color w:val="auto"/>
                <w:spacing w:val="7"/>
                <w:sz w:val="20"/>
                <w:szCs w:val="20"/>
                <w:highlight w:val="none"/>
              </w:rPr>
              <w:t>年自治区转移支付</w:t>
            </w:r>
            <w:r>
              <w:rPr>
                <w:rFonts w:hint="eastAsia" w:ascii="宋体" w:hAnsi="宋体" w:eastAsia="宋体" w:cs="宋体"/>
                <w:color w:val="auto"/>
                <w:spacing w:val="7"/>
                <w:sz w:val="20"/>
                <w:szCs w:val="20"/>
                <w:highlight w:val="none"/>
                <w:lang w:eastAsia="zh-CN"/>
              </w:rPr>
              <w:t>各市</w:t>
            </w:r>
            <w:r>
              <w:rPr>
                <w:rFonts w:ascii="宋体" w:hAnsi="宋体" w:eastAsia="宋体" w:cs="宋体"/>
                <w:color w:val="auto"/>
                <w:spacing w:val="6"/>
                <w:sz w:val="20"/>
                <w:szCs w:val="20"/>
                <w:highlight w:val="none"/>
              </w:rPr>
              <w:t>食用农产品</w:t>
            </w:r>
            <w:r>
              <w:rPr>
                <w:rFonts w:ascii="宋体" w:hAnsi="宋体" w:eastAsia="宋体" w:cs="宋体"/>
                <w:color w:val="auto"/>
                <w:spacing w:val="7"/>
                <w:sz w:val="20"/>
                <w:szCs w:val="20"/>
                <w:highlight w:val="none"/>
              </w:rPr>
              <w:t>抽检品种及项目表》</w:t>
            </w:r>
            <w:r>
              <w:rPr>
                <w:color w:val="auto"/>
                <w:spacing w:val="10"/>
                <w:highlight w:val="none"/>
              </w:rPr>
              <w:t>。同时在合同期内须按要求完成国家市</w:t>
            </w:r>
            <w:r>
              <w:rPr>
                <w:color w:val="auto"/>
                <w:spacing w:val="9"/>
                <w:highlight w:val="none"/>
              </w:rPr>
              <w:t>场监督管理总局或自治</w:t>
            </w:r>
            <w:r>
              <w:rPr>
                <w:color w:val="auto"/>
                <w:spacing w:val="10"/>
                <w:highlight w:val="none"/>
              </w:rPr>
              <w:t>区市场监督局安排的抽检工作，及防城港市</w:t>
            </w:r>
            <w:r>
              <w:rPr>
                <w:color w:val="auto"/>
                <w:spacing w:val="9"/>
                <w:highlight w:val="none"/>
              </w:rPr>
              <w:t>市场监督管理局根据工</w:t>
            </w:r>
            <w:r>
              <w:rPr>
                <w:color w:val="auto"/>
                <w:spacing w:val="8"/>
                <w:highlight w:val="none"/>
              </w:rPr>
              <w:t>作需要安排的食品、食用农产品检测工作。</w:t>
            </w:r>
          </w:p>
          <w:p w14:paraId="4C02081E">
            <w:pPr>
              <w:pStyle w:val="179"/>
              <w:spacing w:before="1" w:line="332" w:lineRule="auto"/>
              <w:ind w:left="108" w:right="16"/>
              <w:rPr>
                <w:color w:val="auto"/>
                <w:highlight w:val="none"/>
              </w:rPr>
            </w:pPr>
            <w:r>
              <w:rPr>
                <w:color w:val="auto"/>
                <w:spacing w:val="5"/>
                <w:highlight w:val="none"/>
              </w:rPr>
              <w:t>2、抽样办法、检测方法及检验依据以《食品安全抽样检测管理办法》</w:t>
            </w:r>
            <w:r>
              <w:rPr>
                <w:color w:val="auto"/>
                <w:spacing w:val="4"/>
                <w:highlight w:val="none"/>
              </w:rPr>
              <w:t xml:space="preserve"> </w:t>
            </w:r>
            <w:r>
              <w:rPr>
                <w:color w:val="auto"/>
                <w:spacing w:val="7"/>
                <w:highlight w:val="none"/>
              </w:rPr>
              <w:t>（国家市场监督管理总局令第</w:t>
            </w:r>
            <w:r>
              <w:rPr>
                <w:color w:val="auto"/>
                <w:spacing w:val="-8"/>
                <w:highlight w:val="none"/>
              </w:rPr>
              <w:t xml:space="preserve"> </w:t>
            </w:r>
            <w:r>
              <w:rPr>
                <w:color w:val="auto"/>
                <w:spacing w:val="7"/>
                <w:highlight w:val="none"/>
              </w:rPr>
              <w:t>15</w:t>
            </w:r>
            <w:r>
              <w:rPr>
                <w:color w:val="auto"/>
                <w:spacing w:val="-36"/>
                <w:highlight w:val="none"/>
              </w:rPr>
              <w:t xml:space="preserve"> </w:t>
            </w:r>
            <w:r>
              <w:rPr>
                <w:color w:val="auto"/>
                <w:spacing w:val="7"/>
                <w:highlight w:val="none"/>
              </w:rPr>
              <w:t>号）和国家市场监督管理总局《全</w:t>
            </w:r>
            <w:r>
              <w:rPr>
                <w:color w:val="auto"/>
                <w:spacing w:val="9"/>
                <w:highlight w:val="none"/>
              </w:rPr>
              <w:t>国食品安全监督抽检实施细则（202</w:t>
            </w:r>
            <w:r>
              <w:rPr>
                <w:rFonts w:hint="eastAsia"/>
                <w:color w:val="auto"/>
                <w:spacing w:val="9"/>
                <w:highlight w:val="none"/>
                <w:lang w:val="en-US" w:eastAsia="zh-CN"/>
              </w:rPr>
              <w:t>6</w:t>
            </w:r>
            <w:r>
              <w:rPr>
                <w:color w:val="auto"/>
                <w:spacing w:val="-40"/>
                <w:highlight w:val="none"/>
              </w:rPr>
              <w:t xml:space="preserve"> </w:t>
            </w:r>
            <w:r>
              <w:rPr>
                <w:color w:val="auto"/>
                <w:spacing w:val="9"/>
                <w:highlight w:val="none"/>
              </w:rPr>
              <w:t>年版）》</w:t>
            </w:r>
            <w:r>
              <w:rPr>
                <w:color w:val="auto"/>
                <w:spacing w:val="8"/>
                <w:highlight w:val="none"/>
              </w:rPr>
              <w:t>以及广西壮族自治区</w:t>
            </w:r>
            <w:r>
              <w:rPr>
                <w:color w:val="auto"/>
                <w:spacing w:val="9"/>
                <w:highlight w:val="none"/>
              </w:rPr>
              <w:t>市场监督管理局《广西食品安全监督抽检实施细则</w:t>
            </w:r>
            <w:r>
              <w:rPr>
                <w:color w:val="auto"/>
                <w:spacing w:val="8"/>
                <w:highlight w:val="none"/>
              </w:rPr>
              <w:t>（202</w:t>
            </w:r>
            <w:r>
              <w:rPr>
                <w:rFonts w:hint="eastAsia"/>
                <w:color w:val="auto"/>
                <w:spacing w:val="8"/>
                <w:highlight w:val="none"/>
                <w:lang w:val="en-US" w:eastAsia="zh-CN"/>
              </w:rPr>
              <w:t>6</w:t>
            </w:r>
            <w:r>
              <w:rPr>
                <w:color w:val="auto"/>
                <w:spacing w:val="-40"/>
                <w:highlight w:val="none"/>
              </w:rPr>
              <w:t xml:space="preserve"> </w:t>
            </w:r>
            <w:r>
              <w:rPr>
                <w:color w:val="auto"/>
                <w:spacing w:val="8"/>
                <w:highlight w:val="none"/>
              </w:rPr>
              <w:t>年版）为</w:t>
            </w:r>
            <w:r>
              <w:rPr>
                <w:color w:val="auto"/>
                <w:spacing w:val="-1"/>
                <w:highlight w:val="none"/>
              </w:rPr>
              <w:t>准。</w:t>
            </w:r>
          </w:p>
          <w:p w14:paraId="59566FF9">
            <w:pPr>
              <w:pStyle w:val="179"/>
              <w:spacing w:before="1" w:line="332" w:lineRule="auto"/>
              <w:ind w:left="108" w:right="89" w:firstLine="2"/>
              <w:rPr>
                <w:color w:val="auto"/>
                <w:highlight w:val="none"/>
              </w:rPr>
            </w:pPr>
            <w:r>
              <w:rPr>
                <w:color w:val="auto"/>
                <w:spacing w:val="3"/>
                <w:highlight w:val="none"/>
              </w:rPr>
              <w:t>3、成果要求：202</w:t>
            </w:r>
            <w:r>
              <w:rPr>
                <w:rFonts w:hint="eastAsia"/>
                <w:color w:val="auto"/>
                <w:spacing w:val="3"/>
                <w:highlight w:val="none"/>
                <w:lang w:val="en-US" w:eastAsia="zh-CN"/>
              </w:rPr>
              <w:t>6</w:t>
            </w:r>
            <w:r>
              <w:rPr>
                <w:color w:val="auto"/>
                <w:spacing w:val="-37"/>
                <w:highlight w:val="none"/>
              </w:rPr>
              <w:t xml:space="preserve"> </w:t>
            </w:r>
            <w:r>
              <w:rPr>
                <w:color w:val="auto"/>
                <w:spacing w:val="3"/>
                <w:highlight w:val="none"/>
              </w:rPr>
              <w:t>年</w:t>
            </w:r>
            <w:r>
              <w:rPr>
                <w:color w:val="auto"/>
                <w:spacing w:val="-24"/>
                <w:highlight w:val="none"/>
              </w:rPr>
              <w:t xml:space="preserve"> </w:t>
            </w:r>
            <w:r>
              <w:rPr>
                <w:color w:val="auto"/>
                <w:spacing w:val="3"/>
                <w:highlight w:val="none"/>
              </w:rPr>
              <w:t>12</w:t>
            </w:r>
            <w:r>
              <w:rPr>
                <w:color w:val="auto"/>
                <w:spacing w:val="-33"/>
                <w:highlight w:val="none"/>
              </w:rPr>
              <w:t xml:space="preserve"> </w:t>
            </w:r>
            <w:r>
              <w:rPr>
                <w:color w:val="auto"/>
                <w:spacing w:val="3"/>
                <w:highlight w:val="none"/>
              </w:rPr>
              <w:t>月</w:t>
            </w:r>
            <w:r>
              <w:rPr>
                <w:color w:val="auto"/>
                <w:spacing w:val="-24"/>
                <w:highlight w:val="none"/>
              </w:rPr>
              <w:t xml:space="preserve"> </w:t>
            </w:r>
            <w:r>
              <w:rPr>
                <w:color w:val="auto"/>
                <w:spacing w:val="3"/>
                <w:highlight w:val="none"/>
              </w:rPr>
              <w:t>10 日前全部抽检完成并录入国抽系统，</w:t>
            </w:r>
            <w:r>
              <w:rPr>
                <w:color w:val="auto"/>
                <w:spacing w:val="8"/>
                <w:highlight w:val="none"/>
              </w:rPr>
              <w:t>按具体方案时间节点要求提供质量分析报告。</w:t>
            </w:r>
          </w:p>
          <w:p w14:paraId="24E865C1">
            <w:pPr>
              <w:pStyle w:val="179"/>
              <w:spacing w:line="228" w:lineRule="auto"/>
              <w:ind w:left="106"/>
              <w:rPr>
                <w:color w:val="auto"/>
                <w:highlight w:val="none"/>
              </w:rPr>
            </w:pPr>
            <w:r>
              <w:rPr>
                <w:color w:val="auto"/>
                <w:spacing w:val="8"/>
                <w:highlight w:val="none"/>
              </w:rPr>
              <w:t>4、服务工作要求</w:t>
            </w:r>
          </w:p>
          <w:p w14:paraId="72191A77">
            <w:pPr>
              <w:pStyle w:val="179"/>
              <w:spacing w:before="114" w:line="332" w:lineRule="auto"/>
              <w:ind w:left="106" w:right="109" w:firstLine="10"/>
              <w:rPr>
                <w:color w:val="auto"/>
                <w:highlight w:val="none"/>
              </w:rPr>
            </w:pPr>
            <w:r>
              <w:rPr>
                <w:color w:val="auto"/>
                <w:spacing w:val="8"/>
                <w:highlight w:val="none"/>
              </w:rPr>
              <w:t>（1）要求供应商严格遵守法律、法规的规定和检验工作有关纪律要</w:t>
            </w:r>
            <w:r>
              <w:rPr>
                <w:color w:val="auto"/>
                <w:spacing w:val="10"/>
                <w:highlight w:val="none"/>
              </w:rPr>
              <w:t>求，确保检验结果真实有效；检验活动中无</w:t>
            </w:r>
            <w:r>
              <w:rPr>
                <w:color w:val="auto"/>
                <w:spacing w:val="9"/>
                <w:highlight w:val="none"/>
              </w:rPr>
              <w:t>重大差错，能够保证检</w:t>
            </w:r>
            <w:r>
              <w:rPr>
                <w:color w:val="auto"/>
                <w:spacing w:val="10"/>
                <w:highlight w:val="none"/>
              </w:rPr>
              <w:t>验结果质量；检测范围涵盖承担的食品安全</w:t>
            </w:r>
            <w:r>
              <w:rPr>
                <w:color w:val="auto"/>
                <w:spacing w:val="9"/>
                <w:highlight w:val="none"/>
              </w:rPr>
              <w:t>抽检监测任务中相应的</w:t>
            </w:r>
            <w:r>
              <w:rPr>
                <w:color w:val="auto"/>
                <w:spacing w:val="8"/>
                <w:highlight w:val="none"/>
              </w:rPr>
              <w:t>食品品种和检验项目；</w:t>
            </w:r>
          </w:p>
          <w:p w14:paraId="3ABADEE1">
            <w:pPr>
              <w:pStyle w:val="179"/>
              <w:spacing w:before="1" w:line="332" w:lineRule="auto"/>
              <w:ind w:left="108" w:right="109" w:firstLine="8"/>
              <w:rPr>
                <w:color w:val="auto"/>
                <w:highlight w:val="none"/>
              </w:rPr>
            </w:pPr>
            <w:r>
              <w:rPr>
                <w:color w:val="auto"/>
                <w:spacing w:val="8"/>
                <w:highlight w:val="none"/>
              </w:rPr>
              <w:t>（2）供应商负责样品的抽样检验、检验报告的寄送、结果分析、异议处理和检验过程中技术问题的处理工作；</w:t>
            </w:r>
          </w:p>
          <w:p w14:paraId="090DE798">
            <w:pPr>
              <w:pStyle w:val="179"/>
              <w:spacing w:before="1" w:line="273" w:lineRule="auto"/>
              <w:ind w:left="109" w:right="109" w:firstLine="7"/>
              <w:rPr>
                <w:color w:val="auto"/>
                <w:spacing w:val="9"/>
                <w:highlight w:val="none"/>
              </w:rPr>
            </w:pPr>
            <w:r>
              <w:rPr>
                <w:color w:val="auto"/>
                <w:spacing w:val="8"/>
                <w:highlight w:val="none"/>
              </w:rPr>
              <w:t>（3）供应商必须接受采购人对承担检验任务工作质量情况的监督检</w:t>
            </w:r>
            <w:r>
              <w:rPr>
                <w:color w:val="auto"/>
                <w:spacing w:val="9"/>
                <w:highlight w:val="none"/>
              </w:rPr>
              <w:t>查和考核，积极参加与检验任务相关的能力验证并取得满意结果；</w:t>
            </w:r>
          </w:p>
          <w:p w14:paraId="5D182F71">
            <w:pPr>
              <w:pStyle w:val="179"/>
              <w:spacing w:before="123" w:line="228" w:lineRule="auto"/>
              <w:ind w:left="117"/>
              <w:rPr>
                <w:color w:val="auto"/>
                <w:highlight w:val="none"/>
              </w:rPr>
            </w:pPr>
            <w:r>
              <w:rPr>
                <w:color w:val="auto"/>
                <w:spacing w:val="8"/>
                <w:highlight w:val="none"/>
              </w:rPr>
              <w:t>（4）能按时完成采购人安排的临时性和应急性任务。</w:t>
            </w:r>
          </w:p>
          <w:p w14:paraId="35E2CDFF">
            <w:pPr>
              <w:pStyle w:val="179"/>
              <w:spacing w:before="113" w:line="229" w:lineRule="auto"/>
              <w:ind w:left="117"/>
              <w:rPr>
                <w:color w:val="auto"/>
                <w:highlight w:val="none"/>
              </w:rPr>
            </w:pPr>
            <w:r>
              <w:rPr>
                <w:b/>
                <w:bCs/>
                <w:color w:val="auto"/>
                <w:spacing w:val="4"/>
                <w:highlight w:val="none"/>
              </w:rPr>
              <w:t>（三）其他要求：</w:t>
            </w:r>
          </w:p>
          <w:p w14:paraId="16F6BE79">
            <w:pPr>
              <w:pStyle w:val="179"/>
              <w:spacing w:before="113" w:line="332" w:lineRule="auto"/>
              <w:ind w:left="106" w:right="127" w:firstLine="16"/>
              <w:jc w:val="both"/>
              <w:rPr>
                <w:color w:val="auto"/>
                <w:highlight w:val="none"/>
              </w:rPr>
            </w:pPr>
            <w:r>
              <w:rPr>
                <w:color w:val="auto"/>
                <w:spacing w:val="8"/>
                <w:highlight w:val="none"/>
              </w:rPr>
              <w:t>1、要求供应商具有与能承担食品监督抽检任务相匹配的</w:t>
            </w:r>
            <w:r>
              <w:rPr>
                <w:color w:val="auto"/>
                <w:spacing w:val="7"/>
                <w:highlight w:val="none"/>
              </w:rPr>
              <w:t>工作人员、</w:t>
            </w:r>
            <w:r>
              <w:rPr>
                <w:color w:val="auto"/>
                <w:spacing w:val="10"/>
                <w:highlight w:val="none"/>
              </w:rPr>
              <w:t>仪器设备、实验室环境设施；拥有运行良好</w:t>
            </w:r>
            <w:r>
              <w:rPr>
                <w:color w:val="auto"/>
                <w:spacing w:val="9"/>
                <w:highlight w:val="none"/>
              </w:rPr>
              <w:t>的实验室管理体系，授</w:t>
            </w:r>
            <w:r>
              <w:rPr>
                <w:color w:val="auto"/>
                <w:spacing w:val="10"/>
                <w:highlight w:val="none"/>
              </w:rPr>
              <w:t>权范围涵盖本标项食品监督抽检监测任务中</w:t>
            </w:r>
            <w:r>
              <w:rPr>
                <w:color w:val="auto"/>
                <w:spacing w:val="9"/>
                <w:highlight w:val="none"/>
              </w:rPr>
              <w:t>相应的食品品种和监督</w:t>
            </w:r>
            <w:r>
              <w:rPr>
                <w:color w:val="auto"/>
                <w:spacing w:val="10"/>
                <w:highlight w:val="none"/>
              </w:rPr>
              <w:t>抽检项目。具有相应的检验和质量分析人员</w:t>
            </w:r>
            <w:r>
              <w:rPr>
                <w:color w:val="auto"/>
                <w:spacing w:val="9"/>
                <w:highlight w:val="none"/>
              </w:rPr>
              <w:t>，参与检验的有关人员</w:t>
            </w:r>
            <w:r>
              <w:rPr>
                <w:color w:val="auto"/>
                <w:spacing w:val="10"/>
                <w:highlight w:val="none"/>
              </w:rPr>
              <w:t>具有检验员证或上岗证，并具备相应的专业</w:t>
            </w:r>
            <w:r>
              <w:rPr>
                <w:color w:val="auto"/>
                <w:spacing w:val="9"/>
                <w:highlight w:val="none"/>
              </w:rPr>
              <w:t>知识和能力，具体要求</w:t>
            </w:r>
            <w:r>
              <w:rPr>
                <w:color w:val="auto"/>
                <w:highlight w:val="none"/>
              </w:rPr>
              <w:t>为：</w:t>
            </w:r>
          </w:p>
          <w:p w14:paraId="3C104D08">
            <w:pPr>
              <w:pStyle w:val="179"/>
              <w:spacing w:before="1" w:line="332" w:lineRule="auto"/>
              <w:ind w:left="107" w:right="37" w:firstLine="9"/>
              <w:jc w:val="both"/>
              <w:rPr>
                <w:color w:val="auto"/>
                <w:highlight w:val="none"/>
              </w:rPr>
            </w:pPr>
            <w:r>
              <w:rPr>
                <w:color w:val="auto"/>
                <w:spacing w:val="8"/>
                <w:highlight w:val="none"/>
              </w:rPr>
              <w:t>（1）具有固定且能够独立运行的检验工作场所以及能满足本项目检</w:t>
            </w:r>
            <w:r>
              <w:rPr>
                <w:color w:val="auto"/>
                <w:spacing w:val="9"/>
                <w:highlight w:val="none"/>
              </w:rPr>
              <w:t>测所需的抽样、检验检测、运输贮存（冷藏和冷冻）、数据处理与</w:t>
            </w:r>
            <w:r>
              <w:rPr>
                <w:color w:val="auto"/>
                <w:spacing w:val="8"/>
                <w:highlight w:val="none"/>
              </w:rPr>
              <w:t>分析、信息传输等设施设备，能够满足本标项要求的承检任务需要。</w:t>
            </w:r>
          </w:p>
          <w:p w14:paraId="6773E18F">
            <w:pPr>
              <w:pStyle w:val="179"/>
              <w:spacing w:before="1" w:line="273" w:lineRule="auto"/>
              <w:ind w:left="109" w:right="109" w:firstLine="7"/>
              <w:rPr>
                <w:color w:val="auto"/>
                <w:spacing w:val="9"/>
                <w:highlight w:val="none"/>
              </w:rPr>
            </w:pPr>
          </w:p>
        </w:tc>
      </w:tr>
    </w:tbl>
    <w:p w14:paraId="223B508B">
      <w:pPr>
        <w:rPr>
          <w:rFonts w:ascii="Arial"/>
          <w:color w:val="auto"/>
          <w:sz w:val="21"/>
          <w:highlight w:val="none"/>
        </w:rPr>
      </w:pPr>
    </w:p>
    <w:p w14:paraId="6656FAF2">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7ACBB4D3">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62119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55" w:type="dxa"/>
            <w:vAlign w:val="top"/>
          </w:tcPr>
          <w:p w14:paraId="334CBB79">
            <w:pPr>
              <w:rPr>
                <w:rFonts w:ascii="Arial"/>
                <w:color w:val="auto"/>
                <w:sz w:val="21"/>
                <w:highlight w:val="none"/>
              </w:rPr>
            </w:pPr>
          </w:p>
        </w:tc>
        <w:tc>
          <w:tcPr>
            <w:tcW w:w="873" w:type="dxa"/>
            <w:vAlign w:val="top"/>
          </w:tcPr>
          <w:p w14:paraId="28BE9C1D">
            <w:pPr>
              <w:rPr>
                <w:rFonts w:ascii="Arial"/>
                <w:color w:val="auto"/>
                <w:sz w:val="21"/>
                <w:highlight w:val="none"/>
              </w:rPr>
            </w:pPr>
          </w:p>
        </w:tc>
        <w:tc>
          <w:tcPr>
            <w:tcW w:w="663" w:type="dxa"/>
            <w:vAlign w:val="top"/>
          </w:tcPr>
          <w:p w14:paraId="67888EDD">
            <w:pPr>
              <w:rPr>
                <w:rFonts w:ascii="Arial"/>
                <w:color w:val="auto"/>
                <w:sz w:val="21"/>
                <w:highlight w:val="none"/>
              </w:rPr>
            </w:pPr>
          </w:p>
        </w:tc>
        <w:tc>
          <w:tcPr>
            <w:tcW w:w="683" w:type="dxa"/>
            <w:vAlign w:val="top"/>
          </w:tcPr>
          <w:p w14:paraId="7A2AE967">
            <w:pPr>
              <w:rPr>
                <w:rFonts w:ascii="Arial"/>
                <w:color w:val="auto"/>
                <w:sz w:val="21"/>
                <w:highlight w:val="none"/>
              </w:rPr>
            </w:pPr>
          </w:p>
        </w:tc>
        <w:tc>
          <w:tcPr>
            <w:tcW w:w="6391" w:type="dxa"/>
            <w:vAlign w:val="top"/>
          </w:tcPr>
          <w:p w14:paraId="2FE779A7">
            <w:pPr>
              <w:pStyle w:val="179"/>
              <w:spacing w:before="1" w:line="332" w:lineRule="auto"/>
              <w:ind w:left="107" w:right="174" w:firstLine="9"/>
              <w:jc w:val="both"/>
              <w:rPr>
                <w:color w:val="auto"/>
                <w:highlight w:val="none"/>
              </w:rPr>
            </w:pPr>
            <w:r>
              <w:rPr>
                <w:b/>
                <w:bCs/>
                <w:color w:val="auto"/>
                <w:spacing w:val="8"/>
                <w:highlight w:val="none"/>
              </w:rPr>
              <w:t>（响应文件中须提供供应商检验工作场所实验室平面图及供应商拥有的相关检验、检测设施和设备清单，并附供应商实验室有效的房</w:t>
            </w:r>
            <w:r>
              <w:rPr>
                <w:b/>
                <w:bCs/>
                <w:color w:val="auto"/>
                <w:spacing w:val="7"/>
                <w:highlight w:val="none"/>
              </w:rPr>
              <w:t>屋产权使用证明或租赁合同及仪器设备购置一览表。）</w:t>
            </w:r>
          </w:p>
          <w:p w14:paraId="17CC3E1D">
            <w:pPr>
              <w:pStyle w:val="179"/>
              <w:spacing w:before="3" w:line="316" w:lineRule="auto"/>
              <w:ind w:left="109" w:right="108" w:firstLine="7"/>
              <w:rPr>
                <w:color w:val="auto"/>
                <w:highlight w:val="none"/>
              </w:rPr>
            </w:pPr>
            <w:r>
              <w:rPr>
                <w:color w:val="auto"/>
                <w:spacing w:val="8"/>
                <w:highlight w:val="none"/>
              </w:rPr>
              <w:t>（2）具有稳定的抽样、检验和技术管理人员</w:t>
            </w:r>
            <w:r>
              <w:rPr>
                <w:b/>
                <w:bCs/>
                <w:color w:val="auto"/>
                <w:spacing w:val="8"/>
                <w:highlight w:val="none"/>
              </w:rPr>
              <w:t>[响应文件中须提供拟投入人员名单、职称（资格）证书、及所属于供应商单位在职人员</w:t>
            </w:r>
            <w:r>
              <w:rPr>
                <w:b/>
                <w:bCs/>
                <w:color w:val="auto"/>
                <w:spacing w:val="4"/>
                <w:highlight w:val="none"/>
              </w:rPr>
              <w:t>的相关证明材料，如</w:t>
            </w:r>
            <w:r>
              <w:rPr>
                <w:color w:val="auto"/>
                <w:spacing w:val="-49"/>
                <w:highlight w:val="none"/>
              </w:rPr>
              <w:t xml:space="preserve"> </w:t>
            </w:r>
            <w:r>
              <w:rPr>
                <w:b/>
                <w:bCs/>
                <w:color w:val="auto"/>
                <w:spacing w:val="4"/>
                <w:highlight w:val="none"/>
              </w:rPr>
              <w:t>202</w:t>
            </w:r>
            <w:r>
              <w:rPr>
                <w:rFonts w:hint="eastAsia"/>
                <w:b/>
                <w:bCs/>
                <w:color w:val="auto"/>
                <w:spacing w:val="4"/>
                <w:highlight w:val="none"/>
                <w:lang w:val="en-US" w:eastAsia="zh-CN"/>
              </w:rPr>
              <w:t>6</w:t>
            </w:r>
            <w:r>
              <w:rPr>
                <w:color w:val="auto"/>
                <w:spacing w:val="-51"/>
                <w:highlight w:val="none"/>
              </w:rPr>
              <w:t xml:space="preserve"> </w:t>
            </w:r>
            <w:r>
              <w:rPr>
                <w:b/>
                <w:bCs/>
                <w:color w:val="auto"/>
                <w:spacing w:val="4"/>
                <w:highlight w:val="none"/>
              </w:rPr>
              <w:t>年</w:t>
            </w:r>
            <w:r>
              <w:rPr>
                <w:rFonts w:hint="eastAsia" w:eastAsia="宋体"/>
                <w:b/>
                <w:bCs/>
                <w:color w:val="auto"/>
                <w:spacing w:val="4"/>
                <w:highlight w:val="none"/>
                <w:u w:val="single" w:color="auto"/>
                <w:lang w:val="en-US" w:eastAsia="zh-CN"/>
              </w:rPr>
              <w:t>任意一个</w:t>
            </w:r>
            <w:r>
              <w:rPr>
                <w:b/>
                <w:bCs/>
                <w:color w:val="auto"/>
                <w:spacing w:val="4"/>
                <w:highlight w:val="none"/>
              </w:rPr>
              <w:t>月工资流水或</w:t>
            </w:r>
            <w:r>
              <w:rPr>
                <w:color w:val="auto"/>
                <w:spacing w:val="-49"/>
                <w:highlight w:val="none"/>
              </w:rPr>
              <w:t xml:space="preserve"> </w:t>
            </w:r>
            <w:r>
              <w:rPr>
                <w:b/>
                <w:bCs/>
                <w:color w:val="auto"/>
                <w:spacing w:val="4"/>
                <w:highlight w:val="none"/>
              </w:rPr>
              <w:t>202</w:t>
            </w:r>
            <w:r>
              <w:rPr>
                <w:rFonts w:hint="eastAsia"/>
                <w:b/>
                <w:bCs/>
                <w:color w:val="auto"/>
                <w:spacing w:val="4"/>
                <w:highlight w:val="none"/>
                <w:lang w:val="en-US" w:eastAsia="zh-CN"/>
              </w:rPr>
              <w:t>6</w:t>
            </w:r>
            <w:r>
              <w:rPr>
                <w:color w:val="auto"/>
                <w:spacing w:val="-51"/>
                <w:highlight w:val="none"/>
              </w:rPr>
              <w:t xml:space="preserve"> </w:t>
            </w:r>
            <w:r>
              <w:rPr>
                <w:b/>
                <w:bCs/>
                <w:color w:val="auto"/>
                <w:spacing w:val="4"/>
                <w:highlight w:val="none"/>
              </w:rPr>
              <w:t>年</w:t>
            </w:r>
            <w:r>
              <w:rPr>
                <w:b/>
                <w:bCs/>
                <w:color w:val="auto"/>
                <w:spacing w:val="4"/>
                <w:highlight w:val="none"/>
                <w:u w:val="single" w:color="auto"/>
              </w:rPr>
              <w:t>4</w:t>
            </w:r>
            <w:r>
              <w:rPr>
                <w:color w:val="auto"/>
                <w:spacing w:val="-48"/>
                <w:highlight w:val="none"/>
                <w:u w:val="single" w:color="auto"/>
              </w:rPr>
              <w:t xml:space="preserve"> </w:t>
            </w:r>
            <w:r>
              <w:rPr>
                <w:b/>
                <w:bCs/>
                <w:color w:val="auto"/>
                <w:spacing w:val="4"/>
                <w:highlight w:val="none"/>
              </w:rPr>
              <w:t>月至</w:t>
            </w:r>
            <w:r>
              <w:rPr>
                <w:color w:val="auto"/>
                <w:spacing w:val="4"/>
                <w:highlight w:val="none"/>
                <w:u w:val="single" w:color="auto"/>
              </w:rPr>
              <w:t xml:space="preserve">  </w:t>
            </w:r>
            <w:r>
              <w:rPr>
                <w:b/>
                <w:bCs/>
                <w:color w:val="auto"/>
                <w:spacing w:val="4"/>
                <w:highlight w:val="none"/>
                <w:u w:val="single" w:color="auto"/>
              </w:rPr>
              <w:t>6</w:t>
            </w:r>
            <w:r>
              <w:rPr>
                <w:b/>
                <w:bCs/>
                <w:color w:val="auto"/>
                <w:spacing w:val="4"/>
                <w:highlight w:val="none"/>
              </w:rPr>
              <w:t>月社保等]。</w:t>
            </w:r>
          </w:p>
          <w:p w14:paraId="239B7AE6">
            <w:pPr>
              <w:pStyle w:val="179"/>
              <w:spacing w:before="2" w:line="288" w:lineRule="auto"/>
              <w:ind w:left="106" w:right="109"/>
              <w:rPr>
                <w:color w:val="auto"/>
                <w:highlight w:val="none"/>
              </w:rPr>
            </w:pPr>
            <w:r>
              <w:rPr>
                <w:color w:val="auto"/>
                <w:spacing w:val="8"/>
                <w:highlight w:val="none"/>
              </w:rPr>
              <w:t>①本标项拟投入从事食品检验相关工作人员</w:t>
            </w:r>
            <w:r>
              <w:rPr>
                <w:color w:val="auto"/>
                <w:spacing w:val="7"/>
                <w:highlight w:val="none"/>
              </w:rPr>
              <w:t>总数不低于</w:t>
            </w:r>
            <w:r>
              <w:rPr>
                <w:color w:val="auto"/>
                <w:spacing w:val="-24"/>
                <w:highlight w:val="none"/>
              </w:rPr>
              <w:t xml:space="preserve"> </w:t>
            </w:r>
            <w:r>
              <w:rPr>
                <w:color w:val="auto"/>
                <w:spacing w:val="7"/>
                <w:highlight w:val="none"/>
              </w:rPr>
              <w:t>10</w:t>
            </w:r>
            <w:r>
              <w:rPr>
                <w:color w:val="auto"/>
                <w:spacing w:val="-36"/>
                <w:highlight w:val="none"/>
              </w:rPr>
              <w:t xml:space="preserve"> </w:t>
            </w:r>
            <w:r>
              <w:rPr>
                <w:color w:val="auto"/>
                <w:spacing w:val="7"/>
                <w:highlight w:val="none"/>
              </w:rPr>
              <w:t>人，且直</w:t>
            </w:r>
            <w:r>
              <w:rPr>
                <w:color w:val="auto"/>
                <w:spacing w:val="9"/>
                <w:highlight w:val="none"/>
              </w:rPr>
              <w:t>接从事食品检验工作满</w:t>
            </w:r>
            <w:r>
              <w:rPr>
                <w:color w:val="auto"/>
                <w:spacing w:val="-34"/>
                <w:highlight w:val="none"/>
              </w:rPr>
              <w:t xml:space="preserve"> </w:t>
            </w:r>
            <w:r>
              <w:rPr>
                <w:color w:val="auto"/>
                <w:spacing w:val="9"/>
                <w:highlight w:val="none"/>
              </w:rPr>
              <w:t>2</w:t>
            </w:r>
            <w:r>
              <w:rPr>
                <w:color w:val="auto"/>
                <w:spacing w:val="-37"/>
                <w:highlight w:val="none"/>
              </w:rPr>
              <w:t xml:space="preserve"> </w:t>
            </w:r>
            <w:r>
              <w:rPr>
                <w:color w:val="auto"/>
                <w:spacing w:val="9"/>
                <w:highlight w:val="none"/>
              </w:rPr>
              <w:t>年及以上的检验人</w:t>
            </w:r>
            <w:r>
              <w:rPr>
                <w:color w:val="auto"/>
                <w:spacing w:val="8"/>
                <w:highlight w:val="none"/>
              </w:rPr>
              <w:t>员占直接从事食品检验</w:t>
            </w:r>
            <w:r>
              <w:rPr>
                <w:color w:val="auto"/>
                <w:spacing w:val="7"/>
                <w:highlight w:val="none"/>
              </w:rPr>
              <w:t>人员总数的比例不低于</w:t>
            </w:r>
            <w:r>
              <w:rPr>
                <w:color w:val="auto"/>
                <w:spacing w:val="-32"/>
                <w:highlight w:val="none"/>
              </w:rPr>
              <w:t xml:space="preserve"> </w:t>
            </w:r>
            <w:r>
              <w:rPr>
                <w:color w:val="auto"/>
                <w:spacing w:val="7"/>
                <w:highlight w:val="none"/>
              </w:rPr>
              <w:t>50%（含</w:t>
            </w:r>
            <w:r>
              <w:rPr>
                <w:color w:val="auto"/>
                <w:spacing w:val="-1"/>
                <w:highlight w:val="none"/>
              </w:rPr>
              <w:t>），</w:t>
            </w:r>
            <w:r>
              <w:rPr>
                <w:color w:val="auto"/>
                <w:spacing w:val="7"/>
                <w:highlight w:val="none"/>
              </w:rPr>
              <w:t>能保证食品抽样检验工作的连续</w:t>
            </w:r>
            <w:r>
              <w:rPr>
                <w:color w:val="auto"/>
                <w:spacing w:val="6"/>
                <w:highlight w:val="none"/>
              </w:rPr>
              <w:t>性和稳定性。</w:t>
            </w:r>
            <w:r>
              <w:rPr>
                <w:color w:val="auto"/>
                <w:spacing w:val="-35"/>
                <w:highlight w:val="none"/>
              </w:rPr>
              <w:t xml:space="preserve"> </w:t>
            </w:r>
            <w:r>
              <w:rPr>
                <w:b/>
                <w:bCs/>
                <w:color w:val="auto"/>
                <w:spacing w:val="6"/>
                <w:highlight w:val="none"/>
              </w:rPr>
              <w:t>[响应文件中须提供工作满</w:t>
            </w:r>
            <w:r>
              <w:rPr>
                <w:color w:val="auto"/>
                <w:spacing w:val="6"/>
                <w:highlight w:val="none"/>
              </w:rPr>
              <w:t xml:space="preserve"> </w:t>
            </w:r>
            <w:r>
              <w:rPr>
                <w:b/>
                <w:bCs/>
                <w:color w:val="auto"/>
                <w:spacing w:val="6"/>
                <w:highlight w:val="none"/>
              </w:rPr>
              <w:t>2</w:t>
            </w:r>
            <w:r>
              <w:rPr>
                <w:color w:val="auto"/>
                <w:spacing w:val="6"/>
                <w:highlight w:val="none"/>
              </w:rPr>
              <w:t xml:space="preserve"> </w:t>
            </w:r>
            <w:r>
              <w:rPr>
                <w:b/>
                <w:bCs/>
                <w:color w:val="auto"/>
                <w:spacing w:val="6"/>
                <w:highlight w:val="none"/>
              </w:rPr>
              <w:t>年及以上直接从事食品</w:t>
            </w:r>
            <w:r>
              <w:rPr>
                <w:b/>
                <w:bCs/>
                <w:color w:val="auto"/>
                <w:spacing w:val="8"/>
                <w:highlight w:val="none"/>
              </w:rPr>
              <w:t>检验个人工作经历证明材料（如</w:t>
            </w:r>
            <w:r>
              <w:rPr>
                <w:rFonts w:hint="eastAsia" w:eastAsia="宋体"/>
                <w:b/>
                <w:bCs/>
                <w:color w:val="auto"/>
                <w:spacing w:val="7"/>
                <w:highlight w:val="none"/>
                <w:lang w:val="en-US" w:eastAsia="zh-CN"/>
              </w:rPr>
              <w:t>工资流水或</w:t>
            </w:r>
            <w:r>
              <w:rPr>
                <w:b/>
                <w:bCs/>
                <w:color w:val="auto"/>
                <w:spacing w:val="8"/>
                <w:highlight w:val="none"/>
              </w:rPr>
              <w:t>社保证明或承诺等</w:t>
            </w:r>
            <w:r>
              <w:rPr>
                <w:b/>
                <w:bCs/>
                <w:color w:val="auto"/>
                <w:spacing w:val="15"/>
                <w:highlight w:val="none"/>
              </w:rPr>
              <w:t>），</w:t>
            </w:r>
            <w:r>
              <w:rPr>
                <w:b/>
                <w:bCs/>
                <w:color w:val="auto"/>
                <w:spacing w:val="8"/>
                <w:highlight w:val="none"/>
              </w:rPr>
              <w:t>并</w:t>
            </w:r>
            <w:r>
              <w:rPr>
                <w:b/>
                <w:bCs/>
                <w:color w:val="auto"/>
                <w:spacing w:val="7"/>
                <w:highlight w:val="none"/>
              </w:rPr>
              <w:t>加盖供应商单位公章或电子签章]</w:t>
            </w:r>
          </w:p>
          <w:p w14:paraId="6420AD2D">
            <w:pPr>
              <w:pStyle w:val="179"/>
              <w:spacing w:before="65" w:line="332" w:lineRule="auto"/>
              <w:ind w:left="109" w:right="198" w:hanging="4"/>
              <w:rPr>
                <w:color w:val="auto"/>
                <w:highlight w:val="none"/>
              </w:rPr>
            </w:pPr>
            <w:r>
              <w:rPr>
                <w:color w:val="auto"/>
                <w:spacing w:val="10"/>
                <w:highlight w:val="none"/>
              </w:rPr>
              <w:t>②要求检验和技术管理人员熟悉有关食品检验</w:t>
            </w:r>
            <w:r>
              <w:rPr>
                <w:color w:val="auto"/>
                <w:spacing w:val="9"/>
                <w:highlight w:val="none"/>
              </w:rPr>
              <w:t>的标准、检验方法原理，掌握检验操作技能、标准操作程序、计量和数据处理知识等；</w:t>
            </w:r>
          </w:p>
          <w:p w14:paraId="21DB513D">
            <w:pPr>
              <w:pStyle w:val="179"/>
              <w:spacing w:before="2" w:line="332" w:lineRule="auto"/>
              <w:ind w:left="108" w:right="109" w:hanging="1"/>
              <w:rPr>
                <w:color w:val="auto"/>
                <w:highlight w:val="none"/>
              </w:rPr>
            </w:pPr>
            <w:r>
              <w:rPr>
                <w:color w:val="auto"/>
                <w:spacing w:val="8"/>
                <w:highlight w:val="none"/>
              </w:rPr>
              <w:t>技术负责人、质量负责人至少从事食品检验管理及相关工作</w:t>
            </w:r>
            <w:r>
              <w:rPr>
                <w:color w:val="auto"/>
                <w:spacing w:val="-16"/>
                <w:highlight w:val="none"/>
              </w:rPr>
              <w:t xml:space="preserve"> </w:t>
            </w:r>
            <w:r>
              <w:rPr>
                <w:color w:val="auto"/>
                <w:spacing w:val="8"/>
                <w:highlight w:val="none"/>
              </w:rPr>
              <w:t>2</w:t>
            </w:r>
            <w:r>
              <w:rPr>
                <w:color w:val="auto"/>
                <w:spacing w:val="-38"/>
                <w:highlight w:val="none"/>
              </w:rPr>
              <w:t xml:space="preserve"> </w:t>
            </w:r>
            <w:r>
              <w:rPr>
                <w:color w:val="auto"/>
                <w:spacing w:val="8"/>
                <w:highlight w:val="none"/>
              </w:rPr>
              <w:t>年或</w:t>
            </w:r>
            <w:r>
              <w:rPr>
                <w:color w:val="auto"/>
                <w:spacing w:val="5"/>
                <w:highlight w:val="none"/>
              </w:rPr>
              <w:t>以上；</w:t>
            </w:r>
            <w:r>
              <w:rPr>
                <w:b/>
                <w:bCs/>
                <w:color w:val="auto"/>
                <w:spacing w:val="5"/>
                <w:highlight w:val="none"/>
              </w:rPr>
              <w:t>[响应文件中须提供工作满</w:t>
            </w:r>
            <w:r>
              <w:rPr>
                <w:color w:val="auto"/>
                <w:spacing w:val="5"/>
                <w:highlight w:val="none"/>
              </w:rPr>
              <w:t xml:space="preserve"> </w:t>
            </w:r>
            <w:r>
              <w:rPr>
                <w:b/>
                <w:bCs/>
                <w:color w:val="auto"/>
                <w:spacing w:val="5"/>
                <w:highlight w:val="none"/>
              </w:rPr>
              <w:t>2</w:t>
            </w:r>
            <w:r>
              <w:rPr>
                <w:color w:val="auto"/>
                <w:spacing w:val="-37"/>
                <w:highlight w:val="none"/>
              </w:rPr>
              <w:t xml:space="preserve"> </w:t>
            </w:r>
            <w:r>
              <w:rPr>
                <w:b/>
                <w:bCs/>
                <w:color w:val="auto"/>
                <w:spacing w:val="5"/>
                <w:highlight w:val="none"/>
              </w:rPr>
              <w:t>年及以上直</w:t>
            </w:r>
            <w:r>
              <w:rPr>
                <w:b/>
                <w:bCs/>
                <w:color w:val="auto"/>
                <w:spacing w:val="4"/>
                <w:highlight w:val="none"/>
              </w:rPr>
              <w:t>接从事食品检验个人</w:t>
            </w:r>
            <w:r>
              <w:rPr>
                <w:b/>
                <w:bCs/>
                <w:color w:val="auto"/>
                <w:spacing w:val="7"/>
                <w:highlight w:val="none"/>
              </w:rPr>
              <w:t>工作经历证明材料（如</w:t>
            </w:r>
            <w:r>
              <w:rPr>
                <w:rFonts w:hint="eastAsia" w:eastAsia="宋体"/>
                <w:b/>
                <w:bCs/>
                <w:color w:val="auto"/>
                <w:spacing w:val="7"/>
                <w:highlight w:val="none"/>
                <w:lang w:val="en-US" w:eastAsia="zh-CN"/>
              </w:rPr>
              <w:t>工资流水或</w:t>
            </w:r>
            <w:r>
              <w:rPr>
                <w:b/>
                <w:bCs/>
                <w:color w:val="auto"/>
                <w:spacing w:val="7"/>
                <w:highlight w:val="none"/>
              </w:rPr>
              <w:t>社保证明或承诺等</w:t>
            </w:r>
            <w:r>
              <w:rPr>
                <w:b/>
                <w:bCs/>
                <w:color w:val="auto"/>
                <w:spacing w:val="25"/>
                <w:highlight w:val="none"/>
              </w:rPr>
              <w:t>），</w:t>
            </w:r>
            <w:r>
              <w:rPr>
                <w:b/>
                <w:bCs/>
                <w:color w:val="auto"/>
                <w:spacing w:val="7"/>
                <w:highlight w:val="none"/>
              </w:rPr>
              <w:t>并加盖供应商单位公</w:t>
            </w:r>
            <w:r>
              <w:rPr>
                <w:b/>
                <w:bCs/>
                <w:color w:val="auto"/>
                <w:spacing w:val="6"/>
                <w:highlight w:val="none"/>
              </w:rPr>
              <w:t>章或电子签章]</w:t>
            </w:r>
          </w:p>
          <w:p w14:paraId="205D2819">
            <w:pPr>
              <w:pStyle w:val="179"/>
              <w:spacing w:before="1" w:line="332" w:lineRule="auto"/>
              <w:ind w:left="105" w:right="109"/>
              <w:rPr>
                <w:color w:val="auto"/>
                <w:highlight w:val="none"/>
              </w:rPr>
            </w:pPr>
            <w:r>
              <w:rPr>
                <w:color w:val="auto"/>
                <w:spacing w:val="7"/>
                <w:highlight w:val="none"/>
              </w:rPr>
              <w:t>③从事食品检验工作满</w:t>
            </w:r>
            <w:r>
              <w:rPr>
                <w:color w:val="auto"/>
                <w:spacing w:val="-28"/>
                <w:highlight w:val="none"/>
              </w:rPr>
              <w:t xml:space="preserve"> </w:t>
            </w:r>
            <w:r>
              <w:rPr>
                <w:color w:val="auto"/>
                <w:spacing w:val="7"/>
                <w:highlight w:val="none"/>
              </w:rPr>
              <w:t>2</w:t>
            </w:r>
            <w:r>
              <w:rPr>
                <w:color w:val="auto"/>
                <w:spacing w:val="-37"/>
                <w:highlight w:val="none"/>
              </w:rPr>
              <w:t xml:space="preserve"> </w:t>
            </w:r>
            <w:r>
              <w:rPr>
                <w:color w:val="auto"/>
                <w:spacing w:val="7"/>
                <w:highlight w:val="none"/>
              </w:rPr>
              <w:t>年（含）</w:t>
            </w:r>
            <w:r>
              <w:rPr>
                <w:color w:val="auto"/>
                <w:spacing w:val="-57"/>
                <w:highlight w:val="none"/>
              </w:rPr>
              <w:t xml:space="preserve"> </w:t>
            </w:r>
            <w:r>
              <w:rPr>
                <w:color w:val="auto"/>
                <w:spacing w:val="7"/>
                <w:highlight w:val="none"/>
              </w:rPr>
              <w:t>以上具有中级或以上系列职称的</w:t>
            </w:r>
            <w:r>
              <w:rPr>
                <w:color w:val="auto"/>
                <w:spacing w:val="8"/>
                <w:highlight w:val="none"/>
              </w:rPr>
              <w:t>技术人员不低于</w:t>
            </w:r>
            <w:r>
              <w:rPr>
                <w:color w:val="auto"/>
                <w:spacing w:val="-33"/>
                <w:highlight w:val="none"/>
              </w:rPr>
              <w:t xml:space="preserve"> </w:t>
            </w:r>
            <w:r>
              <w:rPr>
                <w:color w:val="auto"/>
                <w:spacing w:val="8"/>
                <w:highlight w:val="none"/>
              </w:rPr>
              <w:t>5</w:t>
            </w:r>
            <w:r>
              <w:rPr>
                <w:color w:val="auto"/>
                <w:spacing w:val="-37"/>
                <w:highlight w:val="none"/>
              </w:rPr>
              <w:t xml:space="preserve"> </w:t>
            </w:r>
            <w:r>
              <w:rPr>
                <w:color w:val="auto"/>
                <w:spacing w:val="8"/>
                <w:highlight w:val="none"/>
              </w:rPr>
              <w:t>名[响应文件中须提供</w:t>
            </w:r>
            <w:r>
              <w:rPr>
                <w:b/>
                <w:bCs/>
                <w:color w:val="auto"/>
                <w:spacing w:val="8"/>
                <w:highlight w:val="none"/>
              </w:rPr>
              <w:t>工作</w:t>
            </w:r>
            <w:r>
              <w:rPr>
                <w:b/>
                <w:bCs/>
                <w:color w:val="auto"/>
                <w:spacing w:val="7"/>
                <w:highlight w:val="none"/>
              </w:rPr>
              <w:t>满</w:t>
            </w:r>
            <w:r>
              <w:rPr>
                <w:color w:val="auto"/>
                <w:spacing w:val="7"/>
                <w:highlight w:val="none"/>
              </w:rPr>
              <w:t xml:space="preserve"> </w:t>
            </w:r>
            <w:r>
              <w:rPr>
                <w:b/>
                <w:bCs/>
                <w:color w:val="auto"/>
                <w:spacing w:val="7"/>
                <w:highlight w:val="none"/>
              </w:rPr>
              <w:t>2</w:t>
            </w:r>
            <w:r>
              <w:rPr>
                <w:color w:val="auto"/>
                <w:spacing w:val="7"/>
                <w:highlight w:val="none"/>
              </w:rPr>
              <w:t xml:space="preserve"> </w:t>
            </w:r>
            <w:r>
              <w:rPr>
                <w:b/>
                <w:bCs/>
                <w:color w:val="auto"/>
                <w:spacing w:val="7"/>
                <w:highlight w:val="none"/>
              </w:rPr>
              <w:t>年及以上直接从事食品检验个人工作经历证明材料（如</w:t>
            </w:r>
            <w:r>
              <w:rPr>
                <w:rFonts w:hint="eastAsia" w:eastAsia="宋体"/>
                <w:b/>
                <w:bCs/>
                <w:color w:val="auto"/>
                <w:spacing w:val="7"/>
                <w:highlight w:val="none"/>
                <w:lang w:val="en-US" w:eastAsia="zh-CN"/>
              </w:rPr>
              <w:t>工资流水</w:t>
            </w:r>
            <w:r>
              <w:rPr>
                <w:b/>
                <w:bCs/>
                <w:color w:val="auto"/>
                <w:spacing w:val="7"/>
                <w:highlight w:val="none"/>
              </w:rPr>
              <w:t>社保</w:t>
            </w:r>
            <w:r>
              <w:rPr>
                <w:rFonts w:hint="eastAsia" w:eastAsia="宋体"/>
                <w:b/>
                <w:bCs/>
                <w:color w:val="auto"/>
                <w:spacing w:val="7"/>
                <w:highlight w:val="none"/>
                <w:lang w:val="en-US" w:eastAsia="zh-CN"/>
              </w:rPr>
              <w:t>或</w:t>
            </w:r>
            <w:r>
              <w:rPr>
                <w:b/>
                <w:bCs/>
                <w:color w:val="auto"/>
                <w:spacing w:val="7"/>
                <w:highlight w:val="none"/>
              </w:rPr>
              <w:t>证明或承诺等)</w:t>
            </w:r>
            <w:r>
              <w:rPr>
                <w:b/>
                <w:bCs/>
                <w:color w:val="auto"/>
                <w:spacing w:val="6"/>
                <w:highlight w:val="none"/>
              </w:rPr>
              <w:t>、人力资</w:t>
            </w:r>
            <w:r>
              <w:rPr>
                <w:b/>
                <w:bCs/>
                <w:color w:val="auto"/>
                <w:spacing w:val="8"/>
                <w:highlight w:val="none"/>
              </w:rPr>
              <w:t>源部门颁发的相关职称证明文件，并加盖供应商单位公章或电子签</w:t>
            </w:r>
            <w:r>
              <w:rPr>
                <w:b/>
                <w:bCs/>
                <w:color w:val="auto"/>
                <w:highlight w:val="none"/>
              </w:rPr>
              <w:t>章]。</w:t>
            </w:r>
          </w:p>
          <w:p w14:paraId="773BA1AD">
            <w:pPr>
              <w:pStyle w:val="179"/>
              <w:spacing w:before="124" w:line="332" w:lineRule="auto"/>
              <w:ind w:left="110" w:right="108" w:hanging="3"/>
              <w:jc w:val="both"/>
              <w:rPr>
                <w:color w:val="auto"/>
                <w:highlight w:val="none"/>
              </w:rPr>
            </w:pPr>
            <w:r>
              <w:rPr>
                <w:color w:val="auto"/>
                <w:spacing w:val="10"/>
                <w:highlight w:val="none"/>
              </w:rPr>
              <w:t>④同时承担抽样任务的，具有与抽样工作相匹</w:t>
            </w:r>
            <w:r>
              <w:rPr>
                <w:color w:val="auto"/>
                <w:spacing w:val="9"/>
                <w:highlight w:val="none"/>
              </w:rPr>
              <w:t>配的独立抽样人员、</w:t>
            </w:r>
            <w:r>
              <w:rPr>
                <w:color w:val="auto"/>
                <w:spacing w:val="10"/>
                <w:highlight w:val="none"/>
              </w:rPr>
              <w:t>抽样工具、设备等条件；熟悉食品抽样程序</w:t>
            </w:r>
            <w:r>
              <w:rPr>
                <w:color w:val="auto"/>
                <w:spacing w:val="9"/>
                <w:highlight w:val="none"/>
              </w:rPr>
              <w:t>，能按照要求派出不少于</w:t>
            </w:r>
            <w:r>
              <w:rPr>
                <w:color w:val="auto"/>
                <w:spacing w:val="-34"/>
                <w:highlight w:val="none"/>
              </w:rPr>
              <w:t xml:space="preserve"> </w:t>
            </w:r>
            <w:r>
              <w:rPr>
                <w:color w:val="auto"/>
                <w:spacing w:val="9"/>
                <w:highlight w:val="none"/>
              </w:rPr>
              <w:t>2</w:t>
            </w:r>
            <w:r>
              <w:rPr>
                <w:color w:val="auto"/>
                <w:spacing w:val="-39"/>
                <w:highlight w:val="none"/>
              </w:rPr>
              <w:t xml:space="preserve"> </w:t>
            </w:r>
            <w:r>
              <w:rPr>
                <w:color w:val="auto"/>
                <w:spacing w:val="9"/>
                <w:highlight w:val="none"/>
              </w:rPr>
              <w:t>人的抽样人员完成抽样工作，抽样人员熟悉</w:t>
            </w:r>
            <w:r>
              <w:rPr>
                <w:color w:val="auto"/>
                <w:spacing w:val="8"/>
                <w:highlight w:val="none"/>
              </w:rPr>
              <w:t>相关法律、法规、</w:t>
            </w:r>
            <w:r>
              <w:rPr>
                <w:color w:val="auto"/>
                <w:spacing w:val="10"/>
                <w:highlight w:val="none"/>
              </w:rPr>
              <w:t>规章和标准等有关规定。抽样人员使用规范</w:t>
            </w:r>
            <w:r>
              <w:rPr>
                <w:color w:val="auto"/>
                <w:spacing w:val="9"/>
                <w:highlight w:val="none"/>
              </w:rPr>
              <w:t>的抽样文书，准确、完整记录抽样信息，抽样程序符合规定。</w:t>
            </w:r>
            <w:r>
              <w:rPr>
                <w:b/>
                <w:bCs/>
                <w:color w:val="auto"/>
                <w:spacing w:val="9"/>
                <w:highlight w:val="none"/>
              </w:rPr>
              <w:t>（响应文件中须提供抽样工</w:t>
            </w:r>
            <w:r>
              <w:rPr>
                <w:b/>
                <w:bCs/>
                <w:color w:val="auto"/>
                <w:spacing w:val="8"/>
                <w:highlight w:val="none"/>
              </w:rPr>
              <w:t>具，设备清单、专职抽样人员名单，及所属于供应商单位在职人员</w:t>
            </w:r>
            <w:r>
              <w:rPr>
                <w:b/>
                <w:bCs/>
                <w:color w:val="auto"/>
                <w:highlight w:val="none"/>
              </w:rPr>
              <w:t>的相关证明材料，如</w:t>
            </w:r>
            <w:r>
              <w:rPr>
                <w:color w:val="auto"/>
                <w:spacing w:val="-39"/>
                <w:highlight w:val="none"/>
              </w:rPr>
              <w:t xml:space="preserve"> </w:t>
            </w:r>
            <w:r>
              <w:rPr>
                <w:b/>
                <w:bCs/>
                <w:color w:val="auto"/>
                <w:highlight w:val="none"/>
              </w:rPr>
              <w:t>202</w:t>
            </w:r>
            <w:r>
              <w:rPr>
                <w:rFonts w:hint="eastAsia"/>
                <w:b/>
                <w:bCs/>
                <w:color w:val="auto"/>
                <w:highlight w:val="none"/>
                <w:lang w:val="en-US" w:eastAsia="zh-CN"/>
              </w:rPr>
              <w:t>6</w:t>
            </w:r>
            <w:r>
              <w:rPr>
                <w:color w:val="auto"/>
                <w:spacing w:val="-42"/>
                <w:highlight w:val="none"/>
              </w:rPr>
              <w:t xml:space="preserve"> </w:t>
            </w:r>
            <w:r>
              <w:rPr>
                <w:b/>
                <w:bCs/>
                <w:color w:val="auto"/>
                <w:highlight w:val="none"/>
              </w:rPr>
              <w:t>年</w:t>
            </w:r>
            <w:r>
              <w:rPr>
                <w:rFonts w:hint="eastAsia" w:eastAsia="宋体"/>
                <w:b/>
                <w:bCs/>
                <w:color w:val="auto"/>
                <w:highlight w:val="none"/>
                <w:lang w:val="en-US" w:eastAsia="zh-CN"/>
              </w:rPr>
              <w:t>任意一个</w:t>
            </w:r>
            <w:r>
              <w:rPr>
                <w:b/>
                <w:bCs/>
                <w:color w:val="auto"/>
                <w:highlight w:val="none"/>
              </w:rPr>
              <w:t>月工资流水或</w:t>
            </w:r>
            <w:r>
              <w:rPr>
                <w:color w:val="auto"/>
                <w:spacing w:val="-41"/>
                <w:highlight w:val="none"/>
              </w:rPr>
              <w:t xml:space="preserve"> </w:t>
            </w:r>
            <w:r>
              <w:rPr>
                <w:b/>
                <w:bCs/>
                <w:color w:val="auto"/>
                <w:highlight w:val="none"/>
              </w:rPr>
              <w:t>202</w:t>
            </w:r>
            <w:r>
              <w:rPr>
                <w:rFonts w:hint="eastAsia"/>
                <w:b/>
                <w:bCs/>
                <w:color w:val="auto"/>
                <w:highlight w:val="none"/>
                <w:lang w:val="en-US" w:eastAsia="zh-CN"/>
              </w:rPr>
              <w:t>6</w:t>
            </w:r>
            <w:r>
              <w:rPr>
                <w:color w:val="auto"/>
                <w:spacing w:val="-42"/>
                <w:highlight w:val="none"/>
              </w:rPr>
              <w:t xml:space="preserve"> </w:t>
            </w:r>
            <w:r>
              <w:rPr>
                <w:b/>
                <w:bCs/>
                <w:color w:val="auto"/>
                <w:highlight w:val="none"/>
              </w:rPr>
              <w:t>年</w:t>
            </w:r>
            <w:r>
              <w:rPr>
                <w:color w:val="auto"/>
                <w:spacing w:val="-42"/>
                <w:highlight w:val="none"/>
              </w:rPr>
              <w:t xml:space="preserve"> </w:t>
            </w:r>
            <w:r>
              <w:rPr>
                <w:b/>
                <w:bCs/>
                <w:color w:val="auto"/>
                <w:highlight w:val="none"/>
              </w:rPr>
              <w:t>4</w:t>
            </w:r>
            <w:r>
              <w:rPr>
                <w:color w:val="auto"/>
                <w:spacing w:val="-38"/>
                <w:highlight w:val="none"/>
              </w:rPr>
              <w:t xml:space="preserve"> </w:t>
            </w:r>
            <w:r>
              <w:rPr>
                <w:b/>
                <w:bCs/>
                <w:color w:val="auto"/>
                <w:highlight w:val="none"/>
              </w:rPr>
              <w:t>月至</w:t>
            </w:r>
            <w:r>
              <w:rPr>
                <w:color w:val="auto"/>
                <w:spacing w:val="-1"/>
                <w:highlight w:val="none"/>
              </w:rPr>
              <w:t xml:space="preserve"> </w:t>
            </w:r>
            <w:r>
              <w:rPr>
                <w:b/>
                <w:bCs/>
                <w:color w:val="auto"/>
                <w:spacing w:val="-1"/>
                <w:highlight w:val="none"/>
              </w:rPr>
              <w:t>6</w:t>
            </w:r>
            <w:r>
              <w:rPr>
                <w:b/>
                <w:bCs/>
                <w:color w:val="auto"/>
                <w:spacing w:val="3"/>
                <w:highlight w:val="none"/>
              </w:rPr>
              <w:t>月社保等）</w:t>
            </w:r>
          </w:p>
          <w:p w14:paraId="2CFD6B79">
            <w:pPr>
              <w:pStyle w:val="179"/>
              <w:spacing w:before="1" w:line="303" w:lineRule="auto"/>
              <w:ind w:left="105" w:right="198"/>
              <w:rPr>
                <w:color w:val="auto"/>
                <w:highlight w:val="none"/>
              </w:rPr>
            </w:pPr>
          </w:p>
        </w:tc>
      </w:tr>
    </w:tbl>
    <w:p w14:paraId="03C295E5">
      <w:pPr>
        <w:rPr>
          <w:rFonts w:ascii="Arial"/>
          <w:color w:val="auto"/>
          <w:sz w:val="21"/>
          <w:highlight w:val="none"/>
        </w:rPr>
      </w:pPr>
    </w:p>
    <w:p w14:paraId="3BBB84C7">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786A5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655" w:type="dxa"/>
            <w:vAlign w:val="top"/>
          </w:tcPr>
          <w:p w14:paraId="5E41CEDD">
            <w:pPr>
              <w:rPr>
                <w:rFonts w:ascii="Arial"/>
                <w:color w:val="auto"/>
                <w:sz w:val="21"/>
                <w:highlight w:val="none"/>
              </w:rPr>
            </w:pPr>
          </w:p>
        </w:tc>
        <w:tc>
          <w:tcPr>
            <w:tcW w:w="873" w:type="dxa"/>
            <w:vAlign w:val="top"/>
          </w:tcPr>
          <w:p w14:paraId="76345D47">
            <w:pPr>
              <w:rPr>
                <w:rFonts w:ascii="Arial"/>
                <w:color w:val="auto"/>
                <w:sz w:val="21"/>
                <w:highlight w:val="none"/>
              </w:rPr>
            </w:pPr>
          </w:p>
        </w:tc>
        <w:tc>
          <w:tcPr>
            <w:tcW w:w="663" w:type="dxa"/>
            <w:vAlign w:val="top"/>
          </w:tcPr>
          <w:p w14:paraId="47BD53A2">
            <w:pPr>
              <w:rPr>
                <w:rFonts w:ascii="Arial"/>
                <w:color w:val="auto"/>
                <w:sz w:val="21"/>
                <w:highlight w:val="none"/>
              </w:rPr>
            </w:pPr>
          </w:p>
        </w:tc>
        <w:tc>
          <w:tcPr>
            <w:tcW w:w="683" w:type="dxa"/>
            <w:vAlign w:val="top"/>
          </w:tcPr>
          <w:p w14:paraId="11D088FE">
            <w:pPr>
              <w:rPr>
                <w:rFonts w:ascii="Arial"/>
                <w:color w:val="auto"/>
                <w:sz w:val="21"/>
                <w:highlight w:val="none"/>
              </w:rPr>
            </w:pPr>
          </w:p>
        </w:tc>
        <w:tc>
          <w:tcPr>
            <w:tcW w:w="6391" w:type="dxa"/>
            <w:vAlign w:val="top"/>
          </w:tcPr>
          <w:p w14:paraId="63F1BAC7">
            <w:pPr>
              <w:pStyle w:val="179"/>
              <w:spacing w:before="2" w:line="332" w:lineRule="auto"/>
              <w:ind w:left="107" w:right="109" w:firstLine="9"/>
              <w:rPr>
                <w:color w:val="auto"/>
                <w:highlight w:val="none"/>
              </w:rPr>
            </w:pPr>
            <w:r>
              <w:rPr>
                <w:color w:val="auto"/>
                <w:spacing w:val="8"/>
                <w:highlight w:val="none"/>
              </w:rPr>
              <w:t>（3）能严格遵守检验工作委托时间进度安排和及时报送检验报告、质量分析报告等规定的材料。具体时限要求为：接到样品后</w:t>
            </w:r>
            <w:r>
              <w:rPr>
                <w:color w:val="auto"/>
                <w:spacing w:val="-35"/>
                <w:highlight w:val="none"/>
              </w:rPr>
              <w:t xml:space="preserve"> </w:t>
            </w:r>
            <w:r>
              <w:rPr>
                <w:color w:val="auto"/>
                <w:spacing w:val="8"/>
                <w:highlight w:val="none"/>
              </w:rPr>
              <w:t>20</w:t>
            </w:r>
            <w:r>
              <w:rPr>
                <w:color w:val="auto"/>
                <w:spacing w:val="-38"/>
                <w:highlight w:val="none"/>
              </w:rPr>
              <w:t xml:space="preserve"> </w:t>
            </w:r>
            <w:r>
              <w:rPr>
                <w:color w:val="auto"/>
                <w:spacing w:val="8"/>
                <w:highlight w:val="none"/>
              </w:rPr>
              <w:t>个工</w:t>
            </w:r>
            <w:r>
              <w:rPr>
                <w:color w:val="auto"/>
                <w:spacing w:val="7"/>
                <w:highlight w:val="none"/>
              </w:rPr>
              <w:t>作日内完成检验工作并在“</w:t>
            </w:r>
            <w:r>
              <w:rPr>
                <w:color w:val="auto"/>
                <w:spacing w:val="-55"/>
                <w:highlight w:val="none"/>
              </w:rPr>
              <w:t xml:space="preserve"> </w:t>
            </w:r>
            <w:r>
              <w:rPr>
                <w:color w:val="auto"/>
                <w:spacing w:val="7"/>
                <w:highlight w:val="none"/>
              </w:rPr>
              <w:t>国家食品安全抽样检验信息系统</w:t>
            </w:r>
            <w:r>
              <w:rPr>
                <w:color w:val="auto"/>
                <w:spacing w:val="-70"/>
                <w:highlight w:val="none"/>
              </w:rPr>
              <w:t xml:space="preserve"> </w:t>
            </w:r>
            <w:r>
              <w:rPr>
                <w:color w:val="auto"/>
                <w:spacing w:val="7"/>
                <w:highlight w:val="none"/>
              </w:rPr>
              <w:t>”上出</w:t>
            </w:r>
            <w:r>
              <w:rPr>
                <w:color w:val="auto"/>
                <w:spacing w:val="9"/>
                <w:highlight w:val="none"/>
              </w:rPr>
              <w:t>具通过</w:t>
            </w:r>
            <w:r>
              <w:rPr>
                <w:color w:val="auto"/>
                <w:spacing w:val="-38"/>
                <w:highlight w:val="none"/>
              </w:rPr>
              <w:t xml:space="preserve"> </w:t>
            </w:r>
            <w:r>
              <w:rPr>
                <w:color w:val="auto"/>
                <w:highlight w:val="none"/>
              </w:rPr>
              <w:t>CA</w:t>
            </w:r>
            <w:r>
              <w:rPr>
                <w:color w:val="auto"/>
                <w:spacing w:val="-41"/>
                <w:highlight w:val="none"/>
              </w:rPr>
              <w:t xml:space="preserve"> </w:t>
            </w:r>
            <w:r>
              <w:rPr>
                <w:color w:val="auto"/>
                <w:spacing w:val="9"/>
                <w:highlight w:val="none"/>
              </w:rPr>
              <w:t>认证的电子检验报告书。监督抽检检验结论</w:t>
            </w:r>
            <w:r>
              <w:rPr>
                <w:color w:val="auto"/>
                <w:spacing w:val="8"/>
                <w:highlight w:val="none"/>
              </w:rPr>
              <w:t>不合格的，应当在检验结论做出后</w:t>
            </w:r>
            <w:r>
              <w:rPr>
                <w:color w:val="auto"/>
                <w:spacing w:val="-34"/>
                <w:highlight w:val="none"/>
              </w:rPr>
              <w:t xml:space="preserve"> </w:t>
            </w:r>
            <w:r>
              <w:rPr>
                <w:color w:val="auto"/>
                <w:spacing w:val="8"/>
                <w:highlight w:val="none"/>
              </w:rPr>
              <w:t>2</w:t>
            </w:r>
            <w:r>
              <w:rPr>
                <w:color w:val="auto"/>
                <w:spacing w:val="-40"/>
                <w:highlight w:val="none"/>
              </w:rPr>
              <w:t xml:space="preserve"> </w:t>
            </w:r>
            <w:r>
              <w:rPr>
                <w:color w:val="auto"/>
                <w:spacing w:val="8"/>
                <w:highlight w:val="none"/>
              </w:rPr>
              <w:t>个工作日内在“</w:t>
            </w:r>
            <w:r>
              <w:rPr>
                <w:color w:val="auto"/>
                <w:spacing w:val="-70"/>
                <w:highlight w:val="none"/>
              </w:rPr>
              <w:t xml:space="preserve"> </w:t>
            </w:r>
            <w:r>
              <w:rPr>
                <w:color w:val="auto"/>
                <w:spacing w:val="8"/>
                <w:highlight w:val="none"/>
              </w:rPr>
              <w:t>国家</w:t>
            </w:r>
            <w:r>
              <w:rPr>
                <w:color w:val="auto"/>
                <w:spacing w:val="7"/>
                <w:highlight w:val="none"/>
              </w:rPr>
              <w:t>食品安全抽样检验信息系统</w:t>
            </w:r>
            <w:r>
              <w:rPr>
                <w:color w:val="auto"/>
                <w:spacing w:val="-52"/>
                <w:highlight w:val="none"/>
              </w:rPr>
              <w:t xml:space="preserve"> </w:t>
            </w:r>
            <w:r>
              <w:rPr>
                <w:color w:val="auto"/>
                <w:spacing w:val="7"/>
                <w:highlight w:val="none"/>
              </w:rPr>
              <w:t>”出具通过</w:t>
            </w:r>
            <w:r>
              <w:rPr>
                <w:color w:val="auto"/>
                <w:spacing w:val="-39"/>
                <w:highlight w:val="none"/>
              </w:rPr>
              <w:t xml:space="preserve"> </w:t>
            </w:r>
            <w:r>
              <w:rPr>
                <w:color w:val="auto"/>
                <w:highlight w:val="none"/>
              </w:rPr>
              <w:t>CA</w:t>
            </w:r>
            <w:r>
              <w:rPr>
                <w:color w:val="auto"/>
                <w:spacing w:val="-38"/>
                <w:highlight w:val="none"/>
              </w:rPr>
              <w:t xml:space="preserve"> </w:t>
            </w:r>
            <w:r>
              <w:rPr>
                <w:color w:val="auto"/>
                <w:spacing w:val="7"/>
                <w:highlight w:val="none"/>
              </w:rPr>
              <w:t>认证的电子检验报告书。另有合同约定的，依约</w:t>
            </w:r>
            <w:r>
              <w:rPr>
                <w:color w:val="auto"/>
                <w:spacing w:val="4"/>
                <w:highlight w:val="none"/>
              </w:rPr>
              <w:t>定执行。</w:t>
            </w:r>
          </w:p>
          <w:p w14:paraId="2DED3658">
            <w:pPr>
              <w:pStyle w:val="179"/>
              <w:spacing w:before="1" w:line="332" w:lineRule="auto"/>
              <w:ind w:left="106" w:right="37" w:firstLine="10"/>
              <w:rPr>
                <w:color w:val="auto"/>
                <w:highlight w:val="none"/>
              </w:rPr>
            </w:pPr>
            <w:r>
              <w:rPr>
                <w:color w:val="auto"/>
                <w:spacing w:val="6"/>
                <w:highlight w:val="none"/>
              </w:rPr>
              <w:t>（4）24</w:t>
            </w:r>
            <w:r>
              <w:rPr>
                <w:color w:val="auto"/>
                <w:spacing w:val="-28"/>
                <w:highlight w:val="none"/>
              </w:rPr>
              <w:t xml:space="preserve"> </w:t>
            </w:r>
            <w:r>
              <w:rPr>
                <w:color w:val="auto"/>
                <w:spacing w:val="6"/>
                <w:highlight w:val="none"/>
              </w:rPr>
              <w:t>小时限时报告要求：发现不合格样品中含有非食用物质或其</w:t>
            </w:r>
            <w:r>
              <w:rPr>
                <w:color w:val="auto"/>
                <w:spacing w:val="9"/>
                <w:highlight w:val="none"/>
              </w:rPr>
              <w:t>他可能对身体健康和生命安全造成严重危害的，应当在确认检验结</w:t>
            </w:r>
            <w:r>
              <w:rPr>
                <w:color w:val="auto"/>
                <w:spacing w:val="3"/>
                <w:highlight w:val="none"/>
              </w:rPr>
              <w:t>果无误后</w:t>
            </w:r>
            <w:r>
              <w:rPr>
                <w:color w:val="auto"/>
                <w:spacing w:val="-21"/>
                <w:highlight w:val="none"/>
              </w:rPr>
              <w:t xml:space="preserve"> </w:t>
            </w:r>
            <w:r>
              <w:rPr>
                <w:color w:val="auto"/>
                <w:spacing w:val="3"/>
                <w:highlight w:val="none"/>
              </w:rPr>
              <w:t>24</w:t>
            </w:r>
            <w:r>
              <w:rPr>
                <w:color w:val="auto"/>
                <w:spacing w:val="-32"/>
                <w:highlight w:val="none"/>
              </w:rPr>
              <w:t xml:space="preserve"> </w:t>
            </w:r>
            <w:r>
              <w:rPr>
                <w:color w:val="auto"/>
                <w:spacing w:val="3"/>
                <w:highlight w:val="none"/>
              </w:rPr>
              <w:t>小时之内，将限时报告表上传系统，并报告采购人备案。</w:t>
            </w:r>
          </w:p>
          <w:p w14:paraId="1E3BE5D5">
            <w:pPr>
              <w:pStyle w:val="179"/>
              <w:spacing w:before="2" w:line="332" w:lineRule="auto"/>
              <w:ind w:left="106" w:right="56" w:firstLine="10"/>
              <w:rPr>
                <w:color w:val="auto"/>
                <w:highlight w:val="none"/>
              </w:rPr>
            </w:pPr>
            <w:r>
              <w:rPr>
                <w:color w:val="auto"/>
                <w:spacing w:val="8"/>
                <w:highlight w:val="none"/>
              </w:rPr>
              <w:t>（5）拥有实验室信息化管理系统和信息分析汇总人员，能够完成食</w:t>
            </w:r>
            <w:r>
              <w:rPr>
                <w:color w:val="auto"/>
                <w:spacing w:val="7"/>
                <w:highlight w:val="none"/>
              </w:rPr>
              <w:t>品安全抽检监测数据上报和结果分析工作；按照“谁采集、谁录入；</w:t>
            </w:r>
            <w:r>
              <w:rPr>
                <w:color w:val="auto"/>
                <w:spacing w:val="8"/>
                <w:highlight w:val="none"/>
              </w:rPr>
              <w:t>谁检验、谁录入</w:t>
            </w:r>
            <w:r>
              <w:rPr>
                <w:color w:val="auto"/>
                <w:spacing w:val="-70"/>
                <w:highlight w:val="none"/>
              </w:rPr>
              <w:t xml:space="preserve"> </w:t>
            </w:r>
            <w:r>
              <w:rPr>
                <w:color w:val="auto"/>
                <w:spacing w:val="8"/>
                <w:highlight w:val="none"/>
              </w:rPr>
              <w:t>”的原则，应当在抽样完成</w:t>
            </w:r>
            <w:r>
              <w:rPr>
                <w:color w:val="auto"/>
                <w:spacing w:val="-35"/>
                <w:highlight w:val="none"/>
              </w:rPr>
              <w:t xml:space="preserve"> </w:t>
            </w:r>
            <w:r>
              <w:rPr>
                <w:color w:val="auto"/>
                <w:spacing w:val="8"/>
                <w:highlight w:val="none"/>
              </w:rPr>
              <w:t>2</w:t>
            </w:r>
            <w:r>
              <w:rPr>
                <w:color w:val="auto"/>
                <w:spacing w:val="-40"/>
                <w:highlight w:val="none"/>
              </w:rPr>
              <w:t xml:space="preserve"> </w:t>
            </w:r>
            <w:r>
              <w:rPr>
                <w:color w:val="auto"/>
                <w:spacing w:val="8"/>
                <w:highlight w:val="none"/>
              </w:rPr>
              <w:t>个工</w:t>
            </w:r>
            <w:r>
              <w:rPr>
                <w:color w:val="auto"/>
                <w:spacing w:val="7"/>
                <w:highlight w:val="none"/>
              </w:rPr>
              <w:t>作日内将抽样信息录入“</w:t>
            </w:r>
            <w:r>
              <w:rPr>
                <w:color w:val="auto"/>
                <w:spacing w:val="-72"/>
                <w:highlight w:val="none"/>
              </w:rPr>
              <w:t xml:space="preserve"> </w:t>
            </w:r>
            <w:r>
              <w:rPr>
                <w:color w:val="auto"/>
                <w:spacing w:val="7"/>
                <w:highlight w:val="none"/>
              </w:rPr>
              <w:t>国家食品安全抽样检验信息系统</w:t>
            </w:r>
            <w:r>
              <w:rPr>
                <w:color w:val="auto"/>
                <w:spacing w:val="-70"/>
                <w:highlight w:val="none"/>
              </w:rPr>
              <w:t xml:space="preserve"> </w:t>
            </w:r>
            <w:r>
              <w:rPr>
                <w:color w:val="auto"/>
                <w:spacing w:val="7"/>
                <w:highlight w:val="none"/>
              </w:rPr>
              <w:t>”；检</w:t>
            </w:r>
            <w:r>
              <w:rPr>
                <w:color w:val="auto"/>
                <w:spacing w:val="6"/>
                <w:highlight w:val="none"/>
              </w:rPr>
              <w:t>验结论做出后</w:t>
            </w:r>
            <w:r>
              <w:rPr>
                <w:color w:val="auto"/>
                <w:spacing w:val="-32"/>
                <w:highlight w:val="none"/>
              </w:rPr>
              <w:t xml:space="preserve"> </w:t>
            </w:r>
            <w:r>
              <w:rPr>
                <w:color w:val="auto"/>
                <w:spacing w:val="6"/>
                <w:highlight w:val="none"/>
              </w:rPr>
              <w:t>5</w:t>
            </w:r>
            <w:r>
              <w:rPr>
                <w:color w:val="auto"/>
                <w:spacing w:val="-41"/>
                <w:highlight w:val="none"/>
              </w:rPr>
              <w:t xml:space="preserve"> </w:t>
            </w:r>
            <w:r>
              <w:rPr>
                <w:color w:val="auto"/>
                <w:spacing w:val="6"/>
                <w:highlight w:val="none"/>
              </w:rPr>
              <w:t>个</w:t>
            </w:r>
            <w:r>
              <w:rPr>
                <w:color w:val="auto"/>
                <w:spacing w:val="7"/>
                <w:highlight w:val="none"/>
              </w:rPr>
              <w:t>工作日内完成检验数据录入“</w:t>
            </w:r>
            <w:r>
              <w:rPr>
                <w:color w:val="auto"/>
                <w:spacing w:val="-53"/>
                <w:highlight w:val="none"/>
              </w:rPr>
              <w:t xml:space="preserve"> </w:t>
            </w:r>
            <w:r>
              <w:rPr>
                <w:color w:val="auto"/>
                <w:spacing w:val="7"/>
                <w:highlight w:val="none"/>
              </w:rPr>
              <w:t>国家食品安全抽样检验信息系统</w:t>
            </w:r>
            <w:r>
              <w:rPr>
                <w:color w:val="auto"/>
                <w:spacing w:val="-70"/>
                <w:highlight w:val="none"/>
              </w:rPr>
              <w:t xml:space="preserve"> </w:t>
            </w:r>
            <w:r>
              <w:rPr>
                <w:color w:val="auto"/>
                <w:spacing w:val="7"/>
                <w:highlight w:val="none"/>
              </w:rPr>
              <w:t>”的</w:t>
            </w:r>
            <w:r>
              <w:rPr>
                <w:color w:val="auto"/>
                <w:spacing w:val="9"/>
                <w:highlight w:val="none"/>
              </w:rPr>
              <w:t>工作。录入的信息、数据应当及时、准确。</w:t>
            </w:r>
            <w:r>
              <w:rPr>
                <w:b/>
                <w:bCs/>
                <w:color w:val="auto"/>
                <w:spacing w:val="9"/>
                <w:highlight w:val="none"/>
              </w:rPr>
              <w:t>（响应文件中须提供拟</w:t>
            </w:r>
            <w:r>
              <w:rPr>
                <w:b/>
                <w:bCs/>
                <w:color w:val="auto"/>
                <w:spacing w:val="6"/>
                <w:highlight w:val="none"/>
              </w:rPr>
              <w:t>投入相关人员名单）</w:t>
            </w:r>
          </w:p>
          <w:p w14:paraId="4D499C4D">
            <w:pPr>
              <w:pStyle w:val="179"/>
              <w:spacing w:line="332" w:lineRule="auto"/>
              <w:ind w:left="105" w:right="188" w:firstLine="11"/>
              <w:rPr>
                <w:color w:val="auto"/>
                <w:highlight w:val="none"/>
              </w:rPr>
            </w:pPr>
            <w:r>
              <w:rPr>
                <w:color w:val="auto"/>
                <w:spacing w:val="8"/>
                <w:highlight w:val="none"/>
              </w:rPr>
              <w:t>（6）供应商必须通过</w:t>
            </w:r>
            <w:r>
              <w:rPr>
                <w:color w:val="auto"/>
                <w:spacing w:val="-32"/>
                <w:highlight w:val="none"/>
              </w:rPr>
              <w:t xml:space="preserve"> </w:t>
            </w:r>
            <w:r>
              <w:rPr>
                <w:color w:val="auto"/>
                <w:highlight w:val="none"/>
              </w:rPr>
              <w:t>CA</w:t>
            </w:r>
            <w:r>
              <w:rPr>
                <w:color w:val="auto"/>
                <w:spacing w:val="-36"/>
                <w:highlight w:val="none"/>
              </w:rPr>
              <w:t xml:space="preserve"> </w:t>
            </w:r>
            <w:r>
              <w:rPr>
                <w:color w:val="auto"/>
                <w:spacing w:val="8"/>
                <w:highlight w:val="none"/>
              </w:rPr>
              <w:t>数字证书认证。</w:t>
            </w:r>
            <w:r>
              <w:rPr>
                <w:b/>
                <w:bCs/>
                <w:color w:val="auto"/>
                <w:spacing w:val="8"/>
                <w:highlight w:val="none"/>
              </w:rPr>
              <w:t>（响应文件中须提供购买</w:t>
            </w:r>
            <w:r>
              <w:rPr>
                <w:b/>
                <w:bCs/>
                <w:color w:val="auto"/>
                <w:highlight w:val="none"/>
              </w:rPr>
              <w:t>CA</w:t>
            </w:r>
            <w:r>
              <w:rPr>
                <w:color w:val="auto"/>
                <w:spacing w:val="-39"/>
                <w:highlight w:val="none"/>
              </w:rPr>
              <w:t xml:space="preserve"> </w:t>
            </w:r>
            <w:r>
              <w:rPr>
                <w:b/>
                <w:bCs/>
                <w:color w:val="auto"/>
                <w:spacing w:val="8"/>
                <w:highlight w:val="none"/>
              </w:rPr>
              <w:t>数字证书的发票或通过受理审批的数字证书申请表</w:t>
            </w:r>
            <w:r>
              <w:rPr>
                <w:b/>
                <w:bCs/>
                <w:color w:val="auto"/>
                <w:spacing w:val="7"/>
                <w:highlight w:val="none"/>
              </w:rPr>
              <w:t>复印件）</w:t>
            </w:r>
          </w:p>
          <w:p w14:paraId="728E5F47">
            <w:pPr>
              <w:pStyle w:val="179"/>
              <w:spacing w:line="229" w:lineRule="auto"/>
              <w:ind w:left="117"/>
              <w:rPr>
                <w:color w:val="auto"/>
                <w:highlight w:val="none"/>
              </w:rPr>
            </w:pPr>
            <w:r>
              <w:rPr>
                <w:b/>
                <w:bCs/>
                <w:color w:val="auto"/>
                <w:spacing w:val="5"/>
                <w:highlight w:val="none"/>
              </w:rPr>
              <w:t>（四）项目实施要求：</w:t>
            </w:r>
          </w:p>
          <w:p w14:paraId="6CEA0A7A">
            <w:pPr>
              <w:pStyle w:val="179"/>
              <w:spacing w:before="112" w:line="228" w:lineRule="auto"/>
              <w:ind w:left="122"/>
              <w:rPr>
                <w:color w:val="auto"/>
                <w:highlight w:val="none"/>
              </w:rPr>
            </w:pPr>
            <w:r>
              <w:rPr>
                <w:color w:val="auto"/>
                <w:spacing w:val="6"/>
                <w:highlight w:val="none"/>
              </w:rPr>
              <w:t>1、抽样进度安排</w:t>
            </w:r>
          </w:p>
          <w:p w14:paraId="56F86526">
            <w:pPr>
              <w:pStyle w:val="179"/>
              <w:spacing w:before="113" w:line="332" w:lineRule="auto"/>
              <w:ind w:left="106" w:right="109" w:firstLine="10"/>
              <w:rPr>
                <w:color w:val="auto"/>
                <w:sz w:val="20"/>
                <w:szCs w:val="20"/>
                <w:highlight w:val="none"/>
              </w:rPr>
            </w:pPr>
            <w:r>
              <w:rPr>
                <w:color w:val="auto"/>
                <w:spacing w:val="8"/>
                <w:sz w:val="20"/>
                <w:szCs w:val="20"/>
                <w:highlight w:val="none"/>
              </w:rPr>
              <w:t>（1）抽检进度要按照防城港市市场监管局食品安全抽检检测工作实</w:t>
            </w:r>
            <w:r>
              <w:rPr>
                <w:color w:val="auto"/>
                <w:spacing w:val="3"/>
                <w:sz w:val="20"/>
                <w:szCs w:val="20"/>
                <w:highlight w:val="none"/>
              </w:rPr>
              <w:t>施方案要求时限完成，检验时限不得超过</w:t>
            </w:r>
            <w:r>
              <w:rPr>
                <w:color w:val="auto"/>
                <w:spacing w:val="-16"/>
                <w:sz w:val="20"/>
                <w:szCs w:val="20"/>
                <w:highlight w:val="none"/>
              </w:rPr>
              <w:t xml:space="preserve"> </w:t>
            </w:r>
            <w:r>
              <w:rPr>
                <w:color w:val="auto"/>
                <w:spacing w:val="3"/>
                <w:sz w:val="20"/>
                <w:szCs w:val="20"/>
                <w:highlight w:val="none"/>
              </w:rPr>
              <w:t>202</w:t>
            </w:r>
            <w:r>
              <w:rPr>
                <w:rFonts w:hint="eastAsia"/>
                <w:color w:val="auto"/>
                <w:spacing w:val="3"/>
                <w:sz w:val="20"/>
                <w:szCs w:val="20"/>
                <w:highlight w:val="none"/>
                <w:lang w:val="en-US" w:eastAsia="zh-CN"/>
              </w:rPr>
              <w:t>6</w:t>
            </w:r>
            <w:r>
              <w:rPr>
                <w:color w:val="auto"/>
                <w:spacing w:val="-40"/>
                <w:sz w:val="20"/>
                <w:szCs w:val="20"/>
                <w:highlight w:val="none"/>
              </w:rPr>
              <w:t xml:space="preserve"> </w:t>
            </w:r>
            <w:r>
              <w:rPr>
                <w:color w:val="auto"/>
                <w:spacing w:val="3"/>
                <w:sz w:val="20"/>
                <w:szCs w:val="20"/>
                <w:highlight w:val="none"/>
              </w:rPr>
              <w:t>年</w:t>
            </w:r>
            <w:r>
              <w:rPr>
                <w:color w:val="auto"/>
                <w:spacing w:val="-23"/>
                <w:sz w:val="20"/>
                <w:szCs w:val="20"/>
                <w:highlight w:val="none"/>
              </w:rPr>
              <w:t xml:space="preserve"> </w:t>
            </w:r>
            <w:r>
              <w:rPr>
                <w:color w:val="auto"/>
                <w:spacing w:val="3"/>
                <w:sz w:val="20"/>
                <w:szCs w:val="20"/>
                <w:highlight w:val="none"/>
              </w:rPr>
              <w:t>12</w:t>
            </w:r>
            <w:r>
              <w:rPr>
                <w:color w:val="auto"/>
                <w:spacing w:val="-33"/>
                <w:sz w:val="20"/>
                <w:szCs w:val="20"/>
                <w:highlight w:val="none"/>
              </w:rPr>
              <w:t xml:space="preserve"> </w:t>
            </w:r>
            <w:r>
              <w:rPr>
                <w:color w:val="auto"/>
                <w:spacing w:val="3"/>
                <w:sz w:val="20"/>
                <w:szCs w:val="20"/>
                <w:highlight w:val="none"/>
              </w:rPr>
              <w:t>月</w:t>
            </w:r>
            <w:r>
              <w:rPr>
                <w:color w:val="auto"/>
                <w:spacing w:val="-24"/>
                <w:sz w:val="20"/>
                <w:szCs w:val="20"/>
                <w:highlight w:val="none"/>
              </w:rPr>
              <w:t xml:space="preserve"> </w:t>
            </w:r>
            <w:r>
              <w:rPr>
                <w:color w:val="auto"/>
                <w:spacing w:val="3"/>
                <w:sz w:val="20"/>
                <w:szCs w:val="20"/>
                <w:highlight w:val="none"/>
              </w:rPr>
              <w:t>10 日。</w:t>
            </w:r>
          </w:p>
          <w:p w14:paraId="4A1CED9A">
            <w:pPr>
              <w:pStyle w:val="179"/>
              <w:spacing w:before="1" w:line="228" w:lineRule="auto"/>
              <w:ind w:left="109"/>
              <w:rPr>
                <w:color w:val="auto"/>
                <w:sz w:val="20"/>
                <w:szCs w:val="20"/>
                <w:highlight w:val="none"/>
              </w:rPr>
            </w:pPr>
            <w:r>
              <w:rPr>
                <w:color w:val="auto"/>
                <w:spacing w:val="7"/>
                <w:sz w:val="20"/>
                <w:szCs w:val="20"/>
                <w:highlight w:val="none"/>
              </w:rPr>
              <w:t>2、抽检分工</w:t>
            </w:r>
          </w:p>
          <w:p w14:paraId="48B6ADEA">
            <w:pPr>
              <w:pStyle w:val="179"/>
              <w:spacing w:before="113" w:line="332" w:lineRule="auto"/>
              <w:ind w:left="105" w:right="109" w:firstLine="11"/>
              <w:rPr>
                <w:color w:val="auto"/>
                <w:sz w:val="20"/>
                <w:szCs w:val="20"/>
                <w:highlight w:val="none"/>
              </w:rPr>
            </w:pPr>
            <w:r>
              <w:rPr>
                <w:color w:val="auto"/>
                <w:spacing w:val="8"/>
                <w:sz w:val="20"/>
                <w:szCs w:val="20"/>
                <w:highlight w:val="none"/>
              </w:rPr>
              <w:t>（1）供应商须负责样品采集、检验、复核、信息汇总、抽检数据报送和检验报告等工作。</w:t>
            </w:r>
          </w:p>
          <w:p w14:paraId="609F0FAF">
            <w:pPr>
              <w:pStyle w:val="179"/>
              <w:spacing w:before="1" w:line="332" w:lineRule="auto"/>
              <w:ind w:left="108" w:right="109" w:firstLine="8"/>
              <w:rPr>
                <w:color w:val="auto"/>
                <w:sz w:val="20"/>
                <w:szCs w:val="20"/>
                <w:highlight w:val="none"/>
              </w:rPr>
            </w:pPr>
            <w:r>
              <w:rPr>
                <w:color w:val="auto"/>
                <w:spacing w:val="8"/>
                <w:sz w:val="20"/>
                <w:szCs w:val="20"/>
                <w:highlight w:val="none"/>
              </w:rPr>
              <w:t>（2）供应商抽检区域应覆盖上思县；抽检产品类别应覆盖本标项要</w:t>
            </w:r>
            <w:r>
              <w:rPr>
                <w:color w:val="auto"/>
                <w:spacing w:val="6"/>
                <w:sz w:val="20"/>
                <w:szCs w:val="20"/>
                <w:highlight w:val="none"/>
              </w:rPr>
              <w:t>求的食品品种。</w:t>
            </w:r>
          </w:p>
          <w:p w14:paraId="4D27C7E4">
            <w:pPr>
              <w:pStyle w:val="179"/>
              <w:spacing w:line="228" w:lineRule="auto"/>
              <w:ind w:left="111"/>
              <w:rPr>
                <w:color w:val="auto"/>
                <w:sz w:val="20"/>
                <w:szCs w:val="20"/>
                <w:highlight w:val="none"/>
              </w:rPr>
            </w:pPr>
            <w:r>
              <w:rPr>
                <w:color w:val="auto"/>
                <w:spacing w:val="7"/>
                <w:sz w:val="20"/>
                <w:szCs w:val="20"/>
                <w:highlight w:val="none"/>
              </w:rPr>
              <w:t>3、抽样检验要求</w:t>
            </w:r>
          </w:p>
          <w:p w14:paraId="685F2ED0">
            <w:pPr>
              <w:pStyle w:val="179"/>
              <w:spacing w:before="112" w:line="309" w:lineRule="auto"/>
              <w:ind w:left="106" w:right="16" w:firstLine="10"/>
              <w:jc w:val="both"/>
              <w:rPr>
                <w:color w:val="auto"/>
                <w:highlight w:val="none"/>
              </w:rPr>
            </w:pPr>
            <w:r>
              <w:rPr>
                <w:color w:val="auto"/>
                <w:spacing w:val="8"/>
                <w:sz w:val="20"/>
                <w:szCs w:val="20"/>
                <w:highlight w:val="none"/>
              </w:rPr>
              <w:t>（1）供应商在抽检工作执行过程中要严格按照《中华人民共和国食</w:t>
            </w:r>
            <w:r>
              <w:rPr>
                <w:color w:val="auto"/>
                <w:spacing w:val="10"/>
                <w:sz w:val="20"/>
                <w:szCs w:val="20"/>
                <w:highlight w:val="none"/>
              </w:rPr>
              <w:t>品安全法》《中华人民共和国食品安全法实</w:t>
            </w:r>
            <w:r>
              <w:rPr>
                <w:color w:val="auto"/>
                <w:spacing w:val="9"/>
                <w:sz w:val="20"/>
                <w:szCs w:val="20"/>
                <w:highlight w:val="none"/>
              </w:rPr>
              <w:t>施条例》《食品安全抽</w:t>
            </w:r>
            <w:r>
              <w:rPr>
                <w:color w:val="auto"/>
                <w:spacing w:val="6"/>
                <w:sz w:val="20"/>
                <w:szCs w:val="20"/>
                <w:highlight w:val="none"/>
              </w:rPr>
              <w:t>样检验管理办法》《全国食品安全监督抽检实施细则（202</w:t>
            </w:r>
            <w:r>
              <w:rPr>
                <w:rFonts w:hint="eastAsia"/>
                <w:color w:val="auto"/>
                <w:spacing w:val="6"/>
                <w:sz w:val="20"/>
                <w:szCs w:val="20"/>
                <w:highlight w:val="none"/>
                <w:lang w:val="en-US" w:eastAsia="zh-CN"/>
              </w:rPr>
              <w:t>6</w:t>
            </w:r>
            <w:r>
              <w:rPr>
                <w:color w:val="auto"/>
                <w:spacing w:val="-30"/>
                <w:sz w:val="20"/>
                <w:szCs w:val="20"/>
                <w:highlight w:val="none"/>
              </w:rPr>
              <w:t xml:space="preserve"> </w:t>
            </w:r>
            <w:r>
              <w:rPr>
                <w:color w:val="auto"/>
                <w:spacing w:val="6"/>
                <w:sz w:val="20"/>
                <w:szCs w:val="20"/>
                <w:highlight w:val="none"/>
              </w:rPr>
              <w:t>年版）》</w:t>
            </w:r>
            <w:r>
              <w:rPr>
                <w:color w:val="auto"/>
                <w:spacing w:val="10"/>
                <w:sz w:val="20"/>
                <w:szCs w:val="20"/>
                <w:highlight w:val="none"/>
              </w:rPr>
              <w:t>及广西壮族自治区市场监督管理局《广西食</w:t>
            </w:r>
            <w:r>
              <w:rPr>
                <w:color w:val="auto"/>
                <w:spacing w:val="9"/>
                <w:sz w:val="20"/>
                <w:szCs w:val="20"/>
                <w:highlight w:val="none"/>
              </w:rPr>
              <w:t>品安全监督抽检实施细则（202</w:t>
            </w:r>
            <w:r>
              <w:rPr>
                <w:rFonts w:hint="eastAsia"/>
                <w:color w:val="auto"/>
                <w:spacing w:val="9"/>
                <w:sz w:val="20"/>
                <w:szCs w:val="20"/>
                <w:highlight w:val="none"/>
                <w:lang w:val="en-US" w:eastAsia="zh-CN"/>
              </w:rPr>
              <w:t>6</w:t>
            </w:r>
            <w:r>
              <w:rPr>
                <w:color w:val="auto"/>
                <w:spacing w:val="-39"/>
                <w:sz w:val="20"/>
                <w:szCs w:val="20"/>
                <w:highlight w:val="none"/>
              </w:rPr>
              <w:t xml:space="preserve"> </w:t>
            </w:r>
            <w:r>
              <w:rPr>
                <w:color w:val="auto"/>
                <w:spacing w:val="9"/>
                <w:sz w:val="20"/>
                <w:szCs w:val="20"/>
                <w:highlight w:val="none"/>
              </w:rPr>
              <w:t>年版）等有关法律法规、规章及相关规定</w:t>
            </w:r>
            <w:r>
              <w:rPr>
                <w:color w:val="auto"/>
                <w:spacing w:val="8"/>
                <w:sz w:val="20"/>
                <w:szCs w:val="20"/>
                <w:highlight w:val="none"/>
              </w:rPr>
              <w:t>，抽样过程严格</w:t>
            </w:r>
          </w:p>
        </w:tc>
      </w:tr>
    </w:tbl>
    <w:p w14:paraId="30A4E987">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56145AFF">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5"/>
        <w:gridCol w:w="873"/>
        <w:gridCol w:w="663"/>
        <w:gridCol w:w="683"/>
        <w:gridCol w:w="6391"/>
      </w:tblGrid>
      <w:tr w14:paraId="79C25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25" w:hRule="atLeast"/>
        </w:trPr>
        <w:tc>
          <w:tcPr>
            <w:tcW w:w="655" w:type="dxa"/>
            <w:vAlign w:val="top"/>
          </w:tcPr>
          <w:p w14:paraId="464BE189">
            <w:pPr>
              <w:rPr>
                <w:rFonts w:ascii="Arial"/>
                <w:color w:val="auto"/>
                <w:sz w:val="21"/>
                <w:highlight w:val="none"/>
              </w:rPr>
            </w:pPr>
          </w:p>
        </w:tc>
        <w:tc>
          <w:tcPr>
            <w:tcW w:w="873" w:type="dxa"/>
            <w:vAlign w:val="top"/>
          </w:tcPr>
          <w:p w14:paraId="375A7312">
            <w:pPr>
              <w:rPr>
                <w:rFonts w:ascii="Arial"/>
                <w:color w:val="auto"/>
                <w:sz w:val="21"/>
                <w:highlight w:val="none"/>
              </w:rPr>
            </w:pPr>
          </w:p>
        </w:tc>
        <w:tc>
          <w:tcPr>
            <w:tcW w:w="663" w:type="dxa"/>
            <w:vAlign w:val="top"/>
          </w:tcPr>
          <w:p w14:paraId="60677656">
            <w:pPr>
              <w:rPr>
                <w:rFonts w:ascii="Arial"/>
                <w:color w:val="auto"/>
                <w:sz w:val="21"/>
                <w:highlight w:val="none"/>
              </w:rPr>
            </w:pPr>
          </w:p>
        </w:tc>
        <w:tc>
          <w:tcPr>
            <w:tcW w:w="683" w:type="dxa"/>
            <w:vAlign w:val="top"/>
          </w:tcPr>
          <w:p w14:paraId="48555ACC">
            <w:pPr>
              <w:rPr>
                <w:rFonts w:ascii="Arial"/>
                <w:color w:val="auto"/>
                <w:sz w:val="21"/>
                <w:highlight w:val="none"/>
              </w:rPr>
            </w:pPr>
          </w:p>
        </w:tc>
        <w:tc>
          <w:tcPr>
            <w:tcW w:w="6391" w:type="dxa"/>
            <w:vAlign w:val="top"/>
          </w:tcPr>
          <w:p w14:paraId="62C21E7C">
            <w:pPr>
              <w:pStyle w:val="179"/>
              <w:spacing w:before="124" w:line="228" w:lineRule="auto"/>
              <w:ind w:left="108"/>
              <w:rPr>
                <w:color w:val="auto"/>
                <w:highlight w:val="none"/>
              </w:rPr>
            </w:pPr>
            <w:r>
              <w:rPr>
                <w:color w:val="auto"/>
                <w:spacing w:val="8"/>
                <w:highlight w:val="none"/>
              </w:rPr>
              <w:t>按照监督抽检工作程序，履行法定手续。</w:t>
            </w:r>
          </w:p>
          <w:p w14:paraId="4AA25FC6">
            <w:pPr>
              <w:pStyle w:val="179"/>
              <w:spacing w:before="114" w:line="332" w:lineRule="auto"/>
              <w:ind w:left="106" w:right="109" w:firstLine="10"/>
              <w:rPr>
                <w:color w:val="auto"/>
                <w:highlight w:val="none"/>
              </w:rPr>
            </w:pPr>
            <w:r>
              <w:rPr>
                <w:color w:val="auto"/>
                <w:spacing w:val="6"/>
                <w:highlight w:val="none"/>
              </w:rPr>
              <w:t>（2）供应商要严格按照《全国食品安全监督抽检实施细则（202</w:t>
            </w:r>
            <w:r>
              <w:rPr>
                <w:rFonts w:hint="eastAsia"/>
                <w:color w:val="auto"/>
                <w:spacing w:val="6"/>
                <w:highlight w:val="none"/>
                <w:lang w:val="en-US" w:eastAsia="zh-CN"/>
              </w:rPr>
              <w:t>6</w:t>
            </w:r>
            <w:r>
              <w:rPr>
                <w:color w:val="auto"/>
                <w:spacing w:val="-34"/>
                <w:highlight w:val="none"/>
              </w:rPr>
              <w:t xml:space="preserve"> </w:t>
            </w:r>
            <w:r>
              <w:rPr>
                <w:color w:val="auto"/>
                <w:spacing w:val="6"/>
                <w:highlight w:val="none"/>
              </w:rPr>
              <w:t>年</w:t>
            </w:r>
            <w:r>
              <w:rPr>
                <w:color w:val="auto"/>
                <w:spacing w:val="9"/>
                <w:highlight w:val="none"/>
              </w:rPr>
              <w:t>版）》及广西壮族自治区市场监督管理局《广西食品安全监督抽检实施细则（202</w:t>
            </w:r>
            <w:r>
              <w:rPr>
                <w:rFonts w:hint="eastAsia"/>
                <w:color w:val="auto"/>
                <w:spacing w:val="9"/>
                <w:highlight w:val="none"/>
                <w:lang w:val="en-US" w:eastAsia="zh-CN"/>
              </w:rPr>
              <w:t>6</w:t>
            </w:r>
            <w:r>
              <w:rPr>
                <w:color w:val="auto"/>
                <w:spacing w:val="-39"/>
                <w:highlight w:val="none"/>
              </w:rPr>
              <w:t xml:space="preserve"> </w:t>
            </w:r>
            <w:r>
              <w:rPr>
                <w:color w:val="auto"/>
                <w:spacing w:val="9"/>
                <w:highlight w:val="none"/>
              </w:rPr>
              <w:t>年版）的相关要求开展样品的采</w:t>
            </w:r>
            <w:r>
              <w:rPr>
                <w:color w:val="auto"/>
                <w:spacing w:val="8"/>
                <w:highlight w:val="none"/>
              </w:rPr>
              <w:t>集、检验，数据审</w:t>
            </w:r>
            <w:r>
              <w:rPr>
                <w:color w:val="auto"/>
                <w:spacing w:val="9"/>
                <w:highlight w:val="none"/>
              </w:rPr>
              <w:t>核报送、数据分析和研判等工作。抽样过程要保留现场抽样视频图</w:t>
            </w:r>
            <w:r>
              <w:rPr>
                <w:color w:val="auto"/>
                <w:spacing w:val="5"/>
                <w:highlight w:val="none"/>
              </w:rPr>
              <w:t>像证据。</w:t>
            </w:r>
          </w:p>
          <w:p w14:paraId="280D1C9D">
            <w:pPr>
              <w:pStyle w:val="179"/>
              <w:spacing w:line="332" w:lineRule="auto"/>
              <w:ind w:left="106" w:right="142" w:firstLine="10"/>
              <w:rPr>
                <w:color w:val="auto"/>
                <w:highlight w:val="none"/>
              </w:rPr>
            </w:pPr>
            <w:r>
              <w:rPr>
                <w:color w:val="auto"/>
                <w:spacing w:val="7"/>
                <w:highlight w:val="none"/>
              </w:rPr>
              <w:t>（3）供应商要严格按照食品安全标准和检验规范对食品进行检验，</w:t>
            </w:r>
            <w:r>
              <w:rPr>
                <w:color w:val="auto"/>
                <w:spacing w:val="8"/>
                <w:highlight w:val="none"/>
              </w:rPr>
              <w:t>确保数据和结论客观、公正。</w:t>
            </w:r>
          </w:p>
          <w:p w14:paraId="4A278029">
            <w:pPr>
              <w:pStyle w:val="179"/>
              <w:spacing w:line="332" w:lineRule="auto"/>
              <w:ind w:left="111" w:right="109" w:firstLine="5"/>
              <w:rPr>
                <w:color w:val="auto"/>
                <w:highlight w:val="none"/>
              </w:rPr>
            </w:pPr>
            <w:r>
              <w:rPr>
                <w:color w:val="auto"/>
                <w:spacing w:val="8"/>
                <w:highlight w:val="none"/>
              </w:rPr>
              <w:t>（4）供应商采取人员比对、设备比对或实验室间比对等多种质控方式，确保抽检数据的准确性。</w:t>
            </w:r>
          </w:p>
          <w:p w14:paraId="78F29939">
            <w:pPr>
              <w:pStyle w:val="179"/>
              <w:spacing w:line="227" w:lineRule="auto"/>
              <w:ind w:right="15"/>
              <w:jc w:val="right"/>
              <w:rPr>
                <w:color w:val="auto"/>
                <w:highlight w:val="none"/>
              </w:rPr>
            </w:pPr>
            <w:r>
              <w:rPr>
                <w:color w:val="auto"/>
                <w:spacing w:val="5"/>
                <w:highlight w:val="none"/>
              </w:rPr>
              <w:t>（5）供应商对于不合格样品必须进行复核，确保检测结果准确</w:t>
            </w:r>
            <w:r>
              <w:rPr>
                <w:color w:val="auto"/>
                <w:spacing w:val="4"/>
                <w:highlight w:val="none"/>
              </w:rPr>
              <w:t>可靠。</w:t>
            </w:r>
          </w:p>
          <w:p w14:paraId="73501C5F">
            <w:pPr>
              <w:pStyle w:val="179"/>
              <w:spacing w:before="114" w:line="332" w:lineRule="auto"/>
              <w:ind w:left="111" w:right="109" w:firstLine="5"/>
              <w:rPr>
                <w:color w:val="auto"/>
                <w:highlight w:val="none"/>
              </w:rPr>
            </w:pPr>
            <w:r>
              <w:rPr>
                <w:color w:val="auto"/>
                <w:spacing w:val="7"/>
                <w:highlight w:val="none"/>
              </w:rPr>
              <w:t>（6）供应商负责将所有抽检数据录入国家市场监管总局“</w:t>
            </w:r>
            <w:r>
              <w:rPr>
                <w:color w:val="auto"/>
                <w:spacing w:val="-52"/>
                <w:highlight w:val="none"/>
              </w:rPr>
              <w:t xml:space="preserve"> </w:t>
            </w:r>
            <w:r>
              <w:rPr>
                <w:color w:val="auto"/>
                <w:spacing w:val="7"/>
                <w:highlight w:val="none"/>
              </w:rPr>
              <w:t>国家食品</w:t>
            </w:r>
            <w:r>
              <w:rPr>
                <w:color w:val="auto"/>
                <w:spacing w:val="6"/>
                <w:highlight w:val="none"/>
              </w:rPr>
              <w:t>安全抽样检验信息系统</w:t>
            </w:r>
            <w:r>
              <w:rPr>
                <w:color w:val="auto"/>
                <w:spacing w:val="-69"/>
                <w:highlight w:val="none"/>
              </w:rPr>
              <w:t xml:space="preserve"> </w:t>
            </w:r>
            <w:r>
              <w:rPr>
                <w:color w:val="auto"/>
                <w:spacing w:val="6"/>
                <w:highlight w:val="none"/>
              </w:rPr>
              <w:t>”平台。</w:t>
            </w:r>
          </w:p>
          <w:p w14:paraId="7E687610">
            <w:pPr>
              <w:pStyle w:val="179"/>
              <w:spacing w:before="1" w:line="226" w:lineRule="auto"/>
              <w:ind w:left="106"/>
              <w:rPr>
                <w:color w:val="auto"/>
                <w:highlight w:val="none"/>
              </w:rPr>
            </w:pPr>
            <w:r>
              <w:rPr>
                <w:color w:val="auto"/>
                <w:spacing w:val="8"/>
                <w:highlight w:val="none"/>
              </w:rPr>
              <w:t>4、监督与评估</w:t>
            </w:r>
          </w:p>
          <w:p w14:paraId="3F9878D4">
            <w:pPr>
              <w:pStyle w:val="179"/>
              <w:spacing w:before="115" w:line="332" w:lineRule="auto"/>
              <w:ind w:left="109" w:right="109" w:firstLine="7"/>
              <w:rPr>
                <w:color w:val="auto"/>
                <w:highlight w:val="none"/>
              </w:rPr>
            </w:pPr>
            <w:r>
              <w:rPr>
                <w:color w:val="auto"/>
                <w:spacing w:val="8"/>
                <w:highlight w:val="none"/>
              </w:rPr>
              <w:t>（1）供应商对其出具的检验报告的真实性和准确性负责。供应商应</w:t>
            </w:r>
            <w:r>
              <w:rPr>
                <w:color w:val="auto"/>
                <w:spacing w:val="9"/>
                <w:highlight w:val="none"/>
              </w:rPr>
              <w:t>当按规定的报告格式出具国家食品安全监督抽检检验报告，检验报</w:t>
            </w:r>
            <w:r>
              <w:rPr>
                <w:color w:val="auto"/>
                <w:spacing w:val="5"/>
                <w:highlight w:val="none"/>
              </w:rPr>
              <w:t>告应当内容真实齐全、数据准确。供应商应在收到样品之日起 20 个</w:t>
            </w:r>
            <w:r>
              <w:rPr>
                <w:color w:val="auto"/>
                <w:spacing w:val="7"/>
                <w:highlight w:val="none"/>
              </w:rPr>
              <w:t>工作日内出具检验报告。</w:t>
            </w:r>
          </w:p>
          <w:p w14:paraId="1B3A950B">
            <w:pPr>
              <w:pStyle w:val="179"/>
              <w:spacing w:before="1" w:line="332" w:lineRule="auto"/>
              <w:ind w:left="107" w:right="109" w:firstLine="9"/>
              <w:rPr>
                <w:color w:val="auto"/>
                <w:highlight w:val="none"/>
              </w:rPr>
            </w:pPr>
            <w:r>
              <w:rPr>
                <w:color w:val="auto"/>
                <w:spacing w:val="8"/>
                <w:highlight w:val="none"/>
              </w:rPr>
              <w:t>（2）供应商应当依照有关法律、法规的规定，并按照食品安全标准</w:t>
            </w:r>
            <w:r>
              <w:rPr>
                <w:color w:val="auto"/>
                <w:spacing w:val="9"/>
                <w:highlight w:val="none"/>
              </w:rPr>
              <w:t>和检验规范对食品进行检验，尊重科学，恪守职业道德，保证出具的检验数据和结论客观、公正，不得出具虚假检验报告。</w:t>
            </w:r>
          </w:p>
          <w:p w14:paraId="7C438936">
            <w:pPr>
              <w:pStyle w:val="179"/>
              <w:spacing w:before="1" w:line="332" w:lineRule="auto"/>
              <w:ind w:left="111" w:right="109" w:firstLine="5"/>
              <w:rPr>
                <w:color w:val="auto"/>
                <w:highlight w:val="none"/>
              </w:rPr>
            </w:pPr>
            <w:r>
              <w:rPr>
                <w:color w:val="auto"/>
                <w:spacing w:val="8"/>
                <w:highlight w:val="none"/>
              </w:rPr>
              <w:t>（3）防城港市市场监督管理局负责食品安全抽检实施的监督管理和</w:t>
            </w:r>
            <w:r>
              <w:rPr>
                <w:color w:val="auto"/>
                <w:spacing w:val="6"/>
                <w:highlight w:val="none"/>
              </w:rPr>
              <w:t>效果评价工作。</w:t>
            </w:r>
          </w:p>
          <w:p w14:paraId="5AA672AF">
            <w:pPr>
              <w:pStyle w:val="179"/>
              <w:spacing w:before="1" w:line="332" w:lineRule="auto"/>
              <w:ind w:left="108" w:right="109" w:firstLine="8"/>
              <w:rPr>
                <w:color w:val="auto"/>
                <w:highlight w:val="none"/>
              </w:rPr>
            </w:pPr>
            <w:r>
              <w:rPr>
                <w:color w:val="auto"/>
                <w:spacing w:val="8"/>
                <w:highlight w:val="none"/>
              </w:rPr>
              <w:t>（4）供应商不得私自泄露、擅自使用或对外发布食品安全抽样检验</w:t>
            </w:r>
            <w:r>
              <w:rPr>
                <w:color w:val="auto"/>
                <w:spacing w:val="7"/>
                <w:highlight w:val="none"/>
              </w:rPr>
              <w:t>数据结果和相关信息。</w:t>
            </w:r>
          </w:p>
          <w:p w14:paraId="171205AD">
            <w:pPr>
              <w:pStyle w:val="179"/>
              <w:spacing w:line="332" w:lineRule="auto"/>
              <w:ind w:left="106" w:right="109" w:firstLine="10"/>
              <w:rPr>
                <w:color w:val="auto"/>
                <w:highlight w:val="none"/>
              </w:rPr>
            </w:pPr>
            <w:r>
              <w:rPr>
                <w:color w:val="auto"/>
                <w:spacing w:val="8"/>
                <w:highlight w:val="none"/>
              </w:rPr>
              <w:t>（5）供应商不得接受被抽样单位的馈赠，不得利用抽检结果开展有偿活动，谋取不正当利益。</w:t>
            </w:r>
          </w:p>
          <w:p w14:paraId="55A1CE9D">
            <w:pPr>
              <w:pStyle w:val="179"/>
              <w:spacing w:before="1" w:line="332" w:lineRule="auto"/>
              <w:ind w:left="106" w:right="109" w:firstLine="10"/>
              <w:rPr>
                <w:color w:val="auto"/>
                <w:highlight w:val="none"/>
              </w:rPr>
            </w:pPr>
            <w:r>
              <w:rPr>
                <w:color w:val="auto"/>
                <w:spacing w:val="8"/>
                <w:highlight w:val="none"/>
              </w:rPr>
              <w:t>（6）供应商应严格遵守防城港市市场监督管理局食品安全抽检监测承检机构管理制度等相关规定。</w:t>
            </w:r>
          </w:p>
          <w:p w14:paraId="6BF647E3">
            <w:pPr>
              <w:pStyle w:val="179"/>
              <w:spacing w:before="2" w:line="292" w:lineRule="auto"/>
              <w:ind w:left="106" w:right="109" w:firstLine="10"/>
              <w:rPr>
                <w:color w:val="auto"/>
                <w:highlight w:val="none"/>
              </w:rPr>
            </w:pPr>
            <w:r>
              <w:rPr>
                <w:color w:val="auto"/>
                <w:spacing w:val="8"/>
                <w:highlight w:val="none"/>
              </w:rPr>
              <w:t>（7）在抽检服务过程中，采购人发现供应商出具虚假报告、透露检</w:t>
            </w:r>
            <w:r>
              <w:rPr>
                <w:color w:val="auto"/>
                <w:spacing w:val="10"/>
                <w:highlight w:val="none"/>
              </w:rPr>
              <w:t>验结果的，采购人将对供应商不诚信行为进</w:t>
            </w:r>
            <w:r>
              <w:rPr>
                <w:color w:val="auto"/>
                <w:spacing w:val="9"/>
                <w:highlight w:val="none"/>
              </w:rPr>
              <w:t>行通报并纳入信用记录</w:t>
            </w:r>
            <w:r>
              <w:rPr>
                <w:color w:val="auto"/>
                <w:spacing w:val="7"/>
                <w:highlight w:val="none"/>
              </w:rPr>
              <w:t>上报财政部门。</w:t>
            </w:r>
          </w:p>
        </w:tc>
      </w:tr>
      <w:tr w14:paraId="6AC0D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265" w:type="dxa"/>
            <w:gridSpan w:val="5"/>
            <w:vAlign w:val="top"/>
          </w:tcPr>
          <w:p w14:paraId="25BAC3B0">
            <w:pPr>
              <w:pStyle w:val="179"/>
              <w:spacing w:before="162" w:line="228" w:lineRule="auto"/>
              <w:ind w:left="117"/>
              <w:rPr>
                <w:color w:val="auto"/>
                <w:highlight w:val="none"/>
              </w:rPr>
            </w:pPr>
            <w:r>
              <w:rPr>
                <w:b/>
                <w:bCs/>
                <w:color w:val="auto"/>
                <w:spacing w:val="6"/>
                <w:highlight w:val="none"/>
              </w:rPr>
              <w:t>▲二、商务要求</w:t>
            </w:r>
          </w:p>
        </w:tc>
      </w:tr>
      <w:tr w14:paraId="63295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2874" w:type="dxa"/>
            <w:gridSpan w:val="4"/>
            <w:vAlign w:val="top"/>
          </w:tcPr>
          <w:p w14:paraId="2F29D479">
            <w:pPr>
              <w:pStyle w:val="179"/>
              <w:spacing w:before="243" w:line="231" w:lineRule="auto"/>
              <w:ind w:left="1020"/>
              <w:rPr>
                <w:color w:val="auto"/>
                <w:highlight w:val="none"/>
              </w:rPr>
            </w:pPr>
            <w:r>
              <w:rPr>
                <w:color w:val="auto"/>
                <w:spacing w:val="7"/>
                <w:highlight w:val="none"/>
              </w:rPr>
              <w:t>合同签订</w:t>
            </w:r>
          </w:p>
        </w:tc>
        <w:tc>
          <w:tcPr>
            <w:tcW w:w="6391" w:type="dxa"/>
            <w:vAlign w:val="top"/>
          </w:tcPr>
          <w:p w14:paraId="569524FD">
            <w:pPr>
              <w:pStyle w:val="179"/>
              <w:spacing w:before="243" w:line="228" w:lineRule="auto"/>
              <w:ind w:left="141"/>
              <w:rPr>
                <w:color w:val="auto"/>
                <w:highlight w:val="none"/>
              </w:rPr>
            </w:pPr>
            <w:r>
              <w:rPr>
                <w:color w:val="auto"/>
                <w:spacing w:val="2"/>
                <w:highlight w:val="none"/>
              </w:rPr>
              <w:t>自成交通知书发出之日起</w:t>
            </w:r>
            <w:r>
              <w:rPr>
                <w:color w:val="auto"/>
                <w:spacing w:val="-35"/>
                <w:highlight w:val="none"/>
              </w:rPr>
              <w:t xml:space="preserve"> </w:t>
            </w:r>
            <w:r>
              <w:rPr>
                <w:color w:val="auto"/>
                <w:spacing w:val="2"/>
                <w:highlight w:val="none"/>
              </w:rPr>
              <w:t>25 日内。</w:t>
            </w:r>
          </w:p>
        </w:tc>
      </w:tr>
      <w:tr w14:paraId="2EEAC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2874" w:type="dxa"/>
            <w:gridSpan w:val="4"/>
            <w:vAlign w:val="top"/>
          </w:tcPr>
          <w:p w14:paraId="0F7C5A79">
            <w:pPr>
              <w:spacing w:line="241" w:lineRule="auto"/>
              <w:rPr>
                <w:rFonts w:ascii="Arial"/>
                <w:color w:val="auto"/>
                <w:sz w:val="21"/>
                <w:highlight w:val="none"/>
              </w:rPr>
            </w:pPr>
          </w:p>
          <w:p w14:paraId="582DCC45">
            <w:pPr>
              <w:pStyle w:val="179"/>
              <w:spacing w:before="65" w:line="228" w:lineRule="auto"/>
              <w:ind w:left="705"/>
              <w:rPr>
                <w:color w:val="auto"/>
                <w:highlight w:val="none"/>
              </w:rPr>
            </w:pPr>
            <w:r>
              <w:rPr>
                <w:color w:val="auto"/>
                <w:spacing w:val="8"/>
                <w:highlight w:val="none"/>
              </w:rPr>
              <w:t>服务时间及地点</w:t>
            </w:r>
          </w:p>
        </w:tc>
        <w:tc>
          <w:tcPr>
            <w:tcW w:w="6391" w:type="dxa"/>
            <w:vAlign w:val="top"/>
          </w:tcPr>
          <w:p w14:paraId="356D5C7B">
            <w:pPr>
              <w:pStyle w:val="179"/>
              <w:spacing w:before="36" w:line="359" w:lineRule="auto"/>
              <w:ind w:left="110" w:right="109" w:firstLine="12"/>
              <w:rPr>
                <w:color w:val="auto"/>
                <w:highlight w:val="none"/>
              </w:rPr>
            </w:pPr>
            <w:r>
              <w:rPr>
                <w:color w:val="auto"/>
                <w:spacing w:val="2"/>
                <w:highlight w:val="none"/>
              </w:rPr>
              <w:t>1、服务时间：自合同签订之日起开始提供服务，202</w:t>
            </w:r>
            <w:r>
              <w:rPr>
                <w:rFonts w:hint="eastAsia"/>
                <w:color w:val="auto"/>
                <w:spacing w:val="2"/>
                <w:highlight w:val="none"/>
                <w:lang w:val="en-US" w:eastAsia="zh-CN"/>
              </w:rPr>
              <w:t>6</w:t>
            </w:r>
            <w:r>
              <w:rPr>
                <w:color w:val="auto"/>
                <w:spacing w:val="2"/>
                <w:highlight w:val="none"/>
              </w:rPr>
              <w:t>年</w:t>
            </w:r>
            <w:r>
              <w:rPr>
                <w:color w:val="auto"/>
                <w:spacing w:val="-24"/>
                <w:highlight w:val="none"/>
              </w:rPr>
              <w:t xml:space="preserve"> </w:t>
            </w:r>
            <w:r>
              <w:rPr>
                <w:color w:val="auto"/>
                <w:spacing w:val="2"/>
                <w:highlight w:val="none"/>
              </w:rPr>
              <w:t>12</w:t>
            </w:r>
            <w:r>
              <w:rPr>
                <w:color w:val="auto"/>
                <w:spacing w:val="-33"/>
                <w:highlight w:val="none"/>
              </w:rPr>
              <w:t xml:space="preserve"> </w:t>
            </w:r>
            <w:r>
              <w:rPr>
                <w:color w:val="auto"/>
                <w:spacing w:val="2"/>
                <w:highlight w:val="none"/>
              </w:rPr>
              <w:t>月</w:t>
            </w:r>
            <w:r>
              <w:rPr>
                <w:color w:val="auto"/>
                <w:spacing w:val="-23"/>
                <w:highlight w:val="none"/>
              </w:rPr>
              <w:t xml:space="preserve"> </w:t>
            </w:r>
            <w:r>
              <w:rPr>
                <w:color w:val="auto"/>
                <w:spacing w:val="2"/>
                <w:highlight w:val="none"/>
              </w:rPr>
              <w:t>10 日</w:t>
            </w:r>
            <w:r>
              <w:rPr>
                <w:color w:val="auto"/>
                <w:spacing w:val="12"/>
                <w:highlight w:val="none"/>
              </w:rPr>
              <w:t>前全部抽检完成并录入国抽系统，按具体方案时间节点要求提供质</w:t>
            </w:r>
          </w:p>
        </w:tc>
      </w:tr>
    </w:tbl>
    <w:p w14:paraId="26AB2793">
      <w:pPr>
        <w:rPr>
          <w:rFonts w:ascii="Arial"/>
          <w:color w:val="auto"/>
          <w:sz w:val="21"/>
          <w:highlight w:val="none"/>
        </w:rPr>
      </w:pPr>
    </w:p>
    <w:p w14:paraId="7A6F9413">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74"/>
        <w:gridCol w:w="108"/>
        <w:gridCol w:w="3015"/>
        <w:gridCol w:w="2322"/>
        <w:gridCol w:w="946"/>
      </w:tblGrid>
      <w:tr w14:paraId="162F7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2874" w:type="dxa"/>
            <w:vAlign w:val="top"/>
          </w:tcPr>
          <w:p w14:paraId="1EC15441">
            <w:pPr>
              <w:rPr>
                <w:rFonts w:ascii="Arial"/>
                <w:color w:val="auto"/>
                <w:sz w:val="21"/>
                <w:highlight w:val="none"/>
              </w:rPr>
            </w:pPr>
          </w:p>
        </w:tc>
        <w:tc>
          <w:tcPr>
            <w:tcW w:w="6391" w:type="dxa"/>
            <w:gridSpan w:val="4"/>
            <w:vAlign w:val="top"/>
          </w:tcPr>
          <w:p w14:paraId="6B94A150">
            <w:pPr>
              <w:pStyle w:val="179"/>
              <w:spacing w:before="37" w:line="227" w:lineRule="auto"/>
              <w:ind w:left="106"/>
              <w:rPr>
                <w:color w:val="auto"/>
                <w:highlight w:val="none"/>
              </w:rPr>
            </w:pPr>
            <w:r>
              <w:rPr>
                <w:color w:val="auto"/>
                <w:spacing w:val="6"/>
                <w:highlight w:val="none"/>
              </w:rPr>
              <w:t>量分析报告。</w:t>
            </w:r>
          </w:p>
          <w:p w14:paraId="60CC8F61">
            <w:pPr>
              <w:pStyle w:val="179"/>
              <w:spacing w:before="161" w:line="228" w:lineRule="auto"/>
              <w:ind w:left="109"/>
              <w:rPr>
                <w:color w:val="auto"/>
                <w:highlight w:val="none"/>
              </w:rPr>
            </w:pPr>
            <w:r>
              <w:rPr>
                <w:color w:val="auto"/>
                <w:spacing w:val="8"/>
                <w:highlight w:val="none"/>
              </w:rPr>
              <w:t>2、服务地点：防城港市上思县内采购人指定地点。</w:t>
            </w:r>
          </w:p>
        </w:tc>
      </w:tr>
      <w:tr w14:paraId="1DC383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5" w:hRule="atLeast"/>
        </w:trPr>
        <w:tc>
          <w:tcPr>
            <w:tcW w:w="2874" w:type="dxa"/>
            <w:vAlign w:val="top"/>
          </w:tcPr>
          <w:p w14:paraId="02C9A662">
            <w:pPr>
              <w:spacing w:line="252" w:lineRule="auto"/>
              <w:rPr>
                <w:rFonts w:ascii="Arial"/>
                <w:color w:val="auto"/>
                <w:sz w:val="21"/>
                <w:highlight w:val="none"/>
              </w:rPr>
            </w:pPr>
          </w:p>
          <w:p w14:paraId="256F3F85">
            <w:pPr>
              <w:spacing w:line="252" w:lineRule="auto"/>
              <w:rPr>
                <w:rFonts w:ascii="Arial"/>
                <w:color w:val="auto"/>
                <w:sz w:val="21"/>
                <w:highlight w:val="none"/>
              </w:rPr>
            </w:pPr>
          </w:p>
          <w:p w14:paraId="52BC8045">
            <w:pPr>
              <w:spacing w:line="252" w:lineRule="auto"/>
              <w:rPr>
                <w:rFonts w:ascii="Arial"/>
                <w:color w:val="auto"/>
                <w:sz w:val="21"/>
                <w:highlight w:val="none"/>
              </w:rPr>
            </w:pPr>
          </w:p>
          <w:p w14:paraId="769365E6">
            <w:pPr>
              <w:spacing w:line="252" w:lineRule="auto"/>
              <w:rPr>
                <w:rFonts w:ascii="Arial"/>
                <w:color w:val="auto"/>
                <w:sz w:val="21"/>
                <w:highlight w:val="none"/>
              </w:rPr>
            </w:pPr>
          </w:p>
          <w:p w14:paraId="0D257658">
            <w:pPr>
              <w:spacing w:line="252" w:lineRule="auto"/>
              <w:rPr>
                <w:rFonts w:ascii="Arial"/>
                <w:color w:val="auto"/>
                <w:sz w:val="21"/>
                <w:highlight w:val="none"/>
              </w:rPr>
            </w:pPr>
          </w:p>
          <w:p w14:paraId="2AC990C7">
            <w:pPr>
              <w:spacing w:line="252" w:lineRule="auto"/>
              <w:rPr>
                <w:rFonts w:ascii="Arial"/>
                <w:color w:val="auto"/>
                <w:sz w:val="21"/>
                <w:highlight w:val="none"/>
              </w:rPr>
            </w:pPr>
          </w:p>
          <w:p w14:paraId="3460795C">
            <w:pPr>
              <w:spacing w:line="252" w:lineRule="auto"/>
              <w:rPr>
                <w:rFonts w:ascii="Arial"/>
                <w:color w:val="auto"/>
                <w:sz w:val="21"/>
                <w:highlight w:val="none"/>
              </w:rPr>
            </w:pPr>
          </w:p>
          <w:p w14:paraId="7E7C35C0">
            <w:pPr>
              <w:spacing w:line="252" w:lineRule="auto"/>
              <w:rPr>
                <w:rFonts w:ascii="Arial"/>
                <w:color w:val="auto"/>
                <w:sz w:val="21"/>
                <w:highlight w:val="none"/>
              </w:rPr>
            </w:pPr>
          </w:p>
          <w:p w14:paraId="2B3F5F98">
            <w:pPr>
              <w:spacing w:line="252" w:lineRule="auto"/>
              <w:rPr>
                <w:rFonts w:ascii="Arial"/>
                <w:color w:val="auto"/>
                <w:sz w:val="21"/>
                <w:highlight w:val="none"/>
              </w:rPr>
            </w:pPr>
          </w:p>
          <w:p w14:paraId="47CC7220">
            <w:pPr>
              <w:pStyle w:val="179"/>
              <w:spacing w:before="65" w:line="227" w:lineRule="auto"/>
              <w:ind w:left="1019"/>
              <w:rPr>
                <w:color w:val="auto"/>
                <w:highlight w:val="none"/>
              </w:rPr>
            </w:pPr>
            <w:r>
              <w:rPr>
                <w:color w:val="auto"/>
                <w:spacing w:val="7"/>
                <w:highlight w:val="none"/>
              </w:rPr>
              <w:t>磋商报价</w:t>
            </w:r>
          </w:p>
        </w:tc>
        <w:tc>
          <w:tcPr>
            <w:tcW w:w="6391" w:type="dxa"/>
            <w:gridSpan w:val="4"/>
            <w:vAlign w:val="top"/>
          </w:tcPr>
          <w:p w14:paraId="0ABA015C">
            <w:pPr>
              <w:pStyle w:val="179"/>
              <w:spacing w:before="32" w:line="377" w:lineRule="auto"/>
              <w:ind w:left="106" w:right="37" w:firstLine="15"/>
              <w:rPr>
                <w:color w:val="auto"/>
                <w:highlight w:val="none"/>
              </w:rPr>
            </w:pPr>
            <w:r>
              <w:rPr>
                <w:color w:val="auto"/>
                <w:spacing w:val="8"/>
                <w:highlight w:val="none"/>
              </w:rPr>
              <w:t>1、磋商报价应遵照由广西壮族自治区物价局和广西壮族自治区财政</w:t>
            </w:r>
            <w:r>
              <w:rPr>
                <w:color w:val="auto"/>
                <w:spacing w:val="9"/>
                <w:highlight w:val="none"/>
              </w:rPr>
              <w:t>厅发布的《关于正式核定全区产品质量检验收费项目和收费标准的</w:t>
            </w:r>
            <w:r>
              <w:rPr>
                <w:color w:val="auto"/>
                <w:spacing w:val="8"/>
                <w:highlight w:val="none"/>
              </w:rPr>
              <w:t>通知》（桂价费〔2013〕16</w:t>
            </w:r>
            <w:r>
              <w:rPr>
                <w:color w:val="auto"/>
                <w:spacing w:val="-24"/>
                <w:highlight w:val="none"/>
              </w:rPr>
              <w:t xml:space="preserve"> </w:t>
            </w:r>
            <w:r>
              <w:rPr>
                <w:color w:val="auto"/>
                <w:spacing w:val="8"/>
                <w:highlight w:val="none"/>
              </w:rPr>
              <w:t>号）和《财政厅关于降低产品质量监督</w:t>
            </w:r>
            <w:r>
              <w:rPr>
                <w:color w:val="auto"/>
                <w:spacing w:val="5"/>
                <w:highlight w:val="none"/>
              </w:rPr>
              <w:t>检验收费标准及有关问题的通知》（桂价费〔2015〕54</w:t>
            </w:r>
            <w:r>
              <w:rPr>
                <w:color w:val="auto"/>
                <w:spacing w:val="-25"/>
                <w:highlight w:val="none"/>
              </w:rPr>
              <w:t xml:space="preserve"> </w:t>
            </w:r>
            <w:r>
              <w:rPr>
                <w:color w:val="auto"/>
                <w:spacing w:val="5"/>
                <w:highlight w:val="none"/>
              </w:rPr>
              <w:t>号）的规定。</w:t>
            </w:r>
          </w:p>
          <w:p w14:paraId="04F044E3">
            <w:pPr>
              <w:pStyle w:val="179"/>
              <w:spacing w:before="4" w:line="372" w:lineRule="auto"/>
              <w:ind w:left="106" w:right="38" w:firstLine="3"/>
              <w:rPr>
                <w:color w:val="auto"/>
                <w:highlight w:val="none"/>
              </w:rPr>
            </w:pPr>
            <w:r>
              <w:rPr>
                <w:color w:val="auto"/>
                <w:spacing w:val="9"/>
                <w:highlight w:val="none"/>
              </w:rPr>
              <w:t>2、磋商报价包括但不限于：供应商完成本项目所有工作任</w:t>
            </w:r>
            <w:r>
              <w:rPr>
                <w:color w:val="auto"/>
                <w:spacing w:val="8"/>
                <w:highlight w:val="none"/>
              </w:rPr>
              <w:t>务（出具</w:t>
            </w:r>
            <w:r>
              <w:rPr>
                <w:color w:val="auto"/>
                <w:spacing w:val="13"/>
                <w:highlight w:val="none"/>
              </w:rPr>
              <w:t>成果文件）所需的一切费用（含完成项目过程中</w:t>
            </w:r>
            <w:r>
              <w:rPr>
                <w:color w:val="auto"/>
                <w:spacing w:val="12"/>
                <w:highlight w:val="none"/>
              </w:rPr>
              <w:t>所需的劳务、技术</w:t>
            </w:r>
            <w:r>
              <w:rPr>
                <w:color w:val="auto"/>
                <w:spacing w:val="13"/>
                <w:highlight w:val="none"/>
              </w:rPr>
              <w:t>服务费、交通差旅费、</w:t>
            </w:r>
            <w:bookmarkStart w:id="109" w:name="_GoBack"/>
            <w:r>
              <w:rPr>
                <w:color w:val="auto"/>
                <w:spacing w:val="13"/>
                <w:highlight w:val="none"/>
              </w:rPr>
              <w:t>资料印刷费</w:t>
            </w:r>
            <w:bookmarkEnd w:id="109"/>
            <w:r>
              <w:rPr>
                <w:rFonts w:ascii="宋体" w:hAnsi="宋体" w:eastAsia="宋体" w:cs="宋体"/>
                <w:color w:val="auto"/>
                <w:spacing w:val="13"/>
                <w:sz w:val="20"/>
                <w:szCs w:val="20"/>
                <w:highlight w:val="none"/>
              </w:rPr>
              <w:t>、</w:t>
            </w:r>
            <w:r>
              <w:rPr>
                <w:rFonts w:hint="eastAsia" w:ascii="宋体" w:hAnsi="宋体" w:eastAsia="宋体" w:cs="宋体"/>
                <w:color w:val="auto"/>
                <w:spacing w:val="13"/>
                <w:sz w:val="20"/>
                <w:szCs w:val="20"/>
                <w:highlight w:val="none"/>
                <w:lang w:val="en-US" w:eastAsia="zh-CN"/>
              </w:rPr>
              <w:t>招标代理费</w:t>
            </w:r>
            <w:r>
              <w:rPr>
                <w:color w:val="auto"/>
                <w:spacing w:val="13"/>
                <w:highlight w:val="none"/>
              </w:rPr>
              <w:t>、调研、材料</w:t>
            </w:r>
            <w:r>
              <w:rPr>
                <w:color w:val="auto"/>
                <w:spacing w:val="12"/>
                <w:highlight w:val="none"/>
              </w:rPr>
              <w:t>、设备、仪器、运</w:t>
            </w:r>
            <w:r>
              <w:rPr>
                <w:color w:val="auto"/>
                <w:spacing w:val="8"/>
                <w:highlight w:val="none"/>
              </w:rPr>
              <w:t>输、检测与试验、应急抽检、验收、安全警戒、评审、咨询、会务、管理、保险、税费、利润等费用，以及合同明示或暗示的所有责任、</w:t>
            </w:r>
            <w:r>
              <w:rPr>
                <w:color w:val="auto"/>
                <w:spacing w:val="11"/>
                <w:highlight w:val="none"/>
              </w:rPr>
              <w:t>义务和一般风险等的一切费用等各种费用在内）</w:t>
            </w:r>
            <w:r>
              <w:rPr>
                <w:color w:val="auto"/>
                <w:spacing w:val="-50"/>
                <w:highlight w:val="none"/>
              </w:rPr>
              <w:t xml:space="preserve"> </w:t>
            </w:r>
            <w:r>
              <w:rPr>
                <w:color w:val="auto"/>
                <w:spacing w:val="11"/>
                <w:highlight w:val="none"/>
              </w:rPr>
              <w:t>。合同价不因任何</w:t>
            </w:r>
            <w:r>
              <w:rPr>
                <w:color w:val="auto"/>
                <w:spacing w:val="13"/>
                <w:highlight w:val="none"/>
              </w:rPr>
              <w:t>因素而调整。根据采购人的需要，供应商将无条</w:t>
            </w:r>
            <w:r>
              <w:rPr>
                <w:color w:val="auto"/>
                <w:spacing w:val="12"/>
                <w:highlight w:val="none"/>
              </w:rPr>
              <w:t>件提供抽检合格备</w:t>
            </w:r>
            <w:r>
              <w:rPr>
                <w:color w:val="auto"/>
                <w:spacing w:val="8"/>
                <w:highlight w:val="none"/>
              </w:rPr>
              <w:t>份样品给防城港市市场监督管理局。</w:t>
            </w:r>
          </w:p>
        </w:tc>
      </w:tr>
      <w:tr w14:paraId="7A1C30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2874" w:type="dxa"/>
            <w:vAlign w:val="top"/>
          </w:tcPr>
          <w:p w14:paraId="33CE8B3F">
            <w:pPr>
              <w:pStyle w:val="179"/>
              <w:spacing w:before="107" w:line="228" w:lineRule="auto"/>
              <w:ind w:left="916"/>
              <w:rPr>
                <w:color w:val="auto"/>
                <w:highlight w:val="none"/>
              </w:rPr>
            </w:pPr>
            <w:r>
              <w:rPr>
                <w:color w:val="auto"/>
                <w:spacing w:val="8"/>
                <w:highlight w:val="none"/>
              </w:rPr>
              <w:t>检出率要求</w:t>
            </w:r>
          </w:p>
        </w:tc>
        <w:tc>
          <w:tcPr>
            <w:tcW w:w="6391" w:type="dxa"/>
            <w:gridSpan w:val="4"/>
            <w:vAlign w:val="top"/>
          </w:tcPr>
          <w:p w14:paraId="12565113">
            <w:pPr>
              <w:pStyle w:val="179"/>
              <w:spacing w:before="106" w:line="228" w:lineRule="auto"/>
              <w:ind w:left="107"/>
              <w:rPr>
                <w:color w:val="auto"/>
                <w:highlight w:val="none"/>
              </w:rPr>
            </w:pPr>
            <w:r>
              <w:rPr>
                <w:color w:val="auto"/>
                <w:spacing w:val="8"/>
                <w:highlight w:val="none"/>
              </w:rPr>
              <w:t>监督抽检不合格率检出率必须达到</w:t>
            </w:r>
            <w:r>
              <w:rPr>
                <w:color w:val="auto"/>
                <w:spacing w:val="-33"/>
                <w:highlight w:val="none"/>
              </w:rPr>
              <w:t xml:space="preserve"> </w:t>
            </w:r>
            <w:r>
              <w:rPr>
                <w:color w:val="auto"/>
                <w:spacing w:val="8"/>
                <w:highlight w:val="none"/>
              </w:rPr>
              <w:t>5%以上（含</w:t>
            </w:r>
            <w:r>
              <w:rPr>
                <w:color w:val="auto"/>
                <w:spacing w:val="7"/>
                <w:highlight w:val="none"/>
              </w:rPr>
              <w:t>本数）。</w:t>
            </w:r>
          </w:p>
        </w:tc>
      </w:tr>
      <w:tr w14:paraId="2E410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8" w:hRule="atLeast"/>
        </w:trPr>
        <w:tc>
          <w:tcPr>
            <w:tcW w:w="2874" w:type="dxa"/>
            <w:vMerge w:val="restart"/>
            <w:tcBorders>
              <w:bottom w:val="nil"/>
            </w:tcBorders>
            <w:vAlign w:val="top"/>
          </w:tcPr>
          <w:p w14:paraId="5E1FDD0D">
            <w:pPr>
              <w:spacing w:line="266" w:lineRule="auto"/>
              <w:rPr>
                <w:rFonts w:ascii="Arial"/>
                <w:color w:val="auto"/>
                <w:sz w:val="21"/>
                <w:highlight w:val="none"/>
              </w:rPr>
            </w:pPr>
          </w:p>
          <w:p w14:paraId="7053E25A">
            <w:pPr>
              <w:spacing w:line="266" w:lineRule="auto"/>
              <w:rPr>
                <w:rFonts w:ascii="Arial"/>
                <w:color w:val="auto"/>
                <w:sz w:val="21"/>
                <w:highlight w:val="none"/>
              </w:rPr>
            </w:pPr>
          </w:p>
          <w:p w14:paraId="2988B64E">
            <w:pPr>
              <w:spacing w:line="266" w:lineRule="auto"/>
              <w:rPr>
                <w:rFonts w:ascii="Arial"/>
                <w:color w:val="auto"/>
                <w:sz w:val="21"/>
                <w:highlight w:val="none"/>
              </w:rPr>
            </w:pPr>
          </w:p>
          <w:p w14:paraId="4E5CE437">
            <w:pPr>
              <w:spacing w:line="266" w:lineRule="auto"/>
              <w:rPr>
                <w:rFonts w:ascii="Arial"/>
                <w:color w:val="auto"/>
                <w:sz w:val="21"/>
                <w:highlight w:val="none"/>
              </w:rPr>
            </w:pPr>
          </w:p>
          <w:p w14:paraId="66BC3842">
            <w:pPr>
              <w:spacing w:line="266" w:lineRule="auto"/>
              <w:rPr>
                <w:rFonts w:ascii="Arial"/>
                <w:color w:val="auto"/>
                <w:sz w:val="21"/>
                <w:highlight w:val="none"/>
              </w:rPr>
            </w:pPr>
          </w:p>
          <w:p w14:paraId="22C83BB1">
            <w:pPr>
              <w:spacing w:line="266" w:lineRule="auto"/>
              <w:rPr>
                <w:rFonts w:ascii="Arial"/>
                <w:color w:val="auto"/>
                <w:sz w:val="21"/>
                <w:highlight w:val="none"/>
              </w:rPr>
            </w:pPr>
          </w:p>
          <w:p w14:paraId="613F4903">
            <w:pPr>
              <w:spacing w:line="266" w:lineRule="auto"/>
              <w:rPr>
                <w:rFonts w:ascii="Arial"/>
                <w:color w:val="auto"/>
                <w:sz w:val="21"/>
                <w:highlight w:val="none"/>
              </w:rPr>
            </w:pPr>
          </w:p>
          <w:p w14:paraId="2BD9B599">
            <w:pPr>
              <w:spacing w:line="266" w:lineRule="auto"/>
              <w:rPr>
                <w:rFonts w:ascii="Arial"/>
                <w:color w:val="auto"/>
                <w:sz w:val="21"/>
                <w:highlight w:val="none"/>
              </w:rPr>
            </w:pPr>
          </w:p>
          <w:p w14:paraId="3A7C669A">
            <w:pPr>
              <w:spacing w:line="266" w:lineRule="auto"/>
              <w:rPr>
                <w:rFonts w:ascii="Arial"/>
                <w:color w:val="auto"/>
                <w:sz w:val="21"/>
                <w:highlight w:val="none"/>
              </w:rPr>
            </w:pPr>
          </w:p>
          <w:p w14:paraId="069A62E9">
            <w:pPr>
              <w:pStyle w:val="179"/>
              <w:spacing w:before="65" w:line="228" w:lineRule="auto"/>
              <w:ind w:left="1020"/>
              <w:rPr>
                <w:color w:val="auto"/>
                <w:highlight w:val="none"/>
              </w:rPr>
            </w:pPr>
            <w:r>
              <w:rPr>
                <w:color w:val="auto"/>
                <w:spacing w:val="7"/>
                <w:highlight w:val="none"/>
              </w:rPr>
              <w:t>付款条件</w:t>
            </w:r>
          </w:p>
        </w:tc>
        <w:tc>
          <w:tcPr>
            <w:tcW w:w="6391" w:type="dxa"/>
            <w:gridSpan w:val="4"/>
            <w:vAlign w:val="top"/>
          </w:tcPr>
          <w:p w14:paraId="3AFA0D71">
            <w:pPr>
              <w:pStyle w:val="179"/>
              <w:spacing w:before="55" w:line="228" w:lineRule="auto"/>
              <w:ind w:left="122"/>
              <w:rPr>
                <w:color w:val="auto"/>
                <w:highlight w:val="none"/>
              </w:rPr>
            </w:pPr>
            <w:r>
              <w:rPr>
                <w:color w:val="auto"/>
                <w:spacing w:val="4"/>
                <w:highlight w:val="none"/>
              </w:rPr>
              <w:t>1、付款方式：</w:t>
            </w:r>
          </w:p>
          <w:p w14:paraId="3E62C314">
            <w:pPr>
              <w:pStyle w:val="179"/>
              <w:spacing w:before="64" w:line="288" w:lineRule="auto"/>
              <w:ind w:left="105" w:right="109" w:firstLine="11"/>
              <w:rPr>
                <w:color w:val="auto"/>
                <w:highlight w:val="none"/>
              </w:rPr>
            </w:pPr>
            <w:r>
              <w:rPr>
                <w:color w:val="auto"/>
                <w:spacing w:val="8"/>
                <w:highlight w:val="none"/>
              </w:rPr>
              <w:t>（1）</w:t>
            </w:r>
            <w:r>
              <w:rPr>
                <w:color w:val="auto"/>
                <w:spacing w:val="-28"/>
                <w:highlight w:val="none"/>
              </w:rPr>
              <w:t xml:space="preserve"> </w:t>
            </w:r>
            <w:r>
              <w:rPr>
                <w:color w:val="auto"/>
                <w:spacing w:val="8"/>
                <w:highlight w:val="none"/>
              </w:rPr>
              <w:t>自合同签订之日起且财政拨付项目预算款到位后</w:t>
            </w:r>
            <w:r>
              <w:rPr>
                <w:color w:val="auto"/>
                <w:spacing w:val="-18"/>
                <w:highlight w:val="none"/>
              </w:rPr>
              <w:t xml:space="preserve"> </w:t>
            </w:r>
            <w:r>
              <w:rPr>
                <w:color w:val="auto"/>
                <w:spacing w:val="8"/>
                <w:highlight w:val="none"/>
              </w:rPr>
              <w:t>10</w:t>
            </w:r>
            <w:r>
              <w:rPr>
                <w:color w:val="auto"/>
                <w:spacing w:val="-36"/>
                <w:highlight w:val="none"/>
              </w:rPr>
              <w:t xml:space="preserve"> </w:t>
            </w:r>
            <w:r>
              <w:rPr>
                <w:color w:val="auto"/>
                <w:spacing w:val="8"/>
                <w:highlight w:val="none"/>
              </w:rPr>
              <w:t>个工作日</w:t>
            </w:r>
            <w:r>
              <w:rPr>
                <w:color w:val="auto"/>
                <w:spacing w:val="6"/>
                <w:highlight w:val="none"/>
              </w:rPr>
              <w:t>内，采购人向成交供应商支付成交金额的</w:t>
            </w:r>
            <w:r>
              <w:rPr>
                <w:color w:val="auto"/>
                <w:spacing w:val="-16"/>
                <w:highlight w:val="none"/>
              </w:rPr>
              <w:t xml:space="preserve"> </w:t>
            </w:r>
            <w:r>
              <w:rPr>
                <w:color w:val="auto"/>
                <w:spacing w:val="6"/>
                <w:highlight w:val="none"/>
              </w:rPr>
              <w:t>50%作为预付款；预付款申</w:t>
            </w:r>
            <w:r>
              <w:rPr>
                <w:color w:val="auto"/>
                <w:spacing w:val="9"/>
                <w:highlight w:val="none"/>
              </w:rPr>
              <w:t>请时，成交供应商须开具相应金额的税额发票给采购人。</w:t>
            </w:r>
          </w:p>
          <w:p w14:paraId="4364CFC0">
            <w:pPr>
              <w:pStyle w:val="179"/>
              <w:spacing w:before="3" w:line="287" w:lineRule="auto"/>
              <w:ind w:left="106" w:right="109" w:firstLine="10"/>
              <w:rPr>
                <w:color w:val="auto"/>
                <w:highlight w:val="none"/>
              </w:rPr>
            </w:pPr>
            <w:r>
              <w:rPr>
                <w:color w:val="auto"/>
                <w:spacing w:val="8"/>
                <w:highlight w:val="none"/>
              </w:rPr>
              <w:t>（2）成交供应商提交最终检验结果后，由采购人按抽检批次及整个</w:t>
            </w:r>
            <w:r>
              <w:rPr>
                <w:color w:val="auto"/>
                <w:spacing w:val="13"/>
                <w:highlight w:val="none"/>
              </w:rPr>
              <w:t>抽检不合格率支付剩余检测服务费。剩余检测服</w:t>
            </w:r>
            <w:r>
              <w:rPr>
                <w:color w:val="auto"/>
                <w:spacing w:val="12"/>
                <w:highlight w:val="none"/>
              </w:rPr>
              <w:t>务费申请时，成交</w:t>
            </w:r>
            <w:r>
              <w:rPr>
                <w:color w:val="auto"/>
                <w:spacing w:val="9"/>
                <w:highlight w:val="none"/>
              </w:rPr>
              <w:t>供应商须开具相应金额的税额发票给采购人。</w:t>
            </w:r>
          </w:p>
          <w:p w14:paraId="564CF53F">
            <w:pPr>
              <w:pStyle w:val="179"/>
              <w:spacing w:before="3" w:line="276" w:lineRule="auto"/>
              <w:ind w:left="106" w:right="37" w:firstLine="2"/>
              <w:jc w:val="both"/>
              <w:rPr>
                <w:color w:val="auto"/>
                <w:highlight w:val="none"/>
              </w:rPr>
            </w:pPr>
            <w:r>
              <w:rPr>
                <w:color w:val="auto"/>
                <w:spacing w:val="9"/>
                <w:highlight w:val="none"/>
              </w:rPr>
              <w:t>2、付款条件：成交供应商须按采购人要求进行抽样检验。</w:t>
            </w:r>
            <w:r>
              <w:rPr>
                <w:color w:val="auto"/>
                <w:spacing w:val="8"/>
                <w:highlight w:val="none"/>
              </w:rPr>
              <w:t>抽检不合格率</w:t>
            </w:r>
            <w:r>
              <w:rPr>
                <w:rFonts w:hint="eastAsia" w:ascii="东文宋体" w:hAnsi="东文宋体" w:eastAsia="东文宋体" w:cs="东文宋体"/>
                <w:color w:val="auto"/>
                <w:spacing w:val="8"/>
                <w:highlight w:val="none"/>
              </w:rPr>
              <w:t>≥</w:t>
            </w:r>
            <w:r>
              <w:rPr>
                <w:color w:val="auto"/>
                <w:spacing w:val="8"/>
                <w:highlight w:val="none"/>
              </w:rPr>
              <w:t>5%。若成交供应商达到工作要求，则采购人</w:t>
            </w:r>
            <w:r>
              <w:rPr>
                <w:color w:val="auto"/>
                <w:spacing w:val="7"/>
                <w:highlight w:val="none"/>
              </w:rPr>
              <w:t>支付抽检服务款。</w:t>
            </w:r>
            <w:r>
              <w:rPr>
                <w:color w:val="auto"/>
                <w:spacing w:val="13"/>
                <w:highlight w:val="none"/>
              </w:rPr>
              <w:t>若成交供应商未达到工作要求，则采购人按比</w:t>
            </w:r>
            <w:r>
              <w:rPr>
                <w:color w:val="auto"/>
                <w:spacing w:val="12"/>
                <w:highlight w:val="none"/>
              </w:rPr>
              <w:t>例支付部分抽检服务</w:t>
            </w:r>
            <w:r>
              <w:rPr>
                <w:color w:val="auto"/>
                <w:spacing w:val="9"/>
                <w:highlight w:val="none"/>
              </w:rPr>
              <w:t>款（最少不低于成交金额的90%）。实际支</w:t>
            </w:r>
            <w:r>
              <w:rPr>
                <w:color w:val="auto"/>
                <w:spacing w:val="8"/>
                <w:highlight w:val="none"/>
              </w:rPr>
              <w:t>付的抽检服务款比例与工作要求的对应关系见下表。</w:t>
            </w:r>
          </w:p>
        </w:tc>
      </w:tr>
      <w:tr w14:paraId="775C7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2874" w:type="dxa"/>
            <w:vMerge w:val="continue"/>
            <w:tcBorders>
              <w:top w:val="nil"/>
              <w:bottom w:val="nil"/>
            </w:tcBorders>
            <w:vAlign w:val="top"/>
          </w:tcPr>
          <w:p w14:paraId="51122C41">
            <w:pPr>
              <w:rPr>
                <w:rFonts w:ascii="Arial"/>
                <w:color w:val="auto"/>
                <w:sz w:val="21"/>
                <w:highlight w:val="none"/>
              </w:rPr>
            </w:pPr>
          </w:p>
        </w:tc>
        <w:tc>
          <w:tcPr>
            <w:tcW w:w="108" w:type="dxa"/>
            <w:tcBorders>
              <w:top w:val="nil"/>
              <w:bottom w:val="nil"/>
            </w:tcBorders>
            <w:vAlign w:val="top"/>
          </w:tcPr>
          <w:p w14:paraId="79C7BAE6">
            <w:pPr>
              <w:rPr>
                <w:rFonts w:ascii="Arial"/>
                <w:color w:val="auto"/>
                <w:sz w:val="21"/>
                <w:highlight w:val="none"/>
              </w:rPr>
            </w:pPr>
          </w:p>
        </w:tc>
        <w:tc>
          <w:tcPr>
            <w:tcW w:w="3015" w:type="dxa"/>
            <w:vAlign w:val="top"/>
          </w:tcPr>
          <w:p w14:paraId="5FF9EEB0">
            <w:pPr>
              <w:pStyle w:val="179"/>
              <w:spacing w:before="171" w:line="228" w:lineRule="auto"/>
              <w:ind w:left="670"/>
              <w:rPr>
                <w:color w:val="auto"/>
                <w:highlight w:val="none"/>
              </w:rPr>
            </w:pPr>
            <w:r>
              <w:rPr>
                <w:color w:val="auto"/>
                <w:spacing w:val="8"/>
                <w:highlight w:val="none"/>
              </w:rPr>
              <w:t>食品抽检不合格率</w:t>
            </w:r>
          </w:p>
        </w:tc>
        <w:tc>
          <w:tcPr>
            <w:tcW w:w="2322" w:type="dxa"/>
            <w:vAlign w:val="top"/>
          </w:tcPr>
          <w:p w14:paraId="7891891D">
            <w:pPr>
              <w:pStyle w:val="179"/>
              <w:spacing w:before="36" w:line="228" w:lineRule="auto"/>
              <w:ind w:left="120"/>
              <w:rPr>
                <w:color w:val="auto"/>
                <w:highlight w:val="none"/>
              </w:rPr>
            </w:pPr>
            <w:r>
              <w:rPr>
                <w:color w:val="auto"/>
                <w:spacing w:val="8"/>
                <w:highlight w:val="none"/>
              </w:rPr>
              <w:t>实际支付抽检服务款比</w:t>
            </w:r>
          </w:p>
          <w:p w14:paraId="3E0A9BC2">
            <w:pPr>
              <w:pStyle w:val="179"/>
              <w:spacing w:before="24" w:line="214" w:lineRule="auto"/>
              <w:ind w:left="1061"/>
              <w:rPr>
                <w:color w:val="auto"/>
                <w:highlight w:val="none"/>
              </w:rPr>
            </w:pPr>
            <w:r>
              <w:rPr>
                <w:color w:val="auto"/>
                <w:highlight w:val="none"/>
              </w:rPr>
              <w:t>例</w:t>
            </w:r>
          </w:p>
        </w:tc>
        <w:tc>
          <w:tcPr>
            <w:tcW w:w="946" w:type="dxa"/>
            <w:vMerge w:val="restart"/>
            <w:tcBorders>
              <w:top w:val="nil"/>
              <w:bottom w:val="nil"/>
            </w:tcBorders>
            <w:vAlign w:val="top"/>
          </w:tcPr>
          <w:p w14:paraId="122E81C5">
            <w:pPr>
              <w:rPr>
                <w:rFonts w:ascii="Arial"/>
                <w:color w:val="auto"/>
                <w:sz w:val="21"/>
                <w:highlight w:val="none"/>
              </w:rPr>
            </w:pPr>
          </w:p>
        </w:tc>
      </w:tr>
      <w:tr w14:paraId="3A69B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74" w:type="dxa"/>
            <w:vMerge w:val="continue"/>
            <w:tcBorders>
              <w:top w:val="nil"/>
              <w:bottom w:val="nil"/>
            </w:tcBorders>
            <w:vAlign w:val="top"/>
          </w:tcPr>
          <w:p w14:paraId="10F7B7F3">
            <w:pPr>
              <w:rPr>
                <w:rFonts w:ascii="Arial"/>
                <w:color w:val="auto"/>
                <w:sz w:val="21"/>
                <w:highlight w:val="none"/>
              </w:rPr>
            </w:pPr>
          </w:p>
        </w:tc>
        <w:tc>
          <w:tcPr>
            <w:tcW w:w="108" w:type="dxa"/>
            <w:tcBorders>
              <w:top w:val="nil"/>
              <w:bottom w:val="nil"/>
            </w:tcBorders>
            <w:vAlign w:val="top"/>
          </w:tcPr>
          <w:p w14:paraId="0A6D53A4">
            <w:pPr>
              <w:rPr>
                <w:rFonts w:ascii="Arial"/>
                <w:color w:val="auto"/>
                <w:sz w:val="21"/>
                <w:highlight w:val="none"/>
              </w:rPr>
            </w:pPr>
          </w:p>
        </w:tc>
        <w:tc>
          <w:tcPr>
            <w:tcW w:w="3015" w:type="dxa"/>
            <w:vAlign w:val="top"/>
          </w:tcPr>
          <w:p w14:paraId="75044DC2">
            <w:pPr>
              <w:pStyle w:val="179"/>
              <w:spacing w:before="33" w:line="216" w:lineRule="auto"/>
              <w:ind w:left="883"/>
              <w:rPr>
                <w:color w:val="auto"/>
                <w:highlight w:val="none"/>
              </w:rPr>
            </w:pPr>
            <w:r>
              <w:rPr>
                <w:color w:val="auto"/>
                <w:highlight w:val="none"/>
              </w:rPr>
              <w:t>5%（含）</w:t>
            </w:r>
            <w:r>
              <w:rPr>
                <w:color w:val="auto"/>
                <w:spacing w:val="-54"/>
                <w:highlight w:val="none"/>
              </w:rPr>
              <w:t xml:space="preserve"> </w:t>
            </w:r>
            <w:r>
              <w:rPr>
                <w:color w:val="auto"/>
                <w:highlight w:val="none"/>
              </w:rPr>
              <w:t>以上</w:t>
            </w:r>
          </w:p>
        </w:tc>
        <w:tc>
          <w:tcPr>
            <w:tcW w:w="2322" w:type="dxa"/>
            <w:vAlign w:val="top"/>
          </w:tcPr>
          <w:p w14:paraId="6420CC79">
            <w:pPr>
              <w:pStyle w:val="179"/>
              <w:spacing w:before="33" w:line="216" w:lineRule="auto"/>
              <w:ind w:left="971"/>
              <w:rPr>
                <w:color w:val="auto"/>
                <w:highlight w:val="none"/>
              </w:rPr>
            </w:pPr>
            <w:r>
              <w:rPr>
                <w:color w:val="auto"/>
                <w:spacing w:val="-1"/>
                <w:highlight w:val="none"/>
              </w:rPr>
              <w:t>100%</w:t>
            </w:r>
          </w:p>
        </w:tc>
        <w:tc>
          <w:tcPr>
            <w:tcW w:w="946" w:type="dxa"/>
            <w:vMerge w:val="continue"/>
            <w:tcBorders>
              <w:top w:val="nil"/>
              <w:bottom w:val="nil"/>
            </w:tcBorders>
            <w:vAlign w:val="top"/>
          </w:tcPr>
          <w:p w14:paraId="5E8401B0">
            <w:pPr>
              <w:rPr>
                <w:rFonts w:ascii="Arial"/>
                <w:color w:val="auto"/>
                <w:sz w:val="21"/>
                <w:highlight w:val="none"/>
              </w:rPr>
            </w:pPr>
          </w:p>
        </w:tc>
      </w:tr>
      <w:tr w14:paraId="05497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2874" w:type="dxa"/>
            <w:vMerge w:val="continue"/>
            <w:tcBorders>
              <w:top w:val="nil"/>
              <w:bottom w:val="nil"/>
            </w:tcBorders>
            <w:vAlign w:val="top"/>
          </w:tcPr>
          <w:p w14:paraId="62D1C588">
            <w:pPr>
              <w:rPr>
                <w:rFonts w:ascii="Arial"/>
                <w:color w:val="auto"/>
                <w:sz w:val="21"/>
                <w:highlight w:val="none"/>
              </w:rPr>
            </w:pPr>
          </w:p>
        </w:tc>
        <w:tc>
          <w:tcPr>
            <w:tcW w:w="108" w:type="dxa"/>
            <w:tcBorders>
              <w:top w:val="nil"/>
              <w:bottom w:val="nil"/>
            </w:tcBorders>
            <w:vAlign w:val="top"/>
          </w:tcPr>
          <w:p w14:paraId="3FF919F1">
            <w:pPr>
              <w:rPr>
                <w:rFonts w:ascii="Arial"/>
                <w:color w:val="auto"/>
                <w:sz w:val="21"/>
                <w:highlight w:val="none"/>
              </w:rPr>
            </w:pPr>
          </w:p>
        </w:tc>
        <w:tc>
          <w:tcPr>
            <w:tcW w:w="3015" w:type="dxa"/>
            <w:vAlign w:val="top"/>
          </w:tcPr>
          <w:p w14:paraId="2A26FA89">
            <w:pPr>
              <w:pStyle w:val="179"/>
              <w:spacing w:before="35" w:line="214" w:lineRule="auto"/>
              <w:ind w:left="458"/>
              <w:rPr>
                <w:color w:val="auto"/>
                <w:highlight w:val="none"/>
              </w:rPr>
            </w:pPr>
            <w:r>
              <w:rPr>
                <w:color w:val="auto"/>
                <w:spacing w:val="6"/>
                <w:highlight w:val="none"/>
              </w:rPr>
              <w:t>4%（含）—5%（不含）</w:t>
            </w:r>
          </w:p>
        </w:tc>
        <w:tc>
          <w:tcPr>
            <w:tcW w:w="2322" w:type="dxa"/>
            <w:vAlign w:val="top"/>
          </w:tcPr>
          <w:p w14:paraId="3941D394">
            <w:pPr>
              <w:pStyle w:val="179"/>
              <w:spacing w:before="35" w:line="214" w:lineRule="auto"/>
              <w:ind w:left="1009"/>
              <w:rPr>
                <w:color w:val="auto"/>
                <w:highlight w:val="none"/>
              </w:rPr>
            </w:pPr>
            <w:r>
              <w:rPr>
                <w:color w:val="auto"/>
                <w:spacing w:val="2"/>
                <w:highlight w:val="none"/>
              </w:rPr>
              <w:t>95%</w:t>
            </w:r>
          </w:p>
        </w:tc>
        <w:tc>
          <w:tcPr>
            <w:tcW w:w="946" w:type="dxa"/>
            <w:vMerge w:val="continue"/>
            <w:tcBorders>
              <w:top w:val="nil"/>
              <w:bottom w:val="nil"/>
            </w:tcBorders>
            <w:vAlign w:val="top"/>
          </w:tcPr>
          <w:p w14:paraId="469836BC">
            <w:pPr>
              <w:rPr>
                <w:rFonts w:ascii="Arial"/>
                <w:color w:val="auto"/>
                <w:sz w:val="21"/>
                <w:highlight w:val="none"/>
              </w:rPr>
            </w:pPr>
          </w:p>
        </w:tc>
      </w:tr>
      <w:tr w14:paraId="7DC99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874" w:type="dxa"/>
            <w:vMerge w:val="continue"/>
            <w:tcBorders>
              <w:top w:val="nil"/>
            </w:tcBorders>
            <w:vAlign w:val="top"/>
          </w:tcPr>
          <w:p w14:paraId="62954F31">
            <w:pPr>
              <w:rPr>
                <w:rFonts w:ascii="Arial"/>
                <w:color w:val="auto"/>
                <w:sz w:val="21"/>
                <w:highlight w:val="none"/>
              </w:rPr>
            </w:pPr>
          </w:p>
        </w:tc>
        <w:tc>
          <w:tcPr>
            <w:tcW w:w="108" w:type="dxa"/>
            <w:tcBorders>
              <w:top w:val="nil"/>
            </w:tcBorders>
            <w:vAlign w:val="top"/>
          </w:tcPr>
          <w:p w14:paraId="50762BB2">
            <w:pPr>
              <w:rPr>
                <w:rFonts w:ascii="Arial"/>
                <w:color w:val="auto"/>
                <w:sz w:val="21"/>
                <w:highlight w:val="none"/>
              </w:rPr>
            </w:pPr>
          </w:p>
        </w:tc>
        <w:tc>
          <w:tcPr>
            <w:tcW w:w="3015" w:type="dxa"/>
            <w:vAlign w:val="top"/>
          </w:tcPr>
          <w:p w14:paraId="65BCB3FD">
            <w:pPr>
              <w:pStyle w:val="179"/>
              <w:spacing w:before="36" w:line="214" w:lineRule="auto"/>
              <w:ind w:left="775"/>
              <w:rPr>
                <w:color w:val="auto"/>
                <w:highlight w:val="none"/>
              </w:rPr>
            </w:pPr>
            <w:r>
              <w:rPr>
                <w:color w:val="auto"/>
                <w:spacing w:val="2"/>
                <w:highlight w:val="none"/>
              </w:rPr>
              <w:t>4%（不含）</w:t>
            </w:r>
            <w:r>
              <w:rPr>
                <w:color w:val="auto"/>
                <w:spacing w:val="-58"/>
                <w:highlight w:val="none"/>
              </w:rPr>
              <w:t xml:space="preserve"> </w:t>
            </w:r>
            <w:r>
              <w:rPr>
                <w:color w:val="auto"/>
                <w:spacing w:val="2"/>
                <w:highlight w:val="none"/>
              </w:rPr>
              <w:t>以下</w:t>
            </w:r>
          </w:p>
        </w:tc>
        <w:tc>
          <w:tcPr>
            <w:tcW w:w="2322" w:type="dxa"/>
            <w:vAlign w:val="top"/>
          </w:tcPr>
          <w:p w14:paraId="16D1E1F3">
            <w:pPr>
              <w:pStyle w:val="179"/>
              <w:spacing w:before="36" w:line="214" w:lineRule="auto"/>
              <w:ind w:left="1009"/>
              <w:rPr>
                <w:color w:val="auto"/>
                <w:highlight w:val="none"/>
              </w:rPr>
            </w:pPr>
            <w:r>
              <w:rPr>
                <w:color w:val="auto"/>
                <w:spacing w:val="2"/>
                <w:highlight w:val="none"/>
              </w:rPr>
              <w:t>90%</w:t>
            </w:r>
          </w:p>
        </w:tc>
        <w:tc>
          <w:tcPr>
            <w:tcW w:w="946" w:type="dxa"/>
            <w:vMerge w:val="continue"/>
            <w:tcBorders>
              <w:top w:val="nil"/>
            </w:tcBorders>
            <w:vAlign w:val="top"/>
          </w:tcPr>
          <w:p w14:paraId="3FA6BE9A">
            <w:pPr>
              <w:rPr>
                <w:rFonts w:ascii="Arial"/>
                <w:color w:val="auto"/>
                <w:sz w:val="21"/>
                <w:highlight w:val="none"/>
              </w:rPr>
            </w:pPr>
          </w:p>
        </w:tc>
      </w:tr>
      <w:tr w14:paraId="538CA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2" w:hRule="atLeast"/>
        </w:trPr>
        <w:tc>
          <w:tcPr>
            <w:tcW w:w="2874" w:type="dxa"/>
            <w:vAlign w:val="top"/>
          </w:tcPr>
          <w:p w14:paraId="3DDA5CDD">
            <w:pPr>
              <w:spacing w:line="271" w:lineRule="auto"/>
              <w:rPr>
                <w:rFonts w:ascii="Arial"/>
                <w:color w:val="auto"/>
                <w:sz w:val="21"/>
                <w:highlight w:val="none"/>
              </w:rPr>
            </w:pPr>
          </w:p>
          <w:p w14:paraId="168189FE">
            <w:pPr>
              <w:spacing w:line="271" w:lineRule="auto"/>
              <w:rPr>
                <w:rFonts w:ascii="Arial"/>
                <w:color w:val="auto"/>
                <w:sz w:val="21"/>
                <w:highlight w:val="none"/>
              </w:rPr>
            </w:pPr>
          </w:p>
          <w:p w14:paraId="3D9FE23E">
            <w:pPr>
              <w:spacing w:line="271" w:lineRule="auto"/>
              <w:rPr>
                <w:rFonts w:ascii="Arial"/>
                <w:color w:val="auto"/>
                <w:sz w:val="21"/>
                <w:highlight w:val="none"/>
              </w:rPr>
            </w:pPr>
          </w:p>
          <w:p w14:paraId="3472C85B">
            <w:pPr>
              <w:spacing w:line="272" w:lineRule="auto"/>
              <w:rPr>
                <w:rFonts w:ascii="Arial"/>
                <w:color w:val="auto"/>
                <w:sz w:val="21"/>
                <w:highlight w:val="none"/>
              </w:rPr>
            </w:pPr>
          </w:p>
          <w:p w14:paraId="7B6C549D">
            <w:pPr>
              <w:pStyle w:val="179"/>
              <w:spacing w:before="65" w:line="228" w:lineRule="auto"/>
              <w:ind w:left="1020"/>
              <w:rPr>
                <w:color w:val="auto"/>
                <w:highlight w:val="none"/>
              </w:rPr>
            </w:pPr>
            <w:r>
              <w:rPr>
                <w:color w:val="auto"/>
                <w:spacing w:val="7"/>
                <w:highlight w:val="none"/>
              </w:rPr>
              <w:t>服务要求</w:t>
            </w:r>
          </w:p>
        </w:tc>
        <w:tc>
          <w:tcPr>
            <w:tcW w:w="6391" w:type="dxa"/>
            <w:gridSpan w:val="4"/>
            <w:vAlign w:val="top"/>
          </w:tcPr>
          <w:p w14:paraId="4B262871">
            <w:pPr>
              <w:pStyle w:val="179"/>
              <w:spacing w:before="65" w:line="228" w:lineRule="auto"/>
              <w:ind w:left="122"/>
              <w:rPr>
                <w:color w:val="auto"/>
                <w:highlight w:val="none"/>
              </w:rPr>
            </w:pPr>
            <w:r>
              <w:rPr>
                <w:color w:val="auto"/>
                <w:spacing w:val="8"/>
                <w:highlight w:val="none"/>
              </w:rPr>
              <w:t>1、能按时完成委托单位安排的临时性和应急性任务。</w:t>
            </w:r>
          </w:p>
          <w:p w14:paraId="007719D3">
            <w:pPr>
              <w:pStyle w:val="179"/>
              <w:spacing w:before="64" w:line="288" w:lineRule="auto"/>
              <w:ind w:left="107" w:right="109" w:firstLine="1"/>
              <w:rPr>
                <w:color w:val="auto"/>
                <w:highlight w:val="none"/>
              </w:rPr>
            </w:pPr>
            <w:r>
              <w:rPr>
                <w:color w:val="auto"/>
                <w:spacing w:val="9"/>
                <w:highlight w:val="none"/>
              </w:rPr>
              <w:t>2、负责样品的检验、检验报告的寄送、结果分析、异议处</w:t>
            </w:r>
            <w:r>
              <w:rPr>
                <w:color w:val="auto"/>
                <w:spacing w:val="8"/>
                <w:highlight w:val="none"/>
              </w:rPr>
              <w:t>理和检验过程中技术问题的处理工作。</w:t>
            </w:r>
          </w:p>
          <w:p w14:paraId="34147152">
            <w:pPr>
              <w:pStyle w:val="179"/>
              <w:spacing w:before="4" w:line="287" w:lineRule="auto"/>
              <w:ind w:left="106" w:right="108" w:firstLine="5"/>
              <w:rPr>
                <w:color w:val="auto"/>
                <w:highlight w:val="none"/>
              </w:rPr>
            </w:pPr>
            <w:r>
              <w:rPr>
                <w:color w:val="auto"/>
                <w:spacing w:val="8"/>
                <w:highlight w:val="none"/>
              </w:rPr>
              <w:t>3、处理问题及响应时间：成交供应商接到采购人处理问题通知后 2小时内采取实质性响应措施，必须在</w:t>
            </w:r>
            <w:r>
              <w:rPr>
                <w:color w:val="auto"/>
                <w:spacing w:val="-37"/>
                <w:highlight w:val="none"/>
              </w:rPr>
              <w:t xml:space="preserve"> </w:t>
            </w:r>
            <w:r>
              <w:rPr>
                <w:color w:val="auto"/>
                <w:spacing w:val="8"/>
                <w:highlight w:val="none"/>
              </w:rPr>
              <w:t>24</w:t>
            </w:r>
            <w:r>
              <w:rPr>
                <w:color w:val="auto"/>
                <w:spacing w:val="-32"/>
                <w:highlight w:val="none"/>
              </w:rPr>
              <w:t xml:space="preserve"> </w:t>
            </w:r>
            <w:r>
              <w:rPr>
                <w:color w:val="auto"/>
                <w:spacing w:val="8"/>
                <w:highlight w:val="none"/>
              </w:rPr>
              <w:t>小时之内向采购人提交</w:t>
            </w:r>
            <w:r>
              <w:rPr>
                <w:color w:val="auto"/>
                <w:spacing w:val="7"/>
                <w:highlight w:val="none"/>
              </w:rPr>
              <w:t>正式</w:t>
            </w:r>
            <w:r>
              <w:rPr>
                <w:color w:val="auto"/>
                <w:spacing w:val="10"/>
                <w:highlight w:val="none"/>
              </w:rPr>
              <w:t>书面可行的解决方案，并在采购人指定的时</w:t>
            </w:r>
            <w:r>
              <w:rPr>
                <w:color w:val="auto"/>
                <w:spacing w:val="9"/>
                <w:highlight w:val="none"/>
              </w:rPr>
              <w:t>间和地点对方案进行解</w:t>
            </w:r>
            <w:r>
              <w:rPr>
                <w:color w:val="auto"/>
                <w:spacing w:val="5"/>
                <w:highlight w:val="none"/>
              </w:rPr>
              <w:t>释说明。</w:t>
            </w:r>
          </w:p>
          <w:p w14:paraId="5791963F">
            <w:pPr>
              <w:pStyle w:val="179"/>
              <w:spacing w:line="229" w:lineRule="auto"/>
              <w:ind w:left="106"/>
              <w:rPr>
                <w:color w:val="auto"/>
                <w:spacing w:val="6"/>
                <w:highlight w:val="none"/>
              </w:rPr>
            </w:pPr>
            <w:r>
              <w:rPr>
                <w:color w:val="auto"/>
                <w:spacing w:val="6"/>
                <w:highlight w:val="none"/>
              </w:rPr>
              <w:t>4、定期回访。</w:t>
            </w:r>
          </w:p>
          <w:p w14:paraId="6BE8582F">
            <w:pPr>
              <w:pStyle w:val="179"/>
              <w:spacing w:before="56" w:line="228" w:lineRule="auto"/>
              <w:ind w:left="111"/>
              <w:rPr>
                <w:color w:val="auto"/>
                <w:highlight w:val="none"/>
              </w:rPr>
            </w:pPr>
            <w:r>
              <w:rPr>
                <w:color w:val="auto"/>
                <w:spacing w:val="8"/>
                <w:highlight w:val="none"/>
              </w:rPr>
              <w:t>5、供应商须在响应文件中提供具体的服务承诺。</w:t>
            </w:r>
          </w:p>
          <w:p w14:paraId="10CDBB1D">
            <w:pPr>
              <w:pStyle w:val="179"/>
              <w:spacing w:before="65" w:line="288" w:lineRule="auto"/>
              <w:ind w:left="106" w:right="109" w:firstLine="2"/>
              <w:rPr>
                <w:color w:val="auto"/>
                <w:highlight w:val="none"/>
              </w:rPr>
            </w:pPr>
            <w:r>
              <w:rPr>
                <w:color w:val="auto"/>
                <w:spacing w:val="4"/>
                <w:highlight w:val="none"/>
              </w:rPr>
              <w:t>6、供应商应于</w:t>
            </w:r>
            <w:r>
              <w:rPr>
                <w:color w:val="auto"/>
                <w:spacing w:val="-37"/>
                <w:highlight w:val="none"/>
              </w:rPr>
              <w:t xml:space="preserve"> </w:t>
            </w:r>
            <w:r>
              <w:rPr>
                <w:color w:val="auto"/>
                <w:spacing w:val="4"/>
                <w:highlight w:val="none"/>
              </w:rPr>
              <w:t>202</w:t>
            </w:r>
            <w:r>
              <w:rPr>
                <w:rFonts w:hint="eastAsia"/>
                <w:color w:val="auto"/>
                <w:spacing w:val="4"/>
                <w:highlight w:val="none"/>
                <w:lang w:val="en-US" w:eastAsia="zh-CN"/>
              </w:rPr>
              <w:t>6</w:t>
            </w:r>
            <w:r>
              <w:rPr>
                <w:color w:val="auto"/>
                <w:spacing w:val="-40"/>
                <w:highlight w:val="none"/>
              </w:rPr>
              <w:t xml:space="preserve"> </w:t>
            </w:r>
            <w:r>
              <w:rPr>
                <w:color w:val="auto"/>
                <w:spacing w:val="4"/>
                <w:highlight w:val="none"/>
              </w:rPr>
              <w:t>年</w:t>
            </w:r>
            <w:r>
              <w:rPr>
                <w:color w:val="auto"/>
                <w:spacing w:val="-24"/>
                <w:highlight w:val="none"/>
              </w:rPr>
              <w:t xml:space="preserve"> </w:t>
            </w:r>
            <w:r>
              <w:rPr>
                <w:color w:val="auto"/>
                <w:spacing w:val="4"/>
                <w:highlight w:val="none"/>
              </w:rPr>
              <w:t>12</w:t>
            </w:r>
            <w:r>
              <w:rPr>
                <w:color w:val="auto"/>
                <w:spacing w:val="-33"/>
                <w:highlight w:val="none"/>
              </w:rPr>
              <w:t xml:space="preserve"> </w:t>
            </w:r>
            <w:r>
              <w:rPr>
                <w:color w:val="auto"/>
                <w:spacing w:val="4"/>
                <w:highlight w:val="none"/>
              </w:rPr>
              <w:t>月</w:t>
            </w:r>
            <w:r>
              <w:rPr>
                <w:color w:val="auto"/>
                <w:spacing w:val="-24"/>
                <w:highlight w:val="none"/>
              </w:rPr>
              <w:t xml:space="preserve"> </w:t>
            </w:r>
            <w:r>
              <w:rPr>
                <w:color w:val="auto"/>
                <w:spacing w:val="4"/>
                <w:highlight w:val="none"/>
              </w:rPr>
              <w:t>10 日前完成抽样检测任务，并出具</w:t>
            </w:r>
            <w:r>
              <w:rPr>
                <w:color w:val="auto"/>
                <w:spacing w:val="-38"/>
                <w:highlight w:val="none"/>
              </w:rPr>
              <w:t xml:space="preserve"> </w:t>
            </w:r>
            <w:r>
              <w:rPr>
                <w:color w:val="auto"/>
                <w:highlight w:val="none"/>
              </w:rPr>
              <w:t>CA</w:t>
            </w:r>
            <w:r>
              <w:rPr>
                <w:color w:val="auto"/>
                <w:spacing w:val="4"/>
                <w:highlight w:val="none"/>
              </w:rPr>
              <w:t>认证的电子检验报告书，并于</w:t>
            </w:r>
            <w:r>
              <w:rPr>
                <w:color w:val="auto"/>
                <w:spacing w:val="-30"/>
                <w:highlight w:val="none"/>
              </w:rPr>
              <w:t xml:space="preserve"> </w:t>
            </w:r>
            <w:r>
              <w:rPr>
                <w:color w:val="auto"/>
                <w:spacing w:val="4"/>
                <w:highlight w:val="none"/>
              </w:rPr>
              <w:t>202</w:t>
            </w:r>
            <w:r>
              <w:rPr>
                <w:rFonts w:hint="eastAsia"/>
                <w:color w:val="auto"/>
                <w:spacing w:val="4"/>
                <w:highlight w:val="none"/>
                <w:lang w:val="en-US" w:eastAsia="zh-CN"/>
              </w:rPr>
              <w:t>6</w:t>
            </w:r>
            <w:r>
              <w:rPr>
                <w:color w:val="auto"/>
                <w:spacing w:val="-40"/>
                <w:highlight w:val="none"/>
              </w:rPr>
              <w:t xml:space="preserve"> </w:t>
            </w:r>
            <w:r>
              <w:rPr>
                <w:color w:val="auto"/>
                <w:spacing w:val="4"/>
                <w:highlight w:val="none"/>
              </w:rPr>
              <w:t>年</w:t>
            </w:r>
            <w:r>
              <w:rPr>
                <w:color w:val="auto"/>
                <w:spacing w:val="-23"/>
                <w:highlight w:val="none"/>
              </w:rPr>
              <w:t xml:space="preserve"> </w:t>
            </w:r>
            <w:r>
              <w:rPr>
                <w:color w:val="auto"/>
                <w:spacing w:val="4"/>
                <w:highlight w:val="none"/>
              </w:rPr>
              <w:t>12</w:t>
            </w:r>
            <w:r>
              <w:rPr>
                <w:color w:val="auto"/>
                <w:spacing w:val="-33"/>
                <w:highlight w:val="none"/>
              </w:rPr>
              <w:t xml:space="preserve"> </w:t>
            </w:r>
            <w:r>
              <w:rPr>
                <w:color w:val="auto"/>
                <w:spacing w:val="4"/>
                <w:highlight w:val="none"/>
              </w:rPr>
              <w:t>月</w:t>
            </w:r>
            <w:r>
              <w:rPr>
                <w:color w:val="auto"/>
                <w:spacing w:val="-37"/>
                <w:highlight w:val="none"/>
              </w:rPr>
              <w:t xml:space="preserve"> </w:t>
            </w:r>
            <w:r>
              <w:rPr>
                <w:color w:val="auto"/>
                <w:spacing w:val="4"/>
                <w:highlight w:val="none"/>
              </w:rPr>
              <w:t>20 日前，将本次任务检</w:t>
            </w:r>
            <w:r>
              <w:rPr>
                <w:color w:val="auto"/>
                <w:spacing w:val="10"/>
                <w:highlight w:val="none"/>
              </w:rPr>
              <w:t>验分析报告、信息汇总表及问题样品信息汇</w:t>
            </w:r>
            <w:r>
              <w:rPr>
                <w:color w:val="auto"/>
                <w:spacing w:val="9"/>
                <w:highlight w:val="none"/>
              </w:rPr>
              <w:t>总表寄送至防城港市市</w:t>
            </w:r>
            <w:r>
              <w:rPr>
                <w:color w:val="auto"/>
                <w:spacing w:val="7"/>
                <w:highlight w:val="none"/>
              </w:rPr>
              <w:t>场监督管理局。</w:t>
            </w:r>
          </w:p>
          <w:p w14:paraId="466C7086">
            <w:pPr>
              <w:pStyle w:val="179"/>
              <w:spacing w:line="229" w:lineRule="auto"/>
              <w:ind w:left="106"/>
              <w:rPr>
                <w:color w:val="auto"/>
                <w:spacing w:val="6"/>
                <w:highlight w:val="none"/>
              </w:rPr>
            </w:pPr>
            <w:r>
              <w:rPr>
                <w:rFonts w:ascii="Times New Roman" w:hAnsi="Times New Roman" w:eastAsia="Times New Roman" w:cs="Times New Roman"/>
                <w:color w:val="auto"/>
                <w:spacing w:val="7"/>
                <w:highlight w:val="none"/>
              </w:rPr>
              <w:t>7.</w:t>
            </w:r>
            <w:r>
              <w:rPr>
                <w:color w:val="auto"/>
                <w:spacing w:val="7"/>
                <w:highlight w:val="none"/>
              </w:rPr>
              <w:t>供应商必须按照响应文件承诺的时效性开展食品抽检任务，如有一</w:t>
            </w:r>
            <w:r>
              <w:rPr>
                <w:color w:val="auto"/>
                <w:spacing w:val="8"/>
                <w:highlight w:val="none"/>
              </w:rPr>
              <w:t>次未能按时完成抽检任务的扣</w:t>
            </w:r>
            <w:r>
              <w:rPr>
                <w:color w:val="auto"/>
                <w:spacing w:val="-35"/>
                <w:highlight w:val="none"/>
              </w:rPr>
              <w:t xml:space="preserve"> </w:t>
            </w:r>
            <w:r>
              <w:rPr>
                <w:rFonts w:ascii="Times New Roman" w:hAnsi="Times New Roman" w:eastAsia="Times New Roman" w:cs="Times New Roman"/>
                <w:color w:val="auto"/>
                <w:spacing w:val="8"/>
                <w:highlight w:val="none"/>
              </w:rPr>
              <w:t xml:space="preserve">5000 </w:t>
            </w:r>
            <w:r>
              <w:rPr>
                <w:color w:val="auto"/>
                <w:spacing w:val="8"/>
                <w:highlight w:val="none"/>
              </w:rPr>
              <w:t>元，超过三次不能按时完成</w:t>
            </w:r>
            <w:r>
              <w:rPr>
                <w:color w:val="auto"/>
                <w:spacing w:val="7"/>
                <w:highlight w:val="none"/>
              </w:rPr>
              <w:t>抽检</w:t>
            </w:r>
            <w:r>
              <w:rPr>
                <w:color w:val="auto"/>
                <w:spacing w:val="8"/>
                <w:highlight w:val="none"/>
              </w:rPr>
              <w:t>任务的，采购人有权依法解除合同。</w:t>
            </w:r>
          </w:p>
        </w:tc>
      </w:tr>
      <w:tr w14:paraId="5FA66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12" w:hRule="atLeast"/>
        </w:trPr>
        <w:tc>
          <w:tcPr>
            <w:tcW w:w="2874" w:type="dxa"/>
            <w:vAlign w:val="top"/>
          </w:tcPr>
          <w:p w14:paraId="5733C887">
            <w:pPr>
              <w:spacing w:line="241" w:lineRule="auto"/>
              <w:rPr>
                <w:rFonts w:ascii="Arial"/>
                <w:color w:val="auto"/>
                <w:sz w:val="21"/>
                <w:highlight w:val="none"/>
              </w:rPr>
            </w:pPr>
          </w:p>
          <w:p w14:paraId="0C1607CA">
            <w:pPr>
              <w:spacing w:line="242" w:lineRule="auto"/>
              <w:rPr>
                <w:rFonts w:ascii="Arial"/>
                <w:color w:val="auto"/>
                <w:sz w:val="21"/>
                <w:highlight w:val="none"/>
              </w:rPr>
            </w:pPr>
          </w:p>
          <w:p w14:paraId="1561A3A5">
            <w:pPr>
              <w:spacing w:line="242" w:lineRule="auto"/>
              <w:rPr>
                <w:rFonts w:ascii="Arial"/>
                <w:color w:val="auto"/>
                <w:sz w:val="21"/>
                <w:highlight w:val="none"/>
              </w:rPr>
            </w:pPr>
          </w:p>
          <w:p w14:paraId="01317ADA">
            <w:pPr>
              <w:spacing w:line="242" w:lineRule="auto"/>
              <w:rPr>
                <w:rFonts w:ascii="Arial"/>
                <w:color w:val="auto"/>
                <w:sz w:val="21"/>
                <w:highlight w:val="none"/>
              </w:rPr>
            </w:pPr>
          </w:p>
          <w:p w14:paraId="32C1881F">
            <w:pPr>
              <w:spacing w:line="242" w:lineRule="auto"/>
              <w:rPr>
                <w:rFonts w:ascii="Arial"/>
                <w:color w:val="auto"/>
                <w:sz w:val="21"/>
                <w:highlight w:val="none"/>
              </w:rPr>
            </w:pPr>
          </w:p>
          <w:p w14:paraId="0A4EB8B2">
            <w:pPr>
              <w:spacing w:line="242" w:lineRule="auto"/>
              <w:rPr>
                <w:rFonts w:ascii="Arial"/>
                <w:color w:val="auto"/>
                <w:sz w:val="21"/>
                <w:highlight w:val="none"/>
              </w:rPr>
            </w:pPr>
          </w:p>
          <w:p w14:paraId="0A31519B">
            <w:pPr>
              <w:spacing w:line="242" w:lineRule="auto"/>
              <w:rPr>
                <w:rFonts w:ascii="Arial"/>
                <w:color w:val="auto"/>
                <w:sz w:val="21"/>
                <w:highlight w:val="none"/>
              </w:rPr>
            </w:pPr>
          </w:p>
          <w:p w14:paraId="61CB5C2D">
            <w:pPr>
              <w:pStyle w:val="179"/>
              <w:spacing w:before="65" w:line="228" w:lineRule="auto"/>
              <w:ind w:left="1019" w:leftChars="0"/>
              <w:rPr>
                <w:color w:val="auto"/>
                <w:spacing w:val="7"/>
                <w:highlight w:val="none"/>
              </w:rPr>
            </w:pPr>
            <w:r>
              <w:rPr>
                <w:color w:val="auto"/>
                <w:spacing w:val="7"/>
                <w:highlight w:val="none"/>
              </w:rPr>
              <w:t>验收标准</w:t>
            </w:r>
          </w:p>
        </w:tc>
        <w:tc>
          <w:tcPr>
            <w:tcW w:w="6391" w:type="dxa"/>
            <w:gridSpan w:val="4"/>
            <w:vAlign w:val="top"/>
          </w:tcPr>
          <w:p w14:paraId="45B4807E">
            <w:pPr>
              <w:pStyle w:val="179"/>
              <w:spacing w:before="52" w:line="288" w:lineRule="auto"/>
              <w:ind w:left="106" w:right="109" w:firstLine="15"/>
              <w:rPr>
                <w:color w:val="auto"/>
                <w:highlight w:val="none"/>
              </w:rPr>
            </w:pPr>
            <w:r>
              <w:rPr>
                <w:color w:val="auto"/>
                <w:spacing w:val="8"/>
                <w:highlight w:val="none"/>
              </w:rPr>
              <w:t>1、合同履行过程中，由采购人根据供应商所提供的服务，对照竞争</w:t>
            </w:r>
            <w:r>
              <w:rPr>
                <w:color w:val="auto"/>
                <w:spacing w:val="13"/>
                <w:highlight w:val="none"/>
              </w:rPr>
              <w:t>性磋商文件要求及供应商响应文件中的承诺进</w:t>
            </w:r>
            <w:r>
              <w:rPr>
                <w:color w:val="auto"/>
                <w:spacing w:val="12"/>
                <w:highlight w:val="none"/>
              </w:rPr>
              <w:t>行检验并记录，如不</w:t>
            </w:r>
            <w:r>
              <w:rPr>
                <w:color w:val="auto"/>
                <w:spacing w:val="13"/>
                <w:highlight w:val="none"/>
              </w:rPr>
              <w:t>符合竞争性磋商文件服务要求、商务要求以及</w:t>
            </w:r>
            <w:r>
              <w:rPr>
                <w:color w:val="auto"/>
                <w:spacing w:val="12"/>
                <w:highlight w:val="none"/>
              </w:rPr>
              <w:t>提供虚假承诺的，按</w:t>
            </w:r>
            <w:r>
              <w:rPr>
                <w:color w:val="auto"/>
                <w:spacing w:val="13"/>
                <w:highlight w:val="none"/>
              </w:rPr>
              <w:t>相关规定做违约处理，供应商承担所有责任和</w:t>
            </w:r>
            <w:r>
              <w:rPr>
                <w:color w:val="auto"/>
                <w:spacing w:val="12"/>
                <w:highlight w:val="none"/>
              </w:rPr>
              <w:t>费用，采购人保留进</w:t>
            </w:r>
            <w:r>
              <w:rPr>
                <w:color w:val="auto"/>
                <w:spacing w:val="8"/>
                <w:highlight w:val="none"/>
              </w:rPr>
              <w:t>一步追究责任的权利。</w:t>
            </w:r>
          </w:p>
          <w:p w14:paraId="24807D3B">
            <w:pPr>
              <w:pStyle w:val="179"/>
              <w:spacing w:line="288" w:lineRule="auto"/>
              <w:ind w:left="106" w:right="109" w:firstLine="3"/>
              <w:rPr>
                <w:color w:val="auto"/>
                <w:highlight w:val="none"/>
              </w:rPr>
            </w:pPr>
            <w:r>
              <w:rPr>
                <w:color w:val="auto"/>
                <w:spacing w:val="9"/>
                <w:highlight w:val="none"/>
              </w:rPr>
              <w:t>2、供应商完成所有委托的抽检任务后，提供抽检项目品种</w:t>
            </w:r>
            <w:r>
              <w:rPr>
                <w:color w:val="auto"/>
                <w:spacing w:val="8"/>
                <w:highlight w:val="none"/>
              </w:rPr>
              <w:t>数量明细</w:t>
            </w:r>
            <w:r>
              <w:rPr>
                <w:color w:val="auto"/>
                <w:spacing w:val="7"/>
                <w:highlight w:val="none"/>
              </w:rPr>
              <w:t>及质量分析报告给采购人，</w:t>
            </w:r>
            <w:r>
              <w:rPr>
                <w:color w:val="auto"/>
                <w:spacing w:val="-46"/>
                <w:highlight w:val="none"/>
              </w:rPr>
              <w:t xml:space="preserve"> </w:t>
            </w:r>
            <w:r>
              <w:rPr>
                <w:color w:val="auto"/>
                <w:spacing w:val="7"/>
                <w:highlight w:val="none"/>
              </w:rPr>
              <w:t>由采购人组织专家进行验收。</w:t>
            </w:r>
          </w:p>
          <w:p w14:paraId="16282636">
            <w:pPr>
              <w:pStyle w:val="179"/>
              <w:spacing w:line="228" w:lineRule="auto"/>
              <w:ind w:left="111"/>
              <w:rPr>
                <w:color w:val="auto"/>
                <w:highlight w:val="none"/>
              </w:rPr>
            </w:pPr>
            <w:r>
              <w:rPr>
                <w:color w:val="auto"/>
                <w:spacing w:val="8"/>
                <w:highlight w:val="none"/>
              </w:rPr>
              <w:t>3、项目需求中有其他要求的按其要求。</w:t>
            </w:r>
          </w:p>
          <w:p w14:paraId="6348A113">
            <w:pPr>
              <w:pStyle w:val="179"/>
              <w:spacing w:before="64" w:line="288" w:lineRule="auto"/>
              <w:ind w:left="110" w:right="109" w:hanging="4"/>
              <w:rPr>
                <w:color w:val="auto"/>
                <w:highlight w:val="none"/>
              </w:rPr>
            </w:pPr>
            <w:r>
              <w:rPr>
                <w:color w:val="auto"/>
                <w:spacing w:val="9"/>
                <w:highlight w:val="none"/>
              </w:rPr>
              <w:t>4、验收过程中所产生的一切费用均由供应商承担。报价时应考虑相</w:t>
            </w:r>
            <w:r>
              <w:rPr>
                <w:color w:val="auto"/>
                <w:spacing w:val="4"/>
                <w:highlight w:val="none"/>
              </w:rPr>
              <w:t>关费用。</w:t>
            </w:r>
          </w:p>
          <w:p w14:paraId="0F3DEF2E">
            <w:pPr>
              <w:pStyle w:val="179"/>
              <w:spacing w:before="1" w:line="260" w:lineRule="auto"/>
              <w:ind w:left="105" w:leftChars="0" w:right="109" w:rightChars="0" w:firstLine="5" w:firstLineChars="0"/>
              <w:rPr>
                <w:rFonts w:ascii="Times New Roman" w:hAnsi="Times New Roman" w:eastAsia="Times New Roman" w:cs="Times New Roman"/>
                <w:color w:val="auto"/>
                <w:spacing w:val="7"/>
                <w:highlight w:val="none"/>
              </w:rPr>
            </w:pPr>
            <w:r>
              <w:rPr>
                <w:color w:val="auto"/>
                <w:spacing w:val="9"/>
                <w:highlight w:val="none"/>
              </w:rPr>
              <w:t>5、验收标准：依据采购文件、响应文件及国家、行业</w:t>
            </w:r>
            <w:r>
              <w:rPr>
                <w:color w:val="auto"/>
                <w:spacing w:val="8"/>
                <w:highlight w:val="none"/>
              </w:rPr>
              <w:t>现行法律法规</w:t>
            </w:r>
            <w:r>
              <w:rPr>
                <w:color w:val="auto"/>
                <w:spacing w:val="6"/>
                <w:highlight w:val="none"/>
              </w:rPr>
              <w:t>进行验收。</w:t>
            </w:r>
          </w:p>
        </w:tc>
      </w:tr>
    </w:tbl>
    <w:p w14:paraId="32E35BD0">
      <w:pPr>
        <w:rPr>
          <w:rFonts w:ascii="Arial"/>
          <w:color w:val="auto"/>
          <w:sz w:val="21"/>
          <w:highlight w:val="none"/>
        </w:rPr>
      </w:pPr>
    </w:p>
    <w:p w14:paraId="74A46880">
      <w:pPr>
        <w:rPr>
          <w:rFonts w:ascii="Arial" w:hAnsi="Arial" w:eastAsia="Arial" w:cs="Arial"/>
          <w:color w:val="auto"/>
          <w:sz w:val="21"/>
          <w:szCs w:val="21"/>
          <w:highlight w:val="none"/>
        </w:rPr>
        <w:sectPr>
          <w:pgSz w:w="11906" w:h="16839"/>
          <w:pgMar w:top="1431" w:right="1161" w:bottom="0" w:left="1474" w:header="0" w:footer="0" w:gutter="0"/>
          <w:pgNumType w:fmt="decimal"/>
          <w:cols w:space="720" w:num="1"/>
        </w:sectPr>
      </w:pPr>
    </w:p>
    <w:p w14:paraId="4176F171">
      <w:pPr>
        <w:spacing w:line="91" w:lineRule="auto"/>
        <w:rPr>
          <w:rFonts w:ascii="Arial"/>
          <w:color w:val="auto"/>
          <w:sz w:val="2"/>
          <w:highlight w:val="none"/>
        </w:rPr>
      </w:pPr>
    </w:p>
    <w:tbl>
      <w:tblPr>
        <w:tblStyle w:val="178"/>
        <w:tblW w:w="92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74"/>
        <w:gridCol w:w="6391"/>
      </w:tblGrid>
      <w:tr w14:paraId="594AB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874" w:type="dxa"/>
            <w:vAlign w:val="top"/>
          </w:tcPr>
          <w:p w14:paraId="6FB82AF2">
            <w:pPr>
              <w:spacing w:line="249" w:lineRule="auto"/>
              <w:rPr>
                <w:rFonts w:ascii="Arial"/>
                <w:color w:val="auto"/>
                <w:sz w:val="21"/>
                <w:highlight w:val="none"/>
              </w:rPr>
            </w:pPr>
          </w:p>
          <w:p w14:paraId="40B9994C">
            <w:pPr>
              <w:spacing w:line="249" w:lineRule="auto"/>
              <w:rPr>
                <w:rFonts w:ascii="Arial"/>
                <w:color w:val="auto"/>
                <w:sz w:val="21"/>
                <w:highlight w:val="none"/>
              </w:rPr>
            </w:pPr>
          </w:p>
          <w:p w14:paraId="60EA9751">
            <w:pPr>
              <w:spacing w:line="249" w:lineRule="auto"/>
              <w:rPr>
                <w:rFonts w:ascii="Arial"/>
                <w:color w:val="auto"/>
                <w:sz w:val="21"/>
                <w:highlight w:val="none"/>
              </w:rPr>
            </w:pPr>
          </w:p>
          <w:p w14:paraId="2259290A">
            <w:pPr>
              <w:spacing w:line="249" w:lineRule="auto"/>
              <w:rPr>
                <w:rFonts w:ascii="Arial"/>
                <w:color w:val="auto"/>
                <w:sz w:val="21"/>
                <w:highlight w:val="none"/>
              </w:rPr>
            </w:pPr>
          </w:p>
          <w:p w14:paraId="2B8E64E1">
            <w:pPr>
              <w:spacing w:line="249" w:lineRule="auto"/>
              <w:rPr>
                <w:rFonts w:ascii="Arial"/>
                <w:color w:val="auto"/>
                <w:sz w:val="21"/>
                <w:highlight w:val="none"/>
              </w:rPr>
            </w:pPr>
          </w:p>
          <w:p w14:paraId="6AE03418">
            <w:pPr>
              <w:spacing w:line="249" w:lineRule="auto"/>
              <w:rPr>
                <w:rFonts w:ascii="Arial"/>
                <w:color w:val="auto"/>
                <w:sz w:val="21"/>
                <w:highlight w:val="none"/>
              </w:rPr>
            </w:pPr>
          </w:p>
          <w:p w14:paraId="0B5577F7">
            <w:pPr>
              <w:spacing w:line="249" w:lineRule="auto"/>
              <w:rPr>
                <w:rFonts w:ascii="Arial"/>
                <w:color w:val="auto"/>
                <w:sz w:val="21"/>
                <w:highlight w:val="none"/>
              </w:rPr>
            </w:pPr>
          </w:p>
          <w:p w14:paraId="688B648A">
            <w:pPr>
              <w:spacing w:line="249" w:lineRule="auto"/>
              <w:rPr>
                <w:rFonts w:ascii="Arial"/>
                <w:color w:val="auto"/>
                <w:sz w:val="21"/>
                <w:highlight w:val="none"/>
              </w:rPr>
            </w:pPr>
          </w:p>
          <w:p w14:paraId="202C3691">
            <w:pPr>
              <w:spacing w:line="249" w:lineRule="auto"/>
              <w:rPr>
                <w:rFonts w:ascii="Arial"/>
                <w:color w:val="auto"/>
                <w:sz w:val="21"/>
                <w:highlight w:val="none"/>
              </w:rPr>
            </w:pPr>
          </w:p>
          <w:p w14:paraId="6CE40D08">
            <w:pPr>
              <w:spacing w:line="249" w:lineRule="auto"/>
              <w:rPr>
                <w:rFonts w:ascii="Arial"/>
                <w:color w:val="auto"/>
                <w:sz w:val="21"/>
                <w:highlight w:val="none"/>
              </w:rPr>
            </w:pPr>
          </w:p>
          <w:p w14:paraId="7F2BB7BF">
            <w:pPr>
              <w:spacing w:line="249" w:lineRule="auto"/>
              <w:rPr>
                <w:rFonts w:ascii="Arial"/>
                <w:color w:val="auto"/>
                <w:sz w:val="21"/>
                <w:highlight w:val="none"/>
              </w:rPr>
            </w:pPr>
          </w:p>
          <w:p w14:paraId="6A7A6923">
            <w:pPr>
              <w:spacing w:line="249" w:lineRule="auto"/>
              <w:rPr>
                <w:rFonts w:ascii="Arial"/>
                <w:color w:val="auto"/>
                <w:sz w:val="21"/>
                <w:highlight w:val="none"/>
              </w:rPr>
            </w:pPr>
          </w:p>
          <w:p w14:paraId="50C3867F">
            <w:pPr>
              <w:spacing w:line="250" w:lineRule="auto"/>
              <w:rPr>
                <w:rFonts w:ascii="Arial"/>
                <w:color w:val="auto"/>
                <w:sz w:val="21"/>
                <w:highlight w:val="none"/>
              </w:rPr>
            </w:pPr>
          </w:p>
          <w:p w14:paraId="6C50B1F6">
            <w:pPr>
              <w:spacing w:line="250" w:lineRule="auto"/>
              <w:rPr>
                <w:rFonts w:ascii="Arial"/>
                <w:color w:val="auto"/>
                <w:sz w:val="21"/>
                <w:highlight w:val="none"/>
              </w:rPr>
            </w:pPr>
          </w:p>
          <w:p w14:paraId="5C988EEA">
            <w:pPr>
              <w:pStyle w:val="179"/>
              <w:spacing w:before="65" w:line="229" w:lineRule="auto"/>
              <w:ind w:left="811"/>
              <w:rPr>
                <w:color w:val="auto"/>
                <w:highlight w:val="none"/>
              </w:rPr>
            </w:pPr>
            <w:r>
              <w:rPr>
                <w:color w:val="auto"/>
                <w:spacing w:val="8"/>
                <w:highlight w:val="none"/>
              </w:rPr>
              <w:t>三、其他要求</w:t>
            </w:r>
          </w:p>
        </w:tc>
        <w:tc>
          <w:tcPr>
            <w:tcW w:w="6391" w:type="dxa"/>
            <w:vAlign w:val="top"/>
          </w:tcPr>
          <w:p w14:paraId="3C437626">
            <w:pPr>
              <w:pStyle w:val="179"/>
              <w:spacing w:before="33" w:line="377" w:lineRule="auto"/>
              <w:ind w:left="106" w:right="109" w:firstLine="15"/>
              <w:rPr>
                <w:color w:val="auto"/>
                <w:highlight w:val="none"/>
              </w:rPr>
            </w:pPr>
            <w:r>
              <w:rPr>
                <w:color w:val="auto"/>
                <w:spacing w:val="8"/>
                <w:highlight w:val="none"/>
              </w:rPr>
              <w:t>1、以上服务要求及商务要求均不允许负偏离，如有一项则按无效响</w:t>
            </w:r>
            <w:r>
              <w:rPr>
                <w:color w:val="auto"/>
                <w:spacing w:val="5"/>
                <w:highlight w:val="none"/>
              </w:rPr>
              <w:t>应处理。</w:t>
            </w:r>
          </w:p>
          <w:p w14:paraId="170A08C0">
            <w:pPr>
              <w:pStyle w:val="179"/>
              <w:spacing w:before="1" w:line="377" w:lineRule="auto"/>
              <w:ind w:left="106" w:right="109" w:firstLine="3"/>
              <w:rPr>
                <w:color w:val="auto"/>
                <w:highlight w:val="none"/>
              </w:rPr>
            </w:pPr>
            <w:r>
              <w:rPr>
                <w:color w:val="auto"/>
                <w:spacing w:val="9"/>
                <w:highlight w:val="none"/>
              </w:rPr>
              <w:t>2、供应商要配合采购人开展复检。复检结果为最终结果。</w:t>
            </w:r>
            <w:r>
              <w:rPr>
                <w:color w:val="auto"/>
                <w:spacing w:val="8"/>
                <w:highlight w:val="none"/>
              </w:rPr>
              <w:t>复检结果</w:t>
            </w:r>
            <w:r>
              <w:rPr>
                <w:color w:val="auto"/>
                <w:spacing w:val="13"/>
                <w:highlight w:val="none"/>
              </w:rPr>
              <w:t>表明合格的，复检费用由抽样检验的部门承担；</w:t>
            </w:r>
            <w:r>
              <w:rPr>
                <w:color w:val="auto"/>
                <w:spacing w:val="12"/>
                <w:highlight w:val="none"/>
              </w:rPr>
              <w:t>复检结论表明不合</w:t>
            </w:r>
            <w:r>
              <w:rPr>
                <w:color w:val="auto"/>
                <w:spacing w:val="9"/>
                <w:highlight w:val="none"/>
              </w:rPr>
              <w:t>格的，复检费用由要求复检申请人或单位承担。</w:t>
            </w:r>
          </w:p>
          <w:p w14:paraId="52F945EC">
            <w:pPr>
              <w:pStyle w:val="179"/>
              <w:spacing w:line="377" w:lineRule="auto"/>
              <w:ind w:left="105" w:right="109" w:firstLine="5"/>
              <w:rPr>
                <w:color w:val="auto"/>
                <w:highlight w:val="none"/>
              </w:rPr>
            </w:pPr>
            <w:r>
              <w:rPr>
                <w:color w:val="auto"/>
                <w:spacing w:val="9"/>
                <w:highlight w:val="none"/>
              </w:rPr>
              <w:t>3、</w:t>
            </w:r>
            <w:r>
              <w:rPr>
                <w:rFonts w:hint="eastAsia" w:ascii="宋体" w:hAnsi="宋体" w:eastAsia="宋体" w:cs="宋体"/>
                <w:color w:val="auto"/>
                <w:spacing w:val="9"/>
                <w:sz w:val="20"/>
                <w:szCs w:val="20"/>
                <w:highlight w:val="none"/>
                <w:lang w:eastAsia="zh-CN"/>
              </w:rPr>
              <w:t>供应商需额外计划支持不超过</w:t>
            </w:r>
            <w:r>
              <w:rPr>
                <w:rFonts w:hint="eastAsia" w:ascii="宋体" w:hAnsi="宋体" w:eastAsia="宋体" w:cs="宋体"/>
                <w:color w:val="auto"/>
                <w:spacing w:val="9"/>
                <w:sz w:val="20"/>
                <w:szCs w:val="20"/>
                <w:highlight w:val="none"/>
                <w:lang w:val="en-US" w:eastAsia="zh-CN"/>
              </w:rPr>
              <w:t>50批次的抽检批次作为采购方应急抽检任务使用，</w:t>
            </w:r>
            <w:r>
              <w:rPr>
                <w:color w:val="auto"/>
                <w:spacing w:val="9"/>
                <w:highlight w:val="none"/>
              </w:rPr>
              <w:t>如采购人出现需要应急抽检的项目，成交供应商需</w:t>
            </w:r>
            <w:r>
              <w:rPr>
                <w:color w:val="auto"/>
                <w:spacing w:val="8"/>
                <w:highlight w:val="none"/>
              </w:rPr>
              <w:t>无条件配合采</w:t>
            </w:r>
            <w:r>
              <w:rPr>
                <w:color w:val="auto"/>
                <w:spacing w:val="9"/>
                <w:highlight w:val="none"/>
              </w:rPr>
              <w:t>购人的要求。</w:t>
            </w:r>
            <w:r>
              <w:rPr>
                <w:b/>
                <w:bCs/>
                <w:color w:val="auto"/>
                <w:spacing w:val="9"/>
                <w:highlight w:val="none"/>
              </w:rPr>
              <w:t>（供应商须在响应文件中提供书</w:t>
            </w:r>
            <w:r>
              <w:rPr>
                <w:b/>
                <w:bCs/>
                <w:color w:val="auto"/>
                <w:spacing w:val="8"/>
                <w:highlight w:val="none"/>
              </w:rPr>
              <w:t>面承诺并加盖供应商</w:t>
            </w:r>
            <w:r>
              <w:rPr>
                <w:b/>
                <w:bCs/>
                <w:color w:val="auto"/>
                <w:spacing w:val="7"/>
                <w:highlight w:val="none"/>
              </w:rPr>
              <w:t>单位公章，否则按无效响应处理，格式自拟）</w:t>
            </w:r>
          </w:p>
          <w:p w14:paraId="7B3F3E2E">
            <w:pPr>
              <w:pStyle w:val="179"/>
              <w:spacing w:before="2" w:line="376" w:lineRule="auto"/>
              <w:ind w:left="106" w:right="38"/>
              <w:rPr>
                <w:color w:val="auto"/>
                <w:highlight w:val="none"/>
              </w:rPr>
            </w:pPr>
            <w:r>
              <w:rPr>
                <w:color w:val="auto"/>
                <w:spacing w:val="4"/>
                <w:highlight w:val="none"/>
              </w:rPr>
              <w:t>4、供应商结合自身能力，在响应文件中提供项目整体组织实施方案、</w:t>
            </w:r>
            <w:r>
              <w:rPr>
                <w:color w:val="auto"/>
                <w:spacing w:val="10"/>
                <w:highlight w:val="none"/>
              </w:rPr>
              <w:t>抽样方案、检测方案、工作实施方案以供评</w:t>
            </w:r>
            <w:r>
              <w:rPr>
                <w:color w:val="auto"/>
                <w:spacing w:val="9"/>
                <w:highlight w:val="none"/>
              </w:rPr>
              <w:t>审，具体要求详见评审</w:t>
            </w:r>
            <w:r>
              <w:rPr>
                <w:color w:val="auto"/>
                <w:spacing w:val="3"/>
                <w:highlight w:val="none"/>
              </w:rPr>
              <w:t>标准。</w:t>
            </w:r>
          </w:p>
          <w:p w14:paraId="402A6E9C">
            <w:pPr>
              <w:pStyle w:val="179"/>
              <w:spacing w:before="1" w:line="376" w:lineRule="auto"/>
              <w:ind w:left="106" w:right="109" w:firstLine="4"/>
              <w:rPr>
                <w:color w:val="auto"/>
                <w:highlight w:val="none"/>
              </w:rPr>
            </w:pPr>
            <w:r>
              <w:rPr>
                <w:color w:val="auto"/>
                <w:spacing w:val="9"/>
                <w:highlight w:val="none"/>
              </w:rPr>
              <w:t>5、供应商须在响应文件中提供《供应商可以承检的食</w:t>
            </w:r>
            <w:r>
              <w:rPr>
                <w:color w:val="auto"/>
                <w:spacing w:val="8"/>
                <w:highlight w:val="none"/>
              </w:rPr>
              <w:t>品监督抽检品</w:t>
            </w:r>
            <w:r>
              <w:rPr>
                <w:color w:val="auto"/>
                <w:spacing w:val="9"/>
                <w:highlight w:val="none"/>
              </w:rPr>
              <w:t>种及项目表》并加盖供应商单位电子签章，</w:t>
            </w:r>
            <w:r>
              <w:rPr>
                <w:b/>
                <w:bCs/>
                <w:color w:val="auto"/>
                <w:spacing w:val="9"/>
                <w:highlight w:val="none"/>
              </w:rPr>
              <w:t>否则按无效响</w:t>
            </w:r>
            <w:r>
              <w:rPr>
                <w:b/>
                <w:bCs/>
                <w:color w:val="auto"/>
                <w:spacing w:val="8"/>
                <w:highlight w:val="none"/>
              </w:rPr>
              <w:t>应处理。</w:t>
            </w:r>
          </w:p>
          <w:p w14:paraId="38BA5581">
            <w:pPr>
              <w:pStyle w:val="179"/>
              <w:spacing w:before="2" w:line="370" w:lineRule="auto"/>
              <w:ind w:left="106" w:right="109" w:firstLine="1"/>
              <w:rPr>
                <w:color w:val="auto"/>
                <w:highlight w:val="none"/>
              </w:rPr>
            </w:pPr>
            <w:r>
              <w:rPr>
                <w:color w:val="auto"/>
                <w:spacing w:val="9"/>
                <w:highlight w:val="none"/>
              </w:rPr>
              <w:t>6、供应商的履约能力要求：投入人员配置、实验室食品能</w:t>
            </w:r>
            <w:r>
              <w:rPr>
                <w:color w:val="auto"/>
                <w:spacing w:val="8"/>
                <w:highlight w:val="none"/>
              </w:rPr>
              <w:t>力验证情</w:t>
            </w:r>
            <w:r>
              <w:rPr>
                <w:color w:val="auto"/>
                <w:spacing w:val="9"/>
                <w:highlight w:val="none"/>
              </w:rPr>
              <w:t>况、实验室综合能力证明开展食品抽检任务服务时效性、风险分析服务承诺、实验室内用于食品检验的大型检验仪器设备情况、202</w:t>
            </w:r>
            <w:r>
              <w:rPr>
                <w:rFonts w:hint="eastAsia"/>
                <w:color w:val="auto"/>
                <w:spacing w:val="9"/>
                <w:highlight w:val="none"/>
                <w:lang w:val="en-US" w:eastAsia="zh-CN"/>
              </w:rPr>
              <w:t>6</w:t>
            </w:r>
            <w:r>
              <w:rPr>
                <w:color w:val="auto"/>
                <w:spacing w:val="9"/>
                <w:highlight w:val="none"/>
              </w:rPr>
              <w:t>年度食品（含普通食品和农产品）安全监督抽检情况、与项目相关</w:t>
            </w:r>
            <w:r>
              <w:rPr>
                <w:color w:val="auto"/>
                <w:spacing w:val="7"/>
                <w:highlight w:val="none"/>
              </w:rPr>
              <w:t>的信誉及业绩（如有）。</w:t>
            </w:r>
          </w:p>
        </w:tc>
      </w:tr>
    </w:tbl>
    <w:p w14:paraId="4AA2C707">
      <w:pPr>
        <w:rPr>
          <w:color w:val="auto"/>
          <w:szCs w:val="21"/>
          <w:highlight w:val="none"/>
        </w:rPr>
        <w:sectPr>
          <w:headerReference r:id="rId13" w:type="default"/>
          <w:footerReference r:id="rId14" w:type="default"/>
          <w:pgSz w:w="11906" w:h="16838"/>
          <w:pgMar w:top="1417" w:right="1474" w:bottom="1417" w:left="1587" w:header="851" w:footer="992" w:gutter="0"/>
          <w:pgNumType w:fmt="decimal"/>
          <w:cols w:space="720" w:num="1"/>
          <w:docGrid w:linePitch="315" w:charSpace="0"/>
        </w:sectPr>
      </w:pPr>
      <w:r>
        <w:rPr>
          <w:color w:val="auto"/>
          <w:szCs w:val="21"/>
          <w:highlight w:val="none"/>
        </w:rPr>
        <w:br w:type="page"/>
      </w:r>
    </w:p>
    <w:p w14:paraId="19117F06">
      <w:pPr>
        <w:suppressAutoHyphens/>
        <w:spacing w:line="560" w:lineRule="exact"/>
        <w:rPr>
          <w:rFonts w:hint="eastAsia" w:ascii="Times New Roman" w:hAnsi="Times New Roman" w:eastAsia="黑体" w:cs="Times New Roman"/>
          <w:color w:val="auto"/>
          <w:kern w:val="1"/>
          <w:sz w:val="32"/>
          <w:szCs w:val="32"/>
          <w:highlight w:val="none"/>
          <w:lang w:eastAsia="zh-CN"/>
        </w:rPr>
      </w:pPr>
      <w:r>
        <w:rPr>
          <w:rFonts w:ascii="Times New Roman" w:hAnsi="Times New Roman" w:eastAsia="黑体" w:cs="Times New Roman"/>
          <w:color w:val="auto"/>
          <w:kern w:val="1"/>
          <w:sz w:val="32"/>
          <w:szCs w:val="32"/>
          <w:highlight w:val="none"/>
        </w:rPr>
        <w:t>附件</w:t>
      </w:r>
      <w:r>
        <w:rPr>
          <w:rFonts w:hint="eastAsia" w:ascii="Times New Roman" w:hAnsi="Times New Roman" w:eastAsia="黑体" w:cs="Times New Roman"/>
          <w:color w:val="auto"/>
          <w:kern w:val="1"/>
          <w:sz w:val="32"/>
          <w:szCs w:val="32"/>
          <w:highlight w:val="none"/>
          <w:lang w:val="en-US" w:eastAsia="zh-CN"/>
        </w:rPr>
        <w:t>1</w:t>
      </w:r>
    </w:p>
    <w:p w14:paraId="1DB47060">
      <w:pPr>
        <w:suppressAutoHyphens/>
        <w:spacing w:after="120" w:afterLines="50" w:line="600" w:lineRule="exact"/>
        <w:ind w:firstLine="0" w:firstLineChars="0"/>
        <w:jc w:val="center"/>
        <w:rPr>
          <w:rFonts w:hint="default" w:ascii="Times New Roman" w:hAnsi="Times New Roman" w:eastAsia="方正小标宋简体" w:cs="Times New Roman"/>
          <w:bCs/>
          <w:color w:val="auto"/>
          <w:kern w:val="0"/>
          <w:sz w:val="32"/>
          <w:szCs w:val="32"/>
          <w:highlight w:val="none"/>
          <w:lang w:eastAsia="zh-CN"/>
        </w:rPr>
      </w:pPr>
      <w:r>
        <w:rPr>
          <w:rFonts w:hint="default" w:ascii="Times New Roman" w:hAnsi="Times New Roman" w:eastAsia="方正小标宋简体" w:cs="Times New Roman"/>
          <w:bCs/>
          <w:color w:val="auto"/>
          <w:spacing w:val="0"/>
          <w:kern w:val="0"/>
          <w:sz w:val="32"/>
          <w:szCs w:val="32"/>
          <w:highlight w:val="none"/>
        </w:rPr>
        <w:t>202</w:t>
      </w:r>
      <w:r>
        <w:rPr>
          <w:rFonts w:hint="eastAsia" w:ascii="Times New Roman" w:hAnsi="Times New Roman" w:eastAsia="方正小标宋简体" w:cs="Times New Roman"/>
          <w:bCs/>
          <w:color w:val="auto"/>
          <w:spacing w:val="0"/>
          <w:kern w:val="0"/>
          <w:sz w:val="32"/>
          <w:szCs w:val="32"/>
          <w:highlight w:val="none"/>
          <w:lang w:val="en-US" w:eastAsia="zh-CN"/>
        </w:rPr>
        <w:t>6</w:t>
      </w:r>
      <w:r>
        <w:rPr>
          <w:rFonts w:hint="default" w:ascii="Times New Roman" w:hAnsi="Times New Roman" w:eastAsia="方正小标宋简体" w:cs="Times New Roman"/>
          <w:bCs/>
          <w:color w:val="auto"/>
          <w:spacing w:val="0"/>
          <w:kern w:val="0"/>
          <w:sz w:val="32"/>
          <w:szCs w:val="32"/>
          <w:highlight w:val="none"/>
        </w:rPr>
        <w:t>年</w:t>
      </w:r>
      <w:r>
        <w:rPr>
          <w:rFonts w:hint="eastAsia" w:ascii="Times New Roman" w:hAnsi="Times New Roman" w:eastAsia="方正小标宋简体" w:cs="Times New Roman"/>
          <w:bCs/>
          <w:color w:val="auto"/>
          <w:spacing w:val="0"/>
          <w:kern w:val="0"/>
          <w:sz w:val="32"/>
          <w:szCs w:val="32"/>
          <w:highlight w:val="none"/>
          <w:lang w:eastAsia="zh-CN"/>
        </w:rPr>
        <w:t>自治区转移支付各市加工食品</w:t>
      </w:r>
      <w:r>
        <w:rPr>
          <w:rFonts w:hint="default" w:ascii="Times New Roman" w:hAnsi="Times New Roman" w:eastAsia="方正小标宋简体" w:cs="Times New Roman"/>
          <w:bCs/>
          <w:color w:val="auto"/>
          <w:spacing w:val="0"/>
          <w:kern w:val="0"/>
          <w:sz w:val="32"/>
          <w:szCs w:val="32"/>
          <w:highlight w:val="none"/>
        </w:rPr>
        <w:t>监督抽检品种及项目表</w:t>
      </w:r>
    </w:p>
    <w:tbl>
      <w:tblPr>
        <w:tblStyle w:val="51"/>
        <w:tblW w:w="15000" w:type="dxa"/>
        <w:tblInd w:w="-4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107"/>
        <w:gridCol w:w="1256"/>
        <w:gridCol w:w="1144"/>
        <w:gridCol w:w="1856"/>
        <w:gridCol w:w="1106"/>
        <w:gridCol w:w="4376"/>
        <w:gridCol w:w="3435"/>
      </w:tblGrid>
      <w:tr w14:paraId="1831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trPr>
        <w:tc>
          <w:tcPr>
            <w:tcW w:w="720" w:type="dxa"/>
            <w:noWrap w:val="0"/>
            <w:vAlign w:val="center"/>
          </w:tcPr>
          <w:p w14:paraId="26C9688C">
            <w:pPr>
              <w:widowControl/>
              <w:spacing w:line="300" w:lineRule="exact"/>
              <w:jc w:val="center"/>
              <w:rPr>
                <w:rFonts w:hint="default" w:ascii="Times New Roman" w:hAnsi="Times New Roman" w:eastAsia="黑体" w:cs="Times New Roman"/>
                <w:b w:val="0"/>
                <w:bCs/>
                <w:color w:val="auto"/>
                <w:kern w:val="0"/>
                <w:szCs w:val="21"/>
                <w:highlight w:val="none"/>
              </w:rPr>
            </w:pPr>
            <w:r>
              <w:rPr>
                <w:rFonts w:hint="default" w:ascii="Times New Roman" w:hAnsi="Times New Roman" w:eastAsia="黑体" w:cs="Times New Roman"/>
                <w:b w:val="0"/>
                <w:bCs/>
                <w:color w:val="auto"/>
                <w:kern w:val="0"/>
                <w:szCs w:val="21"/>
                <w:highlight w:val="none"/>
              </w:rPr>
              <w:t>序号</w:t>
            </w:r>
          </w:p>
        </w:tc>
        <w:tc>
          <w:tcPr>
            <w:tcW w:w="1107" w:type="dxa"/>
            <w:noWrap w:val="0"/>
            <w:vAlign w:val="center"/>
          </w:tcPr>
          <w:p w14:paraId="334297D9">
            <w:pPr>
              <w:widowControl/>
              <w:spacing w:line="300" w:lineRule="exact"/>
              <w:jc w:val="center"/>
              <w:rPr>
                <w:rFonts w:hint="default" w:ascii="Times New Roman" w:hAnsi="Times New Roman" w:eastAsia="黑体" w:cs="Times New Roman"/>
                <w:b w:val="0"/>
                <w:bCs/>
                <w:color w:val="auto"/>
                <w:kern w:val="0"/>
                <w:szCs w:val="21"/>
                <w:highlight w:val="none"/>
              </w:rPr>
            </w:pPr>
            <w:r>
              <w:rPr>
                <w:rFonts w:hint="default" w:ascii="Times New Roman" w:hAnsi="Times New Roman" w:eastAsia="黑体" w:cs="Times New Roman"/>
                <w:b w:val="0"/>
                <w:bCs/>
                <w:color w:val="auto"/>
                <w:kern w:val="0"/>
                <w:szCs w:val="21"/>
                <w:highlight w:val="none"/>
              </w:rPr>
              <w:t>食品大类（一级）</w:t>
            </w:r>
          </w:p>
        </w:tc>
        <w:tc>
          <w:tcPr>
            <w:tcW w:w="1256" w:type="dxa"/>
            <w:noWrap w:val="0"/>
            <w:vAlign w:val="center"/>
          </w:tcPr>
          <w:p w14:paraId="5A258721">
            <w:pPr>
              <w:widowControl/>
              <w:spacing w:line="300" w:lineRule="exact"/>
              <w:jc w:val="center"/>
              <w:rPr>
                <w:rFonts w:hint="default" w:ascii="Times New Roman" w:hAnsi="Times New Roman" w:eastAsia="黑体" w:cs="Times New Roman"/>
                <w:b w:val="0"/>
                <w:bCs/>
                <w:color w:val="auto"/>
                <w:kern w:val="0"/>
                <w:szCs w:val="21"/>
                <w:highlight w:val="none"/>
              </w:rPr>
            </w:pPr>
            <w:r>
              <w:rPr>
                <w:rFonts w:hint="default" w:ascii="Times New Roman" w:hAnsi="Times New Roman" w:eastAsia="黑体" w:cs="Times New Roman"/>
                <w:b w:val="0"/>
                <w:bCs/>
                <w:color w:val="auto"/>
                <w:kern w:val="0"/>
                <w:szCs w:val="21"/>
                <w:highlight w:val="none"/>
              </w:rPr>
              <w:t>食品亚类（二级）</w:t>
            </w:r>
          </w:p>
        </w:tc>
        <w:tc>
          <w:tcPr>
            <w:tcW w:w="1144" w:type="dxa"/>
            <w:noWrap w:val="0"/>
            <w:vAlign w:val="center"/>
          </w:tcPr>
          <w:p w14:paraId="72AAB26E">
            <w:pPr>
              <w:widowControl/>
              <w:spacing w:line="300" w:lineRule="exact"/>
              <w:jc w:val="center"/>
              <w:rPr>
                <w:rFonts w:hint="default" w:ascii="Times New Roman" w:hAnsi="Times New Roman" w:eastAsia="黑体" w:cs="Times New Roman"/>
                <w:b w:val="0"/>
                <w:bCs/>
                <w:color w:val="auto"/>
                <w:kern w:val="0"/>
                <w:szCs w:val="21"/>
                <w:highlight w:val="none"/>
              </w:rPr>
            </w:pPr>
            <w:r>
              <w:rPr>
                <w:rFonts w:hint="default" w:ascii="Times New Roman" w:hAnsi="Times New Roman" w:eastAsia="黑体" w:cs="Times New Roman"/>
                <w:b w:val="0"/>
                <w:bCs/>
                <w:color w:val="auto"/>
                <w:kern w:val="0"/>
                <w:szCs w:val="21"/>
                <w:highlight w:val="none"/>
              </w:rPr>
              <w:t>食品品种（三级）</w:t>
            </w:r>
          </w:p>
        </w:tc>
        <w:tc>
          <w:tcPr>
            <w:tcW w:w="1856" w:type="dxa"/>
            <w:noWrap w:val="0"/>
            <w:vAlign w:val="center"/>
          </w:tcPr>
          <w:p w14:paraId="3B17A000">
            <w:pPr>
              <w:widowControl/>
              <w:spacing w:line="300" w:lineRule="exact"/>
              <w:jc w:val="center"/>
              <w:rPr>
                <w:rFonts w:hint="default" w:ascii="Times New Roman" w:hAnsi="Times New Roman" w:eastAsia="黑体" w:cs="Times New Roman"/>
                <w:b w:val="0"/>
                <w:bCs/>
                <w:color w:val="auto"/>
                <w:kern w:val="0"/>
                <w:szCs w:val="21"/>
                <w:highlight w:val="none"/>
              </w:rPr>
            </w:pPr>
            <w:r>
              <w:rPr>
                <w:rFonts w:hint="default" w:ascii="Times New Roman" w:hAnsi="Times New Roman" w:eastAsia="黑体" w:cs="Times New Roman"/>
                <w:b w:val="0"/>
                <w:bCs/>
                <w:color w:val="auto"/>
                <w:kern w:val="0"/>
                <w:szCs w:val="21"/>
                <w:highlight w:val="none"/>
              </w:rPr>
              <w:t>食品细类</w:t>
            </w:r>
            <w:r>
              <w:rPr>
                <w:rFonts w:hint="default" w:ascii="Times New Roman" w:hAnsi="Times New Roman" w:eastAsia="黑体" w:cs="Times New Roman"/>
                <w:b w:val="0"/>
                <w:bCs/>
                <w:color w:val="auto"/>
                <w:kern w:val="0"/>
                <w:szCs w:val="21"/>
                <w:highlight w:val="none"/>
              </w:rPr>
              <w:br w:type="textWrapping"/>
            </w:r>
            <w:r>
              <w:rPr>
                <w:rFonts w:hint="default" w:ascii="Times New Roman" w:hAnsi="Times New Roman" w:eastAsia="黑体" w:cs="Times New Roman"/>
                <w:b w:val="0"/>
                <w:bCs/>
                <w:color w:val="auto"/>
                <w:kern w:val="0"/>
                <w:szCs w:val="21"/>
                <w:highlight w:val="none"/>
              </w:rPr>
              <w:t>（四级）</w:t>
            </w:r>
          </w:p>
        </w:tc>
        <w:tc>
          <w:tcPr>
            <w:tcW w:w="1106" w:type="dxa"/>
            <w:noWrap w:val="0"/>
            <w:vAlign w:val="center"/>
          </w:tcPr>
          <w:p w14:paraId="19E11C96">
            <w:pPr>
              <w:widowControl/>
              <w:spacing w:line="300" w:lineRule="exact"/>
              <w:jc w:val="center"/>
              <w:rPr>
                <w:rFonts w:hint="default" w:ascii="Times New Roman" w:hAnsi="Times New Roman" w:eastAsia="黑体" w:cs="Times New Roman"/>
                <w:b w:val="0"/>
                <w:bCs/>
                <w:color w:val="auto"/>
                <w:kern w:val="0"/>
                <w:szCs w:val="21"/>
                <w:highlight w:val="none"/>
              </w:rPr>
            </w:pPr>
            <w:r>
              <w:rPr>
                <w:rFonts w:hint="default" w:ascii="Times New Roman" w:hAnsi="Times New Roman" w:eastAsia="黑体" w:cs="Times New Roman"/>
                <w:b w:val="0"/>
                <w:bCs/>
                <w:color w:val="auto"/>
                <w:kern w:val="0"/>
                <w:szCs w:val="21"/>
                <w:highlight w:val="none"/>
              </w:rPr>
              <w:t>风险等级</w:t>
            </w:r>
          </w:p>
        </w:tc>
        <w:tc>
          <w:tcPr>
            <w:tcW w:w="4376" w:type="dxa"/>
            <w:noWrap w:val="0"/>
            <w:vAlign w:val="center"/>
          </w:tcPr>
          <w:p w14:paraId="37C7BA4A">
            <w:pPr>
              <w:widowControl/>
              <w:spacing w:line="300" w:lineRule="exact"/>
              <w:jc w:val="center"/>
              <w:rPr>
                <w:rFonts w:hint="default" w:ascii="Times New Roman" w:hAnsi="Times New Roman" w:eastAsia="黑体" w:cs="Times New Roman"/>
                <w:b w:val="0"/>
                <w:bCs/>
                <w:color w:val="auto"/>
                <w:kern w:val="0"/>
                <w:szCs w:val="21"/>
                <w:highlight w:val="none"/>
              </w:rPr>
            </w:pPr>
            <w:r>
              <w:rPr>
                <w:rFonts w:hint="eastAsia" w:ascii="Times New Roman" w:hAnsi="Times New Roman" w:eastAsia="黑体" w:cs="Times New Roman"/>
                <w:b w:val="0"/>
                <w:bCs/>
                <w:color w:val="auto"/>
                <w:kern w:val="0"/>
                <w:szCs w:val="21"/>
                <w:highlight w:val="none"/>
                <w:lang w:eastAsia="zh-CN"/>
              </w:rPr>
              <w:t>必检</w:t>
            </w:r>
            <w:r>
              <w:rPr>
                <w:rFonts w:hint="default" w:ascii="Times New Roman" w:hAnsi="Times New Roman" w:eastAsia="黑体" w:cs="Times New Roman"/>
                <w:b w:val="0"/>
                <w:bCs/>
                <w:color w:val="auto"/>
                <w:kern w:val="0"/>
                <w:szCs w:val="21"/>
                <w:highlight w:val="none"/>
              </w:rPr>
              <w:t>项目</w:t>
            </w:r>
          </w:p>
        </w:tc>
        <w:tc>
          <w:tcPr>
            <w:tcW w:w="3435" w:type="dxa"/>
            <w:noWrap w:val="0"/>
            <w:vAlign w:val="center"/>
          </w:tcPr>
          <w:p w14:paraId="7F85F2DD">
            <w:pPr>
              <w:widowControl/>
              <w:spacing w:line="300" w:lineRule="exact"/>
              <w:jc w:val="center"/>
              <w:rPr>
                <w:rFonts w:hint="eastAsia" w:ascii="Times New Roman" w:hAnsi="Times New Roman" w:eastAsia="黑体" w:cs="Times New Roman"/>
                <w:b w:val="0"/>
                <w:bCs/>
                <w:color w:val="auto"/>
                <w:kern w:val="0"/>
                <w:szCs w:val="21"/>
                <w:highlight w:val="none"/>
                <w:lang w:eastAsia="zh-CN"/>
              </w:rPr>
            </w:pPr>
            <w:r>
              <w:rPr>
                <w:rFonts w:ascii="黑体" w:hAnsi="黑体" w:eastAsia="黑体" w:cs="黑体"/>
                <w:color w:val="auto"/>
                <w:spacing w:val="7"/>
                <w:sz w:val="20"/>
                <w:szCs w:val="20"/>
                <w:highlight w:val="none"/>
              </w:rPr>
              <w:t>延伸项目</w:t>
            </w:r>
          </w:p>
        </w:tc>
      </w:tr>
      <w:tr w14:paraId="4433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1855BA61">
            <w:pPr>
              <w:widowControl/>
              <w:spacing w:line="300" w:lineRule="exact"/>
              <w:jc w:val="center"/>
              <w:rPr>
                <w:rFonts w:hint="default" w:ascii="Times New Roman" w:hAnsi="Times New Roman" w:eastAsia="仿宋_GB2312" w:cs="Times New Roman"/>
                <w:color w:val="auto"/>
                <w:kern w:val="0"/>
                <w:szCs w:val="21"/>
                <w:highlight w:val="none"/>
              </w:rPr>
            </w:pPr>
          </w:p>
          <w:p w14:paraId="46BC9B7C">
            <w:pPr>
              <w:widowControl/>
              <w:spacing w:line="300" w:lineRule="exact"/>
              <w:jc w:val="center"/>
              <w:rPr>
                <w:rFonts w:hint="default" w:ascii="Times New Roman" w:hAnsi="Times New Roman" w:eastAsia="仿宋_GB2312" w:cs="Times New Roman"/>
                <w:color w:val="auto"/>
                <w:kern w:val="0"/>
                <w:szCs w:val="21"/>
                <w:highlight w:val="none"/>
              </w:rPr>
            </w:pPr>
          </w:p>
          <w:p w14:paraId="50CEC642">
            <w:pPr>
              <w:widowControl/>
              <w:spacing w:line="300" w:lineRule="exact"/>
              <w:jc w:val="center"/>
              <w:rPr>
                <w:rFonts w:hint="default" w:ascii="Times New Roman" w:hAnsi="Times New Roman" w:eastAsia="仿宋_GB2312" w:cs="Times New Roman"/>
                <w:color w:val="auto"/>
                <w:kern w:val="0"/>
                <w:szCs w:val="21"/>
                <w:highlight w:val="none"/>
              </w:rPr>
            </w:pPr>
          </w:p>
          <w:p w14:paraId="5074820A">
            <w:pPr>
              <w:widowControl/>
              <w:spacing w:line="300" w:lineRule="exact"/>
              <w:jc w:val="center"/>
              <w:rPr>
                <w:rFonts w:hint="default" w:ascii="Times New Roman" w:hAnsi="Times New Roman" w:eastAsia="仿宋_GB2312" w:cs="Times New Roman"/>
                <w:color w:val="auto"/>
                <w:kern w:val="0"/>
                <w:szCs w:val="21"/>
                <w:highlight w:val="none"/>
              </w:rPr>
            </w:pPr>
          </w:p>
          <w:p w14:paraId="090B05D3">
            <w:pPr>
              <w:widowControl/>
              <w:spacing w:line="300" w:lineRule="exact"/>
              <w:jc w:val="center"/>
              <w:rPr>
                <w:rFonts w:hint="default" w:ascii="Times New Roman" w:hAnsi="Times New Roman" w:eastAsia="仿宋_GB2312" w:cs="Times New Roman"/>
                <w:color w:val="auto"/>
                <w:kern w:val="0"/>
                <w:szCs w:val="21"/>
                <w:highlight w:val="none"/>
              </w:rPr>
            </w:pPr>
          </w:p>
          <w:p w14:paraId="5FA9B4BA">
            <w:pPr>
              <w:widowControl/>
              <w:spacing w:line="300" w:lineRule="exact"/>
              <w:jc w:val="center"/>
              <w:rPr>
                <w:rFonts w:hint="default" w:ascii="Times New Roman" w:hAnsi="Times New Roman" w:eastAsia="仿宋_GB2312" w:cs="Times New Roman"/>
                <w:color w:val="auto"/>
                <w:kern w:val="0"/>
                <w:szCs w:val="21"/>
                <w:highlight w:val="none"/>
              </w:rPr>
            </w:pPr>
          </w:p>
          <w:p w14:paraId="6E21807E">
            <w:pPr>
              <w:widowControl/>
              <w:spacing w:line="300" w:lineRule="exact"/>
              <w:jc w:val="center"/>
              <w:rPr>
                <w:rFonts w:hint="default" w:ascii="Times New Roman" w:hAnsi="Times New Roman" w:eastAsia="仿宋_GB2312" w:cs="Times New Roman"/>
                <w:color w:val="auto"/>
                <w:kern w:val="0"/>
                <w:szCs w:val="21"/>
                <w:highlight w:val="none"/>
              </w:rPr>
            </w:pPr>
          </w:p>
          <w:p w14:paraId="0EE92B39">
            <w:pPr>
              <w:widowControl/>
              <w:spacing w:line="300" w:lineRule="exact"/>
              <w:jc w:val="center"/>
              <w:rPr>
                <w:rFonts w:hint="default" w:ascii="Times New Roman" w:hAnsi="Times New Roman" w:eastAsia="仿宋_GB2312" w:cs="Times New Roman"/>
                <w:color w:val="auto"/>
                <w:kern w:val="0"/>
                <w:szCs w:val="21"/>
                <w:highlight w:val="none"/>
              </w:rPr>
            </w:pPr>
          </w:p>
          <w:p w14:paraId="23F5D6F4">
            <w:pPr>
              <w:widowControl/>
              <w:spacing w:line="300" w:lineRule="exact"/>
              <w:jc w:val="center"/>
              <w:rPr>
                <w:rFonts w:hint="default" w:ascii="Times New Roman" w:hAnsi="Times New Roman" w:eastAsia="仿宋_GB2312" w:cs="Times New Roman"/>
                <w:color w:val="auto"/>
                <w:kern w:val="0"/>
                <w:szCs w:val="21"/>
                <w:highlight w:val="none"/>
              </w:rPr>
            </w:pPr>
          </w:p>
          <w:p w14:paraId="6DD89B13">
            <w:pPr>
              <w:widowControl/>
              <w:spacing w:line="300" w:lineRule="exact"/>
              <w:jc w:val="center"/>
              <w:rPr>
                <w:rFonts w:hint="default" w:ascii="Times New Roman" w:hAnsi="Times New Roman" w:eastAsia="仿宋_GB2312" w:cs="Times New Roman"/>
                <w:color w:val="auto"/>
                <w:kern w:val="0"/>
                <w:szCs w:val="21"/>
                <w:highlight w:val="none"/>
              </w:rPr>
            </w:pPr>
          </w:p>
          <w:p w14:paraId="0C2EF07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w:t>
            </w:r>
          </w:p>
          <w:p w14:paraId="31DC7C31">
            <w:pPr>
              <w:widowControl/>
              <w:spacing w:line="300" w:lineRule="exact"/>
              <w:jc w:val="center"/>
              <w:rPr>
                <w:rFonts w:hint="default" w:ascii="Times New Roman" w:hAnsi="Times New Roman" w:eastAsia="仿宋_GB2312" w:cs="Times New Roman"/>
                <w:color w:val="auto"/>
                <w:kern w:val="0"/>
                <w:szCs w:val="21"/>
                <w:highlight w:val="none"/>
              </w:rPr>
            </w:pPr>
          </w:p>
          <w:p w14:paraId="0A86D0CD">
            <w:pPr>
              <w:widowControl/>
              <w:spacing w:line="300" w:lineRule="exact"/>
              <w:jc w:val="center"/>
              <w:rPr>
                <w:rFonts w:hint="default" w:ascii="Times New Roman" w:hAnsi="Times New Roman" w:eastAsia="仿宋_GB2312" w:cs="Times New Roman"/>
                <w:color w:val="auto"/>
                <w:kern w:val="0"/>
                <w:szCs w:val="21"/>
                <w:highlight w:val="none"/>
              </w:rPr>
            </w:pPr>
          </w:p>
          <w:p w14:paraId="362AC6AE">
            <w:pPr>
              <w:widowControl/>
              <w:spacing w:line="300" w:lineRule="exact"/>
              <w:jc w:val="center"/>
              <w:rPr>
                <w:rFonts w:hint="default" w:ascii="Times New Roman" w:hAnsi="Times New Roman" w:eastAsia="仿宋_GB2312" w:cs="Times New Roman"/>
                <w:color w:val="auto"/>
                <w:kern w:val="0"/>
                <w:szCs w:val="21"/>
                <w:highlight w:val="none"/>
              </w:rPr>
            </w:pPr>
          </w:p>
          <w:p w14:paraId="0BAB859A">
            <w:pPr>
              <w:widowControl/>
              <w:spacing w:line="300" w:lineRule="exact"/>
              <w:jc w:val="center"/>
              <w:rPr>
                <w:rFonts w:hint="default" w:ascii="Times New Roman" w:hAnsi="Times New Roman" w:eastAsia="仿宋_GB2312" w:cs="Times New Roman"/>
                <w:color w:val="auto"/>
                <w:kern w:val="0"/>
                <w:szCs w:val="21"/>
                <w:highlight w:val="none"/>
              </w:rPr>
            </w:pPr>
          </w:p>
          <w:p w14:paraId="7200DBA7">
            <w:pPr>
              <w:widowControl/>
              <w:spacing w:line="300" w:lineRule="exact"/>
              <w:jc w:val="center"/>
              <w:rPr>
                <w:rFonts w:hint="default" w:ascii="Times New Roman" w:hAnsi="Times New Roman" w:eastAsia="仿宋_GB2312" w:cs="Times New Roman"/>
                <w:color w:val="auto"/>
                <w:kern w:val="0"/>
                <w:szCs w:val="21"/>
                <w:highlight w:val="none"/>
              </w:rPr>
            </w:pPr>
          </w:p>
          <w:p w14:paraId="7E7F2C1D">
            <w:pPr>
              <w:widowControl/>
              <w:spacing w:line="300" w:lineRule="exact"/>
              <w:jc w:val="center"/>
              <w:rPr>
                <w:rFonts w:hint="default" w:ascii="Times New Roman" w:hAnsi="Times New Roman" w:eastAsia="仿宋_GB2312" w:cs="Times New Roman"/>
                <w:color w:val="auto"/>
                <w:kern w:val="0"/>
                <w:szCs w:val="21"/>
                <w:highlight w:val="none"/>
              </w:rPr>
            </w:pPr>
          </w:p>
          <w:p w14:paraId="03B179DA">
            <w:pPr>
              <w:widowControl/>
              <w:spacing w:line="300" w:lineRule="exact"/>
              <w:jc w:val="center"/>
              <w:rPr>
                <w:rFonts w:hint="default" w:ascii="Times New Roman" w:hAnsi="Times New Roman" w:eastAsia="仿宋_GB2312" w:cs="Times New Roman"/>
                <w:color w:val="auto"/>
                <w:kern w:val="0"/>
                <w:szCs w:val="21"/>
                <w:highlight w:val="none"/>
              </w:rPr>
            </w:pPr>
          </w:p>
          <w:p w14:paraId="634B0A97">
            <w:pPr>
              <w:widowControl/>
              <w:spacing w:line="300" w:lineRule="exact"/>
              <w:jc w:val="center"/>
              <w:rPr>
                <w:rFonts w:hint="default" w:ascii="Times New Roman" w:hAnsi="Times New Roman" w:eastAsia="仿宋_GB2312" w:cs="Times New Roman"/>
                <w:color w:val="auto"/>
                <w:kern w:val="0"/>
                <w:szCs w:val="21"/>
                <w:highlight w:val="none"/>
              </w:rPr>
            </w:pPr>
          </w:p>
          <w:p w14:paraId="05B82966">
            <w:pPr>
              <w:widowControl/>
              <w:spacing w:line="300" w:lineRule="exact"/>
              <w:jc w:val="center"/>
              <w:rPr>
                <w:rFonts w:hint="default" w:ascii="Times New Roman" w:hAnsi="Times New Roman" w:eastAsia="仿宋_GB2312" w:cs="Times New Roman"/>
                <w:color w:val="auto"/>
                <w:kern w:val="0"/>
                <w:szCs w:val="21"/>
                <w:highlight w:val="none"/>
              </w:rPr>
            </w:pPr>
          </w:p>
          <w:p w14:paraId="137B8A5A">
            <w:pPr>
              <w:widowControl/>
              <w:spacing w:line="300" w:lineRule="exact"/>
              <w:jc w:val="center"/>
              <w:rPr>
                <w:rFonts w:hint="default" w:ascii="Times New Roman" w:hAnsi="Times New Roman" w:eastAsia="仿宋_GB2312" w:cs="Times New Roman"/>
                <w:color w:val="auto"/>
                <w:kern w:val="0"/>
                <w:szCs w:val="21"/>
                <w:highlight w:val="none"/>
              </w:rPr>
            </w:pPr>
          </w:p>
          <w:p w14:paraId="58B22697">
            <w:pPr>
              <w:widowControl/>
              <w:spacing w:line="300" w:lineRule="exact"/>
              <w:jc w:val="center"/>
              <w:rPr>
                <w:rFonts w:hint="default" w:ascii="Times New Roman" w:hAnsi="Times New Roman" w:eastAsia="仿宋_GB2312" w:cs="Times New Roman"/>
                <w:color w:val="auto"/>
                <w:kern w:val="0"/>
                <w:szCs w:val="21"/>
                <w:highlight w:val="none"/>
              </w:rPr>
            </w:pPr>
          </w:p>
          <w:p w14:paraId="283AF2B0">
            <w:pPr>
              <w:widowControl/>
              <w:spacing w:line="300" w:lineRule="exact"/>
              <w:jc w:val="center"/>
              <w:rPr>
                <w:rFonts w:hint="default" w:ascii="Times New Roman" w:hAnsi="Times New Roman" w:eastAsia="仿宋_GB2312" w:cs="Times New Roman"/>
                <w:color w:val="auto"/>
                <w:kern w:val="0"/>
                <w:szCs w:val="21"/>
                <w:highlight w:val="none"/>
              </w:rPr>
            </w:pPr>
          </w:p>
          <w:p w14:paraId="6F2FB7D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DBDF55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D4EE93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48D53E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F06E2E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E30DE4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64E02B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A5EBC5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1</w:t>
            </w:r>
          </w:p>
        </w:tc>
        <w:tc>
          <w:tcPr>
            <w:tcW w:w="1107" w:type="dxa"/>
            <w:vMerge w:val="restart"/>
            <w:noWrap w:val="0"/>
            <w:vAlign w:val="center"/>
          </w:tcPr>
          <w:p w14:paraId="1979BEC7">
            <w:pPr>
              <w:widowControl/>
              <w:spacing w:line="300" w:lineRule="exact"/>
              <w:jc w:val="center"/>
              <w:rPr>
                <w:rFonts w:hint="default" w:ascii="Times New Roman" w:hAnsi="Times New Roman" w:eastAsia="仿宋_GB2312" w:cs="Times New Roman"/>
                <w:color w:val="auto"/>
                <w:kern w:val="0"/>
                <w:szCs w:val="21"/>
                <w:highlight w:val="none"/>
              </w:rPr>
            </w:pPr>
          </w:p>
          <w:p w14:paraId="5F5D44FC">
            <w:pPr>
              <w:widowControl/>
              <w:spacing w:line="300" w:lineRule="exact"/>
              <w:jc w:val="center"/>
              <w:rPr>
                <w:rFonts w:hint="default" w:ascii="Times New Roman" w:hAnsi="Times New Roman" w:eastAsia="仿宋_GB2312" w:cs="Times New Roman"/>
                <w:color w:val="auto"/>
                <w:kern w:val="0"/>
                <w:szCs w:val="21"/>
                <w:highlight w:val="none"/>
              </w:rPr>
            </w:pPr>
          </w:p>
          <w:p w14:paraId="0936129C">
            <w:pPr>
              <w:widowControl/>
              <w:spacing w:line="300" w:lineRule="exact"/>
              <w:jc w:val="center"/>
              <w:rPr>
                <w:rFonts w:hint="default" w:ascii="Times New Roman" w:hAnsi="Times New Roman" w:eastAsia="仿宋_GB2312" w:cs="Times New Roman"/>
                <w:color w:val="auto"/>
                <w:kern w:val="0"/>
                <w:szCs w:val="21"/>
                <w:highlight w:val="none"/>
              </w:rPr>
            </w:pPr>
          </w:p>
          <w:p w14:paraId="34A18080">
            <w:pPr>
              <w:widowControl/>
              <w:spacing w:line="300" w:lineRule="exact"/>
              <w:jc w:val="center"/>
              <w:rPr>
                <w:rFonts w:hint="default" w:ascii="Times New Roman" w:hAnsi="Times New Roman" w:eastAsia="仿宋_GB2312" w:cs="Times New Roman"/>
                <w:color w:val="auto"/>
                <w:kern w:val="0"/>
                <w:szCs w:val="21"/>
                <w:highlight w:val="none"/>
              </w:rPr>
            </w:pPr>
          </w:p>
          <w:p w14:paraId="65F7B948">
            <w:pPr>
              <w:widowControl/>
              <w:spacing w:line="300" w:lineRule="exact"/>
              <w:jc w:val="center"/>
              <w:rPr>
                <w:rFonts w:hint="default" w:ascii="Times New Roman" w:hAnsi="Times New Roman" w:eastAsia="仿宋_GB2312" w:cs="Times New Roman"/>
                <w:color w:val="auto"/>
                <w:kern w:val="0"/>
                <w:szCs w:val="21"/>
                <w:highlight w:val="none"/>
              </w:rPr>
            </w:pPr>
          </w:p>
          <w:p w14:paraId="45719725">
            <w:pPr>
              <w:widowControl/>
              <w:spacing w:line="300" w:lineRule="exact"/>
              <w:jc w:val="center"/>
              <w:rPr>
                <w:rFonts w:hint="default" w:ascii="Times New Roman" w:hAnsi="Times New Roman" w:eastAsia="仿宋_GB2312" w:cs="Times New Roman"/>
                <w:color w:val="auto"/>
                <w:kern w:val="0"/>
                <w:szCs w:val="21"/>
                <w:highlight w:val="none"/>
              </w:rPr>
            </w:pPr>
          </w:p>
          <w:p w14:paraId="5A19D216">
            <w:pPr>
              <w:widowControl/>
              <w:spacing w:line="300" w:lineRule="exact"/>
              <w:jc w:val="center"/>
              <w:rPr>
                <w:rFonts w:hint="default" w:ascii="Times New Roman" w:hAnsi="Times New Roman" w:eastAsia="仿宋_GB2312" w:cs="Times New Roman"/>
                <w:color w:val="auto"/>
                <w:kern w:val="0"/>
                <w:szCs w:val="21"/>
                <w:highlight w:val="none"/>
              </w:rPr>
            </w:pPr>
          </w:p>
          <w:p w14:paraId="501A20ED">
            <w:pPr>
              <w:widowControl/>
              <w:spacing w:line="300" w:lineRule="exact"/>
              <w:jc w:val="center"/>
              <w:rPr>
                <w:rFonts w:hint="default" w:ascii="Times New Roman" w:hAnsi="Times New Roman" w:eastAsia="仿宋_GB2312" w:cs="Times New Roman"/>
                <w:color w:val="auto"/>
                <w:kern w:val="0"/>
                <w:szCs w:val="21"/>
                <w:highlight w:val="none"/>
              </w:rPr>
            </w:pPr>
          </w:p>
          <w:p w14:paraId="6032AE98">
            <w:pPr>
              <w:widowControl/>
              <w:spacing w:line="300" w:lineRule="exact"/>
              <w:jc w:val="center"/>
              <w:rPr>
                <w:rFonts w:hint="default" w:ascii="Times New Roman" w:hAnsi="Times New Roman" w:eastAsia="仿宋_GB2312" w:cs="Times New Roman"/>
                <w:color w:val="auto"/>
                <w:kern w:val="0"/>
                <w:szCs w:val="21"/>
                <w:highlight w:val="none"/>
              </w:rPr>
            </w:pPr>
          </w:p>
          <w:p w14:paraId="2A63B3E9">
            <w:pPr>
              <w:widowControl/>
              <w:spacing w:line="300" w:lineRule="exact"/>
              <w:jc w:val="center"/>
              <w:rPr>
                <w:rFonts w:hint="default" w:ascii="Times New Roman" w:hAnsi="Times New Roman" w:eastAsia="仿宋_GB2312" w:cs="Times New Roman"/>
                <w:color w:val="auto"/>
                <w:kern w:val="0"/>
                <w:szCs w:val="21"/>
                <w:highlight w:val="none"/>
              </w:rPr>
            </w:pPr>
          </w:p>
          <w:p w14:paraId="7BEDB6D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粮食加工品</w:t>
            </w:r>
          </w:p>
          <w:p w14:paraId="3CF06CC6">
            <w:pPr>
              <w:widowControl/>
              <w:spacing w:line="300" w:lineRule="exact"/>
              <w:jc w:val="center"/>
              <w:rPr>
                <w:rFonts w:hint="default" w:ascii="Times New Roman" w:hAnsi="Times New Roman" w:eastAsia="仿宋_GB2312" w:cs="Times New Roman"/>
                <w:color w:val="auto"/>
                <w:kern w:val="0"/>
                <w:szCs w:val="21"/>
                <w:highlight w:val="none"/>
              </w:rPr>
            </w:pPr>
          </w:p>
          <w:p w14:paraId="2D4EDE06">
            <w:pPr>
              <w:widowControl/>
              <w:spacing w:line="300" w:lineRule="exact"/>
              <w:jc w:val="center"/>
              <w:rPr>
                <w:rFonts w:hint="default" w:ascii="Times New Roman" w:hAnsi="Times New Roman" w:eastAsia="仿宋_GB2312" w:cs="Times New Roman"/>
                <w:color w:val="auto"/>
                <w:kern w:val="0"/>
                <w:szCs w:val="21"/>
                <w:highlight w:val="none"/>
              </w:rPr>
            </w:pPr>
          </w:p>
          <w:p w14:paraId="378E0438">
            <w:pPr>
              <w:widowControl/>
              <w:spacing w:line="300" w:lineRule="exact"/>
              <w:jc w:val="center"/>
              <w:rPr>
                <w:rFonts w:hint="default" w:ascii="Times New Roman" w:hAnsi="Times New Roman" w:eastAsia="仿宋_GB2312" w:cs="Times New Roman"/>
                <w:color w:val="auto"/>
                <w:kern w:val="0"/>
                <w:szCs w:val="21"/>
                <w:highlight w:val="none"/>
              </w:rPr>
            </w:pPr>
          </w:p>
          <w:p w14:paraId="64BE1C59">
            <w:pPr>
              <w:widowControl/>
              <w:spacing w:line="300" w:lineRule="exact"/>
              <w:jc w:val="center"/>
              <w:rPr>
                <w:rFonts w:hint="default" w:ascii="Times New Roman" w:hAnsi="Times New Roman" w:eastAsia="仿宋_GB2312" w:cs="Times New Roman"/>
                <w:color w:val="auto"/>
                <w:kern w:val="0"/>
                <w:szCs w:val="21"/>
                <w:highlight w:val="none"/>
              </w:rPr>
            </w:pPr>
          </w:p>
          <w:p w14:paraId="141AD344">
            <w:pPr>
              <w:widowControl/>
              <w:spacing w:line="300" w:lineRule="exact"/>
              <w:jc w:val="center"/>
              <w:rPr>
                <w:rFonts w:hint="default" w:ascii="Times New Roman" w:hAnsi="Times New Roman" w:eastAsia="仿宋_GB2312" w:cs="Times New Roman"/>
                <w:color w:val="auto"/>
                <w:kern w:val="0"/>
                <w:szCs w:val="21"/>
                <w:highlight w:val="none"/>
              </w:rPr>
            </w:pPr>
          </w:p>
          <w:p w14:paraId="205B394D">
            <w:pPr>
              <w:widowControl/>
              <w:spacing w:line="300" w:lineRule="exact"/>
              <w:jc w:val="center"/>
              <w:rPr>
                <w:rFonts w:hint="default" w:ascii="Times New Roman" w:hAnsi="Times New Roman" w:eastAsia="仿宋_GB2312" w:cs="Times New Roman"/>
                <w:color w:val="auto"/>
                <w:kern w:val="0"/>
                <w:szCs w:val="21"/>
                <w:highlight w:val="none"/>
              </w:rPr>
            </w:pPr>
          </w:p>
          <w:p w14:paraId="3CE25F8E">
            <w:pPr>
              <w:widowControl/>
              <w:spacing w:line="300" w:lineRule="exact"/>
              <w:jc w:val="center"/>
              <w:rPr>
                <w:rFonts w:hint="default" w:ascii="Times New Roman" w:hAnsi="Times New Roman" w:eastAsia="仿宋_GB2312" w:cs="Times New Roman"/>
                <w:color w:val="auto"/>
                <w:kern w:val="0"/>
                <w:szCs w:val="21"/>
                <w:highlight w:val="none"/>
              </w:rPr>
            </w:pPr>
          </w:p>
          <w:p w14:paraId="2D31DA3C">
            <w:pPr>
              <w:widowControl/>
              <w:spacing w:line="300" w:lineRule="exact"/>
              <w:jc w:val="center"/>
              <w:rPr>
                <w:rFonts w:hint="default" w:ascii="Times New Roman" w:hAnsi="Times New Roman" w:eastAsia="仿宋_GB2312" w:cs="Times New Roman"/>
                <w:color w:val="auto"/>
                <w:kern w:val="0"/>
                <w:szCs w:val="21"/>
                <w:highlight w:val="none"/>
              </w:rPr>
            </w:pPr>
          </w:p>
          <w:p w14:paraId="1DC67016">
            <w:pPr>
              <w:widowControl/>
              <w:spacing w:line="300" w:lineRule="exact"/>
              <w:jc w:val="center"/>
              <w:rPr>
                <w:rFonts w:hint="default" w:ascii="Times New Roman" w:hAnsi="Times New Roman" w:eastAsia="仿宋_GB2312" w:cs="Times New Roman"/>
                <w:color w:val="auto"/>
                <w:kern w:val="0"/>
                <w:szCs w:val="21"/>
                <w:highlight w:val="none"/>
              </w:rPr>
            </w:pPr>
          </w:p>
          <w:p w14:paraId="72AAD1FE">
            <w:pPr>
              <w:widowControl/>
              <w:spacing w:line="300" w:lineRule="exact"/>
              <w:jc w:val="center"/>
              <w:rPr>
                <w:rFonts w:hint="default" w:ascii="Times New Roman" w:hAnsi="Times New Roman" w:eastAsia="仿宋_GB2312" w:cs="Times New Roman"/>
                <w:color w:val="auto"/>
                <w:kern w:val="0"/>
                <w:szCs w:val="21"/>
                <w:highlight w:val="none"/>
              </w:rPr>
            </w:pPr>
          </w:p>
          <w:p w14:paraId="7471E12A">
            <w:pPr>
              <w:widowControl/>
              <w:spacing w:line="300" w:lineRule="exact"/>
              <w:jc w:val="center"/>
              <w:rPr>
                <w:rFonts w:hint="default" w:ascii="Times New Roman" w:hAnsi="Times New Roman" w:eastAsia="仿宋_GB2312" w:cs="Times New Roman"/>
                <w:color w:val="auto"/>
                <w:kern w:val="0"/>
                <w:szCs w:val="21"/>
                <w:highlight w:val="none"/>
              </w:rPr>
            </w:pPr>
          </w:p>
          <w:p w14:paraId="3AC666D7">
            <w:pPr>
              <w:widowControl/>
              <w:spacing w:line="300" w:lineRule="exact"/>
              <w:jc w:val="center"/>
              <w:rPr>
                <w:rFonts w:hint="default" w:ascii="Times New Roman" w:hAnsi="Times New Roman" w:eastAsia="仿宋_GB2312" w:cs="Times New Roman"/>
                <w:color w:val="auto"/>
                <w:kern w:val="0"/>
                <w:szCs w:val="21"/>
                <w:highlight w:val="none"/>
              </w:rPr>
            </w:pPr>
          </w:p>
          <w:p w14:paraId="4C9E587D">
            <w:pPr>
              <w:widowControl/>
              <w:spacing w:line="300" w:lineRule="exact"/>
              <w:jc w:val="center"/>
              <w:rPr>
                <w:rFonts w:hint="default" w:ascii="Times New Roman" w:hAnsi="Times New Roman" w:eastAsia="仿宋_GB2312" w:cs="Times New Roman"/>
                <w:color w:val="auto"/>
                <w:kern w:val="0"/>
                <w:szCs w:val="21"/>
                <w:highlight w:val="none"/>
              </w:rPr>
            </w:pPr>
          </w:p>
          <w:p w14:paraId="52B4A7DB">
            <w:pPr>
              <w:widowControl/>
              <w:spacing w:line="300" w:lineRule="exact"/>
              <w:jc w:val="center"/>
              <w:rPr>
                <w:rFonts w:hint="default" w:ascii="Times New Roman" w:hAnsi="Times New Roman" w:eastAsia="仿宋_GB2312" w:cs="Times New Roman"/>
                <w:color w:val="auto"/>
                <w:kern w:val="0"/>
                <w:szCs w:val="21"/>
                <w:highlight w:val="none"/>
              </w:rPr>
            </w:pPr>
          </w:p>
          <w:p w14:paraId="54CA691B">
            <w:pPr>
              <w:widowControl/>
              <w:spacing w:line="300" w:lineRule="exact"/>
              <w:jc w:val="center"/>
              <w:rPr>
                <w:rFonts w:hint="default" w:ascii="Times New Roman" w:hAnsi="Times New Roman" w:eastAsia="仿宋_GB2312" w:cs="Times New Roman"/>
                <w:color w:val="auto"/>
                <w:kern w:val="0"/>
                <w:szCs w:val="21"/>
                <w:highlight w:val="none"/>
              </w:rPr>
            </w:pPr>
          </w:p>
          <w:p w14:paraId="7D993795">
            <w:pPr>
              <w:widowControl/>
              <w:spacing w:line="300" w:lineRule="exact"/>
              <w:jc w:val="center"/>
              <w:rPr>
                <w:rFonts w:hint="default" w:ascii="Times New Roman" w:hAnsi="Times New Roman" w:eastAsia="仿宋_GB2312" w:cs="Times New Roman"/>
                <w:color w:val="auto"/>
                <w:kern w:val="0"/>
                <w:szCs w:val="21"/>
                <w:highlight w:val="none"/>
              </w:rPr>
            </w:pPr>
          </w:p>
          <w:p w14:paraId="55E4318C">
            <w:pPr>
              <w:widowControl/>
              <w:spacing w:line="300" w:lineRule="exact"/>
              <w:jc w:val="center"/>
              <w:rPr>
                <w:rFonts w:hint="default" w:ascii="Times New Roman" w:hAnsi="Times New Roman" w:eastAsia="仿宋_GB2312" w:cs="Times New Roman"/>
                <w:color w:val="auto"/>
                <w:kern w:val="0"/>
                <w:szCs w:val="21"/>
                <w:highlight w:val="none"/>
              </w:rPr>
            </w:pPr>
          </w:p>
          <w:p w14:paraId="0A9B1567">
            <w:pPr>
              <w:widowControl/>
              <w:spacing w:line="300" w:lineRule="exact"/>
              <w:jc w:val="center"/>
              <w:rPr>
                <w:rFonts w:hint="default" w:ascii="Times New Roman" w:hAnsi="Times New Roman" w:eastAsia="仿宋_GB2312" w:cs="Times New Roman"/>
                <w:color w:val="auto"/>
                <w:kern w:val="0"/>
                <w:szCs w:val="21"/>
                <w:highlight w:val="none"/>
              </w:rPr>
            </w:pPr>
          </w:p>
          <w:p w14:paraId="209A0AA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粮食加工品</w:t>
            </w:r>
          </w:p>
        </w:tc>
        <w:tc>
          <w:tcPr>
            <w:tcW w:w="1256" w:type="dxa"/>
            <w:noWrap w:val="0"/>
            <w:vAlign w:val="center"/>
          </w:tcPr>
          <w:p w14:paraId="7E972333">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小麦粉</w:t>
            </w:r>
          </w:p>
        </w:tc>
        <w:tc>
          <w:tcPr>
            <w:tcW w:w="1144" w:type="dxa"/>
            <w:noWrap w:val="0"/>
            <w:vAlign w:val="center"/>
          </w:tcPr>
          <w:p w14:paraId="5B53FE1A">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小麦粉</w:t>
            </w:r>
          </w:p>
        </w:tc>
        <w:tc>
          <w:tcPr>
            <w:tcW w:w="1856" w:type="dxa"/>
            <w:noWrap w:val="0"/>
            <w:vAlign w:val="center"/>
          </w:tcPr>
          <w:p w14:paraId="413E1F6E">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小麦粉</w:t>
            </w:r>
          </w:p>
        </w:tc>
        <w:tc>
          <w:tcPr>
            <w:tcW w:w="1106" w:type="dxa"/>
            <w:noWrap w:val="0"/>
            <w:vAlign w:val="center"/>
          </w:tcPr>
          <w:p w14:paraId="6CCE5AF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5D9C0868">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铅（以Pb计）、镉（以Cd计）、苯并[a]芘、玉米赤霉烯酮、脱氧雪腐镰刀菌烯醇、赭曲霉毒素A、黄曲霉毒素B</w:t>
            </w:r>
            <w:r>
              <w:rPr>
                <w:rFonts w:hint="default" w:ascii="Times New Roman" w:hAnsi="Times New Roman" w:eastAsia="仿宋_GB2312" w:cs="Times New Roman"/>
                <w:color w:val="auto"/>
                <w:kern w:val="0"/>
                <w:szCs w:val="21"/>
                <w:highlight w:val="none"/>
                <w:vertAlign w:val="subscript"/>
                <w:lang w:eastAsia="zh-CN"/>
              </w:rPr>
              <w:t>1</w:t>
            </w:r>
          </w:p>
        </w:tc>
        <w:tc>
          <w:tcPr>
            <w:tcW w:w="3435" w:type="dxa"/>
            <w:noWrap w:val="0"/>
            <w:vAlign w:val="center"/>
          </w:tcPr>
          <w:p w14:paraId="30D9A7E3">
            <w:pPr>
              <w:widowControl/>
              <w:spacing w:line="300" w:lineRule="exact"/>
              <w:jc w:val="left"/>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lang w:eastAsia="zh-CN"/>
              </w:rPr>
              <w:t>偶氮甲酰胺、过氧化苯甲酰</w:t>
            </w:r>
          </w:p>
        </w:tc>
      </w:tr>
      <w:tr w14:paraId="3757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10C5F97B">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9CA6733">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center"/>
          </w:tcPr>
          <w:p w14:paraId="3F323E3B">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大米</w:t>
            </w:r>
          </w:p>
        </w:tc>
        <w:tc>
          <w:tcPr>
            <w:tcW w:w="1144" w:type="dxa"/>
            <w:noWrap w:val="0"/>
            <w:vAlign w:val="center"/>
          </w:tcPr>
          <w:p w14:paraId="3BAB3BC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大米</w:t>
            </w:r>
          </w:p>
        </w:tc>
        <w:tc>
          <w:tcPr>
            <w:tcW w:w="1856" w:type="dxa"/>
            <w:noWrap w:val="0"/>
            <w:vAlign w:val="center"/>
          </w:tcPr>
          <w:p w14:paraId="40498ED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大米</w:t>
            </w:r>
          </w:p>
        </w:tc>
        <w:tc>
          <w:tcPr>
            <w:tcW w:w="1106" w:type="dxa"/>
            <w:noWrap w:val="0"/>
            <w:vAlign w:val="center"/>
          </w:tcPr>
          <w:p w14:paraId="786532B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3EEFFB5">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铅（以Pb计）、镉（以Cd计）、无机砷（以As计）、苯并[a]芘、黄曲霉毒素B</w:t>
            </w:r>
            <w:r>
              <w:rPr>
                <w:rFonts w:hint="default" w:ascii="Times New Roman" w:hAnsi="Times New Roman" w:eastAsia="仿宋_GB2312" w:cs="Times New Roman"/>
                <w:color w:val="auto"/>
                <w:kern w:val="0"/>
                <w:szCs w:val="21"/>
                <w:highlight w:val="none"/>
                <w:vertAlign w:val="subscript"/>
                <w:lang w:eastAsia="zh-CN"/>
              </w:rPr>
              <w:t>1</w:t>
            </w:r>
            <w:r>
              <w:rPr>
                <w:rFonts w:hint="default" w:ascii="Times New Roman" w:hAnsi="Times New Roman" w:eastAsia="仿宋_GB2312" w:cs="Times New Roman"/>
                <w:color w:val="auto"/>
                <w:kern w:val="0"/>
                <w:szCs w:val="21"/>
                <w:highlight w:val="none"/>
                <w:lang w:eastAsia="zh-CN"/>
              </w:rPr>
              <w:t xml:space="preserve"> 、赭曲霉毒素A</w:t>
            </w:r>
          </w:p>
        </w:tc>
        <w:tc>
          <w:tcPr>
            <w:tcW w:w="3435" w:type="dxa"/>
            <w:noWrap w:val="0"/>
            <w:vAlign w:val="center"/>
          </w:tcPr>
          <w:p w14:paraId="0AE0B312">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83B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CDE1E9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D3047E5">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center"/>
          </w:tcPr>
          <w:p w14:paraId="0A1F327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挂面</w:t>
            </w:r>
          </w:p>
        </w:tc>
        <w:tc>
          <w:tcPr>
            <w:tcW w:w="1144" w:type="dxa"/>
            <w:noWrap w:val="0"/>
            <w:vAlign w:val="center"/>
          </w:tcPr>
          <w:p w14:paraId="5FC5EF9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挂面</w:t>
            </w:r>
          </w:p>
        </w:tc>
        <w:tc>
          <w:tcPr>
            <w:tcW w:w="1856" w:type="dxa"/>
            <w:noWrap w:val="0"/>
            <w:vAlign w:val="center"/>
          </w:tcPr>
          <w:p w14:paraId="42AB9EC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挂面</w:t>
            </w:r>
          </w:p>
        </w:tc>
        <w:tc>
          <w:tcPr>
            <w:tcW w:w="1106" w:type="dxa"/>
            <w:noWrap w:val="0"/>
            <w:vAlign w:val="center"/>
          </w:tcPr>
          <w:p w14:paraId="26C060E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BEEEE85">
            <w:pPr>
              <w:widowControl/>
              <w:spacing w:line="300" w:lineRule="exact"/>
              <w:jc w:val="left"/>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铅（以Pb计）、黄曲霉毒素B</w:t>
            </w:r>
            <w:r>
              <w:rPr>
                <w:rFonts w:hint="eastAsia" w:ascii="Times New Roman" w:hAnsi="Times New Roman" w:eastAsia="仿宋_GB2312" w:cs="Times New Roman"/>
                <w:color w:val="auto"/>
                <w:kern w:val="0"/>
                <w:szCs w:val="21"/>
                <w:highlight w:val="none"/>
                <w:vertAlign w:val="subscript"/>
                <w:lang w:eastAsia="zh-CN"/>
              </w:rPr>
              <w:t>1</w:t>
            </w:r>
            <w:r>
              <w:rPr>
                <w:rFonts w:hint="eastAsia" w:ascii="Times New Roman" w:hAnsi="Times New Roman" w:eastAsia="仿宋_GB2312" w:cs="Times New Roman"/>
                <w:color w:val="auto"/>
                <w:kern w:val="0"/>
                <w:szCs w:val="21"/>
                <w:highlight w:val="none"/>
                <w:lang w:eastAsia="zh-CN"/>
              </w:rPr>
              <w:t xml:space="preserve"> 、脱氢乙酸及其钠盐（以脱氢乙酸计）、合成着色剂（柠檬黄、日落黄、胭脂红、苋菜红、诱惑红、亮蓝）</w:t>
            </w:r>
          </w:p>
        </w:tc>
        <w:tc>
          <w:tcPr>
            <w:tcW w:w="3435" w:type="dxa"/>
            <w:noWrap w:val="0"/>
            <w:vAlign w:val="center"/>
          </w:tcPr>
          <w:p w14:paraId="62022C34">
            <w:pPr>
              <w:widowControl/>
              <w:spacing w:line="300" w:lineRule="exact"/>
              <w:jc w:val="left"/>
              <w:rPr>
                <w:rFonts w:hint="default"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val="en-US" w:eastAsia="zh-CN"/>
              </w:rPr>
              <w:t>/</w:t>
            </w:r>
          </w:p>
        </w:tc>
      </w:tr>
      <w:tr w14:paraId="78FD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720" w:type="dxa"/>
            <w:vMerge w:val="continue"/>
            <w:noWrap w:val="0"/>
            <w:vAlign w:val="center"/>
          </w:tcPr>
          <w:p w14:paraId="24CAE9D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23DF5A0">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151C077F">
            <w:pPr>
              <w:widowControl/>
              <w:spacing w:line="300" w:lineRule="exact"/>
              <w:jc w:val="center"/>
              <w:rPr>
                <w:rFonts w:hint="default" w:ascii="Times New Roman" w:hAnsi="Times New Roman" w:eastAsia="仿宋_GB2312" w:cs="Times New Roman"/>
                <w:color w:val="auto"/>
                <w:kern w:val="0"/>
                <w:szCs w:val="21"/>
                <w:highlight w:val="none"/>
              </w:rPr>
            </w:pPr>
          </w:p>
          <w:p w14:paraId="44B5DC2B">
            <w:pPr>
              <w:widowControl/>
              <w:spacing w:line="300" w:lineRule="exact"/>
              <w:jc w:val="center"/>
              <w:rPr>
                <w:rFonts w:hint="default" w:ascii="Times New Roman" w:hAnsi="Times New Roman" w:eastAsia="仿宋_GB2312" w:cs="Times New Roman"/>
                <w:color w:val="auto"/>
                <w:kern w:val="0"/>
                <w:szCs w:val="21"/>
                <w:highlight w:val="none"/>
              </w:rPr>
            </w:pPr>
          </w:p>
          <w:p w14:paraId="4709448D">
            <w:pPr>
              <w:widowControl/>
              <w:spacing w:line="300" w:lineRule="exact"/>
              <w:jc w:val="center"/>
              <w:rPr>
                <w:rFonts w:hint="default" w:ascii="Times New Roman" w:hAnsi="Times New Roman" w:eastAsia="仿宋_GB2312" w:cs="Times New Roman"/>
                <w:color w:val="auto"/>
                <w:kern w:val="0"/>
                <w:szCs w:val="21"/>
                <w:highlight w:val="none"/>
              </w:rPr>
            </w:pPr>
          </w:p>
          <w:p w14:paraId="6D54044B">
            <w:pPr>
              <w:widowControl/>
              <w:spacing w:line="300" w:lineRule="exact"/>
              <w:jc w:val="center"/>
              <w:rPr>
                <w:rFonts w:hint="default" w:ascii="Times New Roman" w:hAnsi="Times New Roman" w:eastAsia="仿宋_GB2312" w:cs="Times New Roman"/>
                <w:color w:val="auto"/>
                <w:kern w:val="0"/>
                <w:szCs w:val="21"/>
                <w:highlight w:val="none"/>
              </w:rPr>
            </w:pPr>
          </w:p>
          <w:p w14:paraId="2FAEE92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其他粮食加工品</w:t>
            </w:r>
          </w:p>
          <w:p w14:paraId="23F1F541">
            <w:pPr>
              <w:widowControl/>
              <w:spacing w:line="300" w:lineRule="exact"/>
              <w:jc w:val="center"/>
              <w:rPr>
                <w:rFonts w:hint="default" w:ascii="Times New Roman" w:hAnsi="Times New Roman" w:eastAsia="仿宋_GB2312" w:cs="Times New Roman"/>
                <w:color w:val="auto"/>
                <w:kern w:val="0"/>
                <w:szCs w:val="21"/>
                <w:highlight w:val="none"/>
              </w:rPr>
            </w:pPr>
          </w:p>
          <w:p w14:paraId="0B0718AE">
            <w:pPr>
              <w:widowControl/>
              <w:spacing w:line="300" w:lineRule="exact"/>
              <w:jc w:val="center"/>
              <w:rPr>
                <w:rFonts w:hint="default" w:ascii="Times New Roman" w:hAnsi="Times New Roman" w:eastAsia="仿宋_GB2312" w:cs="Times New Roman"/>
                <w:color w:val="auto"/>
                <w:kern w:val="0"/>
                <w:szCs w:val="21"/>
                <w:highlight w:val="none"/>
              </w:rPr>
            </w:pPr>
          </w:p>
          <w:p w14:paraId="45ED10FF">
            <w:pPr>
              <w:widowControl/>
              <w:spacing w:line="300" w:lineRule="exact"/>
              <w:jc w:val="center"/>
              <w:rPr>
                <w:rFonts w:hint="default" w:ascii="Times New Roman" w:hAnsi="Times New Roman" w:eastAsia="仿宋_GB2312" w:cs="Times New Roman"/>
                <w:color w:val="auto"/>
                <w:kern w:val="0"/>
                <w:szCs w:val="21"/>
                <w:highlight w:val="none"/>
              </w:rPr>
            </w:pPr>
          </w:p>
          <w:p w14:paraId="67942D02">
            <w:pPr>
              <w:widowControl/>
              <w:spacing w:line="300" w:lineRule="exact"/>
              <w:jc w:val="center"/>
              <w:rPr>
                <w:rFonts w:hint="default" w:ascii="Times New Roman" w:hAnsi="Times New Roman" w:eastAsia="仿宋_GB2312" w:cs="Times New Roman"/>
                <w:color w:val="auto"/>
                <w:kern w:val="0"/>
                <w:szCs w:val="21"/>
                <w:highlight w:val="none"/>
              </w:rPr>
            </w:pPr>
          </w:p>
          <w:p w14:paraId="4568F78D">
            <w:pPr>
              <w:widowControl/>
              <w:spacing w:line="300" w:lineRule="exact"/>
              <w:jc w:val="center"/>
              <w:rPr>
                <w:rFonts w:hint="default" w:ascii="Times New Roman" w:hAnsi="Times New Roman" w:eastAsia="仿宋_GB2312" w:cs="Times New Roman"/>
                <w:color w:val="auto"/>
                <w:kern w:val="0"/>
                <w:szCs w:val="21"/>
                <w:highlight w:val="none"/>
              </w:rPr>
            </w:pPr>
          </w:p>
          <w:p w14:paraId="411940FE">
            <w:pPr>
              <w:widowControl/>
              <w:spacing w:line="300" w:lineRule="exact"/>
              <w:jc w:val="center"/>
              <w:rPr>
                <w:rFonts w:hint="default" w:ascii="Times New Roman" w:hAnsi="Times New Roman" w:eastAsia="仿宋_GB2312" w:cs="Times New Roman"/>
                <w:color w:val="auto"/>
                <w:kern w:val="0"/>
                <w:szCs w:val="21"/>
                <w:highlight w:val="none"/>
              </w:rPr>
            </w:pPr>
          </w:p>
          <w:p w14:paraId="2751B8F4">
            <w:pPr>
              <w:widowControl/>
              <w:spacing w:line="300" w:lineRule="exact"/>
              <w:jc w:val="center"/>
              <w:rPr>
                <w:rFonts w:hint="default" w:ascii="Times New Roman" w:hAnsi="Times New Roman" w:eastAsia="仿宋_GB2312" w:cs="Times New Roman"/>
                <w:color w:val="auto"/>
                <w:kern w:val="0"/>
                <w:szCs w:val="21"/>
                <w:highlight w:val="none"/>
              </w:rPr>
            </w:pPr>
          </w:p>
          <w:p w14:paraId="5E284AC6">
            <w:pPr>
              <w:widowControl/>
              <w:spacing w:line="300" w:lineRule="exact"/>
              <w:jc w:val="center"/>
              <w:rPr>
                <w:rFonts w:hint="default" w:ascii="Times New Roman" w:hAnsi="Times New Roman" w:eastAsia="仿宋_GB2312" w:cs="Times New Roman"/>
                <w:color w:val="auto"/>
                <w:kern w:val="0"/>
                <w:szCs w:val="21"/>
                <w:highlight w:val="none"/>
              </w:rPr>
            </w:pPr>
          </w:p>
          <w:p w14:paraId="4EAD1AFE">
            <w:pPr>
              <w:widowControl/>
              <w:spacing w:line="300" w:lineRule="exact"/>
              <w:jc w:val="center"/>
              <w:rPr>
                <w:rFonts w:hint="default" w:ascii="Times New Roman" w:hAnsi="Times New Roman" w:eastAsia="仿宋_GB2312" w:cs="Times New Roman"/>
                <w:color w:val="auto"/>
                <w:kern w:val="0"/>
                <w:szCs w:val="21"/>
                <w:highlight w:val="none"/>
              </w:rPr>
            </w:pPr>
          </w:p>
          <w:p w14:paraId="2F3A9ADC">
            <w:pPr>
              <w:widowControl/>
              <w:spacing w:line="300" w:lineRule="exact"/>
              <w:jc w:val="center"/>
              <w:rPr>
                <w:rFonts w:hint="default" w:ascii="Times New Roman" w:hAnsi="Times New Roman" w:eastAsia="仿宋_GB2312" w:cs="Times New Roman"/>
                <w:color w:val="auto"/>
                <w:kern w:val="0"/>
                <w:szCs w:val="21"/>
                <w:highlight w:val="none"/>
              </w:rPr>
            </w:pPr>
          </w:p>
          <w:p w14:paraId="1D180490">
            <w:pPr>
              <w:widowControl/>
              <w:spacing w:line="300" w:lineRule="exact"/>
              <w:jc w:val="center"/>
              <w:rPr>
                <w:rFonts w:hint="default" w:ascii="Times New Roman" w:hAnsi="Times New Roman" w:eastAsia="仿宋_GB2312" w:cs="Times New Roman"/>
                <w:color w:val="auto"/>
                <w:kern w:val="0"/>
                <w:szCs w:val="21"/>
                <w:highlight w:val="none"/>
              </w:rPr>
            </w:pPr>
          </w:p>
          <w:p w14:paraId="32841A4F">
            <w:pPr>
              <w:widowControl/>
              <w:spacing w:line="300" w:lineRule="exact"/>
              <w:jc w:val="center"/>
              <w:rPr>
                <w:rFonts w:hint="default" w:ascii="Times New Roman" w:hAnsi="Times New Roman" w:eastAsia="仿宋_GB2312" w:cs="Times New Roman"/>
                <w:color w:val="auto"/>
                <w:kern w:val="0"/>
                <w:szCs w:val="21"/>
                <w:highlight w:val="none"/>
              </w:rPr>
            </w:pPr>
          </w:p>
          <w:p w14:paraId="3D633E3B">
            <w:pPr>
              <w:widowControl/>
              <w:spacing w:line="300" w:lineRule="exact"/>
              <w:jc w:val="center"/>
              <w:rPr>
                <w:rFonts w:hint="default" w:ascii="Times New Roman" w:hAnsi="Times New Roman" w:eastAsia="仿宋_GB2312" w:cs="Times New Roman"/>
                <w:color w:val="auto"/>
                <w:kern w:val="0"/>
                <w:szCs w:val="21"/>
                <w:highlight w:val="none"/>
              </w:rPr>
            </w:pPr>
          </w:p>
          <w:p w14:paraId="6DE9664A">
            <w:pPr>
              <w:widowControl/>
              <w:spacing w:line="300" w:lineRule="exact"/>
              <w:jc w:val="center"/>
              <w:rPr>
                <w:rFonts w:hint="default" w:ascii="Times New Roman" w:hAnsi="Times New Roman" w:eastAsia="仿宋_GB2312" w:cs="Times New Roman"/>
                <w:color w:val="auto"/>
                <w:kern w:val="0"/>
                <w:szCs w:val="21"/>
                <w:highlight w:val="none"/>
              </w:rPr>
            </w:pPr>
          </w:p>
          <w:p w14:paraId="78638152">
            <w:pPr>
              <w:widowControl/>
              <w:spacing w:line="300" w:lineRule="exact"/>
              <w:jc w:val="center"/>
              <w:rPr>
                <w:rFonts w:hint="default" w:ascii="Times New Roman" w:hAnsi="Times New Roman" w:eastAsia="仿宋_GB2312" w:cs="Times New Roman"/>
                <w:color w:val="auto"/>
                <w:kern w:val="0"/>
                <w:szCs w:val="21"/>
                <w:highlight w:val="none"/>
              </w:rPr>
            </w:pPr>
          </w:p>
          <w:p w14:paraId="1CFD006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其他粮食加工品</w:t>
            </w:r>
          </w:p>
        </w:tc>
        <w:tc>
          <w:tcPr>
            <w:tcW w:w="1144" w:type="dxa"/>
            <w:noWrap w:val="0"/>
            <w:vAlign w:val="center"/>
          </w:tcPr>
          <w:p w14:paraId="06DACA8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谷物加工品</w:t>
            </w:r>
          </w:p>
        </w:tc>
        <w:tc>
          <w:tcPr>
            <w:tcW w:w="1856" w:type="dxa"/>
            <w:noWrap w:val="0"/>
            <w:vAlign w:val="center"/>
          </w:tcPr>
          <w:p w14:paraId="06F91CB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谷物加工品</w:t>
            </w:r>
          </w:p>
        </w:tc>
        <w:tc>
          <w:tcPr>
            <w:tcW w:w="1106" w:type="dxa"/>
            <w:noWrap w:val="0"/>
            <w:vAlign w:val="center"/>
          </w:tcPr>
          <w:p w14:paraId="647E6A7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EED81F2">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铅（以Pb计）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镉</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以Cd计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、黄曲霉毒素B₁、赭曲霉毒素A</w:t>
            </w:r>
          </w:p>
        </w:tc>
        <w:tc>
          <w:tcPr>
            <w:tcW w:w="3435" w:type="dxa"/>
            <w:noWrap w:val="0"/>
            <w:vAlign w:val="center"/>
          </w:tcPr>
          <w:p w14:paraId="096C14DC">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287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trPr>
        <w:tc>
          <w:tcPr>
            <w:tcW w:w="720" w:type="dxa"/>
            <w:vMerge w:val="continue"/>
            <w:noWrap w:val="0"/>
            <w:vAlign w:val="center"/>
          </w:tcPr>
          <w:p w14:paraId="28A8D49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38B94D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BF5105F">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23A45F0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谷物碾磨加工品</w:t>
            </w:r>
          </w:p>
        </w:tc>
        <w:tc>
          <w:tcPr>
            <w:tcW w:w="1856" w:type="dxa"/>
            <w:noWrap w:val="0"/>
            <w:vAlign w:val="center"/>
          </w:tcPr>
          <w:p w14:paraId="2BB8B62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玉米粉（片、渣）</w:t>
            </w:r>
          </w:p>
        </w:tc>
        <w:tc>
          <w:tcPr>
            <w:tcW w:w="1106" w:type="dxa"/>
            <w:noWrap w:val="0"/>
            <w:vAlign w:val="center"/>
          </w:tcPr>
          <w:p w14:paraId="25DC8B4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3EF5CC86">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苯并[a]芘</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黄曲霉毒素B₁、赭曲霉毒素A、玉米赤霉烯酮、脱氧雪腐镰刀菌烯醇</w:t>
            </w:r>
          </w:p>
        </w:tc>
        <w:tc>
          <w:tcPr>
            <w:tcW w:w="3435" w:type="dxa"/>
            <w:noWrap w:val="0"/>
            <w:vAlign w:val="center"/>
          </w:tcPr>
          <w:p w14:paraId="2266BF7E">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2E31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7" w:hRule="atLeast"/>
        </w:trPr>
        <w:tc>
          <w:tcPr>
            <w:tcW w:w="720" w:type="dxa"/>
            <w:vMerge w:val="continue"/>
            <w:noWrap w:val="0"/>
            <w:vAlign w:val="center"/>
          </w:tcPr>
          <w:p w14:paraId="432A4F5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5E1C82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B7F1764">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46FA132">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450EB5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米粉</w:t>
            </w:r>
          </w:p>
        </w:tc>
        <w:tc>
          <w:tcPr>
            <w:tcW w:w="1106" w:type="dxa"/>
            <w:noWrap w:val="0"/>
            <w:vAlign w:val="center"/>
          </w:tcPr>
          <w:p w14:paraId="19DC82F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869FB36">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铅（以Pb计）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镉</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以Cd计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、总汞</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以Hg计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、无机砷</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以As计</w:t>
            </w:r>
            <w:r>
              <w:rPr>
                <w:rFonts w:hint="eastAsia" w:ascii="Times New Roman" w:hAnsi="Times New Roman" w:eastAsia="仿宋_GB2312" w:cs="Times New Roman"/>
                <w:color w:val="auto"/>
                <w:kern w:val="0"/>
                <w:szCs w:val="21"/>
                <w:highlight w:val="none"/>
                <w:lang w:eastAsia="zh-CN"/>
              </w:rPr>
              <w:t>）</w:t>
            </w:r>
          </w:p>
        </w:tc>
        <w:tc>
          <w:tcPr>
            <w:tcW w:w="3435" w:type="dxa"/>
            <w:noWrap w:val="0"/>
            <w:vAlign w:val="center"/>
          </w:tcPr>
          <w:p w14:paraId="7439A63B">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0F3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trPr>
        <w:tc>
          <w:tcPr>
            <w:tcW w:w="720" w:type="dxa"/>
            <w:vMerge w:val="continue"/>
            <w:noWrap w:val="0"/>
            <w:vAlign w:val="center"/>
          </w:tcPr>
          <w:p w14:paraId="1A633DB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5ED2AE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934B886">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6A0F70C">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05ECD8E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其他谷物碾磨加工品</w:t>
            </w:r>
          </w:p>
        </w:tc>
        <w:tc>
          <w:tcPr>
            <w:tcW w:w="1106" w:type="dxa"/>
            <w:noWrap w:val="0"/>
            <w:vAlign w:val="center"/>
          </w:tcPr>
          <w:p w14:paraId="23F95A6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3F650641">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铅</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以Pb计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、铬</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以Cr计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、赭曲霉毒素A</w:t>
            </w:r>
          </w:p>
        </w:tc>
        <w:tc>
          <w:tcPr>
            <w:tcW w:w="3435" w:type="dxa"/>
            <w:noWrap w:val="0"/>
            <w:vAlign w:val="center"/>
          </w:tcPr>
          <w:p w14:paraId="0CA70863">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4F63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81FF8D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33A7151">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6F6E127">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1BDC73E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谷物粉类制成品</w:t>
            </w:r>
          </w:p>
        </w:tc>
        <w:tc>
          <w:tcPr>
            <w:tcW w:w="1856" w:type="dxa"/>
            <w:noWrap w:val="0"/>
            <w:vAlign w:val="center"/>
          </w:tcPr>
          <w:p w14:paraId="5DB6370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生湿面制品</w:t>
            </w:r>
          </w:p>
        </w:tc>
        <w:tc>
          <w:tcPr>
            <w:tcW w:w="1106" w:type="dxa"/>
            <w:noWrap w:val="0"/>
            <w:vAlign w:val="center"/>
          </w:tcPr>
          <w:p w14:paraId="494686A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30E079E8">
            <w:pPr>
              <w:keepNext w:val="0"/>
              <w:keepLines w:val="0"/>
              <w:widowControl/>
              <w:suppressLineNumbers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eastAsia="zh-CN"/>
              </w:rPr>
              <w:t>铅（以Pb计）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苯甲酸及其钠盐</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以苯甲酸计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、山梨酸及其钾盐</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以山梨酸计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、脱氢乙酸及其钠盐</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以脱氢乙酸计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val="en-US" w:eastAsia="zh-CN"/>
              </w:rPr>
              <w:t>二氧化硫残留量</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eastAsia="zh-CN"/>
              </w:rPr>
              <w:t>合成着色剂</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lang w:eastAsia="zh-CN"/>
              </w:rPr>
              <w:t>柠檬黄</w:t>
            </w:r>
            <w:r>
              <w:rPr>
                <w:rFonts w:hint="eastAsia" w:ascii="Times New Roman" w:hAnsi="Times New Roman" w:eastAsia="仿宋_GB2312" w:cs="Times New Roman"/>
                <w:color w:val="auto"/>
                <w:kern w:val="0"/>
                <w:szCs w:val="21"/>
                <w:highlight w:val="none"/>
                <w:lang w:eastAsia="zh-CN"/>
              </w:rPr>
              <w:t>）</w:t>
            </w:r>
          </w:p>
        </w:tc>
        <w:tc>
          <w:tcPr>
            <w:tcW w:w="3435" w:type="dxa"/>
            <w:noWrap w:val="0"/>
            <w:vAlign w:val="top"/>
          </w:tcPr>
          <w:p w14:paraId="315D1044">
            <w:pPr>
              <w:spacing w:line="276" w:lineRule="auto"/>
              <w:jc w:val="left"/>
              <w:rPr>
                <w:rFonts w:ascii="Noto Sans CJK SC Regular"/>
                <w:color w:val="auto"/>
                <w:sz w:val="21"/>
                <w:highlight w:val="none"/>
              </w:rPr>
            </w:pPr>
          </w:p>
          <w:p w14:paraId="54440FE8">
            <w:pPr>
              <w:spacing w:before="65" w:line="221" w:lineRule="auto"/>
              <w:jc w:val="left"/>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lang w:eastAsia="zh-CN"/>
              </w:rPr>
              <w:t>对羟基苯甲酸酯类及其钠盐</w:t>
            </w:r>
          </w:p>
        </w:tc>
      </w:tr>
      <w:tr w14:paraId="201B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8" w:hRule="atLeast"/>
        </w:trPr>
        <w:tc>
          <w:tcPr>
            <w:tcW w:w="720" w:type="dxa"/>
            <w:vMerge w:val="continue"/>
            <w:noWrap w:val="0"/>
            <w:vAlign w:val="center"/>
          </w:tcPr>
          <w:p w14:paraId="4A6D997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9E12201">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334665F">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A9E86B1">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5E4F2B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发酵面制品</w:t>
            </w:r>
          </w:p>
        </w:tc>
        <w:tc>
          <w:tcPr>
            <w:tcW w:w="1106" w:type="dxa"/>
            <w:noWrap w:val="0"/>
            <w:vAlign w:val="center"/>
          </w:tcPr>
          <w:p w14:paraId="09ABF2D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36AAA434">
            <w:pPr>
              <w:keepNext w:val="0"/>
              <w:keepLines w:val="0"/>
              <w:widowControl/>
              <w:suppressLineNumbers w:val="0"/>
              <w:jc w:val="left"/>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lang w:val="en-US" w:eastAsia="zh-CN"/>
              </w:rPr>
              <w:t>铅（以Pb计）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w:t>
            </w:r>
            <w:r>
              <w:rPr>
                <w:rFonts w:hint="eastAsia" w:ascii="Times New Roman" w:hAnsi="Times New Roman" w:eastAsia="仿宋_GB2312" w:cs="Times New Roman"/>
                <w:color w:val="auto"/>
                <w:kern w:val="0"/>
                <w:szCs w:val="21"/>
                <w:highlight w:val="none"/>
                <w:lang w:val="en-US" w:eastAsia="zh-CN"/>
              </w:rPr>
              <w:t>及其钠盐（以脱氢乙酸计）、糖精钠（以糖精计）、甜蜜素（以环己基氨基磺酸计）、安赛蜜、合成着色剂（柠檬黄、胭脂红）</w:t>
            </w:r>
          </w:p>
        </w:tc>
        <w:tc>
          <w:tcPr>
            <w:tcW w:w="3435" w:type="dxa"/>
            <w:noWrap w:val="0"/>
            <w:vAlign w:val="top"/>
          </w:tcPr>
          <w:p w14:paraId="1B07E1CF">
            <w:pPr>
              <w:spacing w:line="365" w:lineRule="auto"/>
              <w:jc w:val="left"/>
              <w:rPr>
                <w:rFonts w:ascii="Noto Sans CJK SC Regular"/>
                <w:color w:val="auto"/>
                <w:sz w:val="21"/>
                <w:highlight w:val="none"/>
              </w:rPr>
            </w:pPr>
          </w:p>
          <w:p w14:paraId="5892CEA9">
            <w:pPr>
              <w:spacing w:before="66" w:line="224" w:lineRule="auto"/>
              <w:jc w:val="left"/>
              <w:rPr>
                <w:rFonts w:hint="default" w:ascii="Times New Roman" w:hAnsi="Times New Roman" w:eastAsia="仿宋_GB2312" w:cs="Times New Roman"/>
                <w:color w:val="auto"/>
                <w:kern w:val="0"/>
                <w:szCs w:val="21"/>
                <w:highlight w:val="none"/>
                <w:lang w:val="en-US" w:eastAsia="zh-CN"/>
              </w:rPr>
            </w:pPr>
            <w:r>
              <w:rPr>
                <w:rFonts w:hint="eastAsia" w:ascii="仿宋_GB2312" w:hAnsi="仿宋_GB2312" w:eastAsia="仿宋_GB2312" w:cs="仿宋_GB2312"/>
                <w:color w:val="auto"/>
                <w:spacing w:val="8"/>
                <w:sz w:val="21"/>
                <w:szCs w:val="21"/>
                <w:highlight w:val="none"/>
              </w:rPr>
              <w:t>菌落总数、大肠菌群</w:t>
            </w:r>
          </w:p>
        </w:tc>
      </w:tr>
      <w:tr w14:paraId="1813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8" w:hRule="atLeast"/>
        </w:trPr>
        <w:tc>
          <w:tcPr>
            <w:tcW w:w="720" w:type="dxa"/>
            <w:vMerge w:val="continue"/>
            <w:noWrap w:val="0"/>
            <w:vAlign w:val="center"/>
          </w:tcPr>
          <w:p w14:paraId="4B546A0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88F050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4A90B42">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87A2D19">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2382D77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米粉制品</w:t>
            </w:r>
          </w:p>
        </w:tc>
        <w:tc>
          <w:tcPr>
            <w:tcW w:w="1106" w:type="dxa"/>
            <w:noWrap w:val="0"/>
            <w:vAlign w:val="center"/>
          </w:tcPr>
          <w:p w14:paraId="20A11F1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44E05AFF">
            <w:pPr>
              <w:keepNext w:val="0"/>
              <w:keepLines w:val="0"/>
              <w:widowControl/>
              <w:suppressLineNumbers w:val="0"/>
              <w:jc w:val="left"/>
              <w:rPr>
                <w:rFonts w:hint="default"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w:t>
            </w:r>
            <w:r>
              <w:rPr>
                <w:rFonts w:hint="eastAsia" w:ascii="Times New Roman" w:hAnsi="Times New Roman" w:eastAsia="仿宋_GB2312" w:cs="Times New Roman"/>
                <w:color w:val="auto"/>
                <w:kern w:val="0"/>
                <w:szCs w:val="21"/>
                <w:highlight w:val="none"/>
                <w:lang w:val="en-US" w:eastAsia="zh-CN"/>
              </w:rPr>
              <w:t>及其钠盐（以脱氢乙酸计）、二氧化硫残留量、菌落总数、大肠菌群、甜蜜素（ 以环己基氨基磺酸计）</w:t>
            </w:r>
          </w:p>
        </w:tc>
        <w:tc>
          <w:tcPr>
            <w:tcW w:w="3435" w:type="dxa"/>
            <w:noWrap w:val="0"/>
            <w:vAlign w:val="center"/>
          </w:tcPr>
          <w:p w14:paraId="0EC1027E">
            <w:pPr>
              <w:spacing w:before="66" w:line="224" w:lineRule="auto"/>
              <w:jc w:val="left"/>
              <w:rPr>
                <w:rFonts w:hint="default" w:ascii="Times New Roman" w:hAnsi="Times New Roman" w:eastAsia="仿宋_GB2312" w:cs="Times New Roman"/>
                <w:color w:val="auto"/>
                <w:kern w:val="0"/>
                <w:szCs w:val="21"/>
                <w:highlight w:val="none"/>
                <w:lang w:val="en-US" w:eastAsia="zh-CN"/>
              </w:rPr>
            </w:pPr>
            <w:r>
              <w:rPr>
                <w:rFonts w:hint="eastAsia" w:ascii="仿宋_GB2312" w:hAnsi="仿宋_GB2312" w:eastAsia="仿宋_GB2312" w:cs="仿宋_GB2312"/>
                <w:color w:val="auto"/>
                <w:spacing w:val="8"/>
                <w:sz w:val="21"/>
                <w:szCs w:val="21"/>
                <w:highlight w:val="none"/>
              </w:rPr>
              <w:t>合成着色剂（柠檬黄、日落黄、喹啉黄、亮蓝、靛蓝）、丙酸及其钠盐、钙盐（以丙酸计）</w:t>
            </w:r>
          </w:p>
        </w:tc>
      </w:tr>
      <w:tr w14:paraId="0B27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1" w:hRule="atLeast"/>
        </w:trPr>
        <w:tc>
          <w:tcPr>
            <w:tcW w:w="720" w:type="dxa"/>
            <w:vMerge w:val="continue"/>
            <w:noWrap w:val="0"/>
            <w:vAlign w:val="center"/>
          </w:tcPr>
          <w:p w14:paraId="3ACF09D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030BFA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39D2517">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01DD3EA">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745FEB82">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其他</w:t>
            </w:r>
            <w:r>
              <w:rPr>
                <w:rFonts w:hint="default" w:ascii="Times New Roman" w:hAnsi="Times New Roman" w:eastAsia="仿宋_GB2312" w:cs="Times New Roman"/>
                <w:color w:val="auto"/>
                <w:kern w:val="0"/>
                <w:szCs w:val="21"/>
                <w:highlight w:val="none"/>
              </w:rPr>
              <w:t>谷物粉类制成品</w:t>
            </w:r>
          </w:p>
        </w:tc>
        <w:tc>
          <w:tcPr>
            <w:tcW w:w="1106" w:type="dxa"/>
            <w:noWrap w:val="0"/>
            <w:vAlign w:val="center"/>
          </w:tcPr>
          <w:p w14:paraId="04A78D2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4BDCFD2D">
            <w:pPr>
              <w:keepNext w:val="0"/>
              <w:keepLines w:val="0"/>
              <w:widowControl/>
              <w:suppressLineNumbers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黄曲霉毒</w:t>
            </w:r>
            <w:r>
              <w:rPr>
                <w:rFonts w:hint="eastAsia" w:ascii="Times New Roman" w:hAnsi="Times New Roman" w:eastAsia="仿宋_GB2312" w:cs="Times New Roman"/>
                <w:color w:val="auto"/>
                <w:kern w:val="0"/>
                <w:szCs w:val="21"/>
                <w:highlight w:val="none"/>
                <w:lang w:val="en-US" w:eastAsia="zh-CN"/>
              </w:rPr>
              <w:t>素</w:t>
            </w:r>
            <w:r>
              <w:rPr>
                <w:rFonts w:hint="default" w:ascii="Times New Roman" w:hAnsi="Times New Roman" w:eastAsia="仿宋_GB2312" w:cs="Times New Roman"/>
                <w:color w:val="auto"/>
                <w:kern w:val="0"/>
                <w:szCs w:val="21"/>
                <w:highlight w:val="none"/>
                <w:lang w:val="en-US" w:eastAsia="zh-CN"/>
              </w:rPr>
              <w:t>B₁</w:t>
            </w:r>
            <w:r>
              <w:rPr>
                <w:rFonts w:hint="eastAsia"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、苯甲酸及其钠盐（以苯甲酸计）、山梨酸及其钾盐（以山梨酸计）、脱氢乙酸及其钠盐（以脱氢乙酸计）、合成着色剂（柠檬黄、 日落黄、胭脂红、苋菜红、亮蓝）、菌落总数、大肠菌群</w:t>
            </w:r>
          </w:p>
        </w:tc>
        <w:tc>
          <w:tcPr>
            <w:tcW w:w="3435" w:type="dxa"/>
            <w:noWrap w:val="0"/>
            <w:vAlign w:val="top"/>
          </w:tcPr>
          <w:p w14:paraId="2F235607">
            <w:pPr>
              <w:spacing w:line="367" w:lineRule="auto"/>
              <w:jc w:val="left"/>
              <w:rPr>
                <w:rFonts w:ascii="Noto Sans CJK SC Regular"/>
                <w:color w:val="auto"/>
                <w:sz w:val="21"/>
                <w:highlight w:val="none"/>
              </w:rPr>
            </w:pPr>
          </w:p>
          <w:p w14:paraId="229216D1">
            <w:pPr>
              <w:spacing w:before="65" w:line="224" w:lineRule="auto"/>
              <w:jc w:val="left"/>
              <w:rPr>
                <w:rFonts w:hint="default" w:ascii="Times New Roman" w:hAnsi="Times New Roman" w:eastAsia="仿宋_GB2312" w:cs="Times New Roman"/>
                <w:color w:val="auto"/>
                <w:kern w:val="0"/>
                <w:szCs w:val="21"/>
                <w:highlight w:val="none"/>
                <w:lang w:val="en-US" w:eastAsia="zh-CN"/>
              </w:rPr>
            </w:pPr>
            <w:r>
              <w:rPr>
                <w:rFonts w:hint="eastAsia" w:ascii="仿宋_GB2312" w:hAnsi="仿宋_GB2312" w:eastAsia="仿宋_GB2312" w:cs="仿宋_GB2312"/>
                <w:color w:val="auto"/>
                <w:spacing w:val="5"/>
                <w:sz w:val="21"/>
                <w:szCs w:val="21"/>
                <w:highlight w:val="none"/>
              </w:rPr>
              <w:t>丙酸及其钠盐、钙盐（</w:t>
            </w:r>
            <w:r>
              <w:rPr>
                <w:rFonts w:hint="eastAsia" w:ascii="仿宋_GB2312" w:hAnsi="仿宋_GB2312" w:eastAsia="仿宋_GB2312" w:cs="仿宋_GB2312"/>
                <w:color w:val="auto"/>
                <w:spacing w:val="-49"/>
                <w:sz w:val="21"/>
                <w:szCs w:val="21"/>
                <w:highlight w:val="none"/>
              </w:rPr>
              <w:t xml:space="preserve"> </w:t>
            </w:r>
            <w:r>
              <w:rPr>
                <w:rFonts w:hint="eastAsia" w:ascii="仿宋_GB2312" w:hAnsi="仿宋_GB2312" w:eastAsia="仿宋_GB2312" w:cs="仿宋_GB2312"/>
                <w:color w:val="auto"/>
                <w:spacing w:val="5"/>
                <w:sz w:val="21"/>
                <w:szCs w:val="21"/>
                <w:highlight w:val="none"/>
              </w:rPr>
              <w:t>以丙酸计）</w:t>
            </w:r>
          </w:p>
        </w:tc>
      </w:tr>
      <w:tr w14:paraId="1DCC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720" w:type="dxa"/>
            <w:vMerge w:val="restart"/>
            <w:noWrap w:val="0"/>
            <w:vAlign w:val="center"/>
          </w:tcPr>
          <w:p w14:paraId="69F9F805">
            <w:pPr>
              <w:widowControl/>
              <w:spacing w:line="300" w:lineRule="exact"/>
              <w:jc w:val="center"/>
              <w:rPr>
                <w:rFonts w:hint="default" w:ascii="Times New Roman" w:hAnsi="Times New Roman" w:eastAsia="仿宋_GB2312" w:cs="Times New Roman"/>
                <w:color w:val="auto"/>
                <w:kern w:val="0"/>
                <w:szCs w:val="21"/>
                <w:highlight w:val="none"/>
              </w:rPr>
            </w:pPr>
          </w:p>
          <w:p w14:paraId="1CCBFAF2">
            <w:pPr>
              <w:widowControl/>
              <w:spacing w:line="300" w:lineRule="exact"/>
              <w:jc w:val="both"/>
              <w:rPr>
                <w:rFonts w:hint="default" w:ascii="Times New Roman" w:hAnsi="Times New Roman" w:eastAsia="仿宋_GB2312" w:cs="Times New Roman"/>
                <w:color w:val="auto"/>
                <w:kern w:val="0"/>
                <w:szCs w:val="21"/>
                <w:highlight w:val="none"/>
              </w:rPr>
            </w:pPr>
          </w:p>
          <w:p w14:paraId="5BA2B12D">
            <w:pPr>
              <w:widowControl/>
              <w:spacing w:line="300" w:lineRule="exact"/>
              <w:jc w:val="both"/>
              <w:rPr>
                <w:rFonts w:hint="default" w:ascii="Times New Roman" w:hAnsi="Times New Roman" w:eastAsia="仿宋_GB2312" w:cs="Times New Roman"/>
                <w:color w:val="auto"/>
                <w:kern w:val="0"/>
                <w:szCs w:val="21"/>
                <w:highlight w:val="none"/>
              </w:rPr>
            </w:pPr>
          </w:p>
          <w:p w14:paraId="4F14A1B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w:t>
            </w:r>
          </w:p>
          <w:p w14:paraId="625A658B">
            <w:pPr>
              <w:widowControl/>
              <w:spacing w:line="300" w:lineRule="exact"/>
              <w:jc w:val="center"/>
              <w:rPr>
                <w:rFonts w:hint="default" w:ascii="Times New Roman" w:hAnsi="Times New Roman" w:eastAsia="仿宋_GB2312" w:cs="Times New Roman"/>
                <w:color w:val="auto"/>
                <w:kern w:val="0"/>
                <w:szCs w:val="21"/>
                <w:highlight w:val="none"/>
              </w:rPr>
            </w:pPr>
          </w:p>
          <w:p w14:paraId="64256D4A">
            <w:pPr>
              <w:widowControl/>
              <w:spacing w:line="300" w:lineRule="exact"/>
              <w:jc w:val="center"/>
              <w:rPr>
                <w:rFonts w:hint="default" w:ascii="Times New Roman" w:hAnsi="Times New Roman" w:eastAsia="仿宋_GB2312" w:cs="Times New Roman"/>
                <w:color w:val="auto"/>
                <w:kern w:val="0"/>
                <w:szCs w:val="21"/>
                <w:highlight w:val="none"/>
              </w:rPr>
            </w:pPr>
          </w:p>
          <w:p w14:paraId="7EE61E76">
            <w:pPr>
              <w:widowControl/>
              <w:spacing w:line="300" w:lineRule="exact"/>
              <w:jc w:val="center"/>
              <w:rPr>
                <w:rFonts w:hint="default" w:ascii="Times New Roman" w:hAnsi="Times New Roman" w:eastAsia="仿宋_GB2312" w:cs="Times New Roman"/>
                <w:color w:val="auto"/>
                <w:kern w:val="0"/>
                <w:szCs w:val="21"/>
                <w:highlight w:val="none"/>
              </w:rPr>
            </w:pPr>
          </w:p>
          <w:p w14:paraId="26B4B8D4">
            <w:pPr>
              <w:widowControl/>
              <w:spacing w:line="300" w:lineRule="exact"/>
              <w:jc w:val="center"/>
              <w:rPr>
                <w:rFonts w:hint="default" w:ascii="Times New Roman" w:hAnsi="Times New Roman" w:eastAsia="仿宋_GB2312" w:cs="Times New Roman"/>
                <w:color w:val="auto"/>
                <w:kern w:val="0"/>
                <w:szCs w:val="21"/>
                <w:highlight w:val="none"/>
              </w:rPr>
            </w:pPr>
          </w:p>
          <w:p w14:paraId="0E323F69">
            <w:pPr>
              <w:widowControl/>
              <w:spacing w:line="300" w:lineRule="exact"/>
              <w:jc w:val="center"/>
              <w:rPr>
                <w:rFonts w:hint="default" w:ascii="Times New Roman" w:hAnsi="Times New Roman" w:eastAsia="仿宋_GB2312" w:cs="Times New Roman"/>
                <w:color w:val="auto"/>
                <w:kern w:val="0"/>
                <w:szCs w:val="21"/>
                <w:highlight w:val="none"/>
              </w:rPr>
            </w:pPr>
          </w:p>
          <w:p w14:paraId="448EEC4F">
            <w:pPr>
              <w:widowControl/>
              <w:spacing w:line="300" w:lineRule="exact"/>
              <w:jc w:val="center"/>
              <w:rPr>
                <w:rFonts w:hint="default" w:ascii="Times New Roman" w:hAnsi="Times New Roman" w:eastAsia="仿宋_GB2312" w:cs="Times New Roman"/>
                <w:color w:val="auto"/>
                <w:kern w:val="0"/>
                <w:szCs w:val="21"/>
                <w:highlight w:val="none"/>
              </w:rPr>
            </w:pPr>
          </w:p>
          <w:p w14:paraId="0BA0C398">
            <w:pPr>
              <w:widowControl/>
              <w:spacing w:line="300" w:lineRule="exact"/>
              <w:jc w:val="center"/>
              <w:rPr>
                <w:rFonts w:hint="default" w:ascii="Times New Roman" w:hAnsi="Times New Roman" w:eastAsia="仿宋_GB2312" w:cs="Times New Roman"/>
                <w:color w:val="auto"/>
                <w:kern w:val="0"/>
                <w:szCs w:val="21"/>
                <w:highlight w:val="none"/>
              </w:rPr>
            </w:pPr>
          </w:p>
          <w:p w14:paraId="33853E09">
            <w:pPr>
              <w:widowControl/>
              <w:spacing w:line="300" w:lineRule="exact"/>
              <w:jc w:val="center"/>
              <w:rPr>
                <w:rFonts w:hint="default" w:ascii="Times New Roman" w:hAnsi="Times New Roman" w:eastAsia="仿宋_GB2312" w:cs="Times New Roman"/>
                <w:color w:val="auto"/>
                <w:kern w:val="0"/>
                <w:szCs w:val="21"/>
                <w:highlight w:val="none"/>
              </w:rPr>
            </w:pPr>
          </w:p>
          <w:p w14:paraId="73FD4EED">
            <w:pPr>
              <w:widowControl/>
              <w:spacing w:line="300" w:lineRule="exact"/>
              <w:jc w:val="center"/>
              <w:rPr>
                <w:rFonts w:hint="default" w:ascii="Times New Roman" w:hAnsi="Times New Roman" w:eastAsia="仿宋_GB2312" w:cs="Times New Roman"/>
                <w:color w:val="auto"/>
                <w:kern w:val="0"/>
                <w:szCs w:val="21"/>
                <w:highlight w:val="none"/>
              </w:rPr>
            </w:pPr>
          </w:p>
          <w:p w14:paraId="0140B741">
            <w:pPr>
              <w:widowControl/>
              <w:spacing w:line="300" w:lineRule="exact"/>
              <w:jc w:val="center"/>
              <w:rPr>
                <w:rFonts w:hint="default" w:ascii="Times New Roman" w:hAnsi="Times New Roman" w:eastAsia="仿宋_GB2312" w:cs="Times New Roman"/>
                <w:color w:val="auto"/>
                <w:kern w:val="0"/>
                <w:szCs w:val="21"/>
                <w:highlight w:val="none"/>
              </w:rPr>
            </w:pPr>
          </w:p>
          <w:p w14:paraId="14C1CA05">
            <w:pPr>
              <w:widowControl/>
              <w:spacing w:line="300" w:lineRule="exact"/>
              <w:jc w:val="center"/>
              <w:rPr>
                <w:rFonts w:hint="default" w:ascii="Times New Roman" w:hAnsi="Times New Roman" w:eastAsia="仿宋_GB2312" w:cs="Times New Roman"/>
                <w:color w:val="auto"/>
                <w:kern w:val="0"/>
                <w:szCs w:val="21"/>
                <w:highlight w:val="none"/>
              </w:rPr>
            </w:pPr>
          </w:p>
          <w:p w14:paraId="15BBDA80">
            <w:pPr>
              <w:widowControl/>
              <w:spacing w:line="300" w:lineRule="exact"/>
              <w:jc w:val="center"/>
              <w:rPr>
                <w:rFonts w:hint="default" w:ascii="Times New Roman" w:hAnsi="Times New Roman" w:eastAsia="仿宋_GB2312" w:cs="Times New Roman"/>
                <w:color w:val="auto"/>
                <w:kern w:val="0"/>
                <w:szCs w:val="21"/>
                <w:highlight w:val="none"/>
              </w:rPr>
            </w:pPr>
          </w:p>
          <w:p w14:paraId="26E34D6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rPr>
              <w:t>2</w:t>
            </w:r>
          </w:p>
        </w:tc>
        <w:tc>
          <w:tcPr>
            <w:tcW w:w="1107" w:type="dxa"/>
            <w:vMerge w:val="restart"/>
            <w:noWrap w:val="0"/>
            <w:vAlign w:val="center"/>
          </w:tcPr>
          <w:p w14:paraId="6270DB79">
            <w:pPr>
              <w:widowControl/>
              <w:spacing w:line="300" w:lineRule="exact"/>
              <w:jc w:val="both"/>
              <w:rPr>
                <w:rFonts w:hint="default" w:ascii="Times New Roman" w:hAnsi="Times New Roman" w:eastAsia="仿宋_GB2312" w:cs="Times New Roman"/>
                <w:color w:val="auto"/>
                <w:kern w:val="0"/>
                <w:szCs w:val="21"/>
                <w:highlight w:val="none"/>
              </w:rPr>
            </w:pPr>
          </w:p>
          <w:p w14:paraId="0A9718DF">
            <w:pPr>
              <w:widowControl/>
              <w:spacing w:line="300" w:lineRule="exact"/>
              <w:jc w:val="center"/>
              <w:rPr>
                <w:rFonts w:hint="default" w:ascii="Times New Roman" w:hAnsi="Times New Roman" w:eastAsia="仿宋_GB2312" w:cs="Times New Roman"/>
                <w:color w:val="auto"/>
                <w:kern w:val="0"/>
                <w:szCs w:val="21"/>
                <w:highlight w:val="none"/>
              </w:rPr>
            </w:pPr>
          </w:p>
          <w:p w14:paraId="113796A1">
            <w:pPr>
              <w:widowControl/>
              <w:spacing w:line="300" w:lineRule="exact"/>
              <w:jc w:val="center"/>
              <w:rPr>
                <w:rFonts w:hint="default" w:ascii="Times New Roman" w:hAnsi="Times New Roman" w:eastAsia="仿宋_GB2312" w:cs="Times New Roman"/>
                <w:color w:val="auto"/>
                <w:kern w:val="0"/>
                <w:szCs w:val="21"/>
                <w:highlight w:val="none"/>
              </w:rPr>
            </w:pPr>
          </w:p>
          <w:p w14:paraId="27CA7CA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食用油、油脂及其制品</w:t>
            </w:r>
          </w:p>
          <w:p w14:paraId="1AE91C97">
            <w:pPr>
              <w:widowControl/>
              <w:spacing w:line="300" w:lineRule="exact"/>
              <w:jc w:val="center"/>
              <w:rPr>
                <w:rFonts w:hint="default" w:ascii="Times New Roman" w:hAnsi="Times New Roman" w:eastAsia="仿宋_GB2312" w:cs="Times New Roman"/>
                <w:color w:val="auto"/>
                <w:kern w:val="0"/>
                <w:szCs w:val="21"/>
                <w:highlight w:val="none"/>
              </w:rPr>
            </w:pPr>
          </w:p>
          <w:p w14:paraId="74B6A47B">
            <w:pPr>
              <w:widowControl/>
              <w:spacing w:line="300" w:lineRule="exact"/>
              <w:jc w:val="center"/>
              <w:rPr>
                <w:rFonts w:hint="default" w:ascii="Times New Roman" w:hAnsi="Times New Roman" w:eastAsia="仿宋_GB2312" w:cs="Times New Roman"/>
                <w:color w:val="auto"/>
                <w:kern w:val="0"/>
                <w:szCs w:val="21"/>
                <w:highlight w:val="none"/>
              </w:rPr>
            </w:pPr>
          </w:p>
          <w:p w14:paraId="4B9934C6">
            <w:pPr>
              <w:widowControl/>
              <w:spacing w:line="300" w:lineRule="exact"/>
              <w:jc w:val="center"/>
              <w:rPr>
                <w:rFonts w:hint="default" w:ascii="Times New Roman" w:hAnsi="Times New Roman" w:eastAsia="仿宋_GB2312" w:cs="Times New Roman"/>
                <w:color w:val="auto"/>
                <w:kern w:val="0"/>
                <w:szCs w:val="21"/>
                <w:highlight w:val="none"/>
              </w:rPr>
            </w:pPr>
          </w:p>
          <w:p w14:paraId="7CCC94D2">
            <w:pPr>
              <w:widowControl/>
              <w:spacing w:line="300" w:lineRule="exact"/>
              <w:jc w:val="center"/>
              <w:rPr>
                <w:rFonts w:hint="default" w:ascii="Times New Roman" w:hAnsi="Times New Roman" w:eastAsia="仿宋_GB2312" w:cs="Times New Roman"/>
                <w:color w:val="auto"/>
                <w:kern w:val="0"/>
                <w:szCs w:val="21"/>
                <w:highlight w:val="none"/>
              </w:rPr>
            </w:pPr>
          </w:p>
          <w:p w14:paraId="3734C972">
            <w:pPr>
              <w:widowControl/>
              <w:spacing w:line="300" w:lineRule="exact"/>
              <w:jc w:val="center"/>
              <w:rPr>
                <w:rFonts w:hint="default" w:ascii="Times New Roman" w:hAnsi="Times New Roman" w:eastAsia="仿宋_GB2312" w:cs="Times New Roman"/>
                <w:color w:val="auto"/>
                <w:kern w:val="0"/>
                <w:szCs w:val="21"/>
                <w:highlight w:val="none"/>
              </w:rPr>
            </w:pPr>
          </w:p>
          <w:p w14:paraId="2C9FA03C">
            <w:pPr>
              <w:widowControl/>
              <w:spacing w:line="300" w:lineRule="exact"/>
              <w:jc w:val="center"/>
              <w:rPr>
                <w:rFonts w:hint="default" w:ascii="Times New Roman" w:hAnsi="Times New Roman" w:eastAsia="仿宋_GB2312" w:cs="Times New Roman"/>
                <w:color w:val="auto"/>
                <w:kern w:val="0"/>
                <w:szCs w:val="21"/>
                <w:highlight w:val="none"/>
              </w:rPr>
            </w:pPr>
          </w:p>
          <w:p w14:paraId="5903B770">
            <w:pPr>
              <w:widowControl/>
              <w:spacing w:line="300" w:lineRule="exact"/>
              <w:jc w:val="center"/>
              <w:rPr>
                <w:rFonts w:hint="default" w:ascii="Times New Roman" w:hAnsi="Times New Roman" w:eastAsia="仿宋_GB2312" w:cs="Times New Roman"/>
                <w:color w:val="auto"/>
                <w:kern w:val="0"/>
                <w:szCs w:val="21"/>
                <w:highlight w:val="none"/>
              </w:rPr>
            </w:pPr>
          </w:p>
          <w:p w14:paraId="659AB402">
            <w:pPr>
              <w:widowControl/>
              <w:spacing w:line="300" w:lineRule="exact"/>
              <w:jc w:val="center"/>
              <w:rPr>
                <w:rFonts w:hint="default" w:ascii="Times New Roman" w:hAnsi="Times New Roman" w:eastAsia="仿宋_GB2312" w:cs="Times New Roman"/>
                <w:color w:val="auto"/>
                <w:kern w:val="0"/>
                <w:szCs w:val="21"/>
                <w:highlight w:val="none"/>
              </w:rPr>
            </w:pPr>
          </w:p>
          <w:p w14:paraId="129877FC">
            <w:pPr>
              <w:widowControl/>
              <w:spacing w:line="300" w:lineRule="exact"/>
              <w:jc w:val="center"/>
              <w:rPr>
                <w:rFonts w:hint="default" w:ascii="Times New Roman" w:hAnsi="Times New Roman" w:eastAsia="仿宋_GB2312" w:cs="Times New Roman"/>
                <w:color w:val="auto"/>
                <w:kern w:val="0"/>
                <w:szCs w:val="21"/>
                <w:highlight w:val="none"/>
              </w:rPr>
            </w:pPr>
          </w:p>
          <w:p w14:paraId="30310079">
            <w:pPr>
              <w:widowControl/>
              <w:spacing w:line="300" w:lineRule="exact"/>
              <w:jc w:val="center"/>
              <w:rPr>
                <w:rFonts w:hint="default" w:ascii="Times New Roman" w:hAnsi="Times New Roman" w:eastAsia="仿宋_GB2312" w:cs="Times New Roman"/>
                <w:color w:val="auto"/>
                <w:kern w:val="0"/>
                <w:szCs w:val="21"/>
                <w:highlight w:val="none"/>
              </w:rPr>
            </w:pPr>
          </w:p>
          <w:p w14:paraId="4AC17D8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食用油、油脂及其制品</w:t>
            </w:r>
          </w:p>
        </w:tc>
        <w:tc>
          <w:tcPr>
            <w:tcW w:w="1256" w:type="dxa"/>
            <w:vMerge w:val="restart"/>
            <w:noWrap w:val="0"/>
            <w:vAlign w:val="center"/>
          </w:tcPr>
          <w:p w14:paraId="31521D79">
            <w:pPr>
              <w:widowControl/>
              <w:spacing w:line="300" w:lineRule="exact"/>
              <w:jc w:val="center"/>
              <w:rPr>
                <w:rFonts w:hint="default" w:ascii="Times New Roman" w:hAnsi="Times New Roman" w:eastAsia="仿宋_GB2312" w:cs="Times New Roman"/>
                <w:color w:val="auto"/>
                <w:kern w:val="0"/>
                <w:szCs w:val="21"/>
                <w:highlight w:val="none"/>
              </w:rPr>
            </w:pPr>
          </w:p>
          <w:p w14:paraId="5D08AE2F">
            <w:pPr>
              <w:widowControl/>
              <w:spacing w:line="300" w:lineRule="exact"/>
              <w:jc w:val="both"/>
              <w:rPr>
                <w:rFonts w:hint="default" w:ascii="Times New Roman" w:hAnsi="Times New Roman" w:eastAsia="仿宋_GB2312" w:cs="Times New Roman"/>
                <w:color w:val="auto"/>
                <w:kern w:val="0"/>
                <w:szCs w:val="21"/>
                <w:highlight w:val="none"/>
              </w:rPr>
            </w:pPr>
          </w:p>
          <w:p w14:paraId="7F0F03A0">
            <w:pPr>
              <w:widowControl/>
              <w:spacing w:line="300" w:lineRule="exact"/>
              <w:jc w:val="both"/>
              <w:rPr>
                <w:rFonts w:hint="default" w:ascii="Times New Roman" w:hAnsi="Times New Roman" w:eastAsia="仿宋_GB2312" w:cs="Times New Roman"/>
                <w:color w:val="auto"/>
                <w:kern w:val="0"/>
                <w:szCs w:val="21"/>
                <w:highlight w:val="none"/>
              </w:rPr>
            </w:pPr>
          </w:p>
          <w:p w14:paraId="4F65605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食用植物油</w:t>
            </w:r>
          </w:p>
          <w:p w14:paraId="20C7DC69">
            <w:pPr>
              <w:widowControl/>
              <w:spacing w:line="300" w:lineRule="exact"/>
              <w:jc w:val="center"/>
              <w:rPr>
                <w:rFonts w:hint="default" w:ascii="Times New Roman" w:hAnsi="Times New Roman" w:eastAsia="仿宋_GB2312" w:cs="Times New Roman"/>
                <w:color w:val="auto"/>
                <w:kern w:val="0"/>
                <w:szCs w:val="21"/>
                <w:highlight w:val="none"/>
              </w:rPr>
            </w:pPr>
          </w:p>
          <w:p w14:paraId="7A6E3105">
            <w:pPr>
              <w:widowControl/>
              <w:spacing w:line="300" w:lineRule="exact"/>
              <w:jc w:val="center"/>
              <w:rPr>
                <w:rFonts w:hint="default" w:ascii="Times New Roman" w:hAnsi="Times New Roman" w:eastAsia="仿宋_GB2312" w:cs="Times New Roman"/>
                <w:color w:val="auto"/>
                <w:kern w:val="0"/>
                <w:szCs w:val="21"/>
                <w:highlight w:val="none"/>
              </w:rPr>
            </w:pPr>
          </w:p>
          <w:p w14:paraId="3A40DB98">
            <w:pPr>
              <w:widowControl/>
              <w:spacing w:line="300" w:lineRule="exact"/>
              <w:jc w:val="center"/>
              <w:rPr>
                <w:rFonts w:hint="default" w:ascii="Times New Roman" w:hAnsi="Times New Roman" w:eastAsia="仿宋_GB2312" w:cs="Times New Roman"/>
                <w:color w:val="auto"/>
                <w:kern w:val="0"/>
                <w:szCs w:val="21"/>
                <w:highlight w:val="none"/>
              </w:rPr>
            </w:pPr>
          </w:p>
          <w:p w14:paraId="50A2CAAD">
            <w:pPr>
              <w:widowControl/>
              <w:spacing w:line="300" w:lineRule="exact"/>
              <w:jc w:val="center"/>
              <w:rPr>
                <w:rFonts w:hint="default" w:ascii="Times New Roman" w:hAnsi="Times New Roman" w:eastAsia="仿宋_GB2312" w:cs="Times New Roman"/>
                <w:color w:val="auto"/>
                <w:kern w:val="0"/>
                <w:szCs w:val="21"/>
                <w:highlight w:val="none"/>
              </w:rPr>
            </w:pPr>
          </w:p>
          <w:p w14:paraId="19731C2C">
            <w:pPr>
              <w:widowControl/>
              <w:spacing w:line="300" w:lineRule="exact"/>
              <w:jc w:val="center"/>
              <w:rPr>
                <w:rFonts w:hint="default" w:ascii="Times New Roman" w:hAnsi="Times New Roman" w:eastAsia="仿宋_GB2312" w:cs="Times New Roman"/>
                <w:color w:val="auto"/>
                <w:kern w:val="0"/>
                <w:szCs w:val="21"/>
                <w:highlight w:val="none"/>
              </w:rPr>
            </w:pPr>
          </w:p>
          <w:p w14:paraId="5B2F4E11">
            <w:pPr>
              <w:widowControl/>
              <w:spacing w:line="300" w:lineRule="exact"/>
              <w:jc w:val="center"/>
              <w:rPr>
                <w:rFonts w:hint="default" w:ascii="Times New Roman" w:hAnsi="Times New Roman" w:eastAsia="仿宋_GB2312" w:cs="Times New Roman"/>
                <w:color w:val="auto"/>
                <w:kern w:val="0"/>
                <w:szCs w:val="21"/>
                <w:highlight w:val="none"/>
              </w:rPr>
            </w:pPr>
          </w:p>
          <w:p w14:paraId="4CE9D816">
            <w:pPr>
              <w:widowControl/>
              <w:spacing w:line="300" w:lineRule="exact"/>
              <w:jc w:val="center"/>
              <w:rPr>
                <w:rFonts w:hint="default" w:ascii="Times New Roman" w:hAnsi="Times New Roman" w:eastAsia="仿宋_GB2312" w:cs="Times New Roman"/>
                <w:color w:val="auto"/>
                <w:kern w:val="0"/>
                <w:szCs w:val="21"/>
                <w:highlight w:val="none"/>
              </w:rPr>
            </w:pPr>
          </w:p>
          <w:p w14:paraId="5BCCE3CD">
            <w:pPr>
              <w:widowControl/>
              <w:spacing w:line="300" w:lineRule="exact"/>
              <w:jc w:val="center"/>
              <w:rPr>
                <w:rFonts w:hint="default" w:ascii="Times New Roman" w:hAnsi="Times New Roman" w:eastAsia="仿宋_GB2312" w:cs="Times New Roman"/>
                <w:color w:val="auto"/>
                <w:kern w:val="0"/>
                <w:szCs w:val="21"/>
                <w:highlight w:val="none"/>
              </w:rPr>
            </w:pPr>
          </w:p>
          <w:p w14:paraId="3C1F5242">
            <w:pPr>
              <w:widowControl/>
              <w:spacing w:line="300" w:lineRule="exact"/>
              <w:jc w:val="center"/>
              <w:rPr>
                <w:rFonts w:hint="default" w:ascii="Times New Roman" w:hAnsi="Times New Roman" w:eastAsia="仿宋_GB2312" w:cs="Times New Roman"/>
                <w:color w:val="auto"/>
                <w:kern w:val="0"/>
                <w:szCs w:val="21"/>
                <w:highlight w:val="none"/>
              </w:rPr>
            </w:pPr>
          </w:p>
          <w:p w14:paraId="570C691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食用植物油</w:t>
            </w:r>
          </w:p>
          <w:p w14:paraId="2F84C440">
            <w:pPr>
              <w:widowControl/>
              <w:spacing w:line="300" w:lineRule="exact"/>
              <w:jc w:val="center"/>
              <w:rPr>
                <w:rFonts w:hint="default" w:ascii="Times New Roman" w:hAnsi="Times New Roman" w:eastAsia="仿宋_GB2312" w:cs="Times New Roman"/>
                <w:color w:val="auto"/>
                <w:kern w:val="0"/>
                <w:szCs w:val="21"/>
                <w:highlight w:val="none"/>
              </w:rPr>
            </w:pPr>
          </w:p>
          <w:p w14:paraId="1C791B83">
            <w:pPr>
              <w:widowControl/>
              <w:spacing w:line="300" w:lineRule="exact"/>
              <w:jc w:val="both"/>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75CBDEF2">
            <w:pPr>
              <w:widowControl/>
              <w:spacing w:line="300" w:lineRule="exact"/>
              <w:jc w:val="both"/>
              <w:rPr>
                <w:rFonts w:hint="default" w:ascii="Times New Roman" w:hAnsi="Times New Roman" w:eastAsia="仿宋_GB2312" w:cs="Times New Roman"/>
                <w:color w:val="auto"/>
                <w:kern w:val="0"/>
                <w:szCs w:val="21"/>
                <w:highlight w:val="none"/>
              </w:rPr>
            </w:pPr>
          </w:p>
          <w:p w14:paraId="0D73E16C">
            <w:pPr>
              <w:widowControl/>
              <w:spacing w:line="300" w:lineRule="exact"/>
              <w:jc w:val="center"/>
              <w:rPr>
                <w:rFonts w:hint="default" w:ascii="Times New Roman" w:hAnsi="Times New Roman" w:eastAsia="仿宋_GB2312" w:cs="Times New Roman"/>
                <w:color w:val="auto"/>
                <w:kern w:val="0"/>
                <w:szCs w:val="21"/>
                <w:highlight w:val="none"/>
              </w:rPr>
            </w:pPr>
          </w:p>
          <w:p w14:paraId="03195CC5">
            <w:pPr>
              <w:widowControl/>
              <w:spacing w:line="300" w:lineRule="exact"/>
              <w:jc w:val="center"/>
              <w:rPr>
                <w:rFonts w:hint="default" w:ascii="Times New Roman" w:hAnsi="Times New Roman" w:eastAsia="仿宋_GB2312" w:cs="Times New Roman"/>
                <w:color w:val="auto"/>
                <w:kern w:val="0"/>
                <w:szCs w:val="21"/>
                <w:highlight w:val="none"/>
              </w:rPr>
            </w:pPr>
          </w:p>
          <w:p w14:paraId="7B180C5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食用植物油</w:t>
            </w:r>
          </w:p>
          <w:p w14:paraId="1D0753DE">
            <w:pPr>
              <w:widowControl/>
              <w:spacing w:line="300" w:lineRule="exact"/>
              <w:jc w:val="center"/>
              <w:rPr>
                <w:rFonts w:hint="default" w:ascii="Times New Roman" w:hAnsi="Times New Roman" w:eastAsia="仿宋_GB2312" w:cs="Times New Roman"/>
                <w:color w:val="auto"/>
                <w:kern w:val="0"/>
                <w:szCs w:val="21"/>
                <w:highlight w:val="none"/>
              </w:rPr>
            </w:pPr>
          </w:p>
          <w:p w14:paraId="5EC612E6">
            <w:pPr>
              <w:widowControl/>
              <w:spacing w:line="300" w:lineRule="exact"/>
              <w:jc w:val="center"/>
              <w:rPr>
                <w:rFonts w:hint="default" w:ascii="Times New Roman" w:hAnsi="Times New Roman" w:eastAsia="仿宋_GB2312" w:cs="Times New Roman"/>
                <w:color w:val="auto"/>
                <w:kern w:val="0"/>
                <w:szCs w:val="21"/>
                <w:highlight w:val="none"/>
              </w:rPr>
            </w:pPr>
          </w:p>
          <w:p w14:paraId="209160F3">
            <w:pPr>
              <w:widowControl/>
              <w:spacing w:line="300" w:lineRule="exact"/>
              <w:jc w:val="center"/>
              <w:rPr>
                <w:rFonts w:hint="default" w:ascii="Times New Roman" w:hAnsi="Times New Roman" w:eastAsia="仿宋_GB2312" w:cs="Times New Roman"/>
                <w:color w:val="auto"/>
                <w:kern w:val="0"/>
                <w:szCs w:val="21"/>
                <w:highlight w:val="none"/>
              </w:rPr>
            </w:pPr>
          </w:p>
          <w:p w14:paraId="3F89F82F">
            <w:pPr>
              <w:widowControl/>
              <w:spacing w:line="300" w:lineRule="exact"/>
              <w:jc w:val="center"/>
              <w:rPr>
                <w:rFonts w:hint="default" w:ascii="Times New Roman" w:hAnsi="Times New Roman" w:eastAsia="仿宋_GB2312" w:cs="Times New Roman"/>
                <w:color w:val="auto"/>
                <w:kern w:val="0"/>
                <w:szCs w:val="21"/>
                <w:highlight w:val="none"/>
              </w:rPr>
            </w:pPr>
          </w:p>
          <w:p w14:paraId="1467591A">
            <w:pPr>
              <w:widowControl/>
              <w:spacing w:line="300" w:lineRule="exact"/>
              <w:jc w:val="center"/>
              <w:rPr>
                <w:rFonts w:hint="default" w:ascii="Times New Roman" w:hAnsi="Times New Roman" w:eastAsia="仿宋_GB2312" w:cs="Times New Roman"/>
                <w:color w:val="auto"/>
                <w:kern w:val="0"/>
                <w:szCs w:val="21"/>
                <w:highlight w:val="none"/>
              </w:rPr>
            </w:pPr>
          </w:p>
          <w:p w14:paraId="380AC626">
            <w:pPr>
              <w:widowControl/>
              <w:spacing w:line="300" w:lineRule="exact"/>
              <w:jc w:val="center"/>
              <w:rPr>
                <w:rFonts w:hint="default" w:ascii="Times New Roman" w:hAnsi="Times New Roman" w:eastAsia="仿宋_GB2312" w:cs="Times New Roman"/>
                <w:color w:val="auto"/>
                <w:kern w:val="0"/>
                <w:szCs w:val="21"/>
                <w:highlight w:val="none"/>
              </w:rPr>
            </w:pPr>
          </w:p>
          <w:p w14:paraId="3FBF6BBF">
            <w:pPr>
              <w:widowControl/>
              <w:spacing w:line="300" w:lineRule="exact"/>
              <w:jc w:val="center"/>
              <w:rPr>
                <w:rFonts w:hint="default" w:ascii="Times New Roman" w:hAnsi="Times New Roman" w:eastAsia="仿宋_GB2312" w:cs="Times New Roman"/>
                <w:color w:val="auto"/>
                <w:kern w:val="0"/>
                <w:szCs w:val="21"/>
                <w:highlight w:val="none"/>
              </w:rPr>
            </w:pPr>
          </w:p>
          <w:p w14:paraId="2F538C41">
            <w:pPr>
              <w:widowControl/>
              <w:spacing w:line="300" w:lineRule="exact"/>
              <w:jc w:val="center"/>
              <w:rPr>
                <w:rFonts w:hint="default" w:ascii="Times New Roman" w:hAnsi="Times New Roman" w:eastAsia="仿宋_GB2312" w:cs="Times New Roman"/>
                <w:color w:val="auto"/>
                <w:kern w:val="0"/>
                <w:szCs w:val="21"/>
                <w:highlight w:val="none"/>
              </w:rPr>
            </w:pPr>
          </w:p>
          <w:p w14:paraId="6355FE15">
            <w:pPr>
              <w:widowControl/>
              <w:spacing w:line="300" w:lineRule="exact"/>
              <w:jc w:val="center"/>
              <w:rPr>
                <w:rFonts w:hint="default" w:ascii="Times New Roman" w:hAnsi="Times New Roman" w:eastAsia="仿宋_GB2312" w:cs="Times New Roman"/>
                <w:color w:val="auto"/>
                <w:kern w:val="0"/>
                <w:szCs w:val="21"/>
                <w:highlight w:val="none"/>
              </w:rPr>
            </w:pPr>
          </w:p>
          <w:p w14:paraId="5415A87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食用植物油</w:t>
            </w:r>
          </w:p>
          <w:p w14:paraId="7F0C1076">
            <w:pPr>
              <w:widowControl/>
              <w:spacing w:line="300" w:lineRule="exact"/>
              <w:jc w:val="center"/>
              <w:rPr>
                <w:rFonts w:hint="default" w:ascii="Times New Roman" w:hAnsi="Times New Roman" w:eastAsia="仿宋_GB2312" w:cs="Times New Roman"/>
                <w:color w:val="auto"/>
                <w:kern w:val="0"/>
                <w:szCs w:val="21"/>
                <w:highlight w:val="none"/>
              </w:rPr>
            </w:pPr>
          </w:p>
          <w:p w14:paraId="43C33859">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2AD0E79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花生油</w:t>
            </w:r>
          </w:p>
        </w:tc>
        <w:tc>
          <w:tcPr>
            <w:tcW w:w="1106" w:type="dxa"/>
            <w:noWrap w:val="0"/>
            <w:vAlign w:val="center"/>
          </w:tcPr>
          <w:p w14:paraId="56914D7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071D203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酸值/</w:t>
            </w:r>
            <w:r>
              <w:rPr>
                <w:rFonts w:hint="eastAsia" w:ascii="Times New Roman" w:hAnsi="Times New Roman" w:eastAsia="仿宋_GB2312" w:cs="Times New Roman"/>
                <w:color w:val="auto"/>
                <w:kern w:val="0"/>
                <w:szCs w:val="21"/>
                <w:highlight w:val="none"/>
                <w:lang w:val="en-US" w:eastAsia="zh-CN"/>
              </w:rPr>
              <w:t>酸价、过氧化值、苯并[a]芘、黄曲霉毒素</w:t>
            </w:r>
            <w:r>
              <w:rPr>
                <w:rFonts w:hint="default" w:ascii="Times New Roman" w:hAnsi="Times New Roman" w:eastAsia="仿宋_GB2312" w:cs="Times New Roman"/>
                <w:color w:val="auto"/>
                <w:kern w:val="0"/>
                <w:szCs w:val="21"/>
                <w:highlight w:val="none"/>
                <w:lang w:val="en-US" w:eastAsia="zh-CN"/>
              </w:rPr>
              <w:t>B₁</w:t>
            </w:r>
            <w:r>
              <w:rPr>
                <w:rFonts w:hint="eastAsia" w:ascii="Times New Roman" w:hAnsi="Times New Roman" w:eastAsia="仿宋_GB2312" w:cs="Times New Roman"/>
                <w:color w:val="auto"/>
                <w:kern w:val="0"/>
                <w:szCs w:val="21"/>
                <w:highlight w:val="none"/>
                <w:lang w:val="en-US" w:eastAsia="zh-CN"/>
              </w:rPr>
              <w:t>、溶剂残留量、特丁基对苯二酚（</w:t>
            </w:r>
            <w:r>
              <w:rPr>
                <w:rFonts w:hint="default" w:ascii="Times New Roman" w:hAnsi="Times New Roman" w:eastAsia="仿宋_GB2312" w:cs="Times New Roman"/>
                <w:color w:val="auto"/>
                <w:kern w:val="0"/>
                <w:szCs w:val="21"/>
                <w:highlight w:val="none"/>
                <w:lang w:val="en-US" w:eastAsia="zh-CN"/>
              </w:rPr>
              <w:t>TBHQ</w:t>
            </w:r>
            <w:r>
              <w:rPr>
                <w:rFonts w:hint="eastAsia" w:ascii="Times New Roman" w:hAnsi="Times New Roman" w:eastAsia="仿宋_GB2312" w:cs="Times New Roman"/>
                <w:color w:val="auto"/>
                <w:kern w:val="0"/>
                <w:szCs w:val="21"/>
                <w:highlight w:val="none"/>
                <w:lang w:val="en-US" w:eastAsia="zh-CN"/>
              </w:rPr>
              <w:t>）、铅（以Pb计）</w:t>
            </w:r>
          </w:p>
        </w:tc>
        <w:tc>
          <w:tcPr>
            <w:tcW w:w="3435" w:type="dxa"/>
            <w:noWrap w:val="0"/>
            <w:vAlign w:val="center"/>
          </w:tcPr>
          <w:p w14:paraId="3E080E0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5F8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2" w:hRule="atLeast"/>
        </w:trPr>
        <w:tc>
          <w:tcPr>
            <w:tcW w:w="720" w:type="dxa"/>
            <w:vMerge w:val="continue"/>
            <w:noWrap w:val="0"/>
            <w:vAlign w:val="center"/>
          </w:tcPr>
          <w:p w14:paraId="29F0844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02AA48C">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6017D34">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6E92E7B">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A4FAA3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玉米油</w:t>
            </w:r>
          </w:p>
        </w:tc>
        <w:tc>
          <w:tcPr>
            <w:tcW w:w="1106" w:type="dxa"/>
            <w:noWrap w:val="0"/>
            <w:vAlign w:val="center"/>
          </w:tcPr>
          <w:p w14:paraId="7F6A167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3F918C5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酸值/</w:t>
            </w:r>
            <w:r>
              <w:rPr>
                <w:rFonts w:hint="eastAsia" w:ascii="Times New Roman" w:hAnsi="Times New Roman" w:eastAsia="仿宋_GB2312" w:cs="Times New Roman"/>
                <w:color w:val="auto"/>
                <w:kern w:val="0"/>
                <w:szCs w:val="21"/>
                <w:highlight w:val="none"/>
                <w:lang w:val="en-US" w:eastAsia="zh-CN"/>
              </w:rPr>
              <w:t>酸价、过氧化值、黄曲霉毒素B</w:t>
            </w:r>
            <w:r>
              <w:rPr>
                <w:rFonts w:hint="eastAsia" w:ascii="Times New Roman" w:hAnsi="Times New Roman" w:eastAsia="仿宋_GB2312" w:cs="Times New Roman"/>
                <w:color w:val="auto"/>
                <w:kern w:val="0"/>
                <w:szCs w:val="21"/>
                <w:highlight w:val="none"/>
                <w:vertAlign w:val="subscript"/>
                <w:lang w:val="en-US" w:eastAsia="zh-CN"/>
              </w:rPr>
              <w:t>1</w:t>
            </w:r>
            <w:r>
              <w:rPr>
                <w:rFonts w:hint="eastAsia" w:ascii="Times New Roman" w:hAnsi="Times New Roman" w:eastAsia="仿宋_GB2312" w:cs="Times New Roman"/>
                <w:color w:val="auto"/>
                <w:kern w:val="0"/>
                <w:szCs w:val="21"/>
                <w:highlight w:val="none"/>
                <w:lang w:val="en-US" w:eastAsia="zh-CN"/>
              </w:rPr>
              <w:t>、特丁基对苯二酚（</w:t>
            </w:r>
            <w:r>
              <w:rPr>
                <w:rFonts w:hint="default" w:ascii="Times New Roman" w:hAnsi="Times New Roman" w:eastAsia="仿宋_GB2312" w:cs="Times New Roman"/>
                <w:color w:val="auto"/>
                <w:kern w:val="0"/>
                <w:szCs w:val="21"/>
                <w:highlight w:val="none"/>
                <w:lang w:val="en-US" w:eastAsia="zh-CN"/>
              </w:rPr>
              <w:t>TBHQ</w:t>
            </w:r>
            <w:r>
              <w:rPr>
                <w:rFonts w:hint="eastAsia" w:ascii="Times New Roman" w:hAnsi="Times New Roman" w:eastAsia="仿宋_GB2312" w:cs="Times New Roman"/>
                <w:color w:val="auto"/>
                <w:kern w:val="0"/>
                <w:szCs w:val="21"/>
                <w:highlight w:val="none"/>
                <w:lang w:val="en-US" w:eastAsia="zh-CN"/>
              </w:rPr>
              <w:t>）、铅（以Pb计）、镉（以Cd计）</w:t>
            </w:r>
          </w:p>
        </w:tc>
        <w:tc>
          <w:tcPr>
            <w:tcW w:w="3435" w:type="dxa"/>
            <w:noWrap w:val="0"/>
            <w:vAlign w:val="center"/>
          </w:tcPr>
          <w:p w14:paraId="4D4A84D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726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trPr>
        <w:tc>
          <w:tcPr>
            <w:tcW w:w="720" w:type="dxa"/>
            <w:vMerge w:val="continue"/>
            <w:noWrap w:val="0"/>
            <w:vAlign w:val="center"/>
          </w:tcPr>
          <w:p w14:paraId="39558E5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678A9BE">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8C03C9D">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A01C0F4">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3376544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芝麻油</w:t>
            </w:r>
          </w:p>
        </w:tc>
        <w:tc>
          <w:tcPr>
            <w:tcW w:w="1106" w:type="dxa"/>
            <w:noWrap w:val="0"/>
            <w:vAlign w:val="center"/>
          </w:tcPr>
          <w:p w14:paraId="0FD30A9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10473CD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酸值/</w:t>
            </w:r>
            <w:r>
              <w:rPr>
                <w:rFonts w:hint="eastAsia" w:ascii="Times New Roman" w:hAnsi="Times New Roman" w:eastAsia="仿宋_GB2312" w:cs="Times New Roman"/>
                <w:color w:val="auto"/>
                <w:kern w:val="0"/>
                <w:szCs w:val="21"/>
                <w:highlight w:val="none"/>
                <w:lang w:val="en-US" w:eastAsia="zh-CN"/>
              </w:rPr>
              <w:t>酸价、过氧化值、苯并</w:t>
            </w:r>
            <w:r>
              <w:rPr>
                <w:rFonts w:hint="default" w:ascii="Times New Roman" w:hAnsi="Times New Roman" w:eastAsia="仿宋_GB2312" w:cs="Times New Roman"/>
                <w:color w:val="auto"/>
                <w:kern w:val="0"/>
                <w:szCs w:val="21"/>
                <w:highlight w:val="none"/>
                <w:lang w:val="en-US" w:eastAsia="zh-CN"/>
              </w:rPr>
              <w:t>[a]</w:t>
            </w:r>
            <w:r>
              <w:rPr>
                <w:rFonts w:hint="eastAsia" w:ascii="Times New Roman" w:hAnsi="Times New Roman" w:eastAsia="仿宋_GB2312" w:cs="Times New Roman"/>
                <w:color w:val="auto"/>
                <w:kern w:val="0"/>
                <w:szCs w:val="21"/>
                <w:highlight w:val="none"/>
                <w:lang w:val="en-US" w:eastAsia="zh-CN"/>
              </w:rPr>
              <w:t>芘、溶剂残留量、乙基麦芽酚</w:t>
            </w:r>
          </w:p>
        </w:tc>
        <w:tc>
          <w:tcPr>
            <w:tcW w:w="3435" w:type="dxa"/>
            <w:noWrap w:val="0"/>
            <w:vAlign w:val="center"/>
          </w:tcPr>
          <w:p w14:paraId="65FF70D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596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5EEC17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85880C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AC80C45">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3A58CE6">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0E17F63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橄榄油、油橄榄果渣油</w:t>
            </w:r>
          </w:p>
        </w:tc>
        <w:tc>
          <w:tcPr>
            <w:tcW w:w="1106" w:type="dxa"/>
            <w:noWrap w:val="0"/>
            <w:vAlign w:val="center"/>
          </w:tcPr>
          <w:p w14:paraId="7BDFD1C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4177C8B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酸值/</w:t>
            </w:r>
            <w:r>
              <w:rPr>
                <w:rFonts w:hint="eastAsia" w:ascii="Times New Roman" w:hAnsi="Times New Roman" w:eastAsia="仿宋_GB2312" w:cs="Times New Roman"/>
                <w:color w:val="auto"/>
                <w:kern w:val="0"/>
                <w:szCs w:val="21"/>
                <w:highlight w:val="none"/>
                <w:lang w:val="en-US" w:eastAsia="zh-CN"/>
              </w:rPr>
              <w:t>酸价、过氧化值、溶剂残留量、特丁基对苯二酚（</w:t>
            </w:r>
            <w:r>
              <w:rPr>
                <w:rFonts w:hint="default" w:ascii="Times New Roman" w:hAnsi="Times New Roman" w:eastAsia="仿宋_GB2312" w:cs="Times New Roman"/>
                <w:color w:val="auto"/>
                <w:kern w:val="0"/>
                <w:szCs w:val="21"/>
                <w:highlight w:val="none"/>
                <w:lang w:val="en-US" w:eastAsia="zh-CN"/>
              </w:rPr>
              <w:t>TBHQ</w:t>
            </w:r>
            <w:r>
              <w:rPr>
                <w:rFonts w:hint="eastAsia" w:ascii="Times New Roman" w:hAnsi="Times New Roman" w:eastAsia="仿宋_GB2312" w:cs="Times New Roman"/>
                <w:color w:val="auto"/>
                <w:kern w:val="0"/>
                <w:szCs w:val="21"/>
                <w:highlight w:val="none"/>
                <w:lang w:val="en-US" w:eastAsia="zh-CN"/>
              </w:rPr>
              <w:t>）</w:t>
            </w:r>
          </w:p>
        </w:tc>
        <w:tc>
          <w:tcPr>
            <w:tcW w:w="3435" w:type="dxa"/>
            <w:noWrap w:val="0"/>
            <w:vAlign w:val="center"/>
          </w:tcPr>
          <w:p w14:paraId="5A82B95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193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1C4103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405193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85123F2">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1FE24CF">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7051D45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菜籽油</w:t>
            </w:r>
          </w:p>
        </w:tc>
        <w:tc>
          <w:tcPr>
            <w:tcW w:w="1106" w:type="dxa"/>
            <w:noWrap w:val="0"/>
            <w:vAlign w:val="center"/>
          </w:tcPr>
          <w:p w14:paraId="7577B25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10C5231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酸值/</w:t>
            </w:r>
            <w:r>
              <w:rPr>
                <w:rFonts w:hint="eastAsia" w:ascii="Times New Roman" w:hAnsi="Times New Roman" w:eastAsia="仿宋_GB2312" w:cs="Times New Roman"/>
                <w:color w:val="auto"/>
                <w:kern w:val="0"/>
                <w:szCs w:val="21"/>
                <w:highlight w:val="none"/>
                <w:lang w:val="en-US" w:eastAsia="zh-CN"/>
              </w:rPr>
              <w:t>酸价、过氧化值、苯并</w:t>
            </w:r>
            <w:r>
              <w:rPr>
                <w:rFonts w:hint="default" w:ascii="Times New Roman" w:hAnsi="Times New Roman" w:eastAsia="仿宋_GB2312" w:cs="Times New Roman"/>
                <w:color w:val="auto"/>
                <w:kern w:val="0"/>
                <w:szCs w:val="21"/>
                <w:highlight w:val="none"/>
                <w:lang w:val="en-US" w:eastAsia="zh-CN"/>
              </w:rPr>
              <w:t>[a]</w:t>
            </w:r>
            <w:r>
              <w:rPr>
                <w:rFonts w:hint="eastAsia" w:ascii="Times New Roman" w:hAnsi="Times New Roman" w:eastAsia="仿宋_GB2312" w:cs="Times New Roman"/>
                <w:color w:val="auto"/>
                <w:kern w:val="0"/>
                <w:szCs w:val="21"/>
                <w:highlight w:val="none"/>
                <w:lang w:val="en-US" w:eastAsia="zh-CN"/>
              </w:rPr>
              <w:t>芘、溶剂残留量、特丁基对苯二酚 （</w:t>
            </w:r>
            <w:r>
              <w:rPr>
                <w:rFonts w:hint="default" w:ascii="Times New Roman" w:hAnsi="Times New Roman" w:eastAsia="仿宋_GB2312" w:cs="Times New Roman"/>
                <w:color w:val="auto"/>
                <w:kern w:val="0"/>
                <w:szCs w:val="21"/>
                <w:highlight w:val="none"/>
                <w:lang w:val="en-US" w:eastAsia="zh-CN"/>
              </w:rPr>
              <w:t>TBHQ</w:t>
            </w:r>
            <w:r>
              <w:rPr>
                <w:rFonts w:hint="eastAsia" w:ascii="Times New Roman" w:hAnsi="Times New Roman" w:eastAsia="仿宋_GB2312" w:cs="Times New Roman"/>
                <w:color w:val="auto"/>
                <w:kern w:val="0"/>
                <w:szCs w:val="21"/>
                <w:highlight w:val="none"/>
                <w:lang w:val="en-US" w:eastAsia="zh-CN"/>
              </w:rPr>
              <w:t>）、乙基麦芽酚、铅（以Pb计）</w:t>
            </w:r>
          </w:p>
        </w:tc>
        <w:tc>
          <w:tcPr>
            <w:tcW w:w="3435" w:type="dxa"/>
            <w:noWrap w:val="0"/>
            <w:vAlign w:val="center"/>
          </w:tcPr>
          <w:p w14:paraId="7408C59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DE3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BF9D73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C46404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B7625A0">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0DE09AF">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761C973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大豆油</w:t>
            </w:r>
          </w:p>
        </w:tc>
        <w:tc>
          <w:tcPr>
            <w:tcW w:w="1106" w:type="dxa"/>
            <w:noWrap w:val="0"/>
            <w:vAlign w:val="center"/>
          </w:tcPr>
          <w:p w14:paraId="08FB547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496AF7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酸值/</w:t>
            </w:r>
            <w:r>
              <w:rPr>
                <w:rFonts w:hint="eastAsia" w:ascii="Times New Roman" w:hAnsi="Times New Roman" w:eastAsia="仿宋_GB2312" w:cs="Times New Roman"/>
                <w:color w:val="auto"/>
                <w:kern w:val="0"/>
                <w:szCs w:val="21"/>
                <w:highlight w:val="none"/>
                <w:lang w:val="en-US" w:eastAsia="zh-CN"/>
              </w:rPr>
              <w:t>酸价、过氧化值、苯并</w:t>
            </w:r>
            <w:r>
              <w:rPr>
                <w:rFonts w:hint="default" w:ascii="Times New Roman" w:hAnsi="Times New Roman" w:eastAsia="仿宋_GB2312" w:cs="Times New Roman"/>
                <w:color w:val="auto"/>
                <w:kern w:val="0"/>
                <w:szCs w:val="21"/>
                <w:highlight w:val="none"/>
                <w:lang w:val="en-US" w:eastAsia="zh-CN"/>
              </w:rPr>
              <w:t>[a]</w:t>
            </w:r>
            <w:r>
              <w:rPr>
                <w:rFonts w:hint="eastAsia" w:ascii="Times New Roman" w:hAnsi="Times New Roman" w:eastAsia="仿宋_GB2312" w:cs="Times New Roman"/>
                <w:color w:val="auto"/>
                <w:kern w:val="0"/>
                <w:szCs w:val="21"/>
                <w:highlight w:val="none"/>
                <w:lang w:val="en-US" w:eastAsia="zh-CN"/>
              </w:rPr>
              <w:t>芘、溶剂残留量、特丁基对苯二酚（</w:t>
            </w:r>
            <w:r>
              <w:rPr>
                <w:rFonts w:hint="default" w:ascii="Times New Roman" w:hAnsi="Times New Roman" w:eastAsia="仿宋_GB2312" w:cs="Times New Roman"/>
                <w:color w:val="auto"/>
                <w:kern w:val="0"/>
                <w:szCs w:val="21"/>
                <w:highlight w:val="none"/>
                <w:lang w:val="en-US" w:eastAsia="zh-CN"/>
              </w:rPr>
              <w:t>TBHQ</w:t>
            </w:r>
            <w:r>
              <w:rPr>
                <w:rFonts w:hint="eastAsia" w:ascii="Times New Roman" w:hAnsi="Times New Roman" w:eastAsia="仿宋_GB2312" w:cs="Times New Roman"/>
                <w:color w:val="auto"/>
                <w:kern w:val="0"/>
                <w:szCs w:val="21"/>
                <w:highlight w:val="none"/>
                <w:lang w:val="en-US" w:eastAsia="zh-CN"/>
              </w:rPr>
              <w:t>）、铅（以Pb计）、镉（以Cd计）</w:t>
            </w:r>
          </w:p>
        </w:tc>
        <w:tc>
          <w:tcPr>
            <w:tcW w:w="3435" w:type="dxa"/>
            <w:noWrap w:val="0"/>
            <w:vAlign w:val="center"/>
          </w:tcPr>
          <w:p w14:paraId="42D5012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A62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D3DDED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8ECA707">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A91FC21">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905CD00">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119269C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食用植物调和油</w:t>
            </w:r>
          </w:p>
        </w:tc>
        <w:tc>
          <w:tcPr>
            <w:tcW w:w="1106" w:type="dxa"/>
            <w:noWrap w:val="0"/>
            <w:vAlign w:val="center"/>
          </w:tcPr>
          <w:p w14:paraId="6A9BC4B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7348372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酸价、过氧化值</w:t>
            </w:r>
            <w:r>
              <w:rPr>
                <w:rFonts w:hint="eastAsia" w:ascii="Times New Roman" w:hAnsi="Times New Roman" w:eastAsia="仿宋_GB2312" w:cs="Times New Roman"/>
                <w:color w:val="auto"/>
                <w:kern w:val="0"/>
                <w:szCs w:val="21"/>
                <w:highlight w:val="none"/>
                <w:lang w:val="en-US" w:eastAsia="zh-CN"/>
              </w:rPr>
              <w:t>、溶剂残留量、特丁基对苯二酚（</w:t>
            </w:r>
            <w:r>
              <w:rPr>
                <w:rFonts w:hint="default" w:ascii="Times New Roman" w:hAnsi="Times New Roman" w:eastAsia="仿宋_GB2312" w:cs="Times New Roman"/>
                <w:color w:val="auto"/>
                <w:kern w:val="0"/>
                <w:szCs w:val="21"/>
                <w:highlight w:val="none"/>
                <w:lang w:val="en-US" w:eastAsia="zh-CN"/>
              </w:rPr>
              <w:t>TBHQ</w:t>
            </w:r>
            <w:r>
              <w:rPr>
                <w:rFonts w:hint="eastAsia" w:ascii="Times New Roman" w:hAnsi="Times New Roman" w:eastAsia="仿宋_GB2312" w:cs="Times New Roman"/>
                <w:color w:val="auto"/>
                <w:kern w:val="0"/>
                <w:szCs w:val="21"/>
                <w:highlight w:val="none"/>
                <w:lang w:val="en-US" w:eastAsia="zh-CN"/>
              </w:rPr>
              <w:t>）、乙基麦芽酚、铅（以Pb计）</w:t>
            </w:r>
          </w:p>
        </w:tc>
        <w:tc>
          <w:tcPr>
            <w:tcW w:w="3435" w:type="dxa"/>
            <w:noWrap w:val="0"/>
            <w:vAlign w:val="center"/>
          </w:tcPr>
          <w:p w14:paraId="4A8D72C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378C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F5C793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9BDB7F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E74DC10">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09F1AC3">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E111AE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油茶籽油</w:t>
            </w:r>
          </w:p>
        </w:tc>
        <w:tc>
          <w:tcPr>
            <w:tcW w:w="1106" w:type="dxa"/>
            <w:noWrap w:val="0"/>
            <w:vAlign w:val="center"/>
          </w:tcPr>
          <w:p w14:paraId="55E6D18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4E8771A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酸值/</w:t>
            </w:r>
            <w:r>
              <w:rPr>
                <w:rFonts w:hint="eastAsia" w:ascii="Times New Roman" w:hAnsi="Times New Roman" w:eastAsia="仿宋_GB2312" w:cs="Times New Roman"/>
                <w:color w:val="auto"/>
                <w:kern w:val="0"/>
                <w:szCs w:val="21"/>
                <w:highlight w:val="none"/>
                <w:lang w:val="en-US" w:eastAsia="zh-CN"/>
              </w:rPr>
              <w:t>酸价、过氧化值、苯并</w:t>
            </w:r>
            <w:r>
              <w:rPr>
                <w:rFonts w:hint="default" w:ascii="Times New Roman" w:hAnsi="Times New Roman" w:eastAsia="仿宋_GB2312" w:cs="Times New Roman"/>
                <w:color w:val="auto"/>
                <w:kern w:val="0"/>
                <w:szCs w:val="21"/>
                <w:highlight w:val="none"/>
                <w:lang w:val="en-US" w:eastAsia="zh-CN"/>
              </w:rPr>
              <w:t>[a]</w:t>
            </w:r>
            <w:r>
              <w:rPr>
                <w:rFonts w:hint="eastAsia" w:ascii="Times New Roman" w:hAnsi="Times New Roman" w:eastAsia="仿宋_GB2312" w:cs="Times New Roman"/>
                <w:color w:val="auto"/>
                <w:kern w:val="0"/>
                <w:szCs w:val="21"/>
                <w:highlight w:val="none"/>
                <w:lang w:val="en-US" w:eastAsia="zh-CN"/>
              </w:rPr>
              <w:t>芘、溶剂残留量、特丁基对苯二酚（</w:t>
            </w:r>
            <w:r>
              <w:rPr>
                <w:rFonts w:hint="default" w:ascii="Times New Roman" w:hAnsi="Times New Roman" w:eastAsia="仿宋_GB2312" w:cs="Times New Roman"/>
                <w:color w:val="auto"/>
                <w:kern w:val="0"/>
                <w:szCs w:val="21"/>
                <w:highlight w:val="none"/>
                <w:lang w:val="en-US" w:eastAsia="zh-CN"/>
              </w:rPr>
              <w:t>TBHQ</w:t>
            </w:r>
            <w:r>
              <w:rPr>
                <w:rFonts w:hint="eastAsia" w:ascii="Times New Roman" w:hAnsi="Times New Roman" w:eastAsia="仿宋_GB2312" w:cs="Times New Roman"/>
                <w:color w:val="auto"/>
                <w:kern w:val="0"/>
                <w:szCs w:val="21"/>
                <w:highlight w:val="none"/>
                <w:lang w:val="en-US" w:eastAsia="zh-CN"/>
              </w:rPr>
              <w:t>）、铅（以</w:t>
            </w:r>
            <w:r>
              <w:rPr>
                <w:rFonts w:hint="default" w:ascii="Times New Roman" w:hAnsi="Times New Roman" w:eastAsia="仿宋_GB2312" w:cs="Times New Roman"/>
                <w:color w:val="auto"/>
                <w:kern w:val="0"/>
                <w:szCs w:val="21"/>
                <w:highlight w:val="none"/>
                <w:lang w:val="en-US" w:eastAsia="zh-CN"/>
              </w:rPr>
              <w:t>Pb</w:t>
            </w:r>
            <w:r>
              <w:rPr>
                <w:rFonts w:hint="eastAsia" w:ascii="Times New Roman" w:hAnsi="Times New Roman" w:eastAsia="仿宋_GB2312" w:cs="Times New Roman"/>
                <w:color w:val="auto"/>
                <w:kern w:val="0"/>
                <w:szCs w:val="21"/>
                <w:highlight w:val="none"/>
                <w:lang w:val="en-US" w:eastAsia="zh-CN"/>
              </w:rPr>
              <w:t>计）</w:t>
            </w:r>
          </w:p>
        </w:tc>
        <w:tc>
          <w:tcPr>
            <w:tcW w:w="3435" w:type="dxa"/>
            <w:noWrap w:val="0"/>
            <w:vAlign w:val="center"/>
          </w:tcPr>
          <w:p w14:paraId="53E26AA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5931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1C0DEAD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763CD64">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A7F6553">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8F55032">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267B75A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其他食用植物油</w:t>
            </w:r>
          </w:p>
        </w:tc>
        <w:tc>
          <w:tcPr>
            <w:tcW w:w="1106" w:type="dxa"/>
            <w:noWrap w:val="0"/>
            <w:vAlign w:val="center"/>
          </w:tcPr>
          <w:p w14:paraId="5897BB1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38F888F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酸值/酸价、过氧化值、溶剂残留量、特丁基对苯二酚（TBHQ）</w:t>
            </w:r>
          </w:p>
        </w:tc>
        <w:tc>
          <w:tcPr>
            <w:tcW w:w="3435" w:type="dxa"/>
            <w:noWrap w:val="0"/>
            <w:vAlign w:val="center"/>
          </w:tcPr>
          <w:p w14:paraId="5B0AEA9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总砷（以As计）</w:t>
            </w:r>
          </w:p>
        </w:tc>
      </w:tr>
      <w:tr w14:paraId="408C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720" w:type="dxa"/>
            <w:vMerge w:val="continue"/>
            <w:noWrap w:val="0"/>
            <w:vAlign w:val="center"/>
          </w:tcPr>
          <w:p w14:paraId="6F56AC8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63C316F">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center"/>
          </w:tcPr>
          <w:p w14:paraId="5C21239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食用动物油脂</w:t>
            </w:r>
          </w:p>
        </w:tc>
        <w:tc>
          <w:tcPr>
            <w:tcW w:w="1144" w:type="dxa"/>
            <w:noWrap w:val="0"/>
            <w:vAlign w:val="center"/>
          </w:tcPr>
          <w:p w14:paraId="47AC162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食用动物油脂</w:t>
            </w:r>
          </w:p>
        </w:tc>
        <w:tc>
          <w:tcPr>
            <w:tcW w:w="1856" w:type="dxa"/>
            <w:noWrap w:val="0"/>
            <w:vAlign w:val="center"/>
          </w:tcPr>
          <w:p w14:paraId="52EC7F6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食用动物油脂</w:t>
            </w:r>
          </w:p>
        </w:tc>
        <w:tc>
          <w:tcPr>
            <w:tcW w:w="1106" w:type="dxa"/>
            <w:noWrap w:val="0"/>
            <w:vAlign w:val="center"/>
          </w:tcPr>
          <w:p w14:paraId="6CEFC2C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740D43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酸价、过氧化值、丙二醛、铅（以Pb计）</w:t>
            </w:r>
          </w:p>
        </w:tc>
        <w:tc>
          <w:tcPr>
            <w:tcW w:w="3435" w:type="dxa"/>
            <w:noWrap w:val="0"/>
            <w:vAlign w:val="center"/>
          </w:tcPr>
          <w:p w14:paraId="4EEB710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苯并[a]芘、总砷（以As计）</w:t>
            </w:r>
          </w:p>
        </w:tc>
      </w:tr>
      <w:tr w14:paraId="2B34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720" w:type="dxa"/>
            <w:vMerge w:val="continue"/>
            <w:noWrap w:val="0"/>
            <w:vAlign w:val="center"/>
          </w:tcPr>
          <w:p w14:paraId="31EE8BEB">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5BCFCDE">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center"/>
          </w:tcPr>
          <w:p w14:paraId="5DDAD61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食用油脂制品</w:t>
            </w:r>
          </w:p>
        </w:tc>
        <w:tc>
          <w:tcPr>
            <w:tcW w:w="1144" w:type="dxa"/>
            <w:noWrap w:val="0"/>
            <w:vAlign w:val="center"/>
          </w:tcPr>
          <w:p w14:paraId="700BE78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食用油脂制品</w:t>
            </w:r>
          </w:p>
        </w:tc>
        <w:tc>
          <w:tcPr>
            <w:tcW w:w="1856" w:type="dxa"/>
            <w:noWrap w:val="0"/>
            <w:vAlign w:val="center"/>
          </w:tcPr>
          <w:p w14:paraId="1030466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食用油脂制品</w:t>
            </w:r>
          </w:p>
        </w:tc>
        <w:tc>
          <w:tcPr>
            <w:tcW w:w="1106" w:type="dxa"/>
            <w:noWrap w:val="0"/>
            <w:vAlign w:val="center"/>
          </w:tcPr>
          <w:p w14:paraId="1D6FE50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4479C51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以脂肪计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、过氧化值</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以脂肪计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、大肠菌群、霉菌</w:t>
            </w:r>
          </w:p>
        </w:tc>
        <w:tc>
          <w:tcPr>
            <w:tcW w:w="3435" w:type="dxa"/>
            <w:noWrap w:val="0"/>
            <w:vAlign w:val="center"/>
          </w:tcPr>
          <w:p w14:paraId="6A1C1C2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铅（以Pb计）、总砷（以As计）</w:t>
            </w:r>
          </w:p>
        </w:tc>
      </w:tr>
      <w:tr w14:paraId="7567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67A4053A">
            <w:pPr>
              <w:widowControl/>
              <w:spacing w:line="300" w:lineRule="exact"/>
              <w:jc w:val="center"/>
              <w:rPr>
                <w:rFonts w:hint="default" w:ascii="Times New Roman" w:hAnsi="Times New Roman" w:eastAsia="仿宋_GB2312" w:cs="Times New Roman"/>
                <w:color w:val="auto"/>
                <w:kern w:val="0"/>
                <w:szCs w:val="21"/>
                <w:highlight w:val="none"/>
              </w:rPr>
            </w:pPr>
          </w:p>
          <w:p w14:paraId="7EB48554">
            <w:pPr>
              <w:widowControl/>
              <w:spacing w:line="300" w:lineRule="exact"/>
              <w:jc w:val="both"/>
              <w:rPr>
                <w:rFonts w:hint="default" w:ascii="Times New Roman" w:hAnsi="Times New Roman" w:eastAsia="仿宋_GB2312" w:cs="Times New Roman"/>
                <w:color w:val="auto"/>
                <w:kern w:val="0"/>
                <w:szCs w:val="21"/>
                <w:highlight w:val="none"/>
              </w:rPr>
            </w:pPr>
          </w:p>
          <w:p w14:paraId="5125264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3</w:t>
            </w:r>
          </w:p>
          <w:p w14:paraId="5132CF89">
            <w:pPr>
              <w:widowControl/>
              <w:spacing w:line="300" w:lineRule="exact"/>
              <w:jc w:val="center"/>
              <w:rPr>
                <w:rFonts w:hint="default" w:ascii="Times New Roman" w:hAnsi="Times New Roman" w:eastAsia="仿宋_GB2312" w:cs="Times New Roman"/>
                <w:color w:val="auto"/>
                <w:kern w:val="0"/>
                <w:szCs w:val="21"/>
                <w:highlight w:val="none"/>
              </w:rPr>
            </w:pPr>
          </w:p>
          <w:p w14:paraId="3EBF79D6">
            <w:pPr>
              <w:widowControl/>
              <w:spacing w:line="300" w:lineRule="exact"/>
              <w:jc w:val="center"/>
              <w:rPr>
                <w:rFonts w:hint="default" w:ascii="Times New Roman" w:hAnsi="Times New Roman" w:eastAsia="仿宋_GB2312" w:cs="Times New Roman"/>
                <w:color w:val="auto"/>
                <w:kern w:val="0"/>
                <w:szCs w:val="21"/>
                <w:highlight w:val="none"/>
              </w:rPr>
            </w:pPr>
          </w:p>
          <w:p w14:paraId="0C157910">
            <w:pPr>
              <w:widowControl/>
              <w:spacing w:line="300" w:lineRule="exact"/>
              <w:jc w:val="center"/>
              <w:rPr>
                <w:rFonts w:hint="default" w:ascii="Times New Roman" w:hAnsi="Times New Roman" w:eastAsia="仿宋_GB2312" w:cs="Times New Roman"/>
                <w:color w:val="auto"/>
                <w:kern w:val="0"/>
                <w:szCs w:val="21"/>
                <w:highlight w:val="none"/>
              </w:rPr>
            </w:pPr>
          </w:p>
          <w:p w14:paraId="789AD75F">
            <w:pPr>
              <w:widowControl/>
              <w:spacing w:line="300" w:lineRule="exact"/>
              <w:jc w:val="center"/>
              <w:rPr>
                <w:rFonts w:hint="default" w:ascii="Times New Roman" w:hAnsi="Times New Roman" w:eastAsia="仿宋_GB2312" w:cs="Times New Roman"/>
                <w:color w:val="auto"/>
                <w:kern w:val="0"/>
                <w:szCs w:val="21"/>
                <w:highlight w:val="none"/>
              </w:rPr>
            </w:pPr>
          </w:p>
          <w:p w14:paraId="49C279A3">
            <w:pPr>
              <w:widowControl/>
              <w:spacing w:line="300" w:lineRule="exact"/>
              <w:jc w:val="center"/>
              <w:rPr>
                <w:rFonts w:hint="default" w:ascii="Times New Roman" w:hAnsi="Times New Roman" w:eastAsia="仿宋_GB2312" w:cs="Times New Roman"/>
                <w:color w:val="auto"/>
                <w:kern w:val="0"/>
                <w:szCs w:val="21"/>
                <w:highlight w:val="none"/>
              </w:rPr>
            </w:pPr>
          </w:p>
          <w:p w14:paraId="1DEAA65B">
            <w:pPr>
              <w:widowControl/>
              <w:spacing w:line="300" w:lineRule="exact"/>
              <w:jc w:val="center"/>
              <w:rPr>
                <w:rFonts w:hint="default" w:ascii="Times New Roman" w:hAnsi="Times New Roman" w:eastAsia="仿宋_GB2312" w:cs="Times New Roman"/>
                <w:color w:val="auto"/>
                <w:kern w:val="0"/>
                <w:szCs w:val="21"/>
                <w:highlight w:val="none"/>
              </w:rPr>
            </w:pPr>
          </w:p>
          <w:p w14:paraId="2F691DEF">
            <w:pPr>
              <w:widowControl/>
              <w:spacing w:line="300" w:lineRule="exact"/>
              <w:jc w:val="center"/>
              <w:rPr>
                <w:rFonts w:hint="default" w:ascii="Times New Roman" w:hAnsi="Times New Roman" w:eastAsia="仿宋_GB2312" w:cs="Times New Roman"/>
                <w:color w:val="auto"/>
                <w:kern w:val="0"/>
                <w:szCs w:val="21"/>
                <w:highlight w:val="none"/>
              </w:rPr>
            </w:pPr>
          </w:p>
          <w:p w14:paraId="07C47E0C">
            <w:pPr>
              <w:widowControl/>
              <w:spacing w:line="300" w:lineRule="exact"/>
              <w:jc w:val="center"/>
              <w:rPr>
                <w:rFonts w:hint="default" w:ascii="Times New Roman" w:hAnsi="Times New Roman" w:eastAsia="仿宋_GB2312" w:cs="Times New Roman"/>
                <w:color w:val="auto"/>
                <w:kern w:val="0"/>
                <w:szCs w:val="21"/>
                <w:highlight w:val="none"/>
              </w:rPr>
            </w:pPr>
          </w:p>
          <w:p w14:paraId="7169B8D9">
            <w:pPr>
              <w:widowControl/>
              <w:spacing w:line="300" w:lineRule="exact"/>
              <w:jc w:val="center"/>
              <w:rPr>
                <w:rFonts w:hint="default" w:ascii="Times New Roman" w:hAnsi="Times New Roman" w:eastAsia="仿宋_GB2312" w:cs="Times New Roman"/>
                <w:color w:val="auto"/>
                <w:kern w:val="0"/>
                <w:szCs w:val="21"/>
                <w:highlight w:val="none"/>
              </w:rPr>
            </w:pPr>
          </w:p>
          <w:p w14:paraId="3C8A9B29">
            <w:pPr>
              <w:widowControl/>
              <w:spacing w:line="300" w:lineRule="exact"/>
              <w:jc w:val="center"/>
              <w:rPr>
                <w:rFonts w:hint="default" w:ascii="Times New Roman" w:hAnsi="Times New Roman" w:eastAsia="仿宋_GB2312" w:cs="Times New Roman"/>
                <w:color w:val="auto"/>
                <w:kern w:val="0"/>
                <w:szCs w:val="21"/>
                <w:highlight w:val="none"/>
              </w:rPr>
            </w:pPr>
          </w:p>
          <w:p w14:paraId="19804BCB">
            <w:pPr>
              <w:widowControl/>
              <w:spacing w:line="300" w:lineRule="exact"/>
              <w:jc w:val="center"/>
              <w:rPr>
                <w:rFonts w:hint="default" w:ascii="Times New Roman" w:hAnsi="Times New Roman" w:eastAsia="仿宋_GB2312" w:cs="Times New Roman"/>
                <w:color w:val="auto"/>
                <w:kern w:val="0"/>
                <w:szCs w:val="21"/>
                <w:highlight w:val="none"/>
              </w:rPr>
            </w:pPr>
          </w:p>
          <w:p w14:paraId="68596362">
            <w:pPr>
              <w:widowControl/>
              <w:spacing w:line="300" w:lineRule="exact"/>
              <w:jc w:val="center"/>
              <w:rPr>
                <w:rFonts w:hint="default" w:ascii="Times New Roman" w:hAnsi="Times New Roman" w:eastAsia="仿宋_GB2312" w:cs="Times New Roman"/>
                <w:color w:val="auto"/>
                <w:kern w:val="0"/>
                <w:szCs w:val="21"/>
                <w:highlight w:val="none"/>
              </w:rPr>
            </w:pPr>
          </w:p>
          <w:p w14:paraId="7C3FEA36">
            <w:pPr>
              <w:widowControl/>
              <w:spacing w:line="300" w:lineRule="exact"/>
              <w:jc w:val="center"/>
              <w:rPr>
                <w:rFonts w:hint="default" w:ascii="Times New Roman" w:hAnsi="Times New Roman" w:eastAsia="仿宋_GB2312" w:cs="Times New Roman"/>
                <w:color w:val="auto"/>
                <w:kern w:val="0"/>
                <w:szCs w:val="21"/>
                <w:highlight w:val="none"/>
              </w:rPr>
            </w:pPr>
          </w:p>
          <w:p w14:paraId="1424793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5E9363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CDD1A5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w:t>
            </w:r>
          </w:p>
          <w:p w14:paraId="784DB38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6557D4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3BFBAB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132CB8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C4D566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BF68E2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177AFA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BB5274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8B333F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25670D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738ACA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18C74F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8A57F2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F25E22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1FFB98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942B2F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9E5543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23AF16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70A358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E007FA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D6650B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FC3966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A25AD5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w:t>
            </w:r>
          </w:p>
          <w:p w14:paraId="0A8BB8F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1225D9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01536A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A1F84E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B86208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8EBDCD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1386F5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AC1DD5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85B7C0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FF97FD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C65837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8DA7E9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8CEDF4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A114DD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B3C3AB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1AE3EE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262D3B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2DBD39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8042BC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729856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A71940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FDABD1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w:t>
            </w:r>
          </w:p>
          <w:p w14:paraId="45C6378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873D12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09A9E2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882829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54C5D6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25CDA5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3B9E3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DA3973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7B46D2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6EFA4C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DAF1D8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44347D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AECB75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BF126C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1B2F54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1CEC0F6">
            <w:pPr>
              <w:widowControl/>
              <w:spacing w:line="300" w:lineRule="exact"/>
              <w:jc w:val="both"/>
              <w:rPr>
                <w:rFonts w:hint="eastAsia" w:ascii="Times New Roman" w:hAnsi="Times New Roman" w:eastAsia="仿宋_GB2312" w:cs="Times New Roman"/>
                <w:color w:val="auto"/>
                <w:kern w:val="0"/>
                <w:szCs w:val="21"/>
                <w:highlight w:val="none"/>
                <w:lang w:val="en-US" w:eastAsia="zh-CN"/>
              </w:rPr>
            </w:pPr>
          </w:p>
          <w:p w14:paraId="2231A18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w:t>
            </w:r>
          </w:p>
        </w:tc>
        <w:tc>
          <w:tcPr>
            <w:tcW w:w="1107" w:type="dxa"/>
            <w:vMerge w:val="restart"/>
            <w:noWrap w:val="0"/>
            <w:vAlign w:val="center"/>
          </w:tcPr>
          <w:p w14:paraId="6873CE47">
            <w:pPr>
              <w:widowControl/>
              <w:spacing w:line="300" w:lineRule="exact"/>
              <w:jc w:val="center"/>
              <w:rPr>
                <w:rFonts w:hint="default" w:ascii="Times New Roman" w:hAnsi="Times New Roman" w:eastAsia="仿宋_GB2312" w:cs="Times New Roman"/>
                <w:color w:val="auto"/>
                <w:kern w:val="0"/>
                <w:szCs w:val="21"/>
                <w:highlight w:val="none"/>
              </w:rPr>
            </w:pPr>
          </w:p>
          <w:p w14:paraId="236E5D85">
            <w:pPr>
              <w:widowControl/>
              <w:spacing w:line="300" w:lineRule="exact"/>
              <w:jc w:val="center"/>
              <w:rPr>
                <w:rFonts w:hint="default" w:ascii="Times New Roman" w:hAnsi="Times New Roman" w:eastAsia="仿宋_GB2312" w:cs="Times New Roman"/>
                <w:color w:val="auto"/>
                <w:kern w:val="0"/>
                <w:szCs w:val="21"/>
                <w:highlight w:val="none"/>
              </w:rPr>
            </w:pPr>
          </w:p>
          <w:p w14:paraId="705844A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调味品</w:t>
            </w:r>
          </w:p>
          <w:p w14:paraId="4B1A580E">
            <w:pPr>
              <w:widowControl/>
              <w:spacing w:line="300" w:lineRule="exact"/>
              <w:jc w:val="center"/>
              <w:rPr>
                <w:rFonts w:hint="default" w:ascii="Times New Roman" w:hAnsi="Times New Roman" w:eastAsia="仿宋_GB2312" w:cs="Times New Roman"/>
                <w:color w:val="auto"/>
                <w:kern w:val="0"/>
                <w:szCs w:val="21"/>
                <w:highlight w:val="none"/>
              </w:rPr>
            </w:pPr>
          </w:p>
          <w:p w14:paraId="495FB0EA">
            <w:pPr>
              <w:widowControl/>
              <w:spacing w:line="300" w:lineRule="exact"/>
              <w:jc w:val="center"/>
              <w:rPr>
                <w:rFonts w:hint="default" w:ascii="Times New Roman" w:hAnsi="Times New Roman" w:eastAsia="仿宋_GB2312" w:cs="Times New Roman"/>
                <w:color w:val="auto"/>
                <w:kern w:val="0"/>
                <w:szCs w:val="21"/>
                <w:highlight w:val="none"/>
              </w:rPr>
            </w:pPr>
          </w:p>
          <w:p w14:paraId="344F03B7">
            <w:pPr>
              <w:widowControl/>
              <w:spacing w:line="300" w:lineRule="exact"/>
              <w:jc w:val="center"/>
              <w:rPr>
                <w:rFonts w:hint="default" w:ascii="Times New Roman" w:hAnsi="Times New Roman" w:eastAsia="仿宋_GB2312" w:cs="Times New Roman"/>
                <w:color w:val="auto"/>
                <w:kern w:val="0"/>
                <w:szCs w:val="21"/>
                <w:highlight w:val="none"/>
              </w:rPr>
            </w:pPr>
          </w:p>
          <w:p w14:paraId="6AFE750F">
            <w:pPr>
              <w:widowControl/>
              <w:spacing w:line="300" w:lineRule="exact"/>
              <w:jc w:val="center"/>
              <w:rPr>
                <w:rFonts w:hint="default" w:ascii="Times New Roman" w:hAnsi="Times New Roman" w:eastAsia="仿宋_GB2312" w:cs="Times New Roman"/>
                <w:color w:val="auto"/>
                <w:kern w:val="0"/>
                <w:szCs w:val="21"/>
                <w:highlight w:val="none"/>
              </w:rPr>
            </w:pPr>
          </w:p>
          <w:p w14:paraId="7BF06CCA">
            <w:pPr>
              <w:widowControl/>
              <w:spacing w:line="300" w:lineRule="exact"/>
              <w:jc w:val="center"/>
              <w:rPr>
                <w:rFonts w:hint="default" w:ascii="Times New Roman" w:hAnsi="Times New Roman" w:eastAsia="仿宋_GB2312" w:cs="Times New Roman"/>
                <w:color w:val="auto"/>
                <w:kern w:val="0"/>
                <w:szCs w:val="21"/>
                <w:highlight w:val="none"/>
              </w:rPr>
            </w:pPr>
          </w:p>
          <w:p w14:paraId="6761FA4C">
            <w:pPr>
              <w:widowControl/>
              <w:spacing w:line="300" w:lineRule="exact"/>
              <w:jc w:val="center"/>
              <w:rPr>
                <w:rFonts w:hint="default" w:ascii="Times New Roman" w:hAnsi="Times New Roman" w:eastAsia="仿宋_GB2312" w:cs="Times New Roman"/>
                <w:color w:val="auto"/>
                <w:kern w:val="0"/>
                <w:szCs w:val="21"/>
                <w:highlight w:val="none"/>
              </w:rPr>
            </w:pPr>
          </w:p>
          <w:p w14:paraId="14EFFA9F">
            <w:pPr>
              <w:widowControl/>
              <w:spacing w:line="300" w:lineRule="exact"/>
              <w:jc w:val="center"/>
              <w:rPr>
                <w:rFonts w:hint="default" w:ascii="Times New Roman" w:hAnsi="Times New Roman" w:eastAsia="仿宋_GB2312" w:cs="Times New Roman"/>
                <w:color w:val="auto"/>
                <w:kern w:val="0"/>
                <w:szCs w:val="21"/>
                <w:highlight w:val="none"/>
              </w:rPr>
            </w:pPr>
          </w:p>
          <w:p w14:paraId="557591FA">
            <w:pPr>
              <w:widowControl/>
              <w:spacing w:line="300" w:lineRule="exact"/>
              <w:jc w:val="center"/>
              <w:rPr>
                <w:rFonts w:hint="default" w:ascii="Times New Roman" w:hAnsi="Times New Roman" w:eastAsia="仿宋_GB2312" w:cs="Times New Roman"/>
                <w:color w:val="auto"/>
                <w:kern w:val="0"/>
                <w:szCs w:val="21"/>
                <w:highlight w:val="none"/>
              </w:rPr>
            </w:pPr>
          </w:p>
          <w:p w14:paraId="6EB778B7">
            <w:pPr>
              <w:widowControl/>
              <w:spacing w:line="300" w:lineRule="exact"/>
              <w:jc w:val="center"/>
              <w:rPr>
                <w:rFonts w:hint="default" w:ascii="Times New Roman" w:hAnsi="Times New Roman" w:eastAsia="仿宋_GB2312" w:cs="Times New Roman"/>
                <w:color w:val="auto"/>
                <w:kern w:val="0"/>
                <w:szCs w:val="21"/>
                <w:highlight w:val="none"/>
              </w:rPr>
            </w:pPr>
          </w:p>
          <w:p w14:paraId="21E64B10">
            <w:pPr>
              <w:widowControl/>
              <w:spacing w:line="300" w:lineRule="exact"/>
              <w:jc w:val="center"/>
              <w:rPr>
                <w:rFonts w:hint="default" w:ascii="Times New Roman" w:hAnsi="Times New Roman" w:eastAsia="仿宋_GB2312" w:cs="Times New Roman"/>
                <w:color w:val="auto"/>
                <w:kern w:val="0"/>
                <w:szCs w:val="21"/>
                <w:highlight w:val="none"/>
              </w:rPr>
            </w:pPr>
          </w:p>
          <w:p w14:paraId="194C0F54">
            <w:pPr>
              <w:widowControl/>
              <w:spacing w:line="300" w:lineRule="exact"/>
              <w:jc w:val="center"/>
              <w:rPr>
                <w:rFonts w:hint="default" w:ascii="Times New Roman" w:hAnsi="Times New Roman" w:eastAsia="仿宋_GB2312" w:cs="Times New Roman"/>
                <w:color w:val="auto"/>
                <w:kern w:val="0"/>
                <w:szCs w:val="21"/>
                <w:highlight w:val="none"/>
              </w:rPr>
            </w:pPr>
          </w:p>
          <w:p w14:paraId="2802E53B">
            <w:pPr>
              <w:widowControl/>
              <w:spacing w:line="300" w:lineRule="exact"/>
              <w:jc w:val="center"/>
              <w:rPr>
                <w:rFonts w:hint="default" w:ascii="Times New Roman" w:hAnsi="Times New Roman" w:eastAsia="仿宋_GB2312" w:cs="Times New Roman"/>
                <w:color w:val="auto"/>
                <w:kern w:val="0"/>
                <w:szCs w:val="21"/>
                <w:highlight w:val="none"/>
              </w:rPr>
            </w:pPr>
          </w:p>
          <w:p w14:paraId="1002DEAB">
            <w:pPr>
              <w:widowControl/>
              <w:spacing w:line="300" w:lineRule="exact"/>
              <w:jc w:val="center"/>
              <w:rPr>
                <w:rFonts w:hint="default" w:ascii="Times New Roman" w:hAnsi="Times New Roman" w:eastAsia="仿宋_GB2312" w:cs="Times New Roman"/>
                <w:color w:val="auto"/>
                <w:kern w:val="0"/>
                <w:szCs w:val="21"/>
                <w:highlight w:val="none"/>
              </w:rPr>
            </w:pPr>
          </w:p>
          <w:p w14:paraId="5C6B49BD">
            <w:pPr>
              <w:widowControl/>
              <w:spacing w:line="300" w:lineRule="exact"/>
              <w:jc w:val="center"/>
              <w:rPr>
                <w:rFonts w:hint="default" w:ascii="Times New Roman" w:hAnsi="Times New Roman" w:eastAsia="仿宋_GB2312" w:cs="Times New Roman"/>
                <w:color w:val="auto"/>
                <w:kern w:val="0"/>
                <w:szCs w:val="21"/>
                <w:highlight w:val="none"/>
              </w:rPr>
            </w:pPr>
          </w:p>
          <w:p w14:paraId="63B88287">
            <w:pPr>
              <w:widowControl/>
              <w:spacing w:line="300" w:lineRule="exact"/>
              <w:jc w:val="center"/>
              <w:rPr>
                <w:rFonts w:hint="default" w:ascii="Times New Roman" w:hAnsi="Times New Roman" w:eastAsia="仿宋_GB2312" w:cs="Times New Roman"/>
                <w:color w:val="auto"/>
                <w:kern w:val="0"/>
                <w:szCs w:val="21"/>
                <w:highlight w:val="none"/>
              </w:rPr>
            </w:pPr>
          </w:p>
          <w:p w14:paraId="32D2886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调味品</w:t>
            </w:r>
          </w:p>
          <w:p w14:paraId="7549EBC3">
            <w:pPr>
              <w:widowControl/>
              <w:spacing w:line="300" w:lineRule="exact"/>
              <w:jc w:val="center"/>
              <w:rPr>
                <w:rFonts w:hint="default" w:ascii="Times New Roman" w:hAnsi="Times New Roman" w:eastAsia="仿宋_GB2312" w:cs="Times New Roman"/>
                <w:color w:val="auto"/>
                <w:kern w:val="0"/>
                <w:szCs w:val="21"/>
                <w:highlight w:val="none"/>
              </w:rPr>
            </w:pPr>
          </w:p>
          <w:p w14:paraId="60C23923">
            <w:pPr>
              <w:widowControl/>
              <w:spacing w:line="300" w:lineRule="exact"/>
              <w:jc w:val="center"/>
              <w:rPr>
                <w:rFonts w:hint="default" w:ascii="Times New Roman" w:hAnsi="Times New Roman" w:eastAsia="仿宋_GB2312" w:cs="Times New Roman"/>
                <w:color w:val="auto"/>
                <w:kern w:val="0"/>
                <w:szCs w:val="21"/>
                <w:highlight w:val="none"/>
              </w:rPr>
            </w:pPr>
          </w:p>
          <w:p w14:paraId="0E8CFAAA">
            <w:pPr>
              <w:widowControl/>
              <w:spacing w:line="300" w:lineRule="exact"/>
              <w:jc w:val="center"/>
              <w:rPr>
                <w:rFonts w:hint="default" w:ascii="Times New Roman" w:hAnsi="Times New Roman" w:eastAsia="仿宋_GB2312" w:cs="Times New Roman"/>
                <w:color w:val="auto"/>
                <w:kern w:val="0"/>
                <w:szCs w:val="21"/>
                <w:highlight w:val="none"/>
              </w:rPr>
            </w:pPr>
          </w:p>
          <w:p w14:paraId="7FCE4E7D">
            <w:pPr>
              <w:widowControl/>
              <w:spacing w:line="300" w:lineRule="exact"/>
              <w:jc w:val="center"/>
              <w:rPr>
                <w:rFonts w:hint="default" w:ascii="Times New Roman" w:hAnsi="Times New Roman" w:eastAsia="仿宋_GB2312" w:cs="Times New Roman"/>
                <w:color w:val="auto"/>
                <w:kern w:val="0"/>
                <w:szCs w:val="21"/>
                <w:highlight w:val="none"/>
              </w:rPr>
            </w:pPr>
          </w:p>
          <w:p w14:paraId="2EF568A5">
            <w:pPr>
              <w:widowControl/>
              <w:spacing w:line="300" w:lineRule="exact"/>
              <w:jc w:val="center"/>
              <w:rPr>
                <w:rFonts w:hint="default" w:ascii="Times New Roman" w:hAnsi="Times New Roman" w:eastAsia="仿宋_GB2312" w:cs="Times New Roman"/>
                <w:color w:val="auto"/>
                <w:kern w:val="0"/>
                <w:szCs w:val="21"/>
                <w:highlight w:val="none"/>
              </w:rPr>
            </w:pPr>
          </w:p>
          <w:p w14:paraId="13496D16">
            <w:pPr>
              <w:widowControl/>
              <w:spacing w:line="300" w:lineRule="exact"/>
              <w:jc w:val="center"/>
              <w:rPr>
                <w:rFonts w:hint="default" w:ascii="Times New Roman" w:hAnsi="Times New Roman" w:eastAsia="仿宋_GB2312" w:cs="Times New Roman"/>
                <w:color w:val="auto"/>
                <w:kern w:val="0"/>
                <w:szCs w:val="21"/>
                <w:highlight w:val="none"/>
              </w:rPr>
            </w:pPr>
          </w:p>
          <w:p w14:paraId="4326376A">
            <w:pPr>
              <w:widowControl/>
              <w:spacing w:line="300" w:lineRule="exact"/>
              <w:jc w:val="center"/>
              <w:rPr>
                <w:rFonts w:hint="default" w:ascii="Times New Roman" w:hAnsi="Times New Roman" w:eastAsia="仿宋_GB2312" w:cs="Times New Roman"/>
                <w:color w:val="auto"/>
                <w:kern w:val="0"/>
                <w:szCs w:val="21"/>
                <w:highlight w:val="none"/>
              </w:rPr>
            </w:pPr>
          </w:p>
          <w:p w14:paraId="19559505">
            <w:pPr>
              <w:widowControl/>
              <w:spacing w:line="300" w:lineRule="exact"/>
              <w:jc w:val="center"/>
              <w:rPr>
                <w:rFonts w:hint="default" w:ascii="Times New Roman" w:hAnsi="Times New Roman" w:eastAsia="仿宋_GB2312" w:cs="Times New Roman"/>
                <w:color w:val="auto"/>
                <w:kern w:val="0"/>
                <w:szCs w:val="21"/>
                <w:highlight w:val="none"/>
              </w:rPr>
            </w:pPr>
          </w:p>
          <w:p w14:paraId="74F5A330">
            <w:pPr>
              <w:widowControl/>
              <w:spacing w:line="300" w:lineRule="exact"/>
              <w:jc w:val="center"/>
              <w:rPr>
                <w:rFonts w:hint="default" w:ascii="Times New Roman" w:hAnsi="Times New Roman" w:eastAsia="仿宋_GB2312" w:cs="Times New Roman"/>
                <w:color w:val="auto"/>
                <w:kern w:val="0"/>
                <w:szCs w:val="21"/>
                <w:highlight w:val="none"/>
              </w:rPr>
            </w:pPr>
          </w:p>
          <w:p w14:paraId="12A25884">
            <w:pPr>
              <w:widowControl/>
              <w:spacing w:line="300" w:lineRule="exact"/>
              <w:jc w:val="center"/>
              <w:rPr>
                <w:rFonts w:hint="default" w:ascii="Times New Roman" w:hAnsi="Times New Roman" w:eastAsia="仿宋_GB2312" w:cs="Times New Roman"/>
                <w:color w:val="auto"/>
                <w:kern w:val="0"/>
                <w:szCs w:val="21"/>
                <w:highlight w:val="none"/>
              </w:rPr>
            </w:pPr>
          </w:p>
          <w:p w14:paraId="44930F68">
            <w:pPr>
              <w:widowControl/>
              <w:spacing w:line="300" w:lineRule="exact"/>
              <w:jc w:val="center"/>
              <w:rPr>
                <w:rFonts w:hint="default" w:ascii="Times New Roman" w:hAnsi="Times New Roman" w:eastAsia="仿宋_GB2312" w:cs="Times New Roman"/>
                <w:color w:val="auto"/>
                <w:kern w:val="0"/>
                <w:szCs w:val="21"/>
                <w:highlight w:val="none"/>
              </w:rPr>
            </w:pPr>
          </w:p>
          <w:p w14:paraId="12A23DB0">
            <w:pPr>
              <w:widowControl/>
              <w:spacing w:line="300" w:lineRule="exact"/>
              <w:jc w:val="center"/>
              <w:rPr>
                <w:rFonts w:hint="default" w:ascii="Times New Roman" w:hAnsi="Times New Roman" w:eastAsia="仿宋_GB2312" w:cs="Times New Roman"/>
                <w:color w:val="auto"/>
                <w:kern w:val="0"/>
                <w:szCs w:val="21"/>
                <w:highlight w:val="none"/>
              </w:rPr>
            </w:pPr>
          </w:p>
          <w:p w14:paraId="06F7F477">
            <w:pPr>
              <w:widowControl/>
              <w:spacing w:line="300" w:lineRule="exact"/>
              <w:jc w:val="center"/>
              <w:rPr>
                <w:rFonts w:hint="default" w:ascii="Times New Roman" w:hAnsi="Times New Roman" w:eastAsia="仿宋_GB2312" w:cs="Times New Roman"/>
                <w:color w:val="auto"/>
                <w:kern w:val="0"/>
                <w:szCs w:val="21"/>
                <w:highlight w:val="none"/>
              </w:rPr>
            </w:pPr>
          </w:p>
          <w:p w14:paraId="02347768">
            <w:pPr>
              <w:widowControl/>
              <w:spacing w:line="300" w:lineRule="exact"/>
              <w:jc w:val="center"/>
              <w:rPr>
                <w:rFonts w:hint="default" w:ascii="Times New Roman" w:hAnsi="Times New Roman" w:eastAsia="仿宋_GB2312" w:cs="Times New Roman"/>
                <w:color w:val="auto"/>
                <w:kern w:val="0"/>
                <w:szCs w:val="21"/>
                <w:highlight w:val="none"/>
              </w:rPr>
            </w:pPr>
          </w:p>
          <w:p w14:paraId="212D0CE7">
            <w:pPr>
              <w:widowControl/>
              <w:spacing w:line="300" w:lineRule="exact"/>
              <w:jc w:val="center"/>
              <w:rPr>
                <w:rFonts w:hint="default" w:ascii="Times New Roman" w:hAnsi="Times New Roman" w:eastAsia="仿宋_GB2312" w:cs="Times New Roman"/>
                <w:color w:val="auto"/>
                <w:kern w:val="0"/>
                <w:szCs w:val="21"/>
                <w:highlight w:val="none"/>
              </w:rPr>
            </w:pPr>
          </w:p>
          <w:p w14:paraId="69F734E9">
            <w:pPr>
              <w:widowControl/>
              <w:spacing w:line="300" w:lineRule="exact"/>
              <w:jc w:val="center"/>
              <w:rPr>
                <w:rFonts w:hint="default" w:ascii="Times New Roman" w:hAnsi="Times New Roman" w:eastAsia="仿宋_GB2312" w:cs="Times New Roman"/>
                <w:color w:val="auto"/>
                <w:kern w:val="0"/>
                <w:szCs w:val="21"/>
                <w:highlight w:val="none"/>
              </w:rPr>
            </w:pPr>
          </w:p>
          <w:p w14:paraId="7A98B7EB">
            <w:pPr>
              <w:widowControl/>
              <w:spacing w:line="300" w:lineRule="exact"/>
              <w:jc w:val="center"/>
              <w:rPr>
                <w:rFonts w:hint="default" w:ascii="Times New Roman" w:hAnsi="Times New Roman" w:eastAsia="仿宋_GB2312" w:cs="Times New Roman"/>
                <w:color w:val="auto"/>
                <w:kern w:val="0"/>
                <w:szCs w:val="21"/>
                <w:highlight w:val="none"/>
              </w:rPr>
            </w:pPr>
          </w:p>
          <w:p w14:paraId="640336EA">
            <w:pPr>
              <w:widowControl/>
              <w:spacing w:line="300" w:lineRule="exact"/>
              <w:jc w:val="center"/>
              <w:rPr>
                <w:rFonts w:hint="default" w:ascii="Times New Roman" w:hAnsi="Times New Roman" w:eastAsia="仿宋_GB2312" w:cs="Times New Roman"/>
                <w:color w:val="auto"/>
                <w:kern w:val="0"/>
                <w:szCs w:val="21"/>
                <w:highlight w:val="none"/>
              </w:rPr>
            </w:pPr>
          </w:p>
          <w:p w14:paraId="0A91B669">
            <w:pPr>
              <w:widowControl/>
              <w:spacing w:line="300" w:lineRule="exact"/>
              <w:jc w:val="center"/>
              <w:rPr>
                <w:rFonts w:hint="default" w:ascii="Times New Roman" w:hAnsi="Times New Roman" w:eastAsia="仿宋_GB2312" w:cs="Times New Roman"/>
                <w:color w:val="auto"/>
                <w:kern w:val="0"/>
                <w:szCs w:val="21"/>
                <w:highlight w:val="none"/>
              </w:rPr>
            </w:pPr>
          </w:p>
          <w:p w14:paraId="46B8BFF4">
            <w:pPr>
              <w:widowControl/>
              <w:spacing w:line="300" w:lineRule="exact"/>
              <w:jc w:val="center"/>
              <w:rPr>
                <w:rFonts w:hint="default" w:ascii="Times New Roman" w:hAnsi="Times New Roman" w:eastAsia="仿宋_GB2312" w:cs="Times New Roman"/>
                <w:color w:val="auto"/>
                <w:kern w:val="0"/>
                <w:szCs w:val="21"/>
                <w:highlight w:val="none"/>
              </w:rPr>
            </w:pPr>
          </w:p>
          <w:p w14:paraId="6E78BDCA">
            <w:pPr>
              <w:widowControl/>
              <w:spacing w:line="300" w:lineRule="exact"/>
              <w:jc w:val="center"/>
              <w:rPr>
                <w:rFonts w:hint="default" w:ascii="Times New Roman" w:hAnsi="Times New Roman" w:eastAsia="仿宋_GB2312" w:cs="Times New Roman"/>
                <w:color w:val="auto"/>
                <w:kern w:val="0"/>
                <w:szCs w:val="21"/>
                <w:highlight w:val="none"/>
              </w:rPr>
            </w:pPr>
          </w:p>
          <w:p w14:paraId="7BB0DA70">
            <w:pPr>
              <w:widowControl/>
              <w:spacing w:line="300" w:lineRule="exact"/>
              <w:jc w:val="center"/>
              <w:rPr>
                <w:rFonts w:hint="default" w:ascii="Times New Roman" w:hAnsi="Times New Roman" w:eastAsia="仿宋_GB2312" w:cs="Times New Roman"/>
                <w:color w:val="auto"/>
                <w:kern w:val="0"/>
                <w:szCs w:val="21"/>
                <w:highlight w:val="none"/>
              </w:rPr>
            </w:pPr>
          </w:p>
          <w:p w14:paraId="54C5995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调味品</w:t>
            </w:r>
          </w:p>
          <w:p w14:paraId="0B4AF44A">
            <w:pPr>
              <w:widowControl/>
              <w:spacing w:line="300" w:lineRule="exact"/>
              <w:jc w:val="center"/>
              <w:rPr>
                <w:rFonts w:hint="default" w:ascii="Times New Roman" w:hAnsi="Times New Roman" w:eastAsia="仿宋_GB2312" w:cs="Times New Roman"/>
                <w:color w:val="auto"/>
                <w:kern w:val="0"/>
                <w:szCs w:val="21"/>
                <w:highlight w:val="none"/>
              </w:rPr>
            </w:pPr>
          </w:p>
          <w:p w14:paraId="6DBEAFAB">
            <w:pPr>
              <w:widowControl/>
              <w:spacing w:line="300" w:lineRule="exact"/>
              <w:jc w:val="center"/>
              <w:rPr>
                <w:rFonts w:hint="default" w:ascii="Times New Roman" w:hAnsi="Times New Roman" w:eastAsia="仿宋_GB2312" w:cs="Times New Roman"/>
                <w:color w:val="auto"/>
                <w:kern w:val="0"/>
                <w:szCs w:val="21"/>
                <w:highlight w:val="none"/>
              </w:rPr>
            </w:pPr>
          </w:p>
          <w:p w14:paraId="675B9706">
            <w:pPr>
              <w:widowControl/>
              <w:spacing w:line="300" w:lineRule="exact"/>
              <w:jc w:val="center"/>
              <w:rPr>
                <w:rFonts w:hint="default" w:ascii="Times New Roman" w:hAnsi="Times New Roman" w:eastAsia="仿宋_GB2312" w:cs="Times New Roman"/>
                <w:color w:val="auto"/>
                <w:kern w:val="0"/>
                <w:szCs w:val="21"/>
                <w:highlight w:val="none"/>
              </w:rPr>
            </w:pPr>
          </w:p>
          <w:p w14:paraId="39DE68DB">
            <w:pPr>
              <w:widowControl/>
              <w:spacing w:line="300" w:lineRule="exact"/>
              <w:jc w:val="center"/>
              <w:rPr>
                <w:rFonts w:hint="default" w:ascii="Times New Roman" w:hAnsi="Times New Roman" w:eastAsia="仿宋_GB2312" w:cs="Times New Roman"/>
                <w:color w:val="auto"/>
                <w:kern w:val="0"/>
                <w:szCs w:val="21"/>
                <w:highlight w:val="none"/>
              </w:rPr>
            </w:pPr>
          </w:p>
          <w:p w14:paraId="33D30683">
            <w:pPr>
              <w:widowControl/>
              <w:spacing w:line="300" w:lineRule="exact"/>
              <w:jc w:val="center"/>
              <w:rPr>
                <w:rFonts w:hint="default" w:ascii="Times New Roman" w:hAnsi="Times New Roman" w:eastAsia="仿宋_GB2312" w:cs="Times New Roman"/>
                <w:color w:val="auto"/>
                <w:kern w:val="0"/>
                <w:szCs w:val="21"/>
                <w:highlight w:val="none"/>
              </w:rPr>
            </w:pPr>
          </w:p>
          <w:p w14:paraId="266B76B8">
            <w:pPr>
              <w:widowControl/>
              <w:spacing w:line="300" w:lineRule="exact"/>
              <w:jc w:val="center"/>
              <w:rPr>
                <w:rFonts w:hint="default" w:ascii="Times New Roman" w:hAnsi="Times New Roman" w:eastAsia="仿宋_GB2312" w:cs="Times New Roman"/>
                <w:color w:val="auto"/>
                <w:kern w:val="0"/>
                <w:szCs w:val="21"/>
                <w:highlight w:val="none"/>
              </w:rPr>
            </w:pPr>
          </w:p>
          <w:p w14:paraId="4C3B46E4">
            <w:pPr>
              <w:widowControl/>
              <w:spacing w:line="300" w:lineRule="exact"/>
              <w:jc w:val="center"/>
              <w:rPr>
                <w:rFonts w:hint="default" w:ascii="Times New Roman" w:hAnsi="Times New Roman" w:eastAsia="仿宋_GB2312" w:cs="Times New Roman"/>
                <w:color w:val="auto"/>
                <w:kern w:val="0"/>
                <w:szCs w:val="21"/>
                <w:highlight w:val="none"/>
              </w:rPr>
            </w:pPr>
          </w:p>
          <w:p w14:paraId="6D05CF7B">
            <w:pPr>
              <w:widowControl/>
              <w:spacing w:line="300" w:lineRule="exact"/>
              <w:jc w:val="center"/>
              <w:rPr>
                <w:rFonts w:hint="default" w:ascii="Times New Roman" w:hAnsi="Times New Roman" w:eastAsia="仿宋_GB2312" w:cs="Times New Roman"/>
                <w:color w:val="auto"/>
                <w:kern w:val="0"/>
                <w:szCs w:val="21"/>
                <w:highlight w:val="none"/>
              </w:rPr>
            </w:pPr>
          </w:p>
          <w:p w14:paraId="443ED04B">
            <w:pPr>
              <w:widowControl/>
              <w:spacing w:line="300" w:lineRule="exact"/>
              <w:jc w:val="center"/>
              <w:rPr>
                <w:rFonts w:hint="default" w:ascii="Times New Roman" w:hAnsi="Times New Roman" w:eastAsia="仿宋_GB2312" w:cs="Times New Roman"/>
                <w:color w:val="auto"/>
                <w:kern w:val="0"/>
                <w:szCs w:val="21"/>
                <w:highlight w:val="none"/>
              </w:rPr>
            </w:pPr>
          </w:p>
          <w:p w14:paraId="2B095A33">
            <w:pPr>
              <w:widowControl/>
              <w:spacing w:line="300" w:lineRule="exact"/>
              <w:jc w:val="center"/>
              <w:rPr>
                <w:rFonts w:hint="default" w:ascii="Times New Roman" w:hAnsi="Times New Roman" w:eastAsia="仿宋_GB2312" w:cs="Times New Roman"/>
                <w:color w:val="auto"/>
                <w:kern w:val="0"/>
                <w:szCs w:val="21"/>
                <w:highlight w:val="none"/>
              </w:rPr>
            </w:pPr>
          </w:p>
          <w:p w14:paraId="235B895E">
            <w:pPr>
              <w:widowControl/>
              <w:spacing w:line="300" w:lineRule="exact"/>
              <w:jc w:val="center"/>
              <w:rPr>
                <w:rFonts w:hint="default" w:ascii="Times New Roman" w:hAnsi="Times New Roman" w:eastAsia="仿宋_GB2312" w:cs="Times New Roman"/>
                <w:color w:val="auto"/>
                <w:kern w:val="0"/>
                <w:szCs w:val="21"/>
                <w:highlight w:val="none"/>
              </w:rPr>
            </w:pPr>
          </w:p>
          <w:p w14:paraId="6F92E099">
            <w:pPr>
              <w:widowControl/>
              <w:spacing w:line="300" w:lineRule="exact"/>
              <w:jc w:val="center"/>
              <w:rPr>
                <w:rFonts w:hint="default" w:ascii="Times New Roman" w:hAnsi="Times New Roman" w:eastAsia="仿宋_GB2312" w:cs="Times New Roman"/>
                <w:color w:val="auto"/>
                <w:kern w:val="0"/>
                <w:szCs w:val="21"/>
                <w:highlight w:val="none"/>
              </w:rPr>
            </w:pPr>
          </w:p>
          <w:p w14:paraId="5F7CBAAD">
            <w:pPr>
              <w:widowControl/>
              <w:spacing w:line="300" w:lineRule="exact"/>
              <w:jc w:val="center"/>
              <w:rPr>
                <w:rFonts w:hint="default" w:ascii="Times New Roman" w:hAnsi="Times New Roman" w:eastAsia="仿宋_GB2312" w:cs="Times New Roman"/>
                <w:color w:val="auto"/>
                <w:kern w:val="0"/>
                <w:szCs w:val="21"/>
                <w:highlight w:val="none"/>
              </w:rPr>
            </w:pPr>
          </w:p>
          <w:p w14:paraId="7571D763">
            <w:pPr>
              <w:widowControl/>
              <w:spacing w:line="300" w:lineRule="exact"/>
              <w:jc w:val="center"/>
              <w:rPr>
                <w:rFonts w:hint="default" w:ascii="Times New Roman" w:hAnsi="Times New Roman" w:eastAsia="仿宋_GB2312" w:cs="Times New Roman"/>
                <w:color w:val="auto"/>
                <w:kern w:val="0"/>
                <w:szCs w:val="21"/>
                <w:highlight w:val="none"/>
              </w:rPr>
            </w:pPr>
          </w:p>
          <w:p w14:paraId="790676AF">
            <w:pPr>
              <w:widowControl/>
              <w:spacing w:line="300" w:lineRule="exact"/>
              <w:jc w:val="center"/>
              <w:rPr>
                <w:rFonts w:hint="default" w:ascii="Times New Roman" w:hAnsi="Times New Roman" w:eastAsia="仿宋_GB2312" w:cs="Times New Roman"/>
                <w:color w:val="auto"/>
                <w:kern w:val="0"/>
                <w:szCs w:val="21"/>
                <w:highlight w:val="none"/>
              </w:rPr>
            </w:pPr>
          </w:p>
          <w:p w14:paraId="03AFD425">
            <w:pPr>
              <w:widowControl/>
              <w:spacing w:line="300" w:lineRule="exact"/>
              <w:jc w:val="center"/>
              <w:rPr>
                <w:rFonts w:hint="default" w:ascii="Times New Roman" w:hAnsi="Times New Roman" w:eastAsia="仿宋_GB2312" w:cs="Times New Roman"/>
                <w:color w:val="auto"/>
                <w:kern w:val="0"/>
                <w:szCs w:val="21"/>
                <w:highlight w:val="none"/>
              </w:rPr>
            </w:pPr>
          </w:p>
          <w:p w14:paraId="3B7D0E3D">
            <w:pPr>
              <w:widowControl/>
              <w:spacing w:line="300" w:lineRule="exact"/>
              <w:jc w:val="center"/>
              <w:rPr>
                <w:rFonts w:hint="default" w:ascii="Times New Roman" w:hAnsi="Times New Roman" w:eastAsia="仿宋_GB2312" w:cs="Times New Roman"/>
                <w:color w:val="auto"/>
                <w:kern w:val="0"/>
                <w:szCs w:val="21"/>
                <w:highlight w:val="none"/>
              </w:rPr>
            </w:pPr>
          </w:p>
          <w:p w14:paraId="2B0F910E">
            <w:pPr>
              <w:widowControl/>
              <w:spacing w:line="300" w:lineRule="exact"/>
              <w:jc w:val="center"/>
              <w:rPr>
                <w:rFonts w:hint="default" w:ascii="Times New Roman" w:hAnsi="Times New Roman" w:eastAsia="仿宋_GB2312" w:cs="Times New Roman"/>
                <w:color w:val="auto"/>
                <w:kern w:val="0"/>
                <w:szCs w:val="21"/>
                <w:highlight w:val="none"/>
              </w:rPr>
            </w:pPr>
          </w:p>
          <w:p w14:paraId="38C61658">
            <w:pPr>
              <w:widowControl/>
              <w:spacing w:line="300" w:lineRule="exact"/>
              <w:jc w:val="center"/>
              <w:rPr>
                <w:rFonts w:hint="default" w:ascii="Times New Roman" w:hAnsi="Times New Roman" w:eastAsia="仿宋_GB2312" w:cs="Times New Roman"/>
                <w:color w:val="auto"/>
                <w:kern w:val="0"/>
                <w:szCs w:val="21"/>
                <w:highlight w:val="none"/>
              </w:rPr>
            </w:pPr>
          </w:p>
          <w:p w14:paraId="1369828A">
            <w:pPr>
              <w:widowControl/>
              <w:spacing w:line="300" w:lineRule="exact"/>
              <w:jc w:val="center"/>
              <w:rPr>
                <w:rFonts w:hint="default" w:ascii="Times New Roman" w:hAnsi="Times New Roman" w:eastAsia="仿宋_GB2312" w:cs="Times New Roman"/>
                <w:color w:val="auto"/>
                <w:kern w:val="0"/>
                <w:szCs w:val="21"/>
                <w:highlight w:val="none"/>
              </w:rPr>
            </w:pPr>
          </w:p>
          <w:p w14:paraId="63D66072">
            <w:pPr>
              <w:widowControl/>
              <w:spacing w:line="300" w:lineRule="exact"/>
              <w:jc w:val="center"/>
              <w:rPr>
                <w:rFonts w:hint="default" w:ascii="Times New Roman" w:hAnsi="Times New Roman" w:eastAsia="仿宋_GB2312" w:cs="Times New Roman"/>
                <w:color w:val="auto"/>
                <w:kern w:val="0"/>
                <w:szCs w:val="21"/>
                <w:highlight w:val="none"/>
              </w:rPr>
            </w:pPr>
          </w:p>
          <w:p w14:paraId="03A532C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调味品</w:t>
            </w:r>
          </w:p>
          <w:p w14:paraId="427F4500">
            <w:pPr>
              <w:widowControl/>
              <w:spacing w:line="300" w:lineRule="exact"/>
              <w:jc w:val="center"/>
              <w:rPr>
                <w:rFonts w:hint="default" w:ascii="Times New Roman" w:hAnsi="Times New Roman" w:eastAsia="仿宋_GB2312" w:cs="Times New Roman"/>
                <w:color w:val="auto"/>
                <w:kern w:val="0"/>
                <w:szCs w:val="21"/>
                <w:highlight w:val="none"/>
              </w:rPr>
            </w:pPr>
          </w:p>
          <w:p w14:paraId="2270C9F8">
            <w:pPr>
              <w:widowControl/>
              <w:spacing w:line="300" w:lineRule="exact"/>
              <w:jc w:val="center"/>
              <w:rPr>
                <w:rFonts w:hint="default" w:ascii="Times New Roman" w:hAnsi="Times New Roman" w:eastAsia="仿宋_GB2312" w:cs="Times New Roman"/>
                <w:color w:val="auto"/>
                <w:kern w:val="0"/>
                <w:szCs w:val="21"/>
                <w:highlight w:val="none"/>
              </w:rPr>
            </w:pPr>
          </w:p>
          <w:p w14:paraId="3CEFCC0A">
            <w:pPr>
              <w:widowControl/>
              <w:spacing w:line="300" w:lineRule="exact"/>
              <w:jc w:val="center"/>
              <w:rPr>
                <w:rFonts w:hint="default" w:ascii="Times New Roman" w:hAnsi="Times New Roman" w:eastAsia="仿宋_GB2312" w:cs="Times New Roman"/>
                <w:color w:val="auto"/>
                <w:kern w:val="0"/>
                <w:szCs w:val="21"/>
                <w:highlight w:val="none"/>
              </w:rPr>
            </w:pPr>
          </w:p>
          <w:p w14:paraId="64627443">
            <w:pPr>
              <w:widowControl/>
              <w:spacing w:line="300" w:lineRule="exact"/>
              <w:jc w:val="center"/>
              <w:rPr>
                <w:rFonts w:hint="default" w:ascii="Times New Roman" w:hAnsi="Times New Roman" w:eastAsia="仿宋_GB2312" w:cs="Times New Roman"/>
                <w:color w:val="auto"/>
                <w:kern w:val="0"/>
                <w:szCs w:val="21"/>
                <w:highlight w:val="none"/>
              </w:rPr>
            </w:pPr>
          </w:p>
          <w:p w14:paraId="119222D8">
            <w:pPr>
              <w:widowControl/>
              <w:spacing w:line="300" w:lineRule="exact"/>
              <w:jc w:val="center"/>
              <w:rPr>
                <w:rFonts w:hint="default" w:ascii="Times New Roman" w:hAnsi="Times New Roman" w:eastAsia="仿宋_GB2312" w:cs="Times New Roman"/>
                <w:color w:val="auto"/>
                <w:kern w:val="0"/>
                <w:szCs w:val="21"/>
                <w:highlight w:val="none"/>
              </w:rPr>
            </w:pPr>
          </w:p>
          <w:p w14:paraId="24EBF83A">
            <w:pPr>
              <w:widowControl/>
              <w:spacing w:line="300" w:lineRule="exact"/>
              <w:jc w:val="center"/>
              <w:rPr>
                <w:rFonts w:hint="default" w:ascii="Times New Roman" w:hAnsi="Times New Roman" w:eastAsia="仿宋_GB2312" w:cs="Times New Roman"/>
                <w:color w:val="auto"/>
                <w:kern w:val="0"/>
                <w:szCs w:val="21"/>
                <w:highlight w:val="none"/>
              </w:rPr>
            </w:pPr>
          </w:p>
          <w:p w14:paraId="2935D9F0">
            <w:pPr>
              <w:widowControl/>
              <w:spacing w:line="300" w:lineRule="exact"/>
              <w:jc w:val="center"/>
              <w:rPr>
                <w:rFonts w:hint="default" w:ascii="Times New Roman" w:hAnsi="Times New Roman" w:eastAsia="仿宋_GB2312" w:cs="Times New Roman"/>
                <w:color w:val="auto"/>
                <w:kern w:val="0"/>
                <w:szCs w:val="21"/>
                <w:highlight w:val="none"/>
              </w:rPr>
            </w:pPr>
          </w:p>
          <w:p w14:paraId="386EC1FE">
            <w:pPr>
              <w:widowControl/>
              <w:spacing w:line="300" w:lineRule="exact"/>
              <w:jc w:val="center"/>
              <w:rPr>
                <w:rFonts w:hint="default" w:ascii="Times New Roman" w:hAnsi="Times New Roman" w:eastAsia="仿宋_GB2312" w:cs="Times New Roman"/>
                <w:color w:val="auto"/>
                <w:kern w:val="0"/>
                <w:szCs w:val="21"/>
                <w:highlight w:val="none"/>
              </w:rPr>
            </w:pPr>
          </w:p>
          <w:p w14:paraId="75088270">
            <w:pPr>
              <w:widowControl/>
              <w:spacing w:line="300" w:lineRule="exact"/>
              <w:jc w:val="center"/>
              <w:rPr>
                <w:rFonts w:hint="default" w:ascii="Times New Roman" w:hAnsi="Times New Roman" w:eastAsia="仿宋_GB2312" w:cs="Times New Roman"/>
                <w:color w:val="auto"/>
                <w:kern w:val="0"/>
                <w:szCs w:val="21"/>
                <w:highlight w:val="none"/>
              </w:rPr>
            </w:pPr>
          </w:p>
          <w:p w14:paraId="795E8232">
            <w:pPr>
              <w:widowControl/>
              <w:spacing w:line="300" w:lineRule="exact"/>
              <w:jc w:val="center"/>
              <w:rPr>
                <w:rFonts w:hint="default" w:ascii="Times New Roman" w:hAnsi="Times New Roman" w:eastAsia="仿宋_GB2312" w:cs="Times New Roman"/>
                <w:color w:val="auto"/>
                <w:kern w:val="0"/>
                <w:szCs w:val="21"/>
                <w:highlight w:val="none"/>
              </w:rPr>
            </w:pPr>
          </w:p>
          <w:p w14:paraId="22BEB837">
            <w:pPr>
              <w:widowControl/>
              <w:spacing w:line="300" w:lineRule="exact"/>
              <w:jc w:val="center"/>
              <w:rPr>
                <w:rFonts w:hint="default" w:ascii="Times New Roman" w:hAnsi="Times New Roman" w:eastAsia="仿宋_GB2312" w:cs="Times New Roman"/>
                <w:color w:val="auto"/>
                <w:kern w:val="0"/>
                <w:szCs w:val="21"/>
                <w:highlight w:val="none"/>
              </w:rPr>
            </w:pPr>
          </w:p>
          <w:p w14:paraId="7A8F9DD9">
            <w:pPr>
              <w:widowControl/>
              <w:spacing w:line="300" w:lineRule="exact"/>
              <w:jc w:val="center"/>
              <w:rPr>
                <w:rFonts w:hint="default" w:ascii="Times New Roman" w:hAnsi="Times New Roman" w:eastAsia="仿宋_GB2312" w:cs="Times New Roman"/>
                <w:color w:val="auto"/>
                <w:kern w:val="0"/>
                <w:szCs w:val="21"/>
                <w:highlight w:val="none"/>
              </w:rPr>
            </w:pPr>
          </w:p>
          <w:p w14:paraId="5DB8334B">
            <w:pPr>
              <w:widowControl/>
              <w:spacing w:line="300" w:lineRule="exact"/>
              <w:jc w:val="center"/>
              <w:rPr>
                <w:rFonts w:hint="default" w:ascii="Times New Roman" w:hAnsi="Times New Roman" w:eastAsia="仿宋_GB2312" w:cs="Times New Roman"/>
                <w:color w:val="auto"/>
                <w:kern w:val="0"/>
                <w:szCs w:val="21"/>
                <w:highlight w:val="none"/>
              </w:rPr>
            </w:pPr>
          </w:p>
          <w:p w14:paraId="4E80CFA7">
            <w:pPr>
              <w:widowControl/>
              <w:spacing w:line="300" w:lineRule="exact"/>
              <w:jc w:val="center"/>
              <w:rPr>
                <w:rFonts w:hint="default" w:ascii="Times New Roman" w:hAnsi="Times New Roman" w:eastAsia="仿宋_GB2312" w:cs="Times New Roman"/>
                <w:color w:val="auto"/>
                <w:kern w:val="0"/>
                <w:szCs w:val="21"/>
                <w:highlight w:val="none"/>
              </w:rPr>
            </w:pPr>
          </w:p>
          <w:p w14:paraId="1F58182B">
            <w:pPr>
              <w:widowControl/>
              <w:spacing w:line="300" w:lineRule="exact"/>
              <w:jc w:val="center"/>
              <w:rPr>
                <w:rFonts w:hint="default" w:ascii="Times New Roman" w:hAnsi="Times New Roman" w:eastAsia="仿宋_GB2312" w:cs="Times New Roman"/>
                <w:color w:val="auto"/>
                <w:kern w:val="0"/>
                <w:szCs w:val="21"/>
                <w:highlight w:val="none"/>
              </w:rPr>
            </w:pPr>
          </w:p>
          <w:p w14:paraId="7CF6603B">
            <w:pPr>
              <w:widowControl/>
              <w:spacing w:line="300" w:lineRule="exact"/>
              <w:jc w:val="both"/>
              <w:rPr>
                <w:rFonts w:hint="default" w:ascii="Times New Roman" w:hAnsi="Times New Roman" w:eastAsia="仿宋_GB2312" w:cs="Times New Roman"/>
                <w:color w:val="auto"/>
                <w:kern w:val="0"/>
                <w:szCs w:val="21"/>
                <w:highlight w:val="none"/>
              </w:rPr>
            </w:pPr>
          </w:p>
          <w:p w14:paraId="53AE338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调味品</w:t>
            </w:r>
          </w:p>
        </w:tc>
        <w:tc>
          <w:tcPr>
            <w:tcW w:w="1256" w:type="dxa"/>
            <w:noWrap w:val="0"/>
            <w:vAlign w:val="center"/>
          </w:tcPr>
          <w:p w14:paraId="70C41C7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酱油</w:t>
            </w:r>
          </w:p>
        </w:tc>
        <w:tc>
          <w:tcPr>
            <w:tcW w:w="1144" w:type="dxa"/>
            <w:noWrap w:val="0"/>
            <w:vAlign w:val="center"/>
          </w:tcPr>
          <w:p w14:paraId="1EF6239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酱油</w:t>
            </w:r>
          </w:p>
        </w:tc>
        <w:tc>
          <w:tcPr>
            <w:tcW w:w="1856" w:type="dxa"/>
            <w:noWrap w:val="0"/>
            <w:vAlign w:val="center"/>
          </w:tcPr>
          <w:p w14:paraId="44BACCA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酱油</w:t>
            </w:r>
          </w:p>
        </w:tc>
        <w:tc>
          <w:tcPr>
            <w:tcW w:w="1106" w:type="dxa"/>
            <w:noWrap w:val="0"/>
            <w:vAlign w:val="center"/>
          </w:tcPr>
          <w:p w14:paraId="4DE69E9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2BCA5AF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氨基酸态氮、全氮（以氮计）、铵盐（以占氨基酸态氮的百分比计）、苯甲酸及其钠盐（以苯甲酸计）、山梨酸及其钾盐（以山梨酸计）、脱氢乙酸及其钠盐（以脱氢乙酸计）、对羟基苯甲酸酯类及其钠盐（以对羟基苯甲酸计）、防腐剂混合使用时各自用量占其最大使用量的比例之和</w:t>
            </w:r>
          </w:p>
        </w:tc>
        <w:tc>
          <w:tcPr>
            <w:tcW w:w="3435" w:type="dxa"/>
            <w:noWrap w:val="0"/>
            <w:vAlign w:val="center"/>
          </w:tcPr>
          <w:p w14:paraId="076FBB1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仿宋_GB2312" w:hAnsi="仿宋_GB2312" w:eastAsia="仿宋_GB2312" w:cs="仿宋_GB2312"/>
                <w:color w:val="auto"/>
                <w:spacing w:val="3"/>
                <w:sz w:val="21"/>
                <w:szCs w:val="21"/>
                <w:highlight w:val="none"/>
              </w:rPr>
              <w:t>糖精钠（</w:t>
            </w:r>
            <w:r>
              <w:rPr>
                <w:rFonts w:hint="eastAsia" w:ascii="仿宋_GB2312" w:hAnsi="仿宋_GB2312" w:eastAsia="仿宋_GB2312" w:cs="仿宋_GB2312"/>
                <w:color w:val="auto"/>
                <w:spacing w:val="-50"/>
                <w:sz w:val="21"/>
                <w:szCs w:val="21"/>
                <w:highlight w:val="none"/>
              </w:rPr>
              <w:t xml:space="preserve"> </w:t>
            </w:r>
            <w:r>
              <w:rPr>
                <w:rFonts w:hint="eastAsia" w:ascii="仿宋_GB2312" w:hAnsi="仿宋_GB2312" w:eastAsia="仿宋_GB2312" w:cs="仿宋_GB2312"/>
                <w:color w:val="auto"/>
                <w:spacing w:val="3"/>
                <w:sz w:val="21"/>
                <w:szCs w:val="21"/>
                <w:highlight w:val="none"/>
              </w:rPr>
              <w:t>以糖精计）、三氯蔗糖、甜蜜素（</w:t>
            </w:r>
            <w:r>
              <w:rPr>
                <w:rFonts w:hint="eastAsia" w:ascii="仿宋_GB2312" w:hAnsi="仿宋_GB2312" w:eastAsia="仿宋_GB2312" w:cs="仿宋_GB2312"/>
                <w:color w:val="auto"/>
                <w:spacing w:val="-53"/>
                <w:sz w:val="21"/>
                <w:szCs w:val="21"/>
                <w:highlight w:val="none"/>
              </w:rPr>
              <w:t xml:space="preserve"> </w:t>
            </w:r>
            <w:r>
              <w:rPr>
                <w:rFonts w:hint="eastAsia" w:ascii="仿宋_GB2312" w:hAnsi="仿宋_GB2312" w:eastAsia="仿宋_GB2312" w:cs="仿宋_GB2312"/>
                <w:color w:val="auto"/>
                <w:spacing w:val="3"/>
                <w:sz w:val="21"/>
                <w:szCs w:val="21"/>
                <w:highlight w:val="none"/>
              </w:rPr>
              <w:t>以环己基氨基磺酸计）、</w:t>
            </w:r>
            <w:r>
              <w:rPr>
                <w:rFonts w:hint="eastAsia" w:ascii="仿宋_GB2312" w:hAnsi="仿宋_GB2312" w:eastAsia="仿宋_GB2312" w:cs="仿宋_GB2312"/>
                <w:color w:val="auto"/>
                <w:spacing w:val="8"/>
                <w:sz w:val="21"/>
                <w:szCs w:val="21"/>
                <w:highlight w:val="none"/>
              </w:rPr>
              <w:t>菌落总数、大肠菌群</w:t>
            </w:r>
          </w:p>
        </w:tc>
      </w:tr>
      <w:tr w14:paraId="1534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6" w:hRule="atLeast"/>
        </w:trPr>
        <w:tc>
          <w:tcPr>
            <w:tcW w:w="720" w:type="dxa"/>
            <w:vMerge w:val="continue"/>
            <w:noWrap w:val="0"/>
            <w:vAlign w:val="center"/>
          </w:tcPr>
          <w:p w14:paraId="12E9E9FC">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1355E99">
            <w:pPr>
              <w:widowControl/>
              <w:jc w:val="center"/>
              <w:rPr>
                <w:rFonts w:hint="default" w:ascii="Times New Roman" w:hAnsi="Times New Roman" w:eastAsia="仿宋_GB2312" w:cs="Times New Roman"/>
                <w:color w:val="auto"/>
                <w:kern w:val="0"/>
                <w:szCs w:val="21"/>
                <w:highlight w:val="none"/>
              </w:rPr>
            </w:pPr>
          </w:p>
        </w:tc>
        <w:tc>
          <w:tcPr>
            <w:tcW w:w="1256" w:type="dxa"/>
            <w:noWrap w:val="0"/>
            <w:vAlign w:val="center"/>
          </w:tcPr>
          <w:p w14:paraId="38E4390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食醋</w:t>
            </w:r>
          </w:p>
        </w:tc>
        <w:tc>
          <w:tcPr>
            <w:tcW w:w="1144" w:type="dxa"/>
            <w:noWrap w:val="0"/>
            <w:vAlign w:val="center"/>
          </w:tcPr>
          <w:p w14:paraId="7954373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食醋</w:t>
            </w:r>
          </w:p>
        </w:tc>
        <w:tc>
          <w:tcPr>
            <w:tcW w:w="1856" w:type="dxa"/>
            <w:noWrap w:val="0"/>
            <w:vAlign w:val="center"/>
          </w:tcPr>
          <w:p w14:paraId="627A0E2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食醋</w:t>
            </w:r>
          </w:p>
        </w:tc>
        <w:tc>
          <w:tcPr>
            <w:tcW w:w="1106" w:type="dxa"/>
            <w:noWrap w:val="0"/>
            <w:vAlign w:val="center"/>
          </w:tcPr>
          <w:p w14:paraId="6D91409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51AB30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总酸（以乙酸计）、不挥发酸（以乳酸计）、苯甲酸及其钠盐（以苯甲酸计）、 山梨酸及其钾盐（以山梨酸计）、脱氢乙酸及其钠盐（以脱氢乙酸计）、防腐剂混合使用时各自用量占其最大使用量的比例之和、菌落总数</w:t>
            </w:r>
          </w:p>
        </w:tc>
        <w:tc>
          <w:tcPr>
            <w:tcW w:w="3435" w:type="dxa"/>
            <w:noWrap w:val="0"/>
            <w:vAlign w:val="center"/>
          </w:tcPr>
          <w:p w14:paraId="38678F3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对羟基苯甲酸酯类及其钠盐（以对羟基苯甲酸计）、糖精钠（以糖精计）、三氯蔗糖、甜蜜素（以环己基氨基磺酸计）</w:t>
            </w:r>
          </w:p>
        </w:tc>
      </w:tr>
      <w:tr w14:paraId="7FB2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1" w:hRule="atLeast"/>
        </w:trPr>
        <w:tc>
          <w:tcPr>
            <w:tcW w:w="720" w:type="dxa"/>
            <w:vMerge w:val="continue"/>
            <w:noWrap w:val="0"/>
            <w:vAlign w:val="center"/>
          </w:tcPr>
          <w:p w14:paraId="5C835054">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D606AEF">
            <w:pPr>
              <w:widowControl/>
              <w:jc w:val="center"/>
              <w:rPr>
                <w:rFonts w:hint="default" w:ascii="Times New Roman" w:hAnsi="Times New Roman" w:eastAsia="仿宋_GB2312" w:cs="Times New Roman"/>
                <w:color w:val="auto"/>
                <w:kern w:val="0"/>
                <w:szCs w:val="21"/>
                <w:highlight w:val="none"/>
              </w:rPr>
            </w:pPr>
          </w:p>
        </w:tc>
        <w:tc>
          <w:tcPr>
            <w:tcW w:w="1256" w:type="dxa"/>
            <w:noWrap w:val="0"/>
            <w:vAlign w:val="center"/>
          </w:tcPr>
          <w:p w14:paraId="587288A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酱类</w:t>
            </w:r>
          </w:p>
        </w:tc>
        <w:tc>
          <w:tcPr>
            <w:tcW w:w="1144" w:type="dxa"/>
            <w:noWrap w:val="0"/>
            <w:vAlign w:val="center"/>
          </w:tcPr>
          <w:p w14:paraId="005D34C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酿造酱</w:t>
            </w:r>
          </w:p>
        </w:tc>
        <w:tc>
          <w:tcPr>
            <w:tcW w:w="1856" w:type="dxa"/>
            <w:noWrap w:val="0"/>
            <w:vAlign w:val="center"/>
          </w:tcPr>
          <w:p w14:paraId="297A214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黄豆酱、甜面酱等</w:t>
            </w:r>
          </w:p>
        </w:tc>
        <w:tc>
          <w:tcPr>
            <w:tcW w:w="1106" w:type="dxa"/>
            <w:noWrap w:val="0"/>
            <w:vAlign w:val="center"/>
          </w:tcPr>
          <w:p w14:paraId="64859A6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625946AB">
            <w:pPr>
              <w:keepNext w:val="0"/>
              <w:keepLines w:val="0"/>
              <w:widowControl/>
              <w:suppressLineNumbers w:val="0"/>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氨基酸态氮、黄曲霉毒素B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w:t>
            </w:r>
          </w:p>
        </w:tc>
        <w:tc>
          <w:tcPr>
            <w:tcW w:w="3435" w:type="dxa"/>
            <w:noWrap w:val="0"/>
            <w:vAlign w:val="center"/>
          </w:tcPr>
          <w:p w14:paraId="1024D1D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糖精钠（以糖精计）、三氯蔗糖、甜蜜素（以环己基氨基磺酸计）、安赛蜜、大肠菌群</w:t>
            </w:r>
          </w:p>
        </w:tc>
      </w:tr>
      <w:tr w14:paraId="0915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20" w:type="dxa"/>
            <w:vMerge w:val="continue"/>
            <w:noWrap w:val="0"/>
            <w:vAlign w:val="center"/>
          </w:tcPr>
          <w:p w14:paraId="0DD52419">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7C28E58">
            <w:pPr>
              <w:widowControl/>
              <w:jc w:val="center"/>
              <w:rPr>
                <w:rFonts w:hint="default" w:ascii="Times New Roman" w:hAnsi="Times New Roman" w:eastAsia="仿宋_GB2312" w:cs="Times New Roman"/>
                <w:color w:val="auto"/>
                <w:kern w:val="0"/>
                <w:szCs w:val="21"/>
                <w:highlight w:val="none"/>
              </w:rPr>
            </w:pPr>
          </w:p>
        </w:tc>
        <w:tc>
          <w:tcPr>
            <w:tcW w:w="1256" w:type="dxa"/>
            <w:noWrap w:val="0"/>
            <w:vAlign w:val="center"/>
          </w:tcPr>
          <w:p w14:paraId="512206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调味料酒</w:t>
            </w:r>
          </w:p>
        </w:tc>
        <w:tc>
          <w:tcPr>
            <w:tcW w:w="1144" w:type="dxa"/>
            <w:noWrap w:val="0"/>
            <w:vAlign w:val="center"/>
          </w:tcPr>
          <w:p w14:paraId="18A826C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调味料酒</w:t>
            </w:r>
          </w:p>
        </w:tc>
        <w:tc>
          <w:tcPr>
            <w:tcW w:w="1856" w:type="dxa"/>
            <w:noWrap w:val="0"/>
            <w:vAlign w:val="center"/>
          </w:tcPr>
          <w:p w14:paraId="45404B8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料酒</w:t>
            </w:r>
          </w:p>
        </w:tc>
        <w:tc>
          <w:tcPr>
            <w:tcW w:w="1106" w:type="dxa"/>
            <w:noWrap w:val="0"/>
            <w:vAlign w:val="center"/>
          </w:tcPr>
          <w:p w14:paraId="2234D23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2FC11EBD">
            <w:pPr>
              <w:widowControl/>
              <w:spacing w:line="300" w:lineRule="exac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氨基酸态氮（以氮计）、苯甲酸及其钠盐（以苯甲酸计）、山梨酸及其钾盐（以山梨酸计）、脱氢乙酸及其钠盐（以脱氢乙酸计）、甜蜜素（以环己基氨基磺酸计）、三氯蔗糖</w:t>
            </w:r>
          </w:p>
        </w:tc>
        <w:tc>
          <w:tcPr>
            <w:tcW w:w="3435" w:type="dxa"/>
            <w:noWrap w:val="0"/>
            <w:vAlign w:val="top"/>
          </w:tcPr>
          <w:p w14:paraId="389D9EB0">
            <w:pPr>
              <w:spacing w:line="284" w:lineRule="auto"/>
              <w:jc w:val="left"/>
              <w:rPr>
                <w:rFonts w:hint="eastAsia" w:ascii="仿宋_GB2312" w:hAnsi="仿宋_GB2312" w:eastAsia="仿宋_GB2312" w:cs="仿宋_GB2312"/>
                <w:color w:val="auto"/>
                <w:sz w:val="21"/>
                <w:szCs w:val="21"/>
                <w:highlight w:val="none"/>
              </w:rPr>
            </w:pPr>
          </w:p>
          <w:p w14:paraId="1AD7CFE8">
            <w:pPr>
              <w:pStyle w:val="179"/>
              <w:spacing w:before="66" w:line="178" w:lineRule="auto"/>
              <w:ind w:left="107" w:leftChars="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r>
      <w:tr w14:paraId="163A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trPr>
        <w:tc>
          <w:tcPr>
            <w:tcW w:w="720" w:type="dxa"/>
            <w:vMerge w:val="continue"/>
            <w:noWrap w:val="0"/>
            <w:vAlign w:val="center"/>
          </w:tcPr>
          <w:p w14:paraId="0414A95B">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B3C2AAD">
            <w:pPr>
              <w:widowControl/>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3DCF6C8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香辛料类</w:t>
            </w:r>
          </w:p>
        </w:tc>
        <w:tc>
          <w:tcPr>
            <w:tcW w:w="1144" w:type="dxa"/>
            <w:vMerge w:val="restart"/>
            <w:noWrap w:val="0"/>
            <w:vAlign w:val="center"/>
          </w:tcPr>
          <w:p w14:paraId="229CD52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香辛料类</w:t>
            </w:r>
          </w:p>
        </w:tc>
        <w:tc>
          <w:tcPr>
            <w:tcW w:w="1856" w:type="dxa"/>
            <w:noWrap w:val="0"/>
            <w:vAlign w:val="center"/>
          </w:tcPr>
          <w:p w14:paraId="4C02791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香辛料调味油</w:t>
            </w:r>
          </w:p>
        </w:tc>
        <w:tc>
          <w:tcPr>
            <w:tcW w:w="1106" w:type="dxa"/>
            <w:noWrap w:val="0"/>
            <w:vAlign w:val="center"/>
          </w:tcPr>
          <w:p w14:paraId="3AAFDD0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D4F0BCC">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酸价/酸值、过氧化值、铅（以Pb计）</w:t>
            </w:r>
          </w:p>
        </w:tc>
        <w:tc>
          <w:tcPr>
            <w:tcW w:w="3435" w:type="dxa"/>
            <w:noWrap w:val="0"/>
            <w:vAlign w:val="center"/>
          </w:tcPr>
          <w:p w14:paraId="73E26259">
            <w:pPr>
              <w:pStyle w:val="179"/>
              <w:spacing w:before="96" w:line="178" w:lineRule="auto"/>
              <w:ind w:left="107" w:leftChars="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r>
      <w:tr w14:paraId="210B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0F50BC4">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27C9CF5">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FC6C855">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6EFDB3A">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19240C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辣椒、花椒、辣椒粉、花椒粉</w:t>
            </w:r>
          </w:p>
        </w:tc>
        <w:tc>
          <w:tcPr>
            <w:tcW w:w="1106" w:type="dxa"/>
            <w:noWrap w:val="0"/>
            <w:vAlign w:val="center"/>
          </w:tcPr>
          <w:p w14:paraId="4554AB4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D8ABA70">
            <w:pPr>
              <w:keepNext w:val="0"/>
              <w:keepLines w:val="0"/>
              <w:widowControl/>
              <w:suppressLineNumbers w:val="0"/>
              <w:jc w:val="left"/>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val="en-US" w:eastAsia="zh-CN"/>
              </w:rPr>
              <w:t>铅（以Pb计）、罗丹明B、苏丹红I、苏丹红Ⅱ、苏丹红Ⅲ、苏丹红Ⅳ、山梨酸及其钾盐（以山梨酸计）、二氧化硫残留量、合成着色剂（柠檬黄、日落黄、胭脂红）</w:t>
            </w:r>
          </w:p>
        </w:tc>
        <w:tc>
          <w:tcPr>
            <w:tcW w:w="3435" w:type="dxa"/>
            <w:noWrap w:val="0"/>
            <w:vAlign w:val="center"/>
          </w:tcPr>
          <w:p w14:paraId="4481711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脱氢乙酸及其钠盐（以脱氢乙酸计）、沙门氏菌</w:t>
            </w:r>
          </w:p>
        </w:tc>
      </w:tr>
      <w:tr w14:paraId="367C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66261605">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8D46355">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3561996">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4BCE071">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2BEDC6A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其他香辛料调味品</w:t>
            </w:r>
          </w:p>
        </w:tc>
        <w:tc>
          <w:tcPr>
            <w:tcW w:w="1106" w:type="dxa"/>
            <w:noWrap w:val="0"/>
            <w:vAlign w:val="center"/>
          </w:tcPr>
          <w:p w14:paraId="0CEC454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624D17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铅（以Pb计）、氯氰菊酯和高效氯氰菊酯、二氧化硫残留量、合成着色剂（柠檬黄、日落黄、苋菜红、胭脂红、亮蓝）、多菌灵、克百威</w:t>
            </w:r>
          </w:p>
        </w:tc>
        <w:tc>
          <w:tcPr>
            <w:tcW w:w="3435" w:type="dxa"/>
            <w:noWrap w:val="0"/>
            <w:vAlign w:val="center"/>
          </w:tcPr>
          <w:p w14:paraId="2E36F18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丙溴磷、甜蜜素（以环己基氨基磺酸计）、脱氢乙酸及其钠盐（以脱氢乙酸计）、毒死蜱、沙门氏菌</w:t>
            </w:r>
          </w:p>
        </w:tc>
      </w:tr>
      <w:tr w14:paraId="53C5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trPr>
        <w:tc>
          <w:tcPr>
            <w:tcW w:w="720" w:type="dxa"/>
            <w:vMerge w:val="continue"/>
            <w:noWrap w:val="0"/>
            <w:vAlign w:val="center"/>
          </w:tcPr>
          <w:p w14:paraId="7A754FEE">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E6A2318">
            <w:pPr>
              <w:widowControl/>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3CEBF3B2">
            <w:pPr>
              <w:widowControl/>
              <w:spacing w:line="300" w:lineRule="exact"/>
              <w:jc w:val="center"/>
              <w:rPr>
                <w:rFonts w:hint="default" w:ascii="Times New Roman" w:hAnsi="Times New Roman" w:eastAsia="仿宋_GB2312" w:cs="Times New Roman"/>
                <w:color w:val="auto"/>
                <w:kern w:val="0"/>
                <w:szCs w:val="21"/>
                <w:highlight w:val="none"/>
              </w:rPr>
            </w:pPr>
          </w:p>
          <w:p w14:paraId="625D4D70">
            <w:pPr>
              <w:widowControl/>
              <w:spacing w:line="300" w:lineRule="exact"/>
              <w:jc w:val="center"/>
              <w:rPr>
                <w:rFonts w:hint="default" w:ascii="Times New Roman" w:hAnsi="Times New Roman" w:eastAsia="仿宋_GB2312" w:cs="Times New Roman"/>
                <w:color w:val="auto"/>
                <w:kern w:val="0"/>
                <w:szCs w:val="21"/>
                <w:highlight w:val="none"/>
              </w:rPr>
            </w:pPr>
          </w:p>
          <w:p w14:paraId="71F08C08">
            <w:pPr>
              <w:widowControl/>
              <w:spacing w:line="300" w:lineRule="exact"/>
              <w:jc w:val="center"/>
              <w:rPr>
                <w:rFonts w:hint="default" w:ascii="Times New Roman" w:hAnsi="Times New Roman" w:eastAsia="仿宋_GB2312" w:cs="Times New Roman"/>
                <w:color w:val="auto"/>
                <w:kern w:val="0"/>
                <w:szCs w:val="21"/>
                <w:highlight w:val="none"/>
              </w:rPr>
            </w:pPr>
          </w:p>
          <w:p w14:paraId="02CA4042">
            <w:pPr>
              <w:widowControl/>
              <w:spacing w:line="300" w:lineRule="exact"/>
              <w:jc w:val="center"/>
              <w:rPr>
                <w:rFonts w:hint="default" w:ascii="Times New Roman" w:hAnsi="Times New Roman" w:eastAsia="仿宋_GB2312" w:cs="Times New Roman"/>
                <w:color w:val="auto"/>
                <w:kern w:val="0"/>
                <w:szCs w:val="21"/>
                <w:highlight w:val="none"/>
              </w:rPr>
            </w:pPr>
          </w:p>
          <w:p w14:paraId="2BA698AD">
            <w:pPr>
              <w:widowControl/>
              <w:spacing w:line="300" w:lineRule="exact"/>
              <w:jc w:val="center"/>
              <w:rPr>
                <w:rFonts w:hint="default" w:ascii="Times New Roman" w:hAnsi="Times New Roman" w:eastAsia="仿宋_GB2312" w:cs="Times New Roman"/>
                <w:color w:val="auto"/>
                <w:kern w:val="0"/>
                <w:szCs w:val="21"/>
                <w:highlight w:val="none"/>
              </w:rPr>
            </w:pPr>
          </w:p>
          <w:p w14:paraId="6924018E">
            <w:pPr>
              <w:widowControl/>
              <w:spacing w:line="300" w:lineRule="exact"/>
              <w:jc w:val="center"/>
              <w:rPr>
                <w:rFonts w:hint="default" w:ascii="Times New Roman" w:hAnsi="Times New Roman" w:eastAsia="仿宋_GB2312" w:cs="Times New Roman"/>
                <w:color w:val="auto"/>
                <w:kern w:val="0"/>
                <w:szCs w:val="21"/>
                <w:highlight w:val="none"/>
              </w:rPr>
            </w:pPr>
          </w:p>
          <w:p w14:paraId="3113E450">
            <w:pPr>
              <w:widowControl/>
              <w:spacing w:line="300" w:lineRule="exact"/>
              <w:jc w:val="center"/>
              <w:rPr>
                <w:rFonts w:hint="default" w:ascii="Times New Roman" w:hAnsi="Times New Roman" w:eastAsia="仿宋_GB2312" w:cs="Times New Roman"/>
                <w:color w:val="auto"/>
                <w:kern w:val="0"/>
                <w:szCs w:val="21"/>
                <w:highlight w:val="none"/>
              </w:rPr>
            </w:pPr>
          </w:p>
          <w:p w14:paraId="25DBF841">
            <w:pPr>
              <w:widowControl/>
              <w:spacing w:line="300" w:lineRule="exact"/>
              <w:jc w:val="center"/>
              <w:rPr>
                <w:rFonts w:hint="default" w:ascii="Times New Roman" w:hAnsi="Times New Roman" w:eastAsia="仿宋_GB2312" w:cs="Times New Roman"/>
                <w:color w:val="auto"/>
                <w:kern w:val="0"/>
                <w:szCs w:val="21"/>
                <w:highlight w:val="none"/>
              </w:rPr>
            </w:pPr>
          </w:p>
          <w:p w14:paraId="14A315A3">
            <w:pPr>
              <w:widowControl/>
              <w:spacing w:line="300" w:lineRule="exact"/>
              <w:jc w:val="center"/>
              <w:rPr>
                <w:rFonts w:hint="default" w:ascii="Times New Roman" w:hAnsi="Times New Roman" w:eastAsia="仿宋_GB2312" w:cs="Times New Roman"/>
                <w:color w:val="auto"/>
                <w:kern w:val="0"/>
                <w:szCs w:val="21"/>
                <w:highlight w:val="none"/>
              </w:rPr>
            </w:pPr>
          </w:p>
          <w:p w14:paraId="2E601834">
            <w:pPr>
              <w:widowControl/>
              <w:spacing w:line="300" w:lineRule="exact"/>
              <w:jc w:val="center"/>
              <w:rPr>
                <w:rFonts w:hint="default" w:ascii="Times New Roman" w:hAnsi="Times New Roman" w:eastAsia="仿宋_GB2312" w:cs="Times New Roman"/>
                <w:color w:val="auto"/>
                <w:kern w:val="0"/>
                <w:szCs w:val="21"/>
                <w:highlight w:val="none"/>
              </w:rPr>
            </w:pPr>
          </w:p>
          <w:p w14:paraId="46906B31">
            <w:pPr>
              <w:widowControl/>
              <w:spacing w:line="300" w:lineRule="exact"/>
              <w:jc w:val="center"/>
              <w:rPr>
                <w:rFonts w:hint="default" w:ascii="Times New Roman" w:hAnsi="Times New Roman" w:eastAsia="仿宋_GB2312" w:cs="Times New Roman"/>
                <w:color w:val="auto"/>
                <w:kern w:val="0"/>
                <w:szCs w:val="21"/>
                <w:highlight w:val="none"/>
              </w:rPr>
            </w:pPr>
          </w:p>
          <w:p w14:paraId="09FBF34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调味料</w:t>
            </w:r>
          </w:p>
          <w:p w14:paraId="7765B7F2">
            <w:pPr>
              <w:widowControl/>
              <w:spacing w:line="300" w:lineRule="exact"/>
              <w:jc w:val="center"/>
              <w:rPr>
                <w:rFonts w:hint="default" w:ascii="Times New Roman" w:hAnsi="Times New Roman" w:eastAsia="仿宋_GB2312" w:cs="Times New Roman"/>
                <w:color w:val="auto"/>
                <w:kern w:val="0"/>
                <w:szCs w:val="21"/>
                <w:highlight w:val="none"/>
              </w:rPr>
            </w:pPr>
          </w:p>
          <w:p w14:paraId="7C27E85B">
            <w:pPr>
              <w:widowControl/>
              <w:spacing w:line="300" w:lineRule="exact"/>
              <w:jc w:val="center"/>
              <w:rPr>
                <w:rFonts w:hint="default" w:ascii="Times New Roman" w:hAnsi="Times New Roman" w:eastAsia="仿宋_GB2312" w:cs="Times New Roman"/>
                <w:color w:val="auto"/>
                <w:kern w:val="0"/>
                <w:szCs w:val="21"/>
                <w:highlight w:val="none"/>
              </w:rPr>
            </w:pPr>
          </w:p>
          <w:p w14:paraId="18CF2CB3">
            <w:pPr>
              <w:widowControl/>
              <w:spacing w:line="300" w:lineRule="exact"/>
              <w:jc w:val="center"/>
              <w:rPr>
                <w:rFonts w:hint="default" w:ascii="Times New Roman" w:hAnsi="Times New Roman" w:eastAsia="仿宋_GB2312" w:cs="Times New Roman"/>
                <w:color w:val="auto"/>
                <w:kern w:val="0"/>
                <w:szCs w:val="21"/>
                <w:highlight w:val="none"/>
              </w:rPr>
            </w:pPr>
          </w:p>
          <w:p w14:paraId="2379245D">
            <w:pPr>
              <w:widowControl/>
              <w:spacing w:line="300" w:lineRule="exact"/>
              <w:jc w:val="center"/>
              <w:rPr>
                <w:rFonts w:hint="default" w:ascii="Times New Roman" w:hAnsi="Times New Roman" w:eastAsia="仿宋_GB2312" w:cs="Times New Roman"/>
                <w:color w:val="auto"/>
                <w:kern w:val="0"/>
                <w:szCs w:val="21"/>
                <w:highlight w:val="none"/>
              </w:rPr>
            </w:pPr>
          </w:p>
          <w:p w14:paraId="027FAF42">
            <w:pPr>
              <w:widowControl/>
              <w:spacing w:line="300" w:lineRule="exact"/>
              <w:jc w:val="center"/>
              <w:rPr>
                <w:rFonts w:hint="default" w:ascii="Times New Roman" w:hAnsi="Times New Roman" w:eastAsia="仿宋_GB2312" w:cs="Times New Roman"/>
                <w:color w:val="auto"/>
                <w:kern w:val="0"/>
                <w:szCs w:val="21"/>
                <w:highlight w:val="none"/>
              </w:rPr>
            </w:pPr>
          </w:p>
          <w:p w14:paraId="6CAF784B">
            <w:pPr>
              <w:widowControl/>
              <w:spacing w:line="300" w:lineRule="exact"/>
              <w:jc w:val="center"/>
              <w:rPr>
                <w:rFonts w:hint="default" w:ascii="Times New Roman" w:hAnsi="Times New Roman" w:eastAsia="仿宋_GB2312" w:cs="Times New Roman"/>
                <w:color w:val="auto"/>
                <w:kern w:val="0"/>
                <w:szCs w:val="21"/>
                <w:highlight w:val="none"/>
              </w:rPr>
            </w:pPr>
          </w:p>
          <w:p w14:paraId="24673233">
            <w:pPr>
              <w:widowControl/>
              <w:spacing w:line="300" w:lineRule="exact"/>
              <w:jc w:val="center"/>
              <w:rPr>
                <w:rFonts w:hint="default" w:ascii="Times New Roman" w:hAnsi="Times New Roman" w:eastAsia="仿宋_GB2312" w:cs="Times New Roman"/>
                <w:color w:val="auto"/>
                <w:kern w:val="0"/>
                <w:szCs w:val="21"/>
                <w:highlight w:val="none"/>
              </w:rPr>
            </w:pPr>
          </w:p>
          <w:p w14:paraId="0A1ABF96">
            <w:pPr>
              <w:widowControl/>
              <w:spacing w:line="300" w:lineRule="exact"/>
              <w:jc w:val="center"/>
              <w:rPr>
                <w:rFonts w:hint="default" w:ascii="Times New Roman" w:hAnsi="Times New Roman" w:eastAsia="仿宋_GB2312" w:cs="Times New Roman"/>
                <w:color w:val="auto"/>
                <w:kern w:val="0"/>
                <w:szCs w:val="21"/>
                <w:highlight w:val="none"/>
              </w:rPr>
            </w:pPr>
          </w:p>
          <w:p w14:paraId="2F53F2B9">
            <w:pPr>
              <w:widowControl/>
              <w:spacing w:line="300" w:lineRule="exact"/>
              <w:jc w:val="center"/>
              <w:rPr>
                <w:rFonts w:hint="default" w:ascii="Times New Roman" w:hAnsi="Times New Roman" w:eastAsia="仿宋_GB2312" w:cs="Times New Roman"/>
                <w:color w:val="auto"/>
                <w:kern w:val="0"/>
                <w:szCs w:val="21"/>
                <w:highlight w:val="none"/>
              </w:rPr>
            </w:pPr>
          </w:p>
          <w:p w14:paraId="2478E7D5">
            <w:pPr>
              <w:widowControl/>
              <w:spacing w:line="300" w:lineRule="exact"/>
              <w:jc w:val="center"/>
              <w:rPr>
                <w:rFonts w:hint="default" w:ascii="Times New Roman" w:hAnsi="Times New Roman" w:eastAsia="仿宋_GB2312" w:cs="Times New Roman"/>
                <w:color w:val="auto"/>
                <w:kern w:val="0"/>
                <w:szCs w:val="21"/>
                <w:highlight w:val="none"/>
              </w:rPr>
            </w:pPr>
          </w:p>
          <w:p w14:paraId="3EDE4FB2">
            <w:pPr>
              <w:widowControl/>
              <w:spacing w:line="300" w:lineRule="exact"/>
              <w:jc w:val="center"/>
              <w:rPr>
                <w:rFonts w:hint="default" w:ascii="Times New Roman" w:hAnsi="Times New Roman" w:eastAsia="仿宋_GB2312" w:cs="Times New Roman"/>
                <w:color w:val="auto"/>
                <w:kern w:val="0"/>
                <w:szCs w:val="21"/>
                <w:highlight w:val="none"/>
              </w:rPr>
            </w:pPr>
          </w:p>
          <w:p w14:paraId="6B98513B">
            <w:pPr>
              <w:widowControl/>
              <w:spacing w:line="300" w:lineRule="exact"/>
              <w:jc w:val="center"/>
              <w:rPr>
                <w:rFonts w:hint="default" w:ascii="Times New Roman" w:hAnsi="Times New Roman" w:eastAsia="仿宋_GB2312" w:cs="Times New Roman"/>
                <w:color w:val="auto"/>
                <w:kern w:val="0"/>
                <w:szCs w:val="21"/>
                <w:highlight w:val="none"/>
              </w:rPr>
            </w:pPr>
          </w:p>
          <w:p w14:paraId="115B75B3">
            <w:pPr>
              <w:widowControl/>
              <w:spacing w:line="300" w:lineRule="exact"/>
              <w:jc w:val="center"/>
              <w:rPr>
                <w:rFonts w:hint="default" w:ascii="Times New Roman" w:hAnsi="Times New Roman" w:eastAsia="仿宋_GB2312" w:cs="Times New Roman"/>
                <w:color w:val="auto"/>
                <w:kern w:val="0"/>
                <w:szCs w:val="21"/>
                <w:highlight w:val="none"/>
              </w:rPr>
            </w:pPr>
          </w:p>
          <w:p w14:paraId="0B037957">
            <w:pPr>
              <w:widowControl/>
              <w:spacing w:line="300" w:lineRule="exact"/>
              <w:jc w:val="center"/>
              <w:rPr>
                <w:rFonts w:hint="default" w:ascii="Times New Roman" w:hAnsi="Times New Roman" w:eastAsia="仿宋_GB2312" w:cs="Times New Roman"/>
                <w:color w:val="auto"/>
                <w:kern w:val="0"/>
                <w:szCs w:val="21"/>
                <w:highlight w:val="none"/>
              </w:rPr>
            </w:pPr>
          </w:p>
          <w:p w14:paraId="204DFB84">
            <w:pPr>
              <w:widowControl/>
              <w:spacing w:line="300" w:lineRule="exact"/>
              <w:jc w:val="center"/>
              <w:rPr>
                <w:rFonts w:hint="default" w:ascii="Times New Roman" w:hAnsi="Times New Roman" w:eastAsia="仿宋_GB2312" w:cs="Times New Roman"/>
                <w:color w:val="auto"/>
                <w:kern w:val="0"/>
                <w:szCs w:val="21"/>
                <w:highlight w:val="none"/>
              </w:rPr>
            </w:pPr>
          </w:p>
          <w:p w14:paraId="23FC6473">
            <w:pPr>
              <w:widowControl/>
              <w:spacing w:line="300" w:lineRule="exact"/>
              <w:jc w:val="center"/>
              <w:rPr>
                <w:rFonts w:hint="default" w:ascii="Times New Roman" w:hAnsi="Times New Roman" w:eastAsia="仿宋_GB2312" w:cs="Times New Roman"/>
                <w:color w:val="auto"/>
                <w:kern w:val="0"/>
                <w:szCs w:val="21"/>
                <w:highlight w:val="none"/>
              </w:rPr>
            </w:pPr>
          </w:p>
          <w:p w14:paraId="5892C4DE">
            <w:pPr>
              <w:widowControl/>
              <w:spacing w:line="300" w:lineRule="exact"/>
              <w:jc w:val="center"/>
              <w:rPr>
                <w:rFonts w:hint="default" w:ascii="Times New Roman" w:hAnsi="Times New Roman" w:eastAsia="仿宋_GB2312" w:cs="Times New Roman"/>
                <w:color w:val="auto"/>
                <w:kern w:val="0"/>
                <w:szCs w:val="21"/>
                <w:highlight w:val="none"/>
              </w:rPr>
            </w:pPr>
          </w:p>
          <w:p w14:paraId="0B7CF894">
            <w:pPr>
              <w:widowControl/>
              <w:spacing w:line="300" w:lineRule="exact"/>
              <w:jc w:val="both"/>
              <w:rPr>
                <w:rFonts w:hint="default" w:ascii="Times New Roman" w:hAnsi="Times New Roman" w:eastAsia="仿宋_GB2312" w:cs="Times New Roman"/>
                <w:color w:val="auto"/>
                <w:kern w:val="0"/>
                <w:szCs w:val="21"/>
                <w:highlight w:val="none"/>
              </w:rPr>
            </w:pPr>
          </w:p>
          <w:p w14:paraId="5CB76F7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调味料</w:t>
            </w:r>
          </w:p>
        </w:tc>
        <w:tc>
          <w:tcPr>
            <w:tcW w:w="1144" w:type="dxa"/>
            <w:vMerge w:val="restart"/>
            <w:noWrap w:val="0"/>
            <w:vAlign w:val="center"/>
          </w:tcPr>
          <w:p w14:paraId="51CE7B5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固体复合调味料</w:t>
            </w:r>
          </w:p>
        </w:tc>
        <w:tc>
          <w:tcPr>
            <w:tcW w:w="1856" w:type="dxa"/>
            <w:noWrap w:val="0"/>
            <w:vAlign w:val="center"/>
          </w:tcPr>
          <w:p w14:paraId="4979333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鸡粉、鸡精调味料</w:t>
            </w:r>
          </w:p>
        </w:tc>
        <w:tc>
          <w:tcPr>
            <w:tcW w:w="1106" w:type="dxa"/>
            <w:noWrap w:val="0"/>
            <w:vAlign w:val="center"/>
          </w:tcPr>
          <w:p w14:paraId="33B1259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8412C0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谷氨酸钠、呈味核苷酸二钠、铅（以Pb 计）、糖精钠（以糖精计）、甜蜜素（以环己基氨基磺酸计）、总氮（以N计）</w:t>
            </w:r>
          </w:p>
        </w:tc>
        <w:tc>
          <w:tcPr>
            <w:tcW w:w="3435" w:type="dxa"/>
            <w:noWrap w:val="0"/>
            <w:vAlign w:val="center"/>
          </w:tcPr>
          <w:p w14:paraId="7551087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安赛蜜、菌落总数、大肠菌群</w:t>
            </w:r>
          </w:p>
        </w:tc>
      </w:tr>
      <w:tr w14:paraId="60D1A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0894CA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3CC37BF">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A5EF08E">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F638136">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788F71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其他固体调味料</w:t>
            </w:r>
          </w:p>
        </w:tc>
        <w:tc>
          <w:tcPr>
            <w:tcW w:w="1106" w:type="dxa"/>
            <w:noWrap w:val="0"/>
            <w:vAlign w:val="center"/>
          </w:tcPr>
          <w:p w14:paraId="1C2B782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2648FFC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铅（以Pb计）、苏丹红I、苏丹红</w:t>
            </w:r>
            <w:r>
              <w:rPr>
                <w:rFonts w:hint="eastAsia" w:ascii="Times New Roman" w:hAnsi="Times New Roman" w:eastAsia="仿宋_GB2312" w:cs="Times New Roman"/>
                <w:color w:val="auto"/>
                <w:kern w:val="0"/>
                <w:szCs w:val="21"/>
                <w:highlight w:val="none"/>
                <w:lang w:val="en-US" w:eastAsia="zh-CN"/>
              </w:rPr>
              <w:t>Ⅱ</w:t>
            </w:r>
            <w:r>
              <w:rPr>
                <w:rFonts w:hint="default" w:ascii="Times New Roman" w:hAnsi="Times New Roman" w:eastAsia="仿宋_GB2312" w:cs="Times New Roman"/>
                <w:color w:val="auto"/>
                <w:kern w:val="0"/>
                <w:szCs w:val="21"/>
                <w:highlight w:val="none"/>
                <w:lang w:val="en-US" w:eastAsia="zh-CN"/>
              </w:rPr>
              <w:t>、苏丹红</w:t>
            </w:r>
            <w:r>
              <w:rPr>
                <w:rFonts w:hint="eastAsia" w:ascii="Times New Roman" w:hAnsi="Times New Roman" w:eastAsia="仿宋_GB2312" w:cs="Times New Roman"/>
                <w:color w:val="auto"/>
                <w:kern w:val="0"/>
                <w:szCs w:val="21"/>
                <w:highlight w:val="none"/>
                <w:lang w:val="en-US" w:eastAsia="zh-CN"/>
              </w:rPr>
              <w:t>Ⅲ</w:t>
            </w:r>
            <w:r>
              <w:rPr>
                <w:rFonts w:hint="default" w:ascii="Times New Roman" w:hAnsi="Times New Roman" w:eastAsia="仿宋_GB2312" w:cs="Times New Roman"/>
                <w:color w:val="auto"/>
                <w:kern w:val="0"/>
                <w:szCs w:val="21"/>
                <w:highlight w:val="none"/>
                <w:lang w:val="en-US" w:eastAsia="zh-CN"/>
              </w:rPr>
              <w:t>、苏丹红</w:t>
            </w:r>
            <w:r>
              <w:rPr>
                <w:rFonts w:hint="eastAsia" w:ascii="Times New Roman" w:hAnsi="Times New Roman" w:eastAsia="仿宋_GB2312" w:cs="Times New Roman"/>
                <w:color w:val="auto"/>
                <w:kern w:val="0"/>
                <w:szCs w:val="21"/>
                <w:highlight w:val="none"/>
                <w:lang w:val="en-US" w:eastAsia="zh-CN"/>
              </w:rPr>
              <w:t>Ⅳ</w:t>
            </w:r>
            <w:r>
              <w:rPr>
                <w:rFonts w:hint="default" w:ascii="Times New Roman" w:hAnsi="Times New Roman" w:eastAsia="仿宋_GB2312" w:cs="Times New Roman"/>
                <w:color w:val="auto"/>
                <w:kern w:val="0"/>
                <w:szCs w:val="21"/>
                <w:highlight w:val="none"/>
                <w:lang w:val="en-US" w:eastAsia="zh-CN"/>
              </w:rPr>
              <w:t>、罂粟碱、糖精钠（以糖精计）、甜蜜素（以环己基氨基磺酸计）、二氧化硫残留量</w:t>
            </w:r>
          </w:p>
        </w:tc>
        <w:tc>
          <w:tcPr>
            <w:tcW w:w="3435" w:type="dxa"/>
            <w:noWrap w:val="0"/>
            <w:vAlign w:val="center"/>
          </w:tcPr>
          <w:p w14:paraId="40B1182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吗啡、可待因、那可丁、苯甲酸及其钠盐（以苯甲酸计）、 山梨酸及其钾盐（以山梨酸计）、脱氢乙酸及其钠盐（以脱氢乙酸计）、防腐剂混合使用时各自用量占其最大使用量的比例之和、安赛蜜、阿斯巴甜</w:t>
            </w:r>
          </w:p>
        </w:tc>
      </w:tr>
      <w:tr w14:paraId="257B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atLeast"/>
        </w:trPr>
        <w:tc>
          <w:tcPr>
            <w:tcW w:w="720" w:type="dxa"/>
            <w:vMerge w:val="continue"/>
            <w:noWrap w:val="0"/>
            <w:vAlign w:val="center"/>
          </w:tcPr>
          <w:p w14:paraId="34744B5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059954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7665486">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42D77E62">
            <w:pPr>
              <w:widowControl/>
              <w:spacing w:line="300" w:lineRule="exact"/>
              <w:jc w:val="left"/>
              <w:rPr>
                <w:rFonts w:hint="default" w:ascii="Times New Roman" w:hAnsi="Times New Roman" w:eastAsia="仿宋_GB2312" w:cs="Times New Roman"/>
                <w:color w:val="auto"/>
                <w:kern w:val="0"/>
                <w:szCs w:val="21"/>
                <w:highlight w:val="none"/>
              </w:rPr>
            </w:pPr>
          </w:p>
          <w:p w14:paraId="59D11FD1">
            <w:pPr>
              <w:widowControl/>
              <w:spacing w:line="300" w:lineRule="exact"/>
              <w:jc w:val="left"/>
              <w:rPr>
                <w:rFonts w:hint="default" w:ascii="Times New Roman" w:hAnsi="Times New Roman" w:eastAsia="仿宋_GB2312" w:cs="Times New Roman"/>
                <w:color w:val="auto"/>
                <w:kern w:val="0"/>
                <w:szCs w:val="21"/>
                <w:highlight w:val="none"/>
              </w:rPr>
            </w:pPr>
          </w:p>
          <w:p w14:paraId="3B36466A">
            <w:pPr>
              <w:widowControl/>
              <w:spacing w:line="300" w:lineRule="exact"/>
              <w:jc w:val="left"/>
              <w:rPr>
                <w:rFonts w:hint="default" w:ascii="Times New Roman" w:hAnsi="Times New Roman" w:eastAsia="仿宋_GB2312" w:cs="Times New Roman"/>
                <w:color w:val="auto"/>
                <w:kern w:val="0"/>
                <w:szCs w:val="21"/>
                <w:highlight w:val="none"/>
              </w:rPr>
            </w:pPr>
          </w:p>
          <w:p w14:paraId="47E5212F">
            <w:pPr>
              <w:widowControl/>
              <w:spacing w:line="300" w:lineRule="exact"/>
              <w:jc w:val="left"/>
              <w:rPr>
                <w:rFonts w:hint="default" w:ascii="Times New Roman" w:hAnsi="Times New Roman" w:eastAsia="仿宋_GB2312" w:cs="Times New Roman"/>
                <w:color w:val="auto"/>
                <w:kern w:val="0"/>
                <w:szCs w:val="21"/>
                <w:highlight w:val="none"/>
              </w:rPr>
            </w:pPr>
          </w:p>
          <w:p w14:paraId="7F283CDD">
            <w:pPr>
              <w:widowControl/>
              <w:spacing w:line="300" w:lineRule="exact"/>
              <w:jc w:val="left"/>
              <w:rPr>
                <w:rFonts w:hint="default" w:ascii="Times New Roman" w:hAnsi="Times New Roman" w:eastAsia="仿宋_GB2312" w:cs="Times New Roman"/>
                <w:color w:val="auto"/>
                <w:kern w:val="0"/>
                <w:szCs w:val="21"/>
                <w:highlight w:val="none"/>
              </w:rPr>
            </w:pPr>
          </w:p>
          <w:p w14:paraId="3D3C70F6">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半固体复合调味料</w:t>
            </w:r>
          </w:p>
          <w:p w14:paraId="2AA6ECD3">
            <w:pPr>
              <w:widowControl/>
              <w:spacing w:line="300" w:lineRule="exact"/>
              <w:jc w:val="left"/>
              <w:rPr>
                <w:rFonts w:hint="default" w:ascii="Times New Roman" w:hAnsi="Times New Roman" w:eastAsia="仿宋_GB2312" w:cs="Times New Roman"/>
                <w:color w:val="auto"/>
                <w:kern w:val="0"/>
                <w:szCs w:val="21"/>
                <w:highlight w:val="none"/>
              </w:rPr>
            </w:pPr>
          </w:p>
          <w:p w14:paraId="0BAAF83F">
            <w:pPr>
              <w:widowControl/>
              <w:spacing w:line="300" w:lineRule="exact"/>
              <w:jc w:val="left"/>
              <w:rPr>
                <w:rFonts w:hint="default" w:ascii="Times New Roman" w:hAnsi="Times New Roman" w:eastAsia="仿宋_GB2312" w:cs="Times New Roman"/>
                <w:color w:val="auto"/>
                <w:kern w:val="0"/>
                <w:szCs w:val="21"/>
                <w:highlight w:val="none"/>
              </w:rPr>
            </w:pPr>
          </w:p>
          <w:p w14:paraId="5623CF37">
            <w:pPr>
              <w:widowControl/>
              <w:spacing w:line="300" w:lineRule="exact"/>
              <w:jc w:val="left"/>
              <w:rPr>
                <w:rFonts w:hint="default" w:ascii="Times New Roman" w:hAnsi="Times New Roman" w:eastAsia="仿宋_GB2312" w:cs="Times New Roman"/>
                <w:color w:val="auto"/>
                <w:kern w:val="0"/>
                <w:szCs w:val="21"/>
                <w:highlight w:val="none"/>
              </w:rPr>
            </w:pPr>
          </w:p>
          <w:p w14:paraId="5E4D7010">
            <w:pPr>
              <w:widowControl/>
              <w:spacing w:line="300" w:lineRule="exact"/>
              <w:jc w:val="left"/>
              <w:rPr>
                <w:rFonts w:hint="default" w:ascii="Times New Roman" w:hAnsi="Times New Roman" w:eastAsia="仿宋_GB2312" w:cs="Times New Roman"/>
                <w:color w:val="auto"/>
                <w:kern w:val="0"/>
                <w:szCs w:val="21"/>
                <w:highlight w:val="none"/>
              </w:rPr>
            </w:pPr>
          </w:p>
          <w:p w14:paraId="1B34E148">
            <w:pPr>
              <w:widowControl/>
              <w:spacing w:line="300" w:lineRule="exact"/>
              <w:jc w:val="left"/>
              <w:rPr>
                <w:rFonts w:hint="default" w:ascii="Times New Roman" w:hAnsi="Times New Roman" w:eastAsia="仿宋_GB2312" w:cs="Times New Roman"/>
                <w:color w:val="auto"/>
                <w:kern w:val="0"/>
                <w:szCs w:val="21"/>
                <w:highlight w:val="none"/>
              </w:rPr>
            </w:pPr>
          </w:p>
          <w:p w14:paraId="52DD8DD7">
            <w:pPr>
              <w:widowControl/>
              <w:spacing w:line="300" w:lineRule="exact"/>
              <w:jc w:val="left"/>
              <w:rPr>
                <w:rFonts w:hint="default" w:ascii="Times New Roman" w:hAnsi="Times New Roman" w:eastAsia="仿宋_GB2312" w:cs="Times New Roman"/>
                <w:color w:val="auto"/>
                <w:kern w:val="0"/>
                <w:szCs w:val="21"/>
                <w:highlight w:val="none"/>
              </w:rPr>
            </w:pPr>
          </w:p>
          <w:p w14:paraId="28AAA1D2">
            <w:pPr>
              <w:widowControl/>
              <w:spacing w:line="300" w:lineRule="exact"/>
              <w:jc w:val="left"/>
              <w:rPr>
                <w:rFonts w:hint="default" w:ascii="Times New Roman" w:hAnsi="Times New Roman" w:eastAsia="仿宋_GB2312" w:cs="Times New Roman"/>
                <w:color w:val="auto"/>
                <w:kern w:val="0"/>
                <w:szCs w:val="21"/>
                <w:highlight w:val="none"/>
              </w:rPr>
            </w:pPr>
          </w:p>
          <w:p w14:paraId="287500C0">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半固体复合调味料</w:t>
            </w:r>
          </w:p>
        </w:tc>
        <w:tc>
          <w:tcPr>
            <w:tcW w:w="1856" w:type="dxa"/>
            <w:noWrap w:val="0"/>
            <w:vAlign w:val="center"/>
          </w:tcPr>
          <w:p w14:paraId="4270896E">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蛋黄酱、沙拉酱</w:t>
            </w:r>
          </w:p>
        </w:tc>
        <w:tc>
          <w:tcPr>
            <w:tcW w:w="1106" w:type="dxa"/>
            <w:noWrap w:val="0"/>
            <w:vAlign w:val="center"/>
          </w:tcPr>
          <w:p w14:paraId="42AF6EC7">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0270D9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二氧化钛</w:t>
            </w:r>
            <w:r>
              <w:rPr>
                <w:rFonts w:hint="eastAsia" w:ascii="Times New Roman" w:hAnsi="Times New Roman" w:eastAsia="仿宋_GB2312" w:cs="Times New Roman"/>
                <w:color w:val="auto"/>
                <w:kern w:val="0"/>
                <w:szCs w:val="21"/>
                <w:highlight w:val="none"/>
                <w:lang w:val="en-US" w:eastAsia="zh-CN"/>
              </w:rPr>
              <w:t>、合成着色剂（柠檬黄、日落黄）</w:t>
            </w:r>
          </w:p>
        </w:tc>
        <w:tc>
          <w:tcPr>
            <w:tcW w:w="3435" w:type="dxa"/>
            <w:noWrap w:val="0"/>
            <w:vAlign w:val="top"/>
          </w:tcPr>
          <w:p w14:paraId="3A217C39">
            <w:pPr>
              <w:pStyle w:val="179"/>
              <w:spacing w:before="93" w:line="178" w:lineRule="auto"/>
              <w:ind w:left="107" w:leftChars="0"/>
              <w:jc w:val="both"/>
              <w:rPr>
                <w:rFonts w:hint="default" w:ascii="Times New Roman" w:hAnsi="Times New Roman" w:eastAsia="仿宋_GB2312" w:cs="Times New Roman"/>
                <w:color w:val="auto"/>
                <w:kern w:val="0"/>
                <w:szCs w:val="21"/>
                <w:highlight w:val="none"/>
                <w:lang w:val="en-US" w:eastAsia="zh-CN"/>
              </w:rPr>
            </w:pPr>
            <w:r>
              <w:rPr>
                <w:color w:val="auto"/>
                <w:sz w:val="20"/>
                <w:szCs w:val="20"/>
                <w:highlight w:val="none"/>
              </w:rPr>
              <w:t>/</w:t>
            </w:r>
          </w:p>
        </w:tc>
      </w:tr>
      <w:tr w14:paraId="3AF3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3F56E3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DB3417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3809B14">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0C281BC">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42F6C86">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坚果与籽类的泥（酱）</w:t>
            </w:r>
          </w:p>
        </w:tc>
        <w:tc>
          <w:tcPr>
            <w:tcW w:w="1106" w:type="dxa"/>
            <w:noWrap w:val="0"/>
            <w:vAlign w:val="center"/>
          </w:tcPr>
          <w:p w14:paraId="257717D3">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2C577DE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酸价/酸值、过氧化值</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铅（以Pb计）、黄曲霉毒素B</w:t>
            </w:r>
            <w:r>
              <w:rPr>
                <w:rFonts w:hint="default" w:ascii="Times New Roman" w:hAnsi="Times New Roman" w:eastAsia="仿宋_GB2312" w:cs="Times New Roman"/>
                <w:color w:val="auto"/>
                <w:kern w:val="0"/>
                <w:szCs w:val="21"/>
                <w:highlight w:val="none"/>
                <w:vertAlign w:val="subscript"/>
                <w:lang w:val="en-US" w:eastAsia="zh-CN"/>
              </w:rPr>
              <w:t>1</w:t>
            </w:r>
          </w:p>
        </w:tc>
        <w:tc>
          <w:tcPr>
            <w:tcW w:w="3435" w:type="dxa"/>
            <w:noWrap w:val="0"/>
            <w:vAlign w:val="top"/>
          </w:tcPr>
          <w:p w14:paraId="223BE53B">
            <w:pPr>
              <w:pStyle w:val="179"/>
              <w:spacing w:before="244" w:line="178" w:lineRule="auto"/>
              <w:ind w:left="107" w:leftChars="0"/>
              <w:jc w:val="both"/>
              <w:rPr>
                <w:rFonts w:hint="default" w:ascii="Times New Roman" w:hAnsi="Times New Roman" w:eastAsia="仿宋_GB2312" w:cs="Times New Roman"/>
                <w:color w:val="auto"/>
                <w:kern w:val="0"/>
                <w:szCs w:val="21"/>
                <w:highlight w:val="none"/>
                <w:lang w:val="en-US" w:eastAsia="zh-CN"/>
              </w:rPr>
            </w:pPr>
            <w:r>
              <w:rPr>
                <w:color w:val="auto"/>
                <w:sz w:val="20"/>
                <w:szCs w:val="20"/>
                <w:highlight w:val="none"/>
              </w:rPr>
              <w:t>/</w:t>
            </w:r>
          </w:p>
        </w:tc>
      </w:tr>
      <w:tr w14:paraId="5EAE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4A8801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D2072B9">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77B4339">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C83AF10">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7DEDD5EA">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辣椒酱</w:t>
            </w:r>
          </w:p>
        </w:tc>
        <w:tc>
          <w:tcPr>
            <w:tcW w:w="1106" w:type="dxa"/>
            <w:noWrap w:val="0"/>
            <w:vAlign w:val="center"/>
          </w:tcPr>
          <w:p w14:paraId="358A5049">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46293B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甜蜜素（以环己基氨基磺酸计）、二氧化硫残留量</w:t>
            </w:r>
          </w:p>
        </w:tc>
        <w:tc>
          <w:tcPr>
            <w:tcW w:w="3435" w:type="dxa"/>
            <w:noWrap w:val="0"/>
            <w:vAlign w:val="top"/>
          </w:tcPr>
          <w:p w14:paraId="3BB223F6">
            <w:pPr>
              <w:spacing w:line="374" w:lineRule="auto"/>
              <w:jc w:val="both"/>
              <w:rPr>
                <w:rFonts w:ascii="Noto Sans CJK SC Regular"/>
                <w:color w:val="auto"/>
                <w:sz w:val="21"/>
                <w:highlight w:val="none"/>
              </w:rPr>
            </w:pPr>
          </w:p>
          <w:p w14:paraId="032D5157">
            <w:pPr>
              <w:pStyle w:val="179"/>
              <w:spacing w:before="65" w:line="178" w:lineRule="auto"/>
              <w:ind w:left="107" w:leftChars="0"/>
              <w:jc w:val="both"/>
              <w:rPr>
                <w:rFonts w:hint="default" w:ascii="Times New Roman" w:hAnsi="Times New Roman" w:eastAsia="仿宋_GB2312" w:cs="Times New Roman"/>
                <w:color w:val="auto"/>
                <w:kern w:val="0"/>
                <w:szCs w:val="21"/>
                <w:highlight w:val="none"/>
                <w:lang w:val="en-US" w:eastAsia="zh-CN"/>
              </w:rPr>
            </w:pPr>
            <w:r>
              <w:rPr>
                <w:color w:val="auto"/>
                <w:sz w:val="20"/>
                <w:szCs w:val="20"/>
                <w:highlight w:val="none"/>
              </w:rPr>
              <w:t>/</w:t>
            </w:r>
          </w:p>
        </w:tc>
      </w:tr>
      <w:tr w14:paraId="2FD1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4C93691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C43444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8C3F057">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A904904">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31D98903">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火锅底料、麻辣烫底料</w:t>
            </w:r>
          </w:p>
        </w:tc>
        <w:tc>
          <w:tcPr>
            <w:tcW w:w="1106" w:type="dxa"/>
            <w:noWrap w:val="0"/>
            <w:vAlign w:val="center"/>
          </w:tcPr>
          <w:p w14:paraId="37CBB466">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423A6FE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罂粟碱、吗啡、可待因、那可丁、苏丹红I、苏丹红</w:t>
            </w:r>
            <w:r>
              <w:rPr>
                <w:rFonts w:hint="eastAsia" w:ascii="Times New Roman" w:hAnsi="Times New Roman" w:eastAsia="仿宋_GB2312" w:cs="Times New Roman"/>
                <w:color w:val="auto"/>
                <w:kern w:val="0"/>
                <w:szCs w:val="21"/>
                <w:highlight w:val="none"/>
                <w:lang w:val="en-US" w:eastAsia="zh-CN"/>
              </w:rPr>
              <w:t>Ⅱ</w:t>
            </w:r>
            <w:r>
              <w:rPr>
                <w:rFonts w:hint="default" w:ascii="Times New Roman" w:hAnsi="Times New Roman" w:eastAsia="仿宋_GB2312" w:cs="Times New Roman"/>
                <w:color w:val="auto"/>
                <w:kern w:val="0"/>
                <w:szCs w:val="21"/>
                <w:highlight w:val="none"/>
                <w:lang w:val="en-US" w:eastAsia="zh-CN"/>
              </w:rPr>
              <w:t>、苏丹红</w:t>
            </w:r>
            <w:r>
              <w:rPr>
                <w:rFonts w:hint="eastAsia" w:ascii="Times New Roman" w:hAnsi="Times New Roman" w:eastAsia="仿宋_GB2312" w:cs="Times New Roman"/>
                <w:color w:val="auto"/>
                <w:kern w:val="0"/>
                <w:szCs w:val="21"/>
                <w:highlight w:val="none"/>
                <w:lang w:val="en-US" w:eastAsia="zh-CN"/>
              </w:rPr>
              <w:t>Ⅲ</w:t>
            </w:r>
            <w:r>
              <w:rPr>
                <w:rFonts w:hint="default" w:ascii="Times New Roman" w:hAnsi="Times New Roman" w:eastAsia="仿宋_GB2312" w:cs="Times New Roman"/>
                <w:color w:val="auto"/>
                <w:kern w:val="0"/>
                <w:szCs w:val="21"/>
                <w:highlight w:val="none"/>
                <w:lang w:val="en-US" w:eastAsia="zh-CN"/>
              </w:rPr>
              <w:t>、苏丹红</w:t>
            </w:r>
            <w:r>
              <w:rPr>
                <w:rFonts w:hint="eastAsia" w:ascii="Times New Roman" w:hAnsi="Times New Roman" w:eastAsia="仿宋_GB2312" w:cs="Times New Roman"/>
                <w:color w:val="auto"/>
                <w:kern w:val="0"/>
                <w:szCs w:val="21"/>
                <w:highlight w:val="none"/>
                <w:lang w:val="en-US" w:eastAsia="zh-CN"/>
              </w:rPr>
              <w:t>Ⅳ</w:t>
            </w: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、苯甲酸及其钠盐（以苯甲酸计）、山梨酸及其钾盐（以山梨酸计）、防腐剂混合使用时各自用量占其最大使用量的比例之和</w:t>
            </w:r>
          </w:p>
        </w:tc>
        <w:tc>
          <w:tcPr>
            <w:tcW w:w="3435" w:type="dxa"/>
            <w:noWrap w:val="0"/>
            <w:vAlign w:val="center"/>
          </w:tcPr>
          <w:p w14:paraId="536C17B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脱氢乙酸及其钠盐（ 以脱氢乙酸计）</w:t>
            </w:r>
          </w:p>
        </w:tc>
      </w:tr>
      <w:tr w14:paraId="0032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1313EC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61C874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31FE472">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84E4036">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2FC48AB4">
            <w:pPr>
              <w:spacing w:before="364" w:line="276" w:lineRule="auto"/>
              <w:ind w:left="768" w:leftChars="0" w:right="129" w:rightChars="0" w:hanging="632" w:firstLineChars="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pacing w:val="8"/>
                <w:sz w:val="21"/>
                <w:szCs w:val="21"/>
                <w:highlight w:val="none"/>
              </w:rPr>
              <w:t>其他半固体调味</w:t>
            </w:r>
            <w:r>
              <w:rPr>
                <w:rFonts w:hint="eastAsia" w:ascii="仿宋_GB2312" w:hAnsi="仿宋_GB2312" w:eastAsia="仿宋_GB2312" w:cs="仿宋_GB2312"/>
                <w:color w:val="auto"/>
                <w:sz w:val="21"/>
                <w:szCs w:val="21"/>
                <w:highlight w:val="none"/>
              </w:rPr>
              <w:t>料</w:t>
            </w:r>
          </w:p>
        </w:tc>
        <w:tc>
          <w:tcPr>
            <w:tcW w:w="1106" w:type="dxa"/>
            <w:noWrap w:val="0"/>
            <w:vAlign w:val="center"/>
          </w:tcPr>
          <w:p w14:paraId="556C4BB7">
            <w:pPr>
              <w:spacing w:line="266" w:lineRule="auto"/>
              <w:jc w:val="left"/>
              <w:rPr>
                <w:rFonts w:hint="eastAsia" w:ascii="仿宋_GB2312" w:hAnsi="仿宋_GB2312" w:eastAsia="仿宋_GB2312" w:cs="仿宋_GB2312"/>
                <w:color w:val="auto"/>
                <w:sz w:val="21"/>
                <w:szCs w:val="21"/>
                <w:highlight w:val="none"/>
              </w:rPr>
            </w:pPr>
          </w:p>
          <w:p w14:paraId="09C0768E">
            <w:pPr>
              <w:spacing w:before="66" w:line="228" w:lineRule="auto"/>
              <w:ind w:left="220" w:leftChars="0"/>
              <w:jc w:val="left"/>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pacing w:val="-2"/>
                <w:sz w:val="21"/>
                <w:szCs w:val="21"/>
                <w:highlight w:val="none"/>
              </w:rPr>
              <w:t>一般</w:t>
            </w:r>
          </w:p>
        </w:tc>
        <w:tc>
          <w:tcPr>
            <w:tcW w:w="4376" w:type="dxa"/>
            <w:noWrap w:val="0"/>
            <w:vAlign w:val="top"/>
          </w:tcPr>
          <w:p w14:paraId="2E9DF45C">
            <w:pPr>
              <w:pStyle w:val="179"/>
              <w:spacing w:before="65" w:line="261" w:lineRule="auto"/>
              <w:ind w:right="42"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10"/>
                <w:sz w:val="21"/>
                <w:szCs w:val="21"/>
                <w:highlight w:val="none"/>
              </w:rPr>
              <w:t>铅（以</w:t>
            </w:r>
            <w:r>
              <w:rPr>
                <w:rFonts w:hint="eastAsia" w:ascii="仿宋_GB2312" w:hAnsi="仿宋_GB2312" w:eastAsia="仿宋_GB2312" w:cs="仿宋_GB2312"/>
                <w:color w:val="auto"/>
                <w:spacing w:val="-42"/>
                <w:sz w:val="21"/>
                <w:szCs w:val="21"/>
                <w:highlight w:val="none"/>
              </w:rPr>
              <w:t xml:space="preserve"> </w:t>
            </w:r>
            <w:r>
              <w:rPr>
                <w:rFonts w:hint="eastAsia" w:ascii="仿宋_GB2312" w:hAnsi="仿宋_GB2312" w:eastAsia="仿宋_GB2312" w:cs="仿宋_GB2312"/>
                <w:color w:val="auto"/>
                <w:spacing w:val="-10"/>
                <w:sz w:val="21"/>
                <w:szCs w:val="21"/>
                <w:highlight w:val="none"/>
              </w:rPr>
              <w:t>Pb</w:t>
            </w:r>
            <w:r>
              <w:rPr>
                <w:rFonts w:hint="eastAsia" w:ascii="仿宋_GB2312" w:hAnsi="仿宋_GB2312" w:eastAsia="仿宋_GB2312" w:cs="仿宋_GB2312"/>
                <w:color w:val="auto"/>
                <w:spacing w:val="-30"/>
                <w:sz w:val="21"/>
                <w:szCs w:val="21"/>
                <w:highlight w:val="none"/>
              </w:rPr>
              <w:t xml:space="preserve"> </w:t>
            </w:r>
            <w:r>
              <w:rPr>
                <w:rFonts w:hint="eastAsia" w:ascii="仿宋_GB2312" w:hAnsi="仿宋_GB2312" w:eastAsia="仿宋_GB2312" w:cs="仿宋_GB2312"/>
                <w:color w:val="auto"/>
                <w:spacing w:val="-10"/>
                <w:sz w:val="21"/>
                <w:szCs w:val="21"/>
                <w:highlight w:val="none"/>
              </w:rPr>
              <w:t>计）、苯甲酸及其钠盐（以苯甲酸计）、</w:t>
            </w:r>
            <w:r>
              <w:rPr>
                <w:rFonts w:hint="eastAsia" w:ascii="仿宋_GB2312" w:hAnsi="仿宋_GB2312" w:eastAsia="仿宋_GB2312" w:cs="仿宋_GB2312"/>
                <w:color w:val="auto"/>
                <w:spacing w:val="7"/>
                <w:sz w:val="21"/>
                <w:szCs w:val="21"/>
                <w:highlight w:val="none"/>
              </w:rPr>
              <w:t>山梨酸及其钾盐（</w:t>
            </w:r>
            <w:r>
              <w:rPr>
                <w:rFonts w:hint="eastAsia" w:ascii="仿宋_GB2312" w:hAnsi="仿宋_GB2312" w:eastAsia="仿宋_GB2312" w:cs="仿宋_GB2312"/>
                <w:color w:val="auto"/>
                <w:spacing w:val="-51"/>
                <w:sz w:val="21"/>
                <w:szCs w:val="21"/>
                <w:highlight w:val="none"/>
              </w:rPr>
              <w:t xml:space="preserve"> </w:t>
            </w:r>
            <w:r>
              <w:rPr>
                <w:rFonts w:hint="eastAsia" w:ascii="仿宋_GB2312" w:hAnsi="仿宋_GB2312" w:eastAsia="仿宋_GB2312" w:cs="仿宋_GB2312"/>
                <w:color w:val="auto"/>
                <w:spacing w:val="7"/>
                <w:sz w:val="21"/>
                <w:szCs w:val="21"/>
                <w:highlight w:val="none"/>
              </w:rPr>
              <w:t>以山梨酸计）、脱氢乙酸及其钠盐（</w:t>
            </w:r>
            <w:r>
              <w:rPr>
                <w:rFonts w:hint="eastAsia" w:ascii="仿宋_GB2312" w:hAnsi="仿宋_GB2312" w:eastAsia="仿宋_GB2312" w:cs="仿宋_GB2312"/>
                <w:color w:val="auto"/>
                <w:spacing w:val="-51"/>
                <w:sz w:val="21"/>
                <w:szCs w:val="21"/>
                <w:highlight w:val="none"/>
              </w:rPr>
              <w:t xml:space="preserve"> </w:t>
            </w:r>
            <w:r>
              <w:rPr>
                <w:rFonts w:hint="eastAsia" w:ascii="仿宋_GB2312" w:hAnsi="仿宋_GB2312" w:eastAsia="仿宋_GB2312" w:cs="仿宋_GB2312"/>
                <w:color w:val="auto"/>
                <w:spacing w:val="7"/>
                <w:sz w:val="21"/>
                <w:szCs w:val="21"/>
                <w:highlight w:val="none"/>
              </w:rPr>
              <w:t>以脱氢乙酸计）、防腐剂混合使用时</w:t>
            </w:r>
            <w:r>
              <w:rPr>
                <w:rFonts w:hint="eastAsia" w:ascii="仿宋_GB2312" w:hAnsi="仿宋_GB2312" w:eastAsia="仿宋_GB2312" w:cs="仿宋_GB2312"/>
                <w:color w:val="auto"/>
                <w:spacing w:val="9"/>
                <w:sz w:val="21"/>
                <w:szCs w:val="21"/>
                <w:highlight w:val="none"/>
              </w:rPr>
              <w:t>各自用量占其最大使用量的比例之和、安赛蜜</w:t>
            </w:r>
          </w:p>
        </w:tc>
        <w:tc>
          <w:tcPr>
            <w:tcW w:w="3435" w:type="dxa"/>
            <w:noWrap w:val="0"/>
            <w:vAlign w:val="center"/>
          </w:tcPr>
          <w:p w14:paraId="78FC86F1">
            <w:pPr>
              <w:pStyle w:val="179"/>
              <w:spacing w:before="213" w:line="277" w:lineRule="auto"/>
              <w:ind w:right="45"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4"/>
                <w:sz w:val="21"/>
                <w:szCs w:val="21"/>
                <w:highlight w:val="none"/>
              </w:rPr>
              <w:t>罗丹明</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pacing w:val="4"/>
                <w:sz w:val="21"/>
                <w:szCs w:val="21"/>
                <w:highlight w:val="none"/>
              </w:rPr>
              <w:t>B、罂粟碱、吗啡、可待因、</w:t>
            </w:r>
            <w:r>
              <w:rPr>
                <w:rFonts w:hint="eastAsia" w:ascii="仿宋_GB2312" w:hAnsi="仿宋_GB2312" w:eastAsia="仿宋_GB2312" w:cs="仿宋_GB2312"/>
                <w:color w:val="auto"/>
                <w:spacing w:val="5"/>
                <w:sz w:val="21"/>
                <w:szCs w:val="21"/>
                <w:highlight w:val="none"/>
              </w:rPr>
              <w:t>那可丁、甜蜜素（</w:t>
            </w:r>
            <w:r>
              <w:rPr>
                <w:rFonts w:hint="eastAsia" w:ascii="仿宋_GB2312" w:hAnsi="仿宋_GB2312" w:eastAsia="仿宋_GB2312" w:cs="仿宋_GB2312"/>
                <w:color w:val="auto"/>
                <w:spacing w:val="-42"/>
                <w:sz w:val="21"/>
                <w:szCs w:val="21"/>
                <w:highlight w:val="none"/>
              </w:rPr>
              <w:t xml:space="preserve"> </w:t>
            </w:r>
            <w:r>
              <w:rPr>
                <w:rFonts w:hint="eastAsia" w:ascii="仿宋_GB2312" w:hAnsi="仿宋_GB2312" w:eastAsia="仿宋_GB2312" w:cs="仿宋_GB2312"/>
                <w:color w:val="auto"/>
                <w:spacing w:val="5"/>
                <w:sz w:val="21"/>
                <w:szCs w:val="21"/>
                <w:highlight w:val="none"/>
              </w:rPr>
              <w:t>以环己基氨基磺</w:t>
            </w:r>
            <w:r>
              <w:rPr>
                <w:rFonts w:hint="eastAsia" w:ascii="仿宋_GB2312" w:hAnsi="仿宋_GB2312" w:eastAsia="仿宋_GB2312" w:cs="仿宋_GB2312"/>
                <w:color w:val="auto"/>
                <w:spacing w:val="3"/>
                <w:sz w:val="21"/>
                <w:szCs w:val="21"/>
                <w:highlight w:val="none"/>
              </w:rPr>
              <w:t>酸计）</w:t>
            </w:r>
          </w:p>
        </w:tc>
      </w:tr>
      <w:tr w14:paraId="2B9F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9007BF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635C2BC">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6803C0D">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190FE39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液体复合调味料</w:t>
            </w:r>
          </w:p>
        </w:tc>
        <w:tc>
          <w:tcPr>
            <w:tcW w:w="1856" w:type="dxa"/>
            <w:noWrap w:val="0"/>
            <w:vAlign w:val="center"/>
          </w:tcPr>
          <w:p w14:paraId="57F633B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蚝油、虾油、鱼露</w:t>
            </w:r>
          </w:p>
        </w:tc>
        <w:tc>
          <w:tcPr>
            <w:tcW w:w="1106" w:type="dxa"/>
            <w:noWrap w:val="0"/>
            <w:vAlign w:val="center"/>
          </w:tcPr>
          <w:p w14:paraId="08121D3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top"/>
          </w:tcPr>
          <w:p w14:paraId="20A30526">
            <w:pPr>
              <w:spacing w:before="58" w:line="265" w:lineRule="auto"/>
              <w:ind w:right="42"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4"/>
                <w:sz w:val="21"/>
                <w:szCs w:val="21"/>
                <w:highlight w:val="none"/>
              </w:rPr>
              <w:t>氨基酸态氮、苯甲酸及其钠盐（以苯甲酸计）、</w:t>
            </w:r>
            <w:r>
              <w:rPr>
                <w:rFonts w:hint="eastAsia" w:ascii="仿宋_GB2312" w:hAnsi="仿宋_GB2312" w:eastAsia="仿宋_GB2312" w:cs="仿宋_GB2312"/>
                <w:color w:val="auto"/>
                <w:spacing w:val="7"/>
                <w:sz w:val="21"/>
                <w:szCs w:val="21"/>
                <w:highlight w:val="none"/>
              </w:rPr>
              <w:t>山梨酸及其钾盐（</w:t>
            </w:r>
            <w:r>
              <w:rPr>
                <w:rFonts w:hint="eastAsia" w:ascii="仿宋_GB2312" w:hAnsi="仿宋_GB2312" w:eastAsia="仿宋_GB2312" w:cs="仿宋_GB2312"/>
                <w:color w:val="auto"/>
                <w:spacing w:val="-51"/>
                <w:sz w:val="21"/>
                <w:szCs w:val="21"/>
                <w:highlight w:val="none"/>
              </w:rPr>
              <w:t xml:space="preserve"> </w:t>
            </w:r>
            <w:r>
              <w:rPr>
                <w:rFonts w:hint="eastAsia" w:ascii="仿宋_GB2312" w:hAnsi="仿宋_GB2312" w:eastAsia="仿宋_GB2312" w:cs="仿宋_GB2312"/>
                <w:color w:val="auto"/>
                <w:spacing w:val="7"/>
                <w:sz w:val="21"/>
                <w:szCs w:val="21"/>
                <w:highlight w:val="none"/>
              </w:rPr>
              <w:t>以山梨酸计）、脱氢乙酸及其钠盐（</w:t>
            </w:r>
            <w:r>
              <w:rPr>
                <w:rFonts w:hint="eastAsia" w:ascii="仿宋_GB2312" w:hAnsi="仿宋_GB2312" w:eastAsia="仿宋_GB2312" w:cs="仿宋_GB2312"/>
                <w:color w:val="auto"/>
                <w:spacing w:val="-51"/>
                <w:sz w:val="21"/>
                <w:szCs w:val="21"/>
                <w:highlight w:val="none"/>
              </w:rPr>
              <w:t xml:space="preserve"> </w:t>
            </w:r>
            <w:r>
              <w:rPr>
                <w:rFonts w:hint="eastAsia" w:ascii="仿宋_GB2312" w:hAnsi="仿宋_GB2312" w:eastAsia="仿宋_GB2312" w:cs="仿宋_GB2312"/>
                <w:color w:val="auto"/>
                <w:spacing w:val="7"/>
                <w:sz w:val="21"/>
                <w:szCs w:val="21"/>
                <w:highlight w:val="none"/>
              </w:rPr>
              <w:t>以脱氢乙酸计）、防腐剂混合使用时</w:t>
            </w:r>
            <w:r>
              <w:rPr>
                <w:rFonts w:hint="eastAsia" w:ascii="仿宋_GB2312" w:hAnsi="仿宋_GB2312" w:eastAsia="仿宋_GB2312" w:cs="仿宋_GB2312"/>
                <w:color w:val="auto"/>
                <w:spacing w:val="9"/>
                <w:sz w:val="21"/>
                <w:szCs w:val="21"/>
                <w:highlight w:val="none"/>
              </w:rPr>
              <w:t>各自用量占其最大使用量的比例之和、菌落总</w:t>
            </w:r>
            <w:r>
              <w:rPr>
                <w:rFonts w:hint="eastAsia" w:ascii="仿宋_GB2312" w:hAnsi="仿宋_GB2312" w:eastAsia="仿宋_GB2312" w:cs="仿宋_GB2312"/>
                <w:color w:val="auto"/>
                <w:spacing w:val="1"/>
                <w:sz w:val="21"/>
                <w:szCs w:val="21"/>
                <w:highlight w:val="none"/>
              </w:rPr>
              <w:t>数</w:t>
            </w:r>
          </w:p>
        </w:tc>
        <w:tc>
          <w:tcPr>
            <w:tcW w:w="3435" w:type="dxa"/>
            <w:noWrap w:val="0"/>
            <w:vAlign w:val="center"/>
          </w:tcPr>
          <w:p w14:paraId="6723F9E7">
            <w:pPr>
              <w:spacing w:before="65" w:line="224" w:lineRule="auto"/>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5"/>
                <w:sz w:val="21"/>
                <w:szCs w:val="21"/>
                <w:highlight w:val="none"/>
              </w:rPr>
              <w:t>大肠菌群</w:t>
            </w:r>
          </w:p>
        </w:tc>
      </w:tr>
      <w:tr w14:paraId="6F1B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C45650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E5E0C40">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0E11849">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7333275">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1A3B329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其他液体调味料</w:t>
            </w:r>
          </w:p>
        </w:tc>
        <w:tc>
          <w:tcPr>
            <w:tcW w:w="1106" w:type="dxa"/>
            <w:noWrap w:val="0"/>
            <w:vAlign w:val="center"/>
          </w:tcPr>
          <w:p w14:paraId="13A7EA9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top"/>
          </w:tcPr>
          <w:p w14:paraId="36D75FFD">
            <w:pPr>
              <w:spacing w:before="117" w:line="273" w:lineRule="auto"/>
              <w:ind w:right="42"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5"/>
                <w:sz w:val="21"/>
                <w:szCs w:val="21"/>
                <w:highlight w:val="none"/>
              </w:rPr>
              <w:t>苯甲酸及其钠盐（</w:t>
            </w:r>
            <w:r>
              <w:rPr>
                <w:rFonts w:hint="eastAsia" w:ascii="仿宋_GB2312" w:hAnsi="仿宋_GB2312" w:eastAsia="仿宋_GB2312" w:cs="仿宋_GB2312"/>
                <w:color w:val="auto"/>
                <w:spacing w:val="-50"/>
                <w:sz w:val="21"/>
                <w:szCs w:val="21"/>
                <w:highlight w:val="none"/>
              </w:rPr>
              <w:t xml:space="preserve"> </w:t>
            </w:r>
            <w:r>
              <w:rPr>
                <w:rFonts w:hint="eastAsia" w:ascii="仿宋_GB2312" w:hAnsi="仿宋_GB2312" w:eastAsia="仿宋_GB2312" w:cs="仿宋_GB2312"/>
                <w:color w:val="auto"/>
                <w:spacing w:val="5"/>
                <w:sz w:val="21"/>
                <w:szCs w:val="21"/>
                <w:highlight w:val="none"/>
              </w:rPr>
              <w:t>以苯甲酸计）、</w:t>
            </w:r>
            <w:r>
              <w:rPr>
                <w:rFonts w:hint="eastAsia" w:ascii="仿宋_GB2312" w:hAnsi="仿宋_GB2312" w:eastAsia="仿宋_GB2312" w:cs="仿宋_GB2312"/>
                <w:color w:val="auto"/>
                <w:spacing w:val="-60"/>
                <w:sz w:val="21"/>
                <w:szCs w:val="21"/>
                <w:highlight w:val="none"/>
              </w:rPr>
              <w:t xml:space="preserve"> </w:t>
            </w:r>
            <w:r>
              <w:rPr>
                <w:rFonts w:hint="eastAsia" w:ascii="仿宋_GB2312" w:hAnsi="仿宋_GB2312" w:eastAsia="仿宋_GB2312" w:cs="仿宋_GB2312"/>
                <w:color w:val="auto"/>
                <w:spacing w:val="5"/>
                <w:sz w:val="21"/>
                <w:szCs w:val="21"/>
                <w:highlight w:val="none"/>
              </w:rPr>
              <w:t>山梨酸及其</w:t>
            </w:r>
            <w:r>
              <w:rPr>
                <w:rFonts w:hint="eastAsia" w:ascii="仿宋_GB2312" w:hAnsi="仿宋_GB2312" w:eastAsia="仿宋_GB2312" w:cs="仿宋_GB2312"/>
                <w:color w:val="auto"/>
                <w:spacing w:val="4"/>
                <w:sz w:val="21"/>
                <w:szCs w:val="21"/>
                <w:highlight w:val="none"/>
              </w:rPr>
              <w:t>钾盐（</w:t>
            </w:r>
            <w:r>
              <w:rPr>
                <w:rFonts w:hint="eastAsia" w:ascii="仿宋_GB2312" w:hAnsi="仿宋_GB2312" w:eastAsia="仿宋_GB2312" w:cs="仿宋_GB2312"/>
                <w:color w:val="auto"/>
                <w:spacing w:val="-39"/>
                <w:sz w:val="21"/>
                <w:szCs w:val="21"/>
                <w:highlight w:val="none"/>
              </w:rPr>
              <w:t xml:space="preserve"> </w:t>
            </w:r>
            <w:r>
              <w:rPr>
                <w:rFonts w:hint="eastAsia" w:ascii="仿宋_GB2312" w:hAnsi="仿宋_GB2312" w:eastAsia="仿宋_GB2312" w:cs="仿宋_GB2312"/>
                <w:color w:val="auto"/>
                <w:spacing w:val="4"/>
                <w:sz w:val="21"/>
                <w:szCs w:val="21"/>
                <w:highlight w:val="none"/>
              </w:rPr>
              <w:t>以山梨酸计）、脱氢乙酸及其钠盐（</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4"/>
                <w:sz w:val="21"/>
                <w:szCs w:val="21"/>
                <w:highlight w:val="none"/>
              </w:rPr>
              <w:t>以</w:t>
            </w:r>
            <w:r>
              <w:rPr>
                <w:rFonts w:hint="eastAsia" w:ascii="仿宋_GB2312" w:hAnsi="仿宋_GB2312" w:eastAsia="仿宋_GB2312" w:cs="仿宋_GB2312"/>
                <w:color w:val="auto"/>
                <w:spacing w:val="9"/>
                <w:sz w:val="21"/>
                <w:szCs w:val="21"/>
                <w:highlight w:val="none"/>
              </w:rPr>
              <w:t>脱氢乙酸计）、防腐剂混合使用时各自用量占</w:t>
            </w:r>
            <w:r>
              <w:rPr>
                <w:rFonts w:hint="eastAsia" w:ascii="仿宋_GB2312" w:hAnsi="仿宋_GB2312" w:eastAsia="仿宋_GB2312" w:cs="仿宋_GB2312"/>
                <w:color w:val="auto"/>
                <w:spacing w:val="-5"/>
                <w:sz w:val="21"/>
                <w:szCs w:val="21"/>
                <w:highlight w:val="none"/>
              </w:rPr>
              <w:t>其最大使用量的比例之和、糖精钠（以糖精计）、</w:t>
            </w:r>
            <w:r>
              <w:rPr>
                <w:rFonts w:hint="eastAsia" w:ascii="仿宋_GB2312" w:hAnsi="仿宋_GB2312" w:eastAsia="仿宋_GB2312" w:cs="仿宋_GB2312"/>
                <w:color w:val="auto"/>
                <w:spacing w:val="5"/>
                <w:sz w:val="21"/>
                <w:szCs w:val="21"/>
                <w:highlight w:val="none"/>
              </w:rPr>
              <w:t>甜蜜素（</w:t>
            </w:r>
            <w:r>
              <w:rPr>
                <w:rFonts w:hint="eastAsia" w:ascii="仿宋_GB2312" w:hAnsi="仿宋_GB2312" w:eastAsia="仿宋_GB2312" w:cs="仿宋_GB2312"/>
                <w:color w:val="auto"/>
                <w:spacing w:val="-46"/>
                <w:sz w:val="21"/>
                <w:szCs w:val="21"/>
                <w:highlight w:val="none"/>
              </w:rPr>
              <w:t xml:space="preserve"> </w:t>
            </w:r>
            <w:r>
              <w:rPr>
                <w:rFonts w:hint="eastAsia" w:ascii="仿宋_GB2312" w:hAnsi="仿宋_GB2312" w:eastAsia="仿宋_GB2312" w:cs="仿宋_GB2312"/>
                <w:color w:val="auto"/>
                <w:spacing w:val="5"/>
                <w:sz w:val="21"/>
                <w:szCs w:val="21"/>
                <w:highlight w:val="none"/>
              </w:rPr>
              <w:t>以环己基氨基磺酸计）</w:t>
            </w:r>
          </w:p>
        </w:tc>
        <w:tc>
          <w:tcPr>
            <w:tcW w:w="3435" w:type="dxa"/>
            <w:noWrap w:val="0"/>
            <w:vAlign w:val="center"/>
          </w:tcPr>
          <w:p w14:paraId="4E0D93EE">
            <w:pPr>
              <w:spacing w:before="263" w:line="277" w:lineRule="auto"/>
              <w:ind w:right="136"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5"/>
                <w:sz w:val="21"/>
                <w:szCs w:val="21"/>
                <w:highlight w:val="none"/>
              </w:rPr>
              <w:t>合成着色剂（柠檬黄</w:t>
            </w:r>
            <w:r>
              <w:rPr>
                <w:rFonts w:hint="eastAsia" w:ascii="仿宋_GB2312" w:hAnsi="仿宋_GB2312" w:eastAsia="仿宋_GB2312" w:cs="仿宋_GB2312"/>
                <w:color w:val="auto"/>
                <w:spacing w:val="5"/>
                <w:sz w:val="21"/>
                <w:szCs w:val="21"/>
                <w:highlight w:val="none"/>
                <w:lang w:eastAsia="zh-CN"/>
              </w:rPr>
              <w:t>、</w:t>
            </w:r>
            <w:r>
              <w:rPr>
                <w:rFonts w:hint="eastAsia" w:ascii="仿宋_GB2312" w:hAnsi="仿宋_GB2312" w:eastAsia="仿宋_GB2312" w:cs="仿宋_GB2312"/>
                <w:color w:val="auto"/>
                <w:spacing w:val="-38"/>
                <w:sz w:val="21"/>
                <w:szCs w:val="21"/>
                <w:highlight w:val="none"/>
              </w:rPr>
              <w:t xml:space="preserve"> </w:t>
            </w:r>
            <w:r>
              <w:rPr>
                <w:rFonts w:hint="eastAsia" w:ascii="仿宋_GB2312" w:hAnsi="仿宋_GB2312" w:eastAsia="仿宋_GB2312" w:cs="仿宋_GB2312"/>
                <w:color w:val="auto"/>
                <w:spacing w:val="5"/>
                <w:sz w:val="21"/>
                <w:szCs w:val="21"/>
                <w:highlight w:val="none"/>
              </w:rPr>
              <w:t>日落黄、胭</w:t>
            </w:r>
            <w:r>
              <w:rPr>
                <w:rFonts w:hint="eastAsia" w:ascii="仿宋_GB2312" w:hAnsi="仿宋_GB2312" w:eastAsia="仿宋_GB2312" w:cs="仿宋_GB2312"/>
                <w:color w:val="auto"/>
                <w:spacing w:val="9"/>
                <w:sz w:val="21"/>
                <w:szCs w:val="21"/>
                <w:highlight w:val="none"/>
              </w:rPr>
              <w:t>脂红、诱惑红）、相同色泽着色剂混合使用时各自用量占其最大使用量的比例之和、菌落总数</w:t>
            </w:r>
          </w:p>
        </w:tc>
      </w:tr>
      <w:tr w14:paraId="72DB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rPr>
        <w:tc>
          <w:tcPr>
            <w:tcW w:w="720" w:type="dxa"/>
            <w:vMerge w:val="continue"/>
            <w:noWrap w:val="0"/>
            <w:vAlign w:val="center"/>
          </w:tcPr>
          <w:p w14:paraId="791DFE1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33441BC">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center"/>
          </w:tcPr>
          <w:p w14:paraId="592B8FB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味精</w:t>
            </w:r>
          </w:p>
        </w:tc>
        <w:tc>
          <w:tcPr>
            <w:tcW w:w="1144" w:type="dxa"/>
            <w:noWrap w:val="0"/>
            <w:vAlign w:val="center"/>
          </w:tcPr>
          <w:p w14:paraId="6BEEE8C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味精</w:t>
            </w:r>
          </w:p>
        </w:tc>
        <w:tc>
          <w:tcPr>
            <w:tcW w:w="1856" w:type="dxa"/>
            <w:noWrap w:val="0"/>
            <w:vAlign w:val="center"/>
          </w:tcPr>
          <w:p w14:paraId="202AEA1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味精</w:t>
            </w:r>
          </w:p>
        </w:tc>
        <w:tc>
          <w:tcPr>
            <w:tcW w:w="1106" w:type="dxa"/>
            <w:noWrap w:val="0"/>
            <w:vAlign w:val="center"/>
          </w:tcPr>
          <w:p w14:paraId="3BFFB19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B65468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谷氨酸钠</w:t>
            </w:r>
          </w:p>
        </w:tc>
        <w:tc>
          <w:tcPr>
            <w:tcW w:w="3435" w:type="dxa"/>
            <w:noWrap w:val="0"/>
            <w:vAlign w:val="center"/>
          </w:tcPr>
          <w:p w14:paraId="05202847">
            <w:pPr>
              <w:keepNext w:val="0"/>
              <w:keepLines w:val="0"/>
              <w:widowControl/>
              <w:suppressLineNumbers w:val="0"/>
              <w:jc w:val="both"/>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4EF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480A558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4E89EBF">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33DB6D01">
            <w:pPr>
              <w:widowControl/>
              <w:spacing w:line="300" w:lineRule="exact"/>
              <w:jc w:val="center"/>
              <w:rPr>
                <w:rFonts w:hint="default" w:ascii="Times New Roman" w:hAnsi="Times New Roman" w:eastAsia="仿宋_GB2312" w:cs="Times New Roman"/>
                <w:color w:val="auto"/>
                <w:kern w:val="0"/>
                <w:szCs w:val="21"/>
                <w:highlight w:val="none"/>
              </w:rPr>
            </w:pPr>
          </w:p>
          <w:p w14:paraId="165BA32B">
            <w:pPr>
              <w:widowControl/>
              <w:spacing w:line="300" w:lineRule="exact"/>
              <w:jc w:val="center"/>
              <w:rPr>
                <w:rFonts w:hint="default" w:ascii="Times New Roman" w:hAnsi="Times New Roman" w:eastAsia="仿宋_GB2312" w:cs="Times New Roman"/>
                <w:color w:val="auto"/>
                <w:kern w:val="0"/>
                <w:szCs w:val="21"/>
                <w:highlight w:val="none"/>
              </w:rPr>
            </w:pPr>
          </w:p>
          <w:p w14:paraId="4172AD37">
            <w:pPr>
              <w:widowControl/>
              <w:spacing w:line="300" w:lineRule="exact"/>
              <w:jc w:val="center"/>
              <w:rPr>
                <w:rFonts w:hint="default" w:ascii="Times New Roman" w:hAnsi="Times New Roman" w:eastAsia="仿宋_GB2312" w:cs="Times New Roman"/>
                <w:color w:val="auto"/>
                <w:kern w:val="0"/>
                <w:szCs w:val="21"/>
                <w:highlight w:val="none"/>
              </w:rPr>
            </w:pPr>
          </w:p>
          <w:p w14:paraId="1327A81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食盐</w:t>
            </w:r>
          </w:p>
          <w:p w14:paraId="609E5797">
            <w:pPr>
              <w:widowControl/>
              <w:spacing w:line="300" w:lineRule="exact"/>
              <w:jc w:val="center"/>
              <w:rPr>
                <w:rFonts w:hint="default" w:ascii="Times New Roman" w:hAnsi="Times New Roman" w:eastAsia="仿宋_GB2312" w:cs="Times New Roman"/>
                <w:color w:val="auto"/>
                <w:kern w:val="0"/>
                <w:szCs w:val="21"/>
                <w:highlight w:val="none"/>
              </w:rPr>
            </w:pPr>
          </w:p>
          <w:p w14:paraId="53A4EBE3">
            <w:pPr>
              <w:widowControl/>
              <w:spacing w:line="300" w:lineRule="exact"/>
              <w:jc w:val="center"/>
              <w:rPr>
                <w:rFonts w:hint="default" w:ascii="Times New Roman" w:hAnsi="Times New Roman" w:eastAsia="仿宋_GB2312" w:cs="Times New Roman"/>
                <w:color w:val="auto"/>
                <w:kern w:val="0"/>
                <w:szCs w:val="21"/>
                <w:highlight w:val="none"/>
              </w:rPr>
            </w:pPr>
          </w:p>
          <w:p w14:paraId="7D115263">
            <w:pPr>
              <w:widowControl/>
              <w:spacing w:line="300" w:lineRule="exact"/>
              <w:jc w:val="center"/>
              <w:rPr>
                <w:rFonts w:hint="default" w:ascii="Times New Roman" w:hAnsi="Times New Roman" w:eastAsia="仿宋_GB2312" w:cs="Times New Roman"/>
                <w:color w:val="auto"/>
                <w:kern w:val="0"/>
                <w:szCs w:val="21"/>
                <w:highlight w:val="none"/>
              </w:rPr>
            </w:pPr>
          </w:p>
          <w:p w14:paraId="5AF846DB">
            <w:pPr>
              <w:widowControl/>
              <w:spacing w:line="300" w:lineRule="exact"/>
              <w:jc w:val="center"/>
              <w:rPr>
                <w:rFonts w:hint="default" w:ascii="Times New Roman" w:hAnsi="Times New Roman" w:eastAsia="仿宋_GB2312" w:cs="Times New Roman"/>
                <w:color w:val="auto"/>
                <w:kern w:val="0"/>
                <w:szCs w:val="21"/>
                <w:highlight w:val="none"/>
              </w:rPr>
            </w:pPr>
          </w:p>
          <w:p w14:paraId="5DC6B55A">
            <w:pPr>
              <w:widowControl/>
              <w:spacing w:line="300" w:lineRule="exact"/>
              <w:jc w:val="center"/>
              <w:rPr>
                <w:rFonts w:hint="default" w:ascii="Times New Roman" w:hAnsi="Times New Roman" w:eastAsia="仿宋_GB2312" w:cs="Times New Roman"/>
                <w:color w:val="auto"/>
                <w:kern w:val="0"/>
                <w:szCs w:val="21"/>
                <w:highlight w:val="none"/>
              </w:rPr>
            </w:pPr>
          </w:p>
          <w:p w14:paraId="4A37D752">
            <w:pPr>
              <w:widowControl/>
              <w:spacing w:line="300" w:lineRule="exact"/>
              <w:jc w:val="both"/>
              <w:rPr>
                <w:rFonts w:hint="default" w:ascii="Times New Roman" w:hAnsi="Times New Roman" w:eastAsia="仿宋_GB2312" w:cs="Times New Roman"/>
                <w:color w:val="auto"/>
                <w:kern w:val="0"/>
                <w:szCs w:val="21"/>
                <w:highlight w:val="none"/>
              </w:rPr>
            </w:pPr>
          </w:p>
          <w:p w14:paraId="17870BF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食盐</w:t>
            </w:r>
          </w:p>
        </w:tc>
        <w:tc>
          <w:tcPr>
            <w:tcW w:w="1144" w:type="dxa"/>
            <w:vMerge w:val="restart"/>
            <w:noWrap w:val="0"/>
            <w:vAlign w:val="center"/>
          </w:tcPr>
          <w:p w14:paraId="715D45AE">
            <w:pPr>
              <w:widowControl/>
              <w:spacing w:line="300" w:lineRule="exact"/>
              <w:jc w:val="center"/>
              <w:rPr>
                <w:rFonts w:hint="default" w:ascii="Times New Roman" w:hAnsi="Times New Roman" w:eastAsia="仿宋_GB2312" w:cs="Times New Roman"/>
                <w:color w:val="auto"/>
                <w:kern w:val="0"/>
                <w:szCs w:val="21"/>
                <w:highlight w:val="none"/>
              </w:rPr>
            </w:pPr>
          </w:p>
          <w:p w14:paraId="493A4B46">
            <w:pPr>
              <w:widowControl/>
              <w:spacing w:line="300" w:lineRule="exact"/>
              <w:jc w:val="center"/>
              <w:rPr>
                <w:rFonts w:hint="default" w:ascii="Times New Roman" w:hAnsi="Times New Roman" w:eastAsia="仿宋_GB2312" w:cs="Times New Roman"/>
                <w:color w:val="auto"/>
                <w:kern w:val="0"/>
                <w:szCs w:val="21"/>
                <w:highlight w:val="none"/>
              </w:rPr>
            </w:pPr>
          </w:p>
          <w:p w14:paraId="29594579">
            <w:pPr>
              <w:widowControl/>
              <w:spacing w:line="300" w:lineRule="exact"/>
              <w:jc w:val="center"/>
              <w:rPr>
                <w:rFonts w:hint="default" w:ascii="Times New Roman" w:hAnsi="Times New Roman" w:eastAsia="仿宋_GB2312" w:cs="Times New Roman"/>
                <w:color w:val="auto"/>
                <w:kern w:val="0"/>
                <w:szCs w:val="21"/>
                <w:highlight w:val="none"/>
              </w:rPr>
            </w:pPr>
          </w:p>
          <w:p w14:paraId="321D7A9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食用盐</w:t>
            </w:r>
          </w:p>
          <w:p w14:paraId="09466BFD">
            <w:pPr>
              <w:widowControl/>
              <w:spacing w:line="300" w:lineRule="exact"/>
              <w:jc w:val="center"/>
              <w:rPr>
                <w:rFonts w:hint="default" w:ascii="Times New Roman" w:hAnsi="Times New Roman" w:eastAsia="仿宋_GB2312" w:cs="Times New Roman"/>
                <w:color w:val="auto"/>
                <w:kern w:val="0"/>
                <w:szCs w:val="21"/>
                <w:highlight w:val="none"/>
              </w:rPr>
            </w:pPr>
          </w:p>
          <w:p w14:paraId="08F7E7E5">
            <w:pPr>
              <w:widowControl/>
              <w:spacing w:line="300" w:lineRule="exact"/>
              <w:jc w:val="center"/>
              <w:rPr>
                <w:rFonts w:hint="default" w:ascii="Times New Roman" w:hAnsi="Times New Roman" w:eastAsia="仿宋_GB2312" w:cs="Times New Roman"/>
                <w:color w:val="auto"/>
                <w:kern w:val="0"/>
                <w:szCs w:val="21"/>
                <w:highlight w:val="none"/>
              </w:rPr>
            </w:pPr>
          </w:p>
          <w:p w14:paraId="15DD1779">
            <w:pPr>
              <w:widowControl/>
              <w:spacing w:line="300" w:lineRule="exact"/>
              <w:jc w:val="both"/>
              <w:rPr>
                <w:rFonts w:hint="default" w:ascii="Times New Roman" w:hAnsi="Times New Roman" w:eastAsia="仿宋_GB2312" w:cs="Times New Roman"/>
                <w:color w:val="auto"/>
                <w:kern w:val="0"/>
                <w:szCs w:val="21"/>
                <w:highlight w:val="none"/>
              </w:rPr>
            </w:pPr>
          </w:p>
          <w:p w14:paraId="4AA12492">
            <w:pPr>
              <w:widowControl/>
              <w:spacing w:line="300" w:lineRule="exact"/>
              <w:jc w:val="both"/>
              <w:rPr>
                <w:rFonts w:hint="default" w:ascii="Times New Roman" w:hAnsi="Times New Roman" w:eastAsia="仿宋_GB2312" w:cs="Times New Roman"/>
                <w:color w:val="auto"/>
                <w:kern w:val="0"/>
                <w:szCs w:val="21"/>
                <w:highlight w:val="none"/>
              </w:rPr>
            </w:pPr>
          </w:p>
          <w:p w14:paraId="2D5A92F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食用盐</w:t>
            </w:r>
          </w:p>
        </w:tc>
        <w:tc>
          <w:tcPr>
            <w:tcW w:w="1856" w:type="dxa"/>
            <w:noWrap w:val="0"/>
            <w:vAlign w:val="center"/>
          </w:tcPr>
          <w:p w14:paraId="4E2AB27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普通食用盐</w:t>
            </w:r>
          </w:p>
        </w:tc>
        <w:tc>
          <w:tcPr>
            <w:tcW w:w="1106" w:type="dxa"/>
            <w:noWrap w:val="0"/>
            <w:vAlign w:val="center"/>
          </w:tcPr>
          <w:p w14:paraId="3FAA1E2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top"/>
          </w:tcPr>
          <w:p w14:paraId="3CC71EF1">
            <w:pPr>
              <w:pStyle w:val="179"/>
              <w:spacing w:before="64" w:line="245" w:lineRule="auto"/>
              <w:ind w:right="105" w:rightChars="0"/>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8"/>
                <w:sz w:val="21"/>
                <w:szCs w:val="21"/>
                <w:highlight w:val="none"/>
              </w:rPr>
              <w:t>氯化钠、钡（</w:t>
            </w:r>
            <w:r>
              <w:rPr>
                <w:rFonts w:hint="eastAsia" w:ascii="仿宋_GB2312" w:hAnsi="仿宋_GB2312" w:eastAsia="仿宋_GB2312" w:cs="仿宋_GB2312"/>
                <w:color w:val="auto"/>
                <w:spacing w:val="-47"/>
                <w:sz w:val="21"/>
                <w:szCs w:val="21"/>
                <w:highlight w:val="none"/>
              </w:rPr>
              <w:t xml:space="preserve"> </w:t>
            </w:r>
            <w:r>
              <w:rPr>
                <w:rFonts w:hint="eastAsia" w:ascii="仿宋_GB2312" w:hAnsi="仿宋_GB2312" w:eastAsia="仿宋_GB2312" w:cs="仿宋_GB2312"/>
                <w:color w:val="auto"/>
                <w:spacing w:val="-8"/>
                <w:sz w:val="21"/>
                <w:szCs w:val="21"/>
                <w:highlight w:val="none"/>
              </w:rPr>
              <w:t>以</w:t>
            </w:r>
            <w:r>
              <w:rPr>
                <w:rFonts w:hint="eastAsia" w:ascii="仿宋_GB2312" w:hAnsi="仿宋_GB2312" w:eastAsia="仿宋_GB2312" w:cs="仿宋_GB2312"/>
                <w:color w:val="auto"/>
                <w:spacing w:val="-43"/>
                <w:sz w:val="21"/>
                <w:szCs w:val="21"/>
                <w:highlight w:val="none"/>
              </w:rPr>
              <w:t xml:space="preserve"> </w:t>
            </w:r>
            <w:r>
              <w:rPr>
                <w:rFonts w:hint="eastAsia" w:ascii="仿宋_GB2312" w:hAnsi="仿宋_GB2312" w:eastAsia="仿宋_GB2312" w:cs="仿宋_GB2312"/>
                <w:color w:val="auto"/>
                <w:spacing w:val="-8"/>
                <w:sz w:val="21"/>
                <w:szCs w:val="21"/>
                <w:highlight w:val="none"/>
              </w:rPr>
              <w:t>Ba</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8"/>
                <w:sz w:val="21"/>
                <w:szCs w:val="21"/>
                <w:highlight w:val="none"/>
              </w:rPr>
              <w:t>计）、碘（以</w:t>
            </w:r>
            <w:r>
              <w:rPr>
                <w:rFonts w:hint="eastAsia" w:ascii="仿宋_GB2312" w:hAnsi="仿宋_GB2312" w:eastAsia="仿宋_GB2312" w:cs="仿宋_GB2312"/>
                <w:color w:val="auto"/>
                <w:spacing w:val="-40"/>
                <w:sz w:val="21"/>
                <w:szCs w:val="21"/>
                <w:highlight w:val="none"/>
              </w:rPr>
              <w:t xml:space="preserve"> </w:t>
            </w:r>
            <w:r>
              <w:rPr>
                <w:rFonts w:hint="eastAsia" w:ascii="仿宋_GB2312" w:hAnsi="仿宋_GB2312" w:eastAsia="仿宋_GB2312" w:cs="仿宋_GB2312"/>
                <w:color w:val="auto"/>
                <w:spacing w:val="-8"/>
                <w:sz w:val="21"/>
                <w:szCs w:val="21"/>
                <w:highlight w:val="none"/>
              </w:rPr>
              <w:t>I</w:t>
            </w:r>
            <w:r>
              <w:rPr>
                <w:rFonts w:hint="eastAsia" w:ascii="仿宋_GB2312" w:hAnsi="仿宋_GB2312" w:eastAsia="仿宋_GB2312" w:cs="仿宋_GB2312"/>
                <w:color w:val="auto"/>
                <w:spacing w:val="-34"/>
                <w:sz w:val="21"/>
                <w:szCs w:val="21"/>
                <w:highlight w:val="none"/>
              </w:rPr>
              <w:t xml:space="preserve"> </w:t>
            </w:r>
            <w:r>
              <w:rPr>
                <w:rFonts w:hint="eastAsia" w:ascii="仿宋_GB2312" w:hAnsi="仿宋_GB2312" w:eastAsia="仿宋_GB2312" w:cs="仿宋_GB2312"/>
                <w:color w:val="auto"/>
                <w:spacing w:val="-8"/>
                <w:sz w:val="21"/>
                <w:szCs w:val="21"/>
                <w:highlight w:val="none"/>
              </w:rPr>
              <w:t>计）、铅（以</w:t>
            </w:r>
            <w:r>
              <w:rPr>
                <w:rFonts w:hint="eastAsia" w:ascii="仿宋_GB2312" w:hAnsi="仿宋_GB2312" w:eastAsia="仿宋_GB2312" w:cs="仿宋_GB2312"/>
                <w:color w:val="auto"/>
                <w:sz w:val="21"/>
                <w:szCs w:val="21"/>
                <w:highlight w:val="none"/>
              </w:rPr>
              <w:t>Pb</w:t>
            </w:r>
            <w:r>
              <w:rPr>
                <w:rFonts w:hint="eastAsia" w:ascii="仿宋_GB2312" w:hAnsi="仿宋_GB2312" w:eastAsia="仿宋_GB2312" w:cs="仿宋_GB2312"/>
                <w:color w:val="auto"/>
                <w:spacing w:val="-21"/>
                <w:sz w:val="21"/>
                <w:szCs w:val="21"/>
                <w:highlight w:val="none"/>
              </w:rPr>
              <w:t xml:space="preserve"> </w:t>
            </w:r>
            <w:r>
              <w:rPr>
                <w:rFonts w:hint="eastAsia" w:ascii="仿宋_GB2312" w:hAnsi="仿宋_GB2312" w:eastAsia="仿宋_GB2312" w:cs="仿宋_GB2312"/>
                <w:color w:val="auto"/>
                <w:spacing w:val="5"/>
                <w:sz w:val="21"/>
                <w:szCs w:val="21"/>
                <w:highlight w:val="none"/>
              </w:rPr>
              <w:t>计）、总砷（</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45"/>
                <w:sz w:val="21"/>
                <w:szCs w:val="21"/>
                <w:highlight w:val="none"/>
              </w:rPr>
              <w:t xml:space="preserve"> </w:t>
            </w:r>
            <w:r>
              <w:rPr>
                <w:rFonts w:hint="eastAsia" w:ascii="仿宋_GB2312" w:hAnsi="仿宋_GB2312" w:eastAsia="仿宋_GB2312" w:cs="仿宋_GB2312"/>
                <w:color w:val="auto"/>
                <w:sz w:val="21"/>
                <w:szCs w:val="21"/>
                <w:highlight w:val="none"/>
              </w:rPr>
              <w:t>As</w:t>
            </w:r>
            <w:r>
              <w:rPr>
                <w:rFonts w:hint="eastAsia" w:ascii="仿宋_GB2312" w:hAnsi="仿宋_GB2312" w:eastAsia="仿宋_GB2312" w:cs="仿宋_GB2312"/>
                <w:color w:val="auto"/>
                <w:spacing w:val="-34"/>
                <w:sz w:val="21"/>
                <w:szCs w:val="21"/>
                <w:highlight w:val="none"/>
              </w:rPr>
              <w:t xml:space="preserve"> </w:t>
            </w:r>
            <w:r>
              <w:rPr>
                <w:rFonts w:hint="eastAsia" w:ascii="仿宋_GB2312" w:hAnsi="仿宋_GB2312" w:eastAsia="仿宋_GB2312" w:cs="仿宋_GB2312"/>
                <w:color w:val="auto"/>
                <w:spacing w:val="5"/>
                <w:sz w:val="21"/>
                <w:szCs w:val="21"/>
                <w:highlight w:val="none"/>
              </w:rPr>
              <w:t>计）、镉（</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38"/>
                <w:sz w:val="21"/>
                <w:szCs w:val="21"/>
                <w:highlight w:val="none"/>
              </w:rPr>
              <w:t xml:space="preserve"> </w:t>
            </w:r>
            <w:r>
              <w:rPr>
                <w:rFonts w:hint="eastAsia" w:ascii="仿宋_GB2312" w:hAnsi="仿宋_GB2312" w:eastAsia="仿宋_GB2312" w:cs="仿宋_GB2312"/>
                <w:color w:val="auto"/>
                <w:sz w:val="21"/>
                <w:szCs w:val="21"/>
                <w:highlight w:val="none"/>
              </w:rPr>
              <w:t>Cd</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5"/>
                <w:sz w:val="21"/>
                <w:szCs w:val="21"/>
                <w:highlight w:val="none"/>
              </w:rPr>
              <w:t>计）</w:t>
            </w:r>
          </w:p>
        </w:tc>
        <w:tc>
          <w:tcPr>
            <w:tcW w:w="3435" w:type="dxa"/>
            <w:noWrap w:val="0"/>
            <w:vAlign w:val="center"/>
          </w:tcPr>
          <w:p w14:paraId="6234BB37">
            <w:pPr>
              <w:pStyle w:val="179"/>
              <w:spacing w:before="64" w:line="245" w:lineRule="auto"/>
              <w:ind w:right="136"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4"/>
                <w:sz w:val="21"/>
                <w:szCs w:val="21"/>
                <w:highlight w:val="none"/>
              </w:rPr>
              <w:t>总汞（</w:t>
            </w:r>
            <w:r>
              <w:rPr>
                <w:rFonts w:hint="eastAsia" w:ascii="仿宋_GB2312" w:hAnsi="仿宋_GB2312" w:eastAsia="仿宋_GB2312" w:cs="仿宋_GB2312"/>
                <w:color w:val="auto"/>
                <w:spacing w:val="-53"/>
                <w:sz w:val="21"/>
                <w:szCs w:val="21"/>
                <w:highlight w:val="none"/>
              </w:rPr>
              <w:t xml:space="preserve"> </w:t>
            </w:r>
            <w:r>
              <w:rPr>
                <w:rFonts w:hint="eastAsia" w:ascii="仿宋_GB2312" w:hAnsi="仿宋_GB2312" w:eastAsia="仿宋_GB2312" w:cs="仿宋_GB2312"/>
                <w:color w:val="auto"/>
                <w:spacing w:val="4"/>
                <w:sz w:val="21"/>
                <w:szCs w:val="21"/>
                <w:highlight w:val="none"/>
              </w:rPr>
              <w:t>以</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z w:val="21"/>
                <w:szCs w:val="21"/>
                <w:highlight w:val="none"/>
              </w:rPr>
              <w:t>Hg</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4"/>
                <w:sz w:val="21"/>
                <w:szCs w:val="21"/>
                <w:highlight w:val="none"/>
              </w:rPr>
              <w:t>计）、亚铁氰化钾/亚铁氰化钠（</w:t>
            </w:r>
            <w:r>
              <w:rPr>
                <w:rFonts w:hint="eastAsia" w:ascii="仿宋_GB2312" w:hAnsi="仿宋_GB2312" w:eastAsia="仿宋_GB2312" w:cs="仿宋_GB2312"/>
                <w:color w:val="auto"/>
                <w:spacing w:val="-47"/>
                <w:sz w:val="21"/>
                <w:szCs w:val="21"/>
                <w:highlight w:val="none"/>
              </w:rPr>
              <w:t xml:space="preserve"> </w:t>
            </w:r>
            <w:r>
              <w:rPr>
                <w:rFonts w:hint="eastAsia" w:ascii="仿宋_GB2312" w:hAnsi="仿宋_GB2312" w:eastAsia="仿宋_GB2312" w:cs="仿宋_GB2312"/>
                <w:color w:val="auto"/>
                <w:spacing w:val="4"/>
                <w:sz w:val="21"/>
                <w:szCs w:val="21"/>
                <w:highlight w:val="none"/>
              </w:rPr>
              <w:t>以亚铁氰根计）</w:t>
            </w:r>
          </w:p>
        </w:tc>
      </w:tr>
      <w:tr w14:paraId="3C34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E98F34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F3E8850">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480209C">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F16866A">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2683F0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低钠食用盐</w:t>
            </w:r>
          </w:p>
        </w:tc>
        <w:tc>
          <w:tcPr>
            <w:tcW w:w="1106" w:type="dxa"/>
            <w:noWrap w:val="0"/>
            <w:vAlign w:val="center"/>
          </w:tcPr>
          <w:p w14:paraId="7332A3C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top"/>
          </w:tcPr>
          <w:p w14:paraId="427559D8">
            <w:pPr>
              <w:pStyle w:val="179"/>
              <w:spacing w:before="64" w:line="245" w:lineRule="auto"/>
              <w:ind w:right="105" w:rightChars="0"/>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8"/>
                <w:sz w:val="21"/>
                <w:szCs w:val="21"/>
                <w:highlight w:val="none"/>
              </w:rPr>
              <w:t>氯化钾、钡（</w:t>
            </w:r>
            <w:r>
              <w:rPr>
                <w:rFonts w:hint="eastAsia" w:ascii="仿宋_GB2312" w:hAnsi="仿宋_GB2312" w:eastAsia="仿宋_GB2312" w:cs="仿宋_GB2312"/>
                <w:color w:val="auto"/>
                <w:spacing w:val="-47"/>
                <w:sz w:val="21"/>
                <w:szCs w:val="21"/>
                <w:highlight w:val="none"/>
              </w:rPr>
              <w:t xml:space="preserve"> </w:t>
            </w:r>
            <w:r>
              <w:rPr>
                <w:rFonts w:hint="eastAsia" w:ascii="仿宋_GB2312" w:hAnsi="仿宋_GB2312" w:eastAsia="仿宋_GB2312" w:cs="仿宋_GB2312"/>
                <w:color w:val="auto"/>
                <w:spacing w:val="-8"/>
                <w:sz w:val="21"/>
                <w:szCs w:val="21"/>
                <w:highlight w:val="none"/>
              </w:rPr>
              <w:t>以</w:t>
            </w:r>
            <w:r>
              <w:rPr>
                <w:rFonts w:hint="eastAsia" w:ascii="仿宋_GB2312" w:hAnsi="仿宋_GB2312" w:eastAsia="仿宋_GB2312" w:cs="仿宋_GB2312"/>
                <w:color w:val="auto"/>
                <w:spacing w:val="-43"/>
                <w:sz w:val="21"/>
                <w:szCs w:val="21"/>
                <w:highlight w:val="none"/>
              </w:rPr>
              <w:t xml:space="preserve"> </w:t>
            </w:r>
            <w:r>
              <w:rPr>
                <w:rFonts w:hint="eastAsia" w:ascii="仿宋_GB2312" w:hAnsi="仿宋_GB2312" w:eastAsia="仿宋_GB2312" w:cs="仿宋_GB2312"/>
                <w:color w:val="auto"/>
                <w:spacing w:val="-8"/>
                <w:sz w:val="21"/>
                <w:szCs w:val="21"/>
                <w:highlight w:val="none"/>
              </w:rPr>
              <w:t>Ba</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8"/>
                <w:sz w:val="21"/>
                <w:szCs w:val="21"/>
                <w:highlight w:val="none"/>
              </w:rPr>
              <w:t>计）、碘（以</w:t>
            </w:r>
            <w:r>
              <w:rPr>
                <w:rFonts w:hint="eastAsia" w:ascii="仿宋_GB2312" w:hAnsi="仿宋_GB2312" w:eastAsia="仿宋_GB2312" w:cs="仿宋_GB2312"/>
                <w:color w:val="auto"/>
                <w:spacing w:val="-40"/>
                <w:sz w:val="21"/>
                <w:szCs w:val="21"/>
                <w:highlight w:val="none"/>
              </w:rPr>
              <w:t xml:space="preserve"> </w:t>
            </w:r>
            <w:r>
              <w:rPr>
                <w:rFonts w:hint="eastAsia" w:ascii="仿宋_GB2312" w:hAnsi="仿宋_GB2312" w:eastAsia="仿宋_GB2312" w:cs="仿宋_GB2312"/>
                <w:color w:val="auto"/>
                <w:spacing w:val="-8"/>
                <w:sz w:val="21"/>
                <w:szCs w:val="21"/>
                <w:highlight w:val="none"/>
              </w:rPr>
              <w:t>I</w:t>
            </w:r>
            <w:r>
              <w:rPr>
                <w:rFonts w:hint="eastAsia" w:ascii="仿宋_GB2312" w:hAnsi="仿宋_GB2312" w:eastAsia="仿宋_GB2312" w:cs="仿宋_GB2312"/>
                <w:color w:val="auto"/>
                <w:spacing w:val="-34"/>
                <w:sz w:val="21"/>
                <w:szCs w:val="21"/>
                <w:highlight w:val="none"/>
              </w:rPr>
              <w:t xml:space="preserve"> </w:t>
            </w:r>
            <w:r>
              <w:rPr>
                <w:rFonts w:hint="eastAsia" w:ascii="仿宋_GB2312" w:hAnsi="仿宋_GB2312" w:eastAsia="仿宋_GB2312" w:cs="仿宋_GB2312"/>
                <w:color w:val="auto"/>
                <w:spacing w:val="-8"/>
                <w:sz w:val="21"/>
                <w:szCs w:val="21"/>
                <w:highlight w:val="none"/>
              </w:rPr>
              <w:t>计）、铅（以</w:t>
            </w:r>
            <w:r>
              <w:rPr>
                <w:rFonts w:hint="eastAsia" w:ascii="仿宋_GB2312" w:hAnsi="仿宋_GB2312" w:eastAsia="仿宋_GB2312" w:cs="仿宋_GB2312"/>
                <w:color w:val="auto"/>
                <w:sz w:val="21"/>
                <w:szCs w:val="21"/>
                <w:highlight w:val="none"/>
              </w:rPr>
              <w:t>Pb</w:t>
            </w:r>
            <w:r>
              <w:rPr>
                <w:rFonts w:hint="eastAsia" w:ascii="仿宋_GB2312" w:hAnsi="仿宋_GB2312" w:eastAsia="仿宋_GB2312" w:cs="仿宋_GB2312"/>
                <w:color w:val="auto"/>
                <w:spacing w:val="-21"/>
                <w:sz w:val="21"/>
                <w:szCs w:val="21"/>
                <w:highlight w:val="none"/>
              </w:rPr>
              <w:t xml:space="preserve"> </w:t>
            </w:r>
            <w:r>
              <w:rPr>
                <w:rFonts w:hint="eastAsia" w:ascii="仿宋_GB2312" w:hAnsi="仿宋_GB2312" w:eastAsia="仿宋_GB2312" w:cs="仿宋_GB2312"/>
                <w:color w:val="auto"/>
                <w:spacing w:val="5"/>
                <w:sz w:val="21"/>
                <w:szCs w:val="21"/>
                <w:highlight w:val="none"/>
              </w:rPr>
              <w:t>计）、总砷（</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45"/>
                <w:sz w:val="21"/>
                <w:szCs w:val="21"/>
                <w:highlight w:val="none"/>
              </w:rPr>
              <w:t xml:space="preserve"> </w:t>
            </w:r>
            <w:r>
              <w:rPr>
                <w:rFonts w:hint="eastAsia" w:ascii="仿宋_GB2312" w:hAnsi="仿宋_GB2312" w:eastAsia="仿宋_GB2312" w:cs="仿宋_GB2312"/>
                <w:color w:val="auto"/>
                <w:sz w:val="21"/>
                <w:szCs w:val="21"/>
                <w:highlight w:val="none"/>
              </w:rPr>
              <w:t>As</w:t>
            </w:r>
            <w:r>
              <w:rPr>
                <w:rFonts w:hint="eastAsia" w:ascii="仿宋_GB2312" w:hAnsi="仿宋_GB2312" w:eastAsia="仿宋_GB2312" w:cs="仿宋_GB2312"/>
                <w:color w:val="auto"/>
                <w:spacing w:val="-34"/>
                <w:sz w:val="21"/>
                <w:szCs w:val="21"/>
                <w:highlight w:val="none"/>
              </w:rPr>
              <w:t xml:space="preserve"> </w:t>
            </w:r>
            <w:r>
              <w:rPr>
                <w:rFonts w:hint="eastAsia" w:ascii="仿宋_GB2312" w:hAnsi="仿宋_GB2312" w:eastAsia="仿宋_GB2312" w:cs="仿宋_GB2312"/>
                <w:color w:val="auto"/>
                <w:spacing w:val="5"/>
                <w:sz w:val="21"/>
                <w:szCs w:val="21"/>
                <w:highlight w:val="none"/>
              </w:rPr>
              <w:t>计）、镉（</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38"/>
                <w:sz w:val="21"/>
                <w:szCs w:val="21"/>
                <w:highlight w:val="none"/>
              </w:rPr>
              <w:t xml:space="preserve"> </w:t>
            </w:r>
            <w:r>
              <w:rPr>
                <w:rFonts w:hint="eastAsia" w:ascii="仿宋_GB2312" w:hAnsi="仿宋_GB2312" w:eastAsia="仿宋_GB2312" w:cs="仿宋_GB2312"/>
                <w:color w:val="auto"/>
                <w:sz w:val="21"/>
                <w:szCs w:val="21"/>
                <w:highlight w:val="none"/>
              </w:rPr>
              <w:t>Cd</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5"/>
                <w:sz w:val="21"/>
                <w:szCs w:val="21"/>
                <w:highlight w:val="none"/>
              </w:rPr>
              <w:t>计）</w:t>
            </w:r>
          </w:p>
        </w:tc>
        <w:tc>
          <w:tcPr>
            <w:tcW w:w="3435" w:type="dxa"/>
            <w:noWrap w:val="0"/>
            <w:vAlign w:val="center"/>
          </w:tcPr>
          <w:p w14:paraId="645938C2">
            <w:pPr>
              <w:pStyle w:val="179"/>
              <w:spacing w:before="64" w:line="245" w:lineRule="auto"/>
              <w:ind w:right="136"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4"/>
                <w:sz w:val="21"/>
                <w:szCs w:val="21"/>
                <w:highlight w:val="none"/>
              </w:rPr>
              <w:t>总汞（</w:t>
            </w:r>
            <w:r>
              <w:rPr>
                <w:rFonts w:hint="eastAsia" w:ascii="仿宋_GB2312" w:hAnsi="仿宋_GB2312" w:eastAsia="仿宋_GB2312" w:cs="仿宋_GB2312"/>
                <w:color w:val="auto"/>
                <w:spacing w:val="-53"/>
                <w:sz w:val="21"/>
                <w:szCs w:val="21"/>
                <w:highlight w:val="none"/>
              </w:rPr>
              <w:t xml:space="preserve"> </w:t>
            </w:r>
            <w:r>
              <w:rPr>
                <w:rFonts w:hint="eastAsia" w:ascii="仿宋_GB2312" w:hAnsi="仿宋_GB2312" w:eastAsia="仿宋_GB2312" w:cs="仿宋_GB2312"/>
                <w:color w:val="auto"/>
                <w:spacing w:val="4"/>
                <w:sz w:val="21"/>
                <w:szCs w:val="21"/>
                <w:highlight w:val="none"/>
              </w:rPr>
              <w:t>以</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z w:val="21"/>
                <w:szCs w:val="21"/>
                <w:highlight w:val="none"/>
              </w:rPr>
              <w:t>Hg</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4"/>
                <w:sz w:val="21"/>
                <w:szCs w:val="21"/>
                <w:highlight w:val="none"/>
              </w:rPr>
              <w:t>计）、亚铁氰化钾/亚铁氰化钠（</w:t>
            </w:r>
            <w:r>
              <w:rPr>
                <w:rFonts w:hint="eastAsia" w:ascii="仿宋_GB2312" w:hAnsi="仿宋_GB2312" w:eastAsia="仿宋_GB2312" w:cs="仿宋_GB2312"/>
                <w:color w:val="auto"/>
                <w:spacing w:val="-47"/>
                <w:sz w:val="21"/>
                <w:szCs w:val="21"/>
                <w:highlight w:val="none"/>
              </w:rPr>
              <w:t xml:space="preserve"> </w:t>
            </w:r>
            <w:r>
              <w:rPr>
                <w:rFonts w:hint="eastAsia" w:ascii="仿宋_GB2312" w:hAnsi="仿宋_GB2312" w:eastAsia="仿宋_GB2312" w:cs="仿宋_GB2312"/>
                <w:color w:val="auto"/>
                <w:spacing w:val="4"/>
                <w:sz w:val="21"/>
                <w:szCs w:val="21"/>
                <w:highlight w:val="none"/>
              </w:rPr>
              <w:t>以亚铁氰根计）</w:t>
            </w:r>
          </w:p>
        </w:tc>
      </w:tr>
      <w:tr w14:paraId="4A5D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837366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A081CD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F48D28E">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022F622">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1063A9B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风味食用盐</w:t>
            </w:r>
          </w:p>
        </w:tc>
        <w:tc>
          <w:tcPr>
            <w:tcW w:w="1106" w:type="dxa"/>
            <w:noWrap w:val="0"/>
            <w:vAlign w:val="center"/>
          </w:tcPr>
          <w:p w14:paraId="46F96B5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3A31054">
            <w:pPr>
              <w:pStyle w:val="179"/>
              <w:spacing w:before="61" w:line="256" w:lineRule="auto"/>
              <w:ind w:right="103"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6"/>
                <w:sz w:val="21"/>
                <w:szCs w:val="21"/>
                <w:highlight w:val="none"/>
              </w:rPr>
              <w:t>钡（以</w:t>
            </w:r>
            <w:r>
              <w:rPr>
                <w:rFonts w:hint="eastAsia" w:ascii="仿宋_GB2312" w:hAnsi="仿宋_GB2312" w:eastAsia="仿宋_GB2312" w:cs="仿宋_GB2312"/>
                <w:color w:val="auto"/>
                <w:spacing w:val="-42"/>
                <w:sz w:val="21"/>
                <w:szCs w:val="21"/>
                <w:highlight w:val="none"/>
              </w:rPr>
              <w:t xml:space="preserve"> </w:t>
            </w:r>
            <w:r>
              <w:rPr>
                <w:rFonts w:hint="eastAsia" w:ascii="仿宋_GB2312" w:hAnsi="仿宋_GB2312" w:eastAsia="仿宋_GB2312" w:cs="仿宋_GB2312"/>
                <w:color w:val="auto"/>
                <w:sz w:val="21"/>
                <w:szCs w:val="21"/>
                <w:highlight w:val="none"/>
              </w:rPr>
              <w:t>Ba</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6"/>
                <w:sz w:val="21"/>
                <w:szCs w:val="21"/>
                <w:highlight w:val="none"/>
              </w:rPr>
              <w:t>计）、铅（以</w:t>
            </w:r>
            <w:r>
              <w:rPr>
                <w:rFonts w:hint="eastAsia" w:ascii="仿宋_GB2312" w:hAnsi="仿宋_GB2312" w:eastAsia="仿宋_GB2312" w:cs="仿宋_GB2312"/>
                <w:color w:val="auto"/>
                <w:spacing w:val="-41"/>
                <w:sz w:val="21"/>
                <w:szCs w:val="21"/>
                <w:highlight w:val="none"/>
              </w:rPr>
              <w:t xml:space="preserve"> </w:t>
            </w:r>
            <w:r>
              <w:rPr>
                <w:rFonts w:hint="eastAsia" w:ascii="仿宋_GB2312" w:hAnsi="仿宋_GB2312" w:eastAsia="仿宋_GB2312" w:cs="仿宋_GB2312"/>
                <w:color w:val="auto"/>
                <w:sz w:val="21"/>
                <w:szCs w:val="21"/>
                <w:highlight w:val="none"/>
              </w:rPr>
              <w:t>Pb</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6"/>
                <w:sz w:val="21"/>
                <w:szCs w:val="21"/>
                <w:highlight w:val="none"/>
              </w:rPr>
              <w:t>计）、总砷（</w:t>
            </w:r>
            <w:r>
              <w:rPr>
                <w:rFonts w:hint="eastAsia" w:ascii="仿宋_GB2312" w:hAnsi="仿宋_GB2312" w:eastAsia="仿宋_GB2312" w:cs="仿宋_GB2312"/>
                <w:color w:val="auto"/>
                <w:spacing w:val="-59"/>
                <w:sz w:val="21"/>
                <w:szCs w:val="21"/>
                <w:highlight w:val="none"/>
              </w:rPr>
              <w:t xml:space="preserve"> </w:t>
            </w:r>
            <w:r>
              <w:rPr>
                <w:rFonts w:hint="eastAsia" w:ascii="仿宋_GB2312" w:hAnsi="仿宋_GB2312" w:eastAsia="仿宋_GB2312" w:cs="仿宋_GB2312"/>
                <w:color w:val="auto"/>
                <w:spacing w:val="6"/>
                <w:sz w:val="21"/>
                <w:szCs w:val="21"/>
                <w:highlight w:val="none"/>
              </w:rPr>
              <w:t>以</w:t>
            </w:r>
            <w:r>
              <w:rPr>
                <w:rFonts w:hint="eastAsia" w:ascii="仿宋_GB2312" w:hAnsi="仿宋_GB2312" w:eastAsia="仿宋_GB2312" w:cs="仿宋_GB2312"/>
                <w:color w:val="auto"/>
                <w:spacing w:val="-46"/>
                <w:sz w:val="21"/>
                <w:szCs w:val="21"/>
                <w:highlight w:val="none"/>
              </w:rPr>
              <w:t xml:space="preserve"> </w:t>
            </w:r>
            <w:r>
              <w:rPr>
                <w:rFonts w:hint="eastAsia" w:ascii="仿宋_GB2312" w:hAnsi="仿宋_GB2312" w:eastAsia="仿宋_GB2312" w:cs="仿宋_GB2312"/>
                <w:color w:val="auto"/>
                <w:sz w:val="21"/>
                <w:szCs w:val="21"/>
                <w:highlight w:val="none"/>
              </w:rPr>
              <w:t>As</w:t>
            </w:r>
            <w:r>
              <w:rPr>
                <w:rFonts w:hint="eastAsia" w:ascii="仿宋_GB2312" w:hAnsi="仿宋_GB2312" w:eastAsia="仿宋_GB2312" w:cs="仿宋_GB2312"/>
                <w:color w:val="auto"/>
                <w:spacing w:val="5"/>
                <w:sz w:val="21"/>
                <w:szCs w:val="21"/>
                <w:highlight w:val="none"/>
              </w:rPr>
              <w:t>计）、镉（</w:t>
            </w:r>
            <w:r>
              <w:rPr>
                <w:rFonts w:hint="eastAsia" w:ascii="仿宋_GB2312" w:hAnsi="仿宋_GB2312" w:eastAsia="仿宋_GB2312" w:cs="仿宋_GB2312"/>
                <w:color w:val="auto"/>
                <w:spacing w:val="-49"/>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40"/>
                <w:sz w:val="21"/>
                <w:szCs w:val="21"/>
                <w:highlight w:val="none"/>
              </w:rPr>
              <w:t xml:space="preserve"> </w:t>
            </w:r>
            <w:r>
              <w:rPr>
                <w:rFonts w:hint="eastAsia" w:ascii="仿宋_GB2312" w:hAnsi="仿宋_GB2312" w:eastAsia="仿宋_GB2312" w:cs="仿宋_GB2312"/>
                <w:color w:val="auto"/>
                <w:sz w:val="21"/>
                <w:szCs w:val="21"/>
                <w:highlight w:val="none"/>
              </w:rPr>
              <w:t>Cd</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5"/>
                <w:sz w:val="21"/>
                <w:szCs w:val="21"/>
                <w:highlight w:val="none"/>
              </w:rPr>
              <w:t>计）、总汞（</w:t>
            </w:r>
            <w:r>
              <w:rPr>
                <w:rFonts w:hint="eastAsia" w:ascii="仿宋_GB2312" w:hAnsi="仿宋_GB2312" w:eastAsia="仿宋_GB2312" w:cs="仿宋_GB2312"/>
                <w:color w:val="auto"/>
                <w:spacing w:val="-54"/>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z w:val="21"/>
                <w:szCs w:val="21"/>
                <w:highlight w:val="none"/>
              </w:rPr>
              <w:t>Hg</w:t>
            </w:r>
            <w:r>
              <w:rPr>
                <w:rFonts w:hint="eastAsia" w:ascii="仿宋_GB2312" w:hAnsi="仿宋_GB2312" w:eastAsia="仿宋_GB2312" w:cs="仿宋_GB2312"/>
                <w:color w:val="auto"/>
                <w:spacing w:val="-36"/>
                <w:sz w:val="21"/>
                <w:szCs w:val="21"/>
                <w:highlight w:val="none"/>
              </w:rPr>
              <w:t xml:space="preserve"> </w:t>
            </w:r>
            <w:r>
              <w:rPr>
                <w:rFonts w:hint="eastAsia" w:ascii="仿宋_GB2312" w:hAnsi="仿宋_GB2312" w:eastAsia="仿宋_GB2312" w:cs="仿宋_GB2312"/>
                <w:color w:val="auto"/>
                <w:spacing w:val="5"/>
                <w:sz w:val="21"/>
                <w:szCs w:val="21"/>
                <w:highlight w:val="none"/>
              </w:rPr>
              <w:t>计）、亚</w:t>
            </w:r>
            <w:r>
              <w:rPr>
                <w:rFonts w:hint="eastAsia" w:ascii="仿宋_GB2312" w:hAnsi="仿宋_GB2312" w:eastAsia="仿宋_GB2312" w:cs="仿宋_GB2312"/>
                <w:color w:val="auto"/>
                <w:spacing w:val="3"/>
                <w:sz w:val="21"/>
                <w:szCs w:val="21"/>
                <w:highlight w:val="none"/>
              </w:rPr>
              <w:t>铁氰化钾/亚铁氰化钠（</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pacing w:val="3"/>
                <w:sz w:val="21"/>
                <w:szCs w:val="21"/>
                <w:highlight w:val="none"/>
              </w:rPr>
              <w:t>以亚铁氰根计）</w:t>
            </w:r>
          </w:p>
        </w:tc>
        <w:tc>
          <w:tcPr>
            <w:tcW w:w="3435" w:type="dxa"/>
            <w:noWrap w:val="0"/>
            <w:vAlign w:val="top"/>
          </w:tcPr>
          <w:p w14:paraId="3715EF32">
            <w:pPr>
              <w:pStyle w:val="179"/>
              <w:spacing w:before="394" w:line="178" w:lineRule="auto"/>
              <w:ind w:left="107" w:leftChars="0"/>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z w:val="21"/>
                <w:szCs w:val="21"/>
                <w:highlight w:val="none"/>
              </w:rPr>
              <w:t>/</w:t>
            </w:r>
          </w:p>
        </w:tc>
      </w:tr>
      <w:tr w14:paraId="3F26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4" w:hRule="atLeast"/>
        </w:trPr>
        <w:tc>
          <w:tcPr>
            <w:tcW w:w="720" w:type="dxa"/>
            <w:vMerge w:val="continue"/>
            <w:noWrap w:val="0"/>
            <w:vAlign w:val="center"/>
          </w:tcPr>
          <w:p w14:paraId="659A363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ED38A9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2CF4679">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43646C8">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822DAB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特殊工艺食用盐</w:t>
            </w:r>
          </w:p>
        </w:tc>
        <w:tc>
          <w:tcPr>
            <w:tcW w:w="1106" w:type="dxa"/>
            <w:noWrap w:val="0"/>
            <w:vAlign w:val="center"/>
          </w:tcPr>
          <w:p w14:paraId="22B9658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949F085">
            <w:pPr>
              <w:pStyle w:val="179"/>
              <w:spacing w:before="66" w:line="244" w:lineRule="auto"/>
              <w:ind w:right="105"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8"/>
                <w:sz w:val="21"/>
                <w:szCs w:val="21"/>
                <w:highlight w:val="none"/>
              </w:rPr>
              <w:t>氯化钠、钡（</w:t>
            </w:r>
            <w:r>
              <w:rPr>
                <w:rFonts w:hint="eastAsia" w:ascii="仿宋_GB2312" w:hAnsi="仿宋_GB2312" w:eastAsia="仿宋_GB2312" w:cs="仿宋_GB2312"/>
                <w:color w:val="auto"/>
                <w:spacing w:val="-47"/>
                <w:sz w:val="21"/>
                <w:szCs w:val="21"/>
                <w:highlight w:val="none"/>
              </w:rPr>
              <w:t xml:space="preserve"> </w:t>
            </w:r>
            <w:r>
              <w:rPr>
                <w:rFonts w:hint="eastAsia" w:ascii="仿宋_GB2312" w:hAnsi="仿宋_GB2312" w:eastAsia="仿宋_GB2312" w:cs="仿宋_GB2312"/>
                <w:color w:val="auto"/>
                <w:spacing w:val="-8"/>
                <w:sz w:val="21"/>
                <w:szCs w:val="21"/>
                <w:highlight w:val="none"/>
              </w:rPr>
              <w:t>以</w:t>
            </w:r>
            <w:r>
              <w:rPr>
                <w:rFonts w:hint="eastAsia" w:ascii="仿宋_GB2312" w:hAnsi="仿宋_GB2312" w:eastAsia="仿宋_GB2312" w:cs="仿宋_GB2312"/>
                <w:color w:val="auto"/>
                <w:spacing w:val="-43"/>
                <w:sz w:val="21"/>
                <w:szCs w:val="21"/>
                <w:highlight w:val="none"/>
              </w:rPr>
              <w:t xml:space="preserve"> </w:t>
            </w:r>
            <w:r>
              <w:rPr>
                <w:rFonts w:hint="eastAsia" w:ascii="仿宋_GB2312" w:hAnsi="仿宋_GB2312" w:eastAsia="仿宋_GB2312" w:cs="仿宋_GB2312"/>
                <w:color w:val="auto"/>
                <w:spacing w:val="-8"/>
                <w:sz w:val="21"/>
                <w:szCs w:val="21"/>
                <w:highlight w:val="none"/>
              </w:rPr>
              <w:t>Ba</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8"/>
                <w:sz w:val="21"/>
                <w:szCs w:val="21"/>
                <w:highlight w:val="none"/>
              </w:rPr>
              <w:t>计）、碘（以</w:t>
            </w:r>
            <w:r>
              <w:rPr>
                <w:rFonts w:hint="eastAsia" w:ascii="仿宋_GB2312" w:hAnsi="仿宋_GB2312" w:eastAsia="仿宋_GB2312" w:cs="仿宋_GB2312"/>
                <w:color w:val="auto"/>
                <w:spacing w:val="-40"/>
                <w:sz w:val="21"/>
                <w:szCs w:val="21"/>
                <w:highlight w:val="none"/>
              </w:rPr>
              <w:t xml:space="preserve"> </w:t>
            </w:r>
            <w:r>
              <w:rPr>
                <w:rFonts w:hint="eastAsia" w:ascii="仿宋_GB2312" w:hAnsi="仿宋_GB2312" w:eastAsia="仿宋_GB2312" w:cs="仿宋_GB2312"/>
                <w:color w:val="auto"/>
                <w:spacing w:val="-8"/>
                <w:sz w:val="21"/>
                <w:szCs w:val="21"/>
                <w:highlight w:val="none"/>
              </w:rPr>
              <w:t>I</w:t>
            </w:r>
            <w:r>
              <w:rPr>
                <w:rFonts w:hint="eastAsia" w:ascii="仿宋_GB2312" w:hAnsi="仿宋_GB2312" w:eastAsia="仿宋_GB2312" w:cs="仿宋_GB2312"/>
                <w:color w:val="auto"/>
                <w:spacing w:val="-34"/>
                <w:sz w:val="21"/>
                <w:szCs w:val="21"/>
                <w:highlight w:val="none"/>
              </w:rPr>
              <w:t xml:space="preserve"> </w:t>
            </w:r>
            <w:r>
              <w:rPr>
                <w:rFonts w:hint="eastAsia" w:ascii="仿宋_GB2312" w:hAnsi="仿宋_GB2312" w:eastAsia="仿宋_GB2312" w:cs="仿宋_GB2312"/>
                <w:color w:val="auto"/>
                <w:spacing w:val="-8"/>
                <w:sz w:val="21"/>
                <w:szCs w:val="21"/>
                <w:highlight w:val="none"/>
              </w:rPr>
              <w:t>计）、铅（以</w:t>
            </w:r>
            <w:r>
              <w:rPr>
                <w:rFonts w:hint="eastAsia" w:ascii="仿宋_GB2312" w:hAnsi="仿宋_GB2312" w:eastAsia="仿宋_GB2312" w:cs="仿宋_GB2312"/>
                <w:color w:val="auto"/>
                <w:sz w:val="21"/>
                <w:szCs w:val="21"/>
                <w:highlight w:val="none"/>
              </w:rPr>
              <w:t>Pb</w:t>
            </w:r>
            <w:r>
              <w:rPr>
                <w:rFonts w:hint="eastAsia" w:ascii="仿宋_GB2312" w:hAnsi="仿宋_GB2312" w:eastAsia="仿宋_GB2312" w:cs="仿宋_GB2312"/>
                <w:color w:val="auto"/>
                <w:spacing w:val="-21"/>
                <w:sz w:val="21"/>
                <w:szCs w:val="21"/>
                <w:highlight w:val="none"/>
              </w:rPr>
              <w:t xml:space="preserve"> </w:t>
            </w:r>
            <w:r>
              <w:rPr>
                <w:rFonts w:hint="eastAsia" w:ascii="仿宋_GB2312" w:hAnsi="仿宋_GB2312" w:eastAsia="仿宋_GB2312" w:cs="仿宋_GB2312"/>
                <w:color w:val="auto"/>
                <w:spacing w:val="5"/>
                <w:sz w:val="21"/>
                <w:szCs w:val="21"/>
                <w:highlight w:val="none"/>
              </w:rPr>
              <w:t>计）、总砷（</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45"/>
                <w:sz w:val="21"/>
                <w:szCs w:val="21"/>
                <w:highlight w:val="none"/>
              </w:rPr>
              <w:t xml:space="preserve"> </w:t>
            </w:r>
            <w:r>
              <w:rPr>
                <w:rFonts w:hint="eastAsia" w:ascii="仿宋_GB2312" w:hAnsi="仿宋_GB2312" w:eastAsia="仿宋_GB2312" w:cs="仿宋_GB2312"/>
                <w:color w:val="auto"/>
                <w:sz w:val="21"/>
                <w:szCs w:val="21"/>
                <w:highlight w:val="none"/>
              </w:rPr>
              <w:t>As</w:t>
            </w:r>
            <w:r>
              <w:rPr>
                <w:rFonts w:hint="eastAsia" w:ascii="仿宋_GB2312" w:hAnsi="仿宋_GB2312" w:eastAsia="仿宋_GB2312" w:cs="仿宋_GB2312"/>
                <w:color w:val="auto"/>
                <w:spacing w:val="-34"/>
                <w:sz w:val="21"/>
                <w:szCs w:val="21"/>
                <w:highlight w:val="none"/>
              </w:rPr>
              <w:t xml:space="preserve"> </w:t>
            </w:r>
            <w:r>
              <w:rPr>
                <w:rFonts w:hint="eastAsia" w:ascii="仿宋_GB2312" w:hAnsi="仿宋_GB2312" w:eastAsia="仿宋_GB2312" w:cs="仿宋_GB2312"/>
                <w:color w:val="auto"/>
                <w:spacing w:val="5"/>
                <w:sz w:val="21"/>
                <w:szCs w:val="21"/>
                <w:highlight w:val="none"/>
              </w:rPr>
              <w:t>计）、镉（</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5"/>
                <w:sz w:val="21"/>
                <w:szCs w:val="21"/>
                <w:highlight w:val="none"/>
              </w:rPr>
              <w:t>以</w:t>
            </w:r>
            <w:r>
              <w:rPr>
                <w:rFonts w:hint="eastAsia" w:ascii="仿宋_GB2312" w:hAnsi="仿宋_GB2312" w:eastAsia="仿宋_GB2312" w:cs="仿宋_GB2312"/>
                <w:color w:val="auto"/>
                <w:spacing w:val="-38"/>
                <w:sz w:val="21"/>
                <w:szCs w:val="21"/>
                <w:highlight w:val="none"/>
              </w:rPr>
              <w:t xml:space="preserve"> </w:t>
            </w:r>
            <w:r>
              <w:rPr>
                <w:rFonts w:hint="eastAsia" w:ascii="仿宋_GB2312" w:hAnsi="仿宋_GB2312" w:eastAsia="仿宋_GB2312" w:cs="仿宋_GB2312"/>
                <w:color w:val="auto"/>
                <w:sz w:val="21"/>
                <w:szCs w:val="21"/>
                <w:highlight w:val="none"/>
              </w:rPr>
              <w:t>Cd</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5"/>
                <w:sz w:val="21"/>
                <w:szCs w:val="21"/>
                <w:highlight w:val="none"/>
              </w:rPr>
              <w:t>计）</w:t>
            </w:r>
          </w:p>
        </w:tc>
        <w:tc>
          <w:tcPr>
            <w:tcW w:w="3435" w:type="dxa"/>
            <w:noWrap w:val="0"/>
            <w:vAlign w:val="center"/>
          </w:tcPr>
          <w:p w14:paraId="51530157">
            <w:pPr>
              <w:pStyle w:val="179"/>
              <w:spacing w:before="66" w:line="244" w:lineRule="auto"/>
              <w:ind w:right="136"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4"/>
                <w:sz w:val="21"/>
                <w:szCs w:val="21"/>
                <w:highlight w:val="none"/>
              </w:rPr>
              <w:t>总汞（</w:t>
            </w:r>
            <w:r>
              <w:rPr>
                <w:rFonts w:hint="eastAsia" w:ascii="仿宋_GB2312" w:hAnsi="仿宋_GB2312" w:eastAsia="仿宋_GB2312" w:cs="仿宋_GB2312"/>
                <w:color w:val="auto"/>
                <w:spacing w:val="-53"/>
                <w:sz w:val="21"/>
                <w:szCs w:val="21"/>
                <w:highlight w:val="none"/>
              </w:rPr>
              <w:t xml:space="preserve"> </w:t>
            </w:r>
            <w:r>
              <w:rPr>
                <w:rFonts w:hint="eastAsia" w:ascii="仿宋_GB2312" w:hAnsi="仿宋_GB2312" w:eastAsia="仿宋_GB2312" w:cs="仿宋_GB2312"/>
                <w:color w:val="auto"/>
                <w:spacing w:val="4"/>
                <w:sz w:val="21"/>
                <w:szCs w:val="21"/>
                <w:highlight w:val="none"/>
              </w:rPr>
              <w:t>以</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z w:val="21"/>
                <w:szCs w:val="21"/>
                <w:highlight w:val="none"/>
              </w:rPr>
              <w:t>Hg</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4"/>
                <w:sz w:val="21"/>
                <w:szCs w:val="21"/>
                <w:highlight w:val="none"/>
              </w:rPr>
              <w:t>计）、亚铁氰化钾/亚铁氰化钠（</w:t>
            </w:r>
            <w:r>
              <w:rPr>
                <w:rFonts w:hint="eastAsia" w:ascii="仿宋_GB2312" w:hAnsi="仿宋_GB2312" w:eastAsia="仿宋_GB2312" w:cs="仿宋_GB2312"/>
                <w:color w:val="auto"/>
                <w:spacing w:val="-47"/>
                <w:sz w:val="21"/>
                <w:szCs w:val="21"/>
                <w:highlight w:val="none"/>
              </w:rPr>
              <w:t xml:space="preserve"> </w:t>
            </w:r>
            <w:r>
              <w:rPr>
                <w:rFonts w:hint="eastAsia" w:ascii="仿宋_GB2312" w:hAnsi="仿宋_GB2312" w:eastAsia="仿宋_GB2312" w:cs="仿宋_GB2312"/>
                <w:color w:val="auto"/>
                <w:spacing w:val="4"/>
                <w:sz w:val="21"/>
                <w:szCs w:val="21"/>
                <w:highlight w:val="none"/>
              </w:rPr>
              <w:t>以亚铁氰根计）</w:t>
            </w:r>
          </w:p>
        </w:tc>
      </w:tr>
      <w:tr w14:paraId="5F54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4" w:hRule="atLeast"/>
        </w:trPr>
        <w:tc>
          <w:tcPr>
            <w:tcW w:w="720" w:type="dxa"/>
            <w:vMerge w:val="continue"/>
            <w:noWrap w:val="0"/>
            <w:vAlign w:val="center"/>
          </w:tcPr>
          <w:p w14:paraId="26946B8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7052314">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D661AA4">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49B558E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食品生产加工用盐</w:t>
            </w:r>
          </w:p>
        </w:tc>
        <w:tc>
          <w:tcPr>
            <w:tcW w:w="1856" w:type="dxa"/>
            <w:noWrap w:val="0"/>
            <w:vAlign w:val="center"/>
          </w:tcPr>
          <w:p w14:paraId="74C9095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食品生产加工用盐</w:t>
            </w:r>
          </w:p>
        </w:tc>
        <w:tc>
          <w:tcPr>
            <w:tcW w:w="1106" w:type="dxa"/>
            <w:noWrap w:val="0"/>
            <w:vAlign w:val="center"/>
          </w:tcPr>
          <w:p w14:paraId="68F2E7F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8B9BB54">
            <w:pPr>
              <w:pStyle w:val="179"/>
              <w:spacing w:before="65" w:line="261" w:lineRule="auto"/>
              <w:ind w:right="103"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8"/>
                <w:sz w:val="21"/>
                <w:szCs w:val="21"/>
                <w:highlight w:val="none"/>
              </w:rPr>
              <w:t>铅（以</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z w:val="21"/>
                <w:szCs w:val="21"/>
                <w:highlight w:val="none"/>
              </w:rPr>
              <w:t>Pb</w:t>
            </w:r>
            <w:r>
              <w:rPr>
                <w:rFonts w:hint="eastAsia" w:ascii="仿宋_GB2312" w:hAnsi="仿宋_GB2312" w:eastAsia="仿宋_GB2312" w:cs="仿宋_GB2312"/>
                <w:color w:val="auto"/>
                <w:spacing w:val="-30"/>
                <w:sz w:val="21"/>
                <w:szCs w:val="21"/>
                <w:highlight w:val="none"/>
              </w:rPr>
              <w:t xml:space="preserve"> </w:t>
            </w:r>
            <w:r>
              <w:rPr>
                <w:rFonts w:hint="eastAsia" w:ascii="仿宋_GB2312" w:hAnsi="仿宋_GB2312" w:eastAsia="仿宋_GB2312" w:cs="仿宋_GB2312"/>
                <w:color w:val="auto"/>
                <w:spacing w:val="8"/>
                <w:sz w:val="21"/>
                <w:szCs w:val="21"/>
                <w:highlight w:val="none"/>
              </w:rPr>
              <w:t>计）、总砷（以</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z w:val="21"/>
                <w:szCs w:val="21"/>
                <w:highlight w:val="none"/>
              </w:rPr>
              <w:t>As</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8"/>
                <w:sz w:val="21"/>
                <w:szCs w:val="21"/>
                <w:highlight w:val="none"/>
              </w:rPr>
              <w:t>计）、镉（以</w:t>
            </w:r>
            <w:r>
              <w:rPr>
                <w:rFonts w:hint="eastAsia" w:ascii="仿宋_GB2312" w:hAnsi="仿宋_GB2312" w:eastAsia="仿宋_GB2312" w:cs="仿宋_GB2312"/>
                <w:color w:val="auto"/>
                <w:spacing w:val="-40"/>
                <w:sz w:val="21"/>
                <w:szCs w:val="21"/>
                <w:highlight w:val="none"/>
              </w:rPr>
              <w:t xml:space="preserve"> </w:t>
            </w:r>
            <w:r>
              <w:rPr>
                <w:rFonts w:hint="eastAsia" w:ascii="仿宋_GB2312" w:hAnsi="仿宋_GB2312" w:eastAsia="仿宋_GB2312" w:cs="仿宋_GB2312"/>
                <w:color w:val="auto"/>
                <w:sz w:val="21"/>
                <w:szCs w:val="21"/>
                <w:highlight w:val="none"/>
              </w:rPr>
              <w:t>Cd</w:t>
            </w:r>
            <w:r>
              <w:rPr>
                <w:rFonts w:hint="eastAsia" w:ascii="仿宋_GB2312" w:hAnsi="仿宋_GB2312" w:eastAsia="仿宋_GB2312" w:cs="仿宋_GB2312"/>
                <w:color w:val="auto"/>
                <w:spacing w:val="6"/>
                <w:sz w:val="21"/>
                <w:szCs w:val="21"/>
                <w:highlight w:val="none"/>
              </w:rPr>
              <w:t>计）、总汞（</w:t>
            </w:r>
            <w:r>
              <w:rPr>
                <w:rFonts w:hint="eastAsia" w:ascii="仿宋_GB2312" w:hAnsi="仿宋_GB2312" w:eastAsia="仿宋_GB2312" w:cs="仿宋_GB2312"/>
                <w:color w:val="auto"/>
                <w:spacing w:val="-53"/>
                <w:sz w:val="21"/>
                <w:szCs w:val="21"/>
                <w:highlight w:val="none"/>
              </w:rPr>
              <w:t xml:space="preserve"> </w:t>
            </w:r>
            <w:r>
              <w:rPr>
                <w:rFonts w:hint="eastAsia" w:ascii="仿宋_GB2312" w:hAnsi="仿宋_GB2312" w:eastAsia="仿宋_GB2312" w:cs="仿宋_GB2312"/>
                <w:color w:val="auto"/>
                <w:spacing w:val="6"/>
                <w:sz w:val="21"/>
                <w:szCs w:val="21"/>
                <w:highlight w:val="none"/>
              </w:rPr>
              <w:t>以</w:t>
            </w:r>
            <w:r>
              <w:rPr>
                <w:rFonts w:hint="eastAsia" w:ascii="仿宋_GB2312" w:hAnsi="仿宋_GB2312" w:eastAsia="仿宋_GB2312" w:cs="仿宋_GB2312"/>
                <w:color w:val="auto"/>
                <w:spacing w:val="-44"/>
                <w:sz w:val="21"/>
                <w:szCs w:val="21"/>
                <w:highlight w:val="none"/>
              </w:rPr>
              <w:t xml:space="preserve"> </w:t>
            </w:r>
            <w:r>
              <w:rPr>
                <w:rFonts w:hint="eastAsia" w:ascii="仿宋_GB2312" w:hAnsi="仿宋_GB2312" w:eastAsia="仿宋_GB2312" w:cs="仿宋_GB2312"/>
                <w:color w:val="auto"/>
                <w:sz w:val="21"/>
                <w:szCs w:val="21"/>
                <w:highlight w:val="none"/>
              </w:rPr>
              <w:t>Hg</w:t>
            </w:r>
            <w:r>
              <w:rPr>
                <w:rFonts w:hint="eastAsia" w:ascii="仿宋_GB2312" w:hAnsi="仿宋_GB2312" w:eastAsia="仿宋_GB2312" w:cs="仿宋_GB2312"/>
                <w:color w:val="auto"/>
                <w:spacing w:val="-33"/>
                <w:sz w:val="21"/>
                <w:szCs w:val="21"/>
                <w:highlight w:val="none"/>
              </w:rPr>
              <w:t xml:space="preserve"> </w:t>
            </w:r>
            <w:r>
              <w:rPr>
                <w:rFonts w:hint="eastAsia" w:ascii="仿宋_GB2312" w:hAnsi="仿宋_GB2312" w:eastAsia="仿宋_GB2312" w:cs="仿宋_GB2312"/>
                <w:color w:val="auto"/>
                <w:spacing w:val="6"/>
                <w:sz w:val="21"/>
                <w:szCs w:val="21"/>
                <w:highlight w:val="none"/>
              </w:rPr>
              <w:t>计）、亚铁氰化钾/亚铁氰</w:t>
            </w:r>
            <w:r>
              <w:rPr>
                <w:rFonts w:hint="eastAsia" w:ascii="仿宋_GB2312" w:hAnsi="仿宋_GB2312" w:eastAsia="仿宋_GB2312" w:cs="仿宋_GB2312"/>
                <w:color w:val="auto"/>
                <w:spacing w:val="11"/>
                <w:sz w:val="21"/>
                <w:szCs w:val="21"/>
                <w:highlight w:val="none"/>
              </w:rPr>
              <w:t>化钠（以亚铁氰根计）、亚硝酸盐（</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11"/>
                <w:sz w:val="21"/>
                <w:szCs w:val="21"/>
                <w:highlight w:val="none"/>
              </w:rPr>
              <w:t>以</w:t>
            </w:r>
            <w:r>
              <w:rPr>
                <w:rFonts w:hint="eastAsia" w:ascii="仿宋_GB2312" w:hAnsi="仿宋_GB2312" w:eastAsia="仿宋_GB2312" w:cs="仿宋_GB2312"/>
                <w:color w:val="auto"/>
                <w:spacing w:val="-50"/>
                <w:sz w:val="21"/>
                <w:szCs w:val="21"/>
                <w:highlight w:val="none"/>
              </w:rPr>
              <w:t xml:space="preserve"> </w:t>
            </w:r>
            <w:r>
              <w:rPr>
                <w:rFonts w:hint="eastAsia" w:ascii="仿宋_GB2312" w:hAnsi="仿宋_GB2312" w:eastAsia="仿宋_GB2312" w:cs="仿宋_GB2312"/>
                <w:color w:val="auto"/>
                <w:sz w:val="21"/>
                <w:szCs w:val="21"/>
                <w:highlight w:val="none"/>
              </w:rPr>
              <w:t>NaNO</w:t>
            </w:r>
            <w:r>
              <w:rPr>
                <w:rFonts w:hint="eastAsia" w:ascii="仿宋_GB2312" w:hAnsi="仿宋_GB2312" w:eastAsia="仿宋_GB2312" w:cs="仿宋_GB2312"/>
                <w:color w:val="auto"/>
                <w:spacing w:val="11"/>
                <w:position w:val="-1"/>
                <w:sz w:val="21"/>
                <w:szCs w:val="21"/>
                <w:highlight w:val="none"/>
                <w:vertAlign w:val="subscript"/>
              </w:rPr>
              <w:t>2</w:t>
            </w:r>
            <w:r>
              <w:rPr>
                <w:rFonts w:hint="eastAsia" w:ascii="仿宋_GB2312" w:hAnsi="仿宋_GB2312" w:eastAsia="仿宋_GB2312" w:cs="仿宋_GB2312"/>
                <w:color w:val="auto"/>
                <w:sz w:val="21"/>
                <w:szCs w:val="21"/>
                <w:highlight w:val="none"/>
              </w:rPr>
              <w:t>计）</w:t>
            </w:r>
          </w:p>
        </w:tc>
        <w:tc>
          <w:tcPr>
            <w:tcW w:w="3435" w:type="dxa"/>
            <w:noWrap w:val="0"/>
            <w:vAlign w:val="top"/>
          </w:tcPr>
          <w:p w14:paraId="7E7FA785">
            <w:pPr>
              <w:spacing w:line="285" w:lineRule="auto"/>
              <w:rPr>
                <w:rFonts w:hint="eastAsia" w:ascii="仿宋_GB2312" w:hAnsi="仿宋_GB2312" w:eastAsia="仿宋_GB2312" w:cs="仿宋_GB2312"/>
                <w:color w:val="auto"/>
                <w:sz w:val="21"/>
                <w:szCs w:val="21"/>
                <w:highlight w:val="none"/>
              </w:rPr>
            </w:pPr>
          </w:p>
          <w:p w14:paraId="6A356392">
            <w:pPr>
              <w:pStyle w:val="179"/>
              <w:spacing w:before="66" w:line="178" w:lineRule="auto"/>
              <w:ind w:left="107" w:leftChars="0"/>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z w:val="21"/>
                <w:szCs w:val="21"/>
                <w:highlight w:val="none"/>
              </w:rPr>
              <w:t>/</w:t>
            </w:r>
          </w:p>
        </w:tc>
      </w:tr>
      <w:tr w14:paraId="5459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5" w:hRule="atLeast"/>
        </w:trPr>
        <w:tc>
          <w:tcPr>
            <w:tcW w:w="720" w:type="dxa"/>
            <w:vMerge w:val="restart"/>
            <w:noWrap w:val="0"/>
            <w:vAlign w:val="center"/>
          </w:tcPr>
          <w:p w14:paraId="1BD9AF0E">
            <w:pPr>
              <w:widowControl/>
              <w:spacing w:line="300" w:lineRule="exact"/>
              <w:jc w:val="center"/>
              <w:rPr>
                <w:rFonts w:hint="default" w:ascii="Times New Roman" w:hAnsi="Times New Roman" w:eastAsia="仿宋_GB2312" w:cs="Times New Roman"/>
                <w:color w:val="auto"/>
                <w:kern w:val="0"/>
                <w:szCs w:val="21"/>
                <w:highlight w:val="none"/>
              </w:rPr>
            </w:pPr>
          </w:p>
          <w:p w14:paraId="18342CD2">
            <w:pPr>
              <w:widowControl/>
              <w:spacing w:line="300" w:lineRule="exact"/>
              <w:jc w:val="center"/>
              <w:rPr>
                <w:rFonts w:hint="default" w:ascii="Times New Roman" w:hAnsi="Times New Roman" w:eastAsia="仿宋_GB2312" w:cs="Times New Roman"/>
                <w:color w:val="auto"/>
                <w:kern w:val="0"/>
                <w:szCs w:val="21"/>
                <w:highlight w:val="none"/>
              </w:rPr>
            </w:pPr>
          </w:p>
          <w:p w14:paraId="6592E981">
            <w:pPr>
              <w:widowControl/>
              <w:spacing w:line="300" w:lineRule="exact"/>
              <w:jc w:val="center"/>
              <w:rPr>
                <w:rFonts w:hint="default" w:ascii="Times New Roman" w:hAnsi="Times New Roman" w:eastAsia="仿宋_GB2312" w:cs="Times New Roman"/>
                <w:color w:val="auto"/>
                <w:kern w:val="0"/>
                <w:szCs w:val="21"/>
                <w:highlight w:val="none"/>
              </w:rPr>
            </w:pPr>
          </w:p>
          <w:p w14:paraId="6EC00877">
            <w:pPr>
              <w:widowControl/>
              <w:spacing w:line="300" w:lineRule="exact"/>
              <w:jc w:val="center"/>
              <w:rPr>
                <w:rFonts w:hint="default" w:ascii="Times New Roman" w:hAnsi="Times New Roman" w:eastAsia="仿宋_GB2312" w:cs="Times New Roman"/>
                <w:color w:val="auto"/>
                <w:kern w:val="0"/>
                <w:szCs w:val="21"/>
                <w:highlight w:val="none"/>
              </w:rPr>
            </w:pPr>
          </w:p>
          <w:p w14:paraId="348215EA">
            <w:pPr>
              <w:widowControl/>
              <w:spacing w:line="300" w:lineRule="exact"/>
              <w:jc w:val="center"/>
              <w:rPr>
                <w:rFonts w:hint="default" w:ascii="Times New Roman" w:hAnsi="Times New Roman" w:eastAsia="仿宋_GB2312" w:cs="Times New Roman"/>
                <w:color w:val="auto"/>
                <w:kern w:val="0"/>
                <w:szCs w:val="21"/>
                <w:highlight w:val="none"/>
              </w:rPr>
            </w:pPr>
          </w:p>
          <w:p w14:paraId="2E034C6A">
            <w:pPr>
              <w:widowControl/>
              <w:spacing w:line="300" w:lineRule="exact"/>
              <w:jc w:val="center"/>
              <w:rPr>
                <w:rFonts w:hint="default" w:ascii="Times New Roman" w:hAnsi="Times New Roman" w:eastAsia="仿宋_GB2312" w:cs="Times New Roman"/>
                <w:color w:val="auto"/>
                <w:kern w:val="0"/>
                <w:szCs w:val="21"/>
                <w:highlight w:val="none"/>
              </w:rPr>
            </w:pPr>
          </w:p>
          <w:p w14:paraId="59F142F7">
            <w:pPr>
              <w:widowControl/>
              <w:spacing w:line="300" w:lineRule="exact"/>
              <w:jc w:val="center"/>
              <w:rPr>
                <w:rFonts w:hint="default" w:ascii="Times New Roman" w:hAnsi="Times New Roman" w:eastAsia="仿宋_GB2312" w:cs="Times New Roman"/>
                <w:color w:val="auto"/>
                <w:kern w:val="0"/>
                <w:szCs w:val="21"/>
                <w:highlight w:val="none"/>
              </w:rPr>
            </w:pPr>
          </w:p>
          <w:p w14:paraId="02DEF49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4</w:t>
            </w:r>
          </w:p>
          <w:p w14:paraId="0ED6DB6F">
            <w:pPr>
              <w:widowControl/>
              <w:spacing w:line="300" w:lineRule="exact"/>
              <w:jc w:val="center"/>
              <w:rPr>
                <w:rFonts w:hint="default" w:ascii="Times New Roman" w:hAnsi="Times New Roman" w:eastAsia="仿宋_GB2312" w:cs="Times New Roman"/>
                <w:color w:val="auto"/>
                <w:kern w:val="0"/>
                <w:szCs w:val="21"/>
                <w:highlight w:val="none"/>
              </w:rPr>
            </w:pPr>
          </w:p>
          <w:p w14:paraId="178465F1">
            <w:pPr>
              <w:widowControl/>
              <w:spacing w:line="300" w:lineRule="exact"/>
              <w:jc w:val="center"/>
              <w:rPr>
                <w:rFonts w:hint="default" w:ascii="Times New Roman" w:hAnsi="Times New Roman" w:eastAsia="仿宋_GB2312" w:cs="Times New Roman"/>
                <w:color w:val="auto"/>
                <w:kern w:val="0"/>
                <w:szCs w:val="21"/>
                <w:highlight w:val="none"/>
              </w:rPr>
            </w:pPr>
          </w:p>
          <w:p w14:paraId="7DB02FC3">
            <w:pPr>
              <w:widowControl/>
              <w:spacing w:line="300" w:lineRule="exact"/>
              <w:jc w:val="center"/>
              <w:rPr>
                <w:rFonts w:hint="default" w:ascii="Times New Roman" w:hAnsi="Times New Roman" w:eastAsia="仿宋_GB2312" w:cs="Times New Roman"/>
                <w:color w:val="auto"/>
                <w:kern w:val="0"/>
                <w:szCs w:val="21"/>
                <w:highlight w:val="none"/>
              </w:rPr>
            </w:pPr>
          </w:p>
          <w:p w14:paraId="39069487">
            <w:pPr>
              <w:widowControl/>
              <w:spacing w:line="300" w:lineRule="exact"/>
              <w:jc w:val="center"/>
              <w:rPr>
                <w:rFonts w:hint="default" w:ascii="Times New Roman" w:hAnsi="Times New Roman" w:eastAsia="仿宋_GB2312" w:cs="Times New Roman"/>
                <w:color w:val="auto"/>
                <w:kern w:val="0"/>
                <w:szCs w:val="21"/>
                <w:highlight w:val="none"/>
              </w:rPr>
            </w:pPr>
          </w:p>
          <w:p w14:paraId="38D844DB">
            <w:pPr>
              <w:widowControl/>
              <w:spacing w:line="300" w:lineRule="exact"/>
              <w:jc w:val="center"/>
              <w:rPr>
                <w:rFonts w:hint="default" w:ascii="Times New Roman" w:hAnsi="Times New Roman" w:eastAsia="仿宋_GB2312" w:cs="Times New Roman"/>
                <w:color w:val="auto"/>
                <w:kern w:val="0"/>
                <w:szCs w:val="21"/>
                <w:highlight w:val="none"/>
              </w:rPr>
            </w:pPr>
          </w:p>
          <w:p w14:paraId="4E39EDD0">
            <w:pPr>
              <w:widowControl/>
              <w:spacing w:line="300" w:lineRule="exact"/>
              <w:jc w:val="center"/>
              <w:rPr>
                <w:rFonts w:hint="default" w:ascii="Times New Roman" w:hAnsi="Times New Roman" w:eastAsia="仿宋_GB2312" w:cs="Times New Roman"/>
                <w:color w:val="auto"/>
                <w:kern w:val="0"/>
                <w:szCs w:val="21"/>
                <w:highlight w:val="none"/>
              </w:rPr>
            </w:pPr>
          </w:p>
          <w:p w14:paraId="4CA625DE">
            <w:pPr>
              <w:widowControl/>
              <w:spacing w:line="300" w:lineRule="exact"/>
              <w:jc w:val="center"/>
              <w:rPr>
                <w:rFonts w:hint="default" w:ascii="Times New Roman" w:hAnsi="Times New Roman" w:eastAsia="仿宋_GB2312" w:cs="Times New Roman"/>
                <w:color w:val="auto"/>
                <w:kern w:val="0"/>
                <w:szCs w:val="21"/>
                <w:highlight w:val="none"/>
              </w:rPr>
            </w:pPr>
          </w:p>
          <w:p w14:paraId="304A198D">
            <w:pPr>
              <w:widowControl/>
              <w:spacing w:line="300" w:lineRule="exact"/>
              <w:jc w:val="center"/>
              <w:rPr>
                <w:rFonts w:hint="default" w:ascii="Times New Roman" w:hAnsi="Times New Roman" w:eastAsia="仿宋_GB2312" w:cs="Times New Roman"/>
                <w:color w:val="auto"/>
                <w:kern w:val="0"/>
                <w:szCs w:val="21"/>
                <w:highlight w:val="none"/>
              </w:rPr>
            </w:pPr>
          </w:p>
          <w:p w14:paraId="366100E5">
            <w:pPr>
              <w:widowControl/>
              <w:spacing w:line="300" w:lineRule="exact"/>
              <w:jc w:val="center"/>
              <w:rPr>
                <w:rFonts w:hint="default" w:ascii="Times New Roman" w:hAnsi="Times New Roman" w:eastAsia="仿宋_GB2312" w:cs="Times New Roman"/>
                <w:color w:val="auto"/>
                <w:kern w:val="0"/>
                <w:szCs w:val="21"/>
                <w:highlight w:val="none"/>
              </w:rPr>
            </w:pPr>
          </w:p>
          <w:p w14:paraId="05C2047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2480C0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F52EDD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6FFBC0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28F0E8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94A28C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11D1E2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16C22A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D481C8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C85599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4</w:t>
            </w:r>
          </w:p>
        </w:tc>
        <w:tc>
          <w:tcPr>
            <w:tcW w:w="1107" w:type="dxa"/>
            <w:vMerge w:val="restart"/>
            <w:noWrap w:val="0"/>
            <w:vAlign w:val="center"/>
          </w:tcPr>
          <w:p w14:paraId="197131C5">
            <w:pPr>
              <w:widowControl/>
              <w:spacing w:line="300" w:lineRule="exact"/>
              <w:jc w:val="center"/>
              <w:rPr>
                <w:rFonts w:hint="default" w:ascii="Times New Roman" w:hAnsi="Times New Roman" w:eastAsia="仿宋_GB2312" w:cs="Times New Roman"/>
                <w:color w:val="auto"/>
                <w:kern w:val="0"/>
                <w:szCs w:val="21"/>
                <w:highlight w:val="none"/>
              </w:rPr>
            </w:pPr>
          </w:p>
          <w:p w14:paraId="22A65B7A">
            <w:pPr>
              <w:widowControl/>
              <w:spacing w:line="300" w:lineRule="exact"/>
              <w:jc w:val="center"/>
              <w:rPr>
                <w:rFonts w:hint="default" w:ascii="Times New Roman" w:hAnsi="Times New Roman" w:eastAsia="仿宋_GB2312" w:cs="Times New Roman"/>
                <w:color w:val="auto"/>
                <w:kern w:val="0"/>
                <w:szCs w:val="21"/>
                <w:highlight w:val="none"/>
              </w:rPr>
            </w:pPr>
          </w:p>
          <w:p w14:paraId="7BD65044">
            <w:pPr>
              <w:widowControl/>
              <w:spacing w:line="300" w:lineRule="exact"/>
              <w:jc w:val="center"/>
              <w:rPr>
                <w:rFonts w:hint="default" w:ascii="Times New Roman" w:hAnsi="Times New Roman" w:eastAsia="仿宋_GB2312" w:cs="Times New Roman"/>
                <w:color w:val="auto"/>
                <w:kern w:val="0"/>
                <w:szCs w:val="21"/>
                <w:highlight w:val="none"/>
              </w:rPr>
            </w:pPr>
          </w:p>
          <w:p w14:paraId="2542E2F1">
            <w:pPr>
              <w:widowControl/>
              <w:spacing w:line="300" w:lineRule="exact"/>
              <w:jc w:val="center"/>
              <w:rPr>
                <w:rFonts w:hint="default" w:ascii="Times New Roman" w:hAnsi="Times New Roman" w:eastAsia="仿宋_GB2312" w:cs="Times New Roman"/>
                <w:color w:val="auto"/>
                <w:kern w:val="0"/>
                <w:szCs w:val="21"/>
                <w:highlight w:val="none"/>
              </w:rPr>
            </w:pPr>
          </w:p>
          <w:p w14:paraId="17873404">
            <w:pPr>
              <w:widowControl/>
              <w:spacing w:line="300" w:lineRule="exact"/>
              <w:jc w:val="center"/>
              <w:rPr>
                <w:rFonts w:hint="default" w:ascii="Times New Roman" w:hAnsi="Times New Roman" w:eastAsia="仿宋_GB2312" w:cs="Times New Roman"/>
                <w:color w:val="auto"/>
                <w:kern w:val="0"/>
                <w:szCs w:val="21"/>
                <w:highlight w:val="none"/>
              </w:rPr>
            </w:pPr>
          </w:p>
          <w:p w14:paraId="04F42E1B">
            <w:pPr>
              <w:widowControl/>
              <w:spacing w:line="300" w:lineRule="exact"/>
              <w:jc w:val="center"/>
              <w:rPr>
                <w:rFonts w:hint="default" w:ascii="Times New Roman" w:hAnsi="Times New Roman" w:eastAsia="仿宋_GB2312" w:cs="Times New Roman"/>
                <w:color w:val="auto"/>
                <w:kern w:val="0"/>
                <w:szCs w:val="21"/>
                <w:highlight w:val="none"/>
              </w:rPr>
            </w:pPr>
          </w:p>
          <w:p w14:paraId="7B128F3E">
            <w:pPr>
              <w:widowControl/>
              <w:spacing w:line="300" w:lineRule="exact"/>
              <w:jc w:val="center"/>
              <w:rPr>
                <w:rFonts w:hint="default" w:ascii="Times New Roman" w:hAnsi="Times New Roman" w:eastAsia="仿宋_GB2312" w:cs="Times New Roman"/>
                <w:color w:val="auto"/>
                <w:kern w:val="0"/>
                <w:szCs w:val="21"/>
                <w:highlight w:val="none"/>
              </w:rPr>
            </w:pPr>
          </w:p>
          <w:p w14:paraId="5F0833E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肉制品</w:t>
            </w:r>
          </w:p>
          <w:p w14:paraId="0299C58D">
            <w:pPr>
              <w:widowControl/>
              <w:spacing w:line="300" w:lineRule="exact"/>
              <w:jc w:val="center"/>
              <w:rPr>
                <w:rFonts w:hint="default" w:ascii="Times New Roman" w:hAnsi="Times New Roman" w:eastAsia="仿宋_GB2312" w:cs="Times New Roman"/>
                <w:color w:val="auto"/>
                <w:kern w:val="0"/>
                <w:szCs w:val="21"/>
                <w:highlight w:val="none"/>
              </w:rPr>
            </w:pPr>
          </w:p>
          <w:p w14:paraId="54766546">
            <w:pPr>
              <w:widowControl/>
              <w:spacing w:line="300" w:lineRule="exact"/>
              <w:jc w:val="center"/>
              <w:rPr>
                <w:rFonts w:hint="default" w:ascii="Times New Roman" w:hAnsi="Times New Roman" w:eastAsia="仿宋_GB2312" w:cs="Times New Roman"/>
                <w:color w:val="auto"/>
                <w:kern w:val="0"/>
                <w:szCs w:val="21"/>
                <w:highlight w:val="none"/>
              </w:rPr>
            </w:pPr>
          </w:p>
          <w:p w14:paraId="0FF892FB">
            <w:pPr>
              <w:widowControl/>
              <w:spacing w:line="300" w:lineRule="exact"/>
              <w:jc w:val="center"/>
              <w:rPr>
                <w:rFonts w:hint="default" w:ascii="Times New Roman" w:hAnsi="Times New Roman" w:eastAsia="仿宋_GB2312" w:cs="Times New Roman"/>
                <w:color w:val="auto"/>
                <w:kern w:val="0"/>
                <w:szCs w:val="21"/>
                <w:highlight w:val="none"/>
              </w:rPr>
            </w:pPr>
          </w:p>
          <w:p w14:paraId="1D805680">
            <w:pPr>
              <w:widowControl/>
              <w:spacing w:line="300" w:lineRule="exact"/>
              <w:jc w:val="center"/>
              <w:rPr>
                <w:rFonts w:hint="default" w:ascii="Times New Roman" w:hAnsi="Times New Roman" w:eastAsia="仿宋_GB2312" w:cs="Times New Roman"/>
                <w:color w:val="auto"/>
                <w:kern w:val="0"/>
                <w:szCs w:val="21"/>
                <w:highlight w:val="none"/>
              </w:rPr>
            </w:pPr>
          </w:p>
          <w:p w14:paraId="74932C49">
            <w:pPr>
              <w:widowControl/>
              <w:spacing w:line="300" w:lineRule="exact"/>
              <w:jc w:val="center"/>
              <w:rPr>
                <w:rFonts w:hint="default" w:ascii="Times New Roman" w:hAnsi="Times New Roman" w:eastAsia="仿宋_GB2312" w:cs="Times New Roman"/>
                <w:color w:val="auto"/>
                <w:kern w:val="0"/>
                <w:szCs w:val="21"/>
                <w:highlight w:val="none"/>
              </w:rPr>
            </w:pPr>
          </w:p>
          <w:p w14:paraId="6D0E6849">
            <w:pPr>
              <w:widowControl/>
              <w:spacing w:line="300" w:lineRule="exact"/>
              <w:jc w:val="center"/>
              <w:rPr>
                <w:rFonts w:hint="default" w:ascii="Times New Roman" w:hAnsi="Times New Roman" w:eastAsia="仿宋_GB2312" w:cs="Times New Roman"/>
                <w:color w:val="auto"/>
                <w:kern w:val="0"/>
                <w:szCs w:val="21"/>
                <w:highlight w:val="none"/>
              </w:rPr>
            </w:pPr>
          </w:p>
          <w:p w14:paraId="6C6E7BD8">
            <w:pPr>
              <w:widowControl/>
              <w:spacing w:line="300" w:lineRule="exact"/>
              <w:jc w:val="center"/>
              <w:rPr>
                <w:rFonts w:hint="default" w:ascii="Times New Roman" w:hAnsi="Times New Roman" w:eastAsia="仿宋_GB2312" w:cs="Times New Roman"/>
                <w:color w:val="auto"/>
                <w:kern w:val="0"/>
                <w:szCs w:val="21"/>
                <w:highlight w:val="none"/>
              </w:rPr>
            </w:pPr>
          </w:p>
          <w:p w14:paraId="2A22818A">
            <w:pPr>
              <w:widowControl/>
              <w:spacing w:line="300" w:lineRule="exact"/>
              <w:jc w:val="center"/>
              <w:rPr>
                <w:rFonts w:hint="default" w:ascii="Times New Roman" w:hAnsi="Times New Roman" w:eastAsia="仿宋_GB2312" w:cs="Times New Roman"/>
                <w:color w:val="auto"/>
                <w:kern w:val="0"/>
                <w:szCs w:val="21"/>
                <w:highlight w:val="none"/>
              </w:rPr>
            </w:pPr>
          </w:p>
          <w:p w14:paraId="7095C08C">
            <w:pPr>
              <w:widowControl/>
              <w:spacing w:line="300" w:lineRule="exact"/>
              <w:jc w:val="center"/>
              <w:rPr>
                <w:rFonts w:hint="default" w:ascii="Times New Roman" w:hAnsi="Times New Roman" w:eastAsia="仿宋_GB2312" w:cs="Times New Roman"/>
                <w:color w:val="auto"/>
                <w:kern w:val="0"/>
                <w:szCs w:val="21"/>
                <w:highlight w:val="none"/>
              </w:rPr>
            </w:pPr>
          </w:p>
          <w:p w14:paraId="6C1E80D7">
            <w:pPr>
              <w:widowControl/>
              <w:spacing w:line="300" w:lineRule="exact"/>
              <w:jc w:val="center"/>
              <w:rPr>
                <w:rFonts w:hint="default" w:ascii="Times New Roman" w:hAnsi="Times New Roman" w:eastAsia="仿宋_GB2312" w:cs="Times New Roman"/>
                <w:color w:val="auto"/>
                <w:kern w:val="0"/>
                <w:szCs w:val="21"/>
                <w:highlight w:val="none"/>
              </w:rPr>
            </w:pPr>
          </w:p>
          <w:p w14:paraId="11815F70">
            <w:pPr>
              <w:widowControl/>
              <w:spacing w:line="300" w:lineRule="exact"/>
              <w:jc w:val="center"/>
              <w:rPr>
                <w:rFonts w:hint="default" w:ascii="Times New Roman" w:hAnsi="Times New Roman" w:eastAsia="仿宋_GB2312" w:cs="Times New Roman"/>
                <w:color w:val="auto"/>
                <w:kern w:val="0"/>
                <w:szCs w:val="21"/>
                <w:highlight w:val="none"/>
              </w:rPr>
            </w:pPr>
          </w:p>
          <w:p w14:paraId="7EAA5EE4">
            <w:pPr>
              <w:widowControl/>
              <w:spacing w:line="300" w:lineRule="exact"/>
              <w:jc w:val="center"/>
              <w:rPr>
                <w:rFonts w:hint="default" w:ascii="Times New Roman" w:hAnsi="Times New Roman" w:eastAsia="仿宋_GB2312" w:cs="Times New Roman"/>
                <w:color w:val="auto"/>
                <w:kern w:val="0"/>
                <w:szCs w:val="21"/>
                <w:highlight w:val="none"/>
              </w:rPr>
            </w:pPr>
          </w:p>
          <w:p w14:paraId="3FF3F005">
            <w:pPr>
              <w:widowControl/>
              <w:spacing w:line="300" w:lineRule="exact"/>
              <w:jc w:val="center"/>
              <w:rPr>
                <w:rFonts w:hint="default" w:ascii="Times New Roman" w:hAnsi="Times New Roman" w:eastAsia="仿宋_GB2312" w:cs="Times New Roman"/>
                <w:color w:val="auto"/>
                <w:kern w:val="0"/>
                <w:szCs w:val="21"/>
                <w:highlight w:val="none"/>
              </w:rPr>
            </w:pPr>
          </w:p>
          <w:p w14:paraId="16C9E1C8">
            <w:pPr>
              <w:widowControl/>
              <w:spacing w:line="300" w:lineRule="exact"/>
              <w:jc w:val="center"/>
              <w:rPr>
                <w:rFonts w:hint="default" w:ascii="Times New Roman" w:hAnsi="Times New Roman" w:eastAsia="仿宋_GB2312" w:cs="Times New Roman"/>
                <w:color w:val="auto"/>
                <w:kern w:val="0"/>
                <w:szCs w:val="21"/>
                <w:highlight w:val="none"/>
              </w:rPr>
            </w:pPr>
          </w:p>
          <w:p w14:paraId="7C01F812">
            <w:pPr>
              <w:widowControl/>
              <w:spacing w:line="300" w:lineRule="exact"/>
              <w:jc w:val="center"/>
              <w:rPr>
                <w:rFonts w:hint="default" w:ascii="Times New Roman" w:hAnsi="Times New Roman" w:eastAsia="仿宋_GB2312" w:cs="Times New Roman"/>
                <w:color w:val="auto"/>
                <w:kern w:val="0"/>
                <w:szCs w:val="21"/>
                <w:highlight w:val="none"/>
              </w:rPr>
            </w:pPr>
          </w:p>
          <w:p w14:paraId="7BC30758">
            <w:pPr>
              <w:widowControl/>
              <w:spacing w:line="300" w:lineRule="exact"/>
              <w:jc w:val="center"/>
              <w:rPr>
                <w:rFonts w:hint="default" w:ascii="Times New Roman" w:hAnsi="Times New Roman" w:eastAsia="仿宋_GB2312" w:cs="Times New Roman"/>
                <w:color w:val="auto"/>
                <w:kern w:val="0"/>
                <w:szCs w:val="21"/>
                <w:highlight w:val="none"/>
              </w:rPr>
            </w:pPr>
          </w:p>
          <w:p w14:paraId="5C5F4189">
            <w:pPr>
              <w:widowControl/>
              <w:spacing w:line="300" w:lineRule="exact"/>
              <w:jc w:val="center"/>
              <w:rPr>
                <w:rFonts w:hint="default" w:ascii="Times New Roman" w:hAnsi="Times New Roman" w:eastAsia="仿宋_GB2312" w:cs="Times New Roman"/>
                <w:color w:val="auto"/>
                <w:kern w:val="0"/>
                <w:szCs w:val="21"/>
                <w:highlight w:val="none"/>
              </w:rPr>
            </w:pPr>
          </w:p>
          <w:p w14:paraId="2CACF2C0">
            <w:pPr>
              <w:widowControl/>
              <w:spacing w:line="300" w:lineRule="exact"/>
              <w:jc w:val="center"/>
              <w:rPr>
                <w:rFonts w:hint="default" w:ascii="Times New Roman" w:hAnsi="Times New Roman" w:eastAsia="仿宋_GB2312" w:cs="Times New Roman"/>
                <w:color w:val="auto"/>
                <w:kern w:val="0"/>
                <w:szCs w:val="21"/>
                <w:highlight w:val="none"/>
              </w:rPr>
            </w:pPr>
          </w:p>
          <w:p w14:paraId="514A74B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肉制品</w:t>
            </w:r>
          </w:p>
        </w:tc>
        <w:tc>
          <w:tcPr>
            <w:tcW w:w="1256" w:type="dxa"/>
            <w:vMerge w:val="restart"/>
            <w:noWrap w:val="0"/>
            <w:vAlign w:val="center"/>
          </w:tcPr>
          <w:p w14:paraId="732ADB4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预制肉制品</w:t>
            </w:r>
          </w:p>
        </w:tc>
        <w:tc>
          <w:tcPr>
            <w:tcW w:w="1144" w:type="dxa"/>
            <w:noWrap w:val="0"/>
            <w:vAlign w:val="center"/>
          </w:tcPr>
          <w:p w14:paraId="3EE3B2F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调理肉制品</w:t>
            </w:r>
          </w:p>
        </w:tc>
        <w:tc>
          <w:tcPr>
            <w:tcW w:w="1856" w:type="dxa"/>
            <w:noWrap w:val="0"/>
            <w:vAlign w:val="center"/>
          </w:tcPr>
          <w:p w14:paraId="60A6372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调理肉制品（非速冻）</w:t>
            </w:r>
          </w:p>
        </w:tc>
        <w:tc>
          <w:tcPr>
            <w:tcW w:w="1106" w:type="dxa"/>
            <w:noWrap w:val="0"/>
            <w:vAlign w:val="center"/>
          </w:tcPr>
          <w:p w14:paraId="1D603C6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1DC5BE5B">
            <w:pPr>
              <w:spacing w:before="59" w:line="257" w:lineRule="auto"/>
              <w:ind w:right="148"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5"/>
                <w:sz w:val="21"/>
                <w:szCs w:val="21"/>
                <w:highlight w:val="none"/>
              </w:rPr>
              <w:t>苯甲酸及其钠盐（</w:t>
            </w:r>
            <w:r>
              <w:rPr>
                <w:rFonts w:hint="eastAsia" w:ascii="仿宋_GB2312" w:hAnsi="仿宋_GB2312" w:eastAsia="仿宋_GB2312" w:cs="仿宋_GB2312"/>
                <w:color w:val="auto"/>
                <w:spacing w:val="-50"/>
                <w:sz w:val="21"/>
                <w:szCs w:val="21"/>
                <w:highlight w:val="none"/>
              </w:rPr>
              <w:t xml:space="preserve"> </w:t>
            </w:r>
            <w:r>
              <w:rPr>
                <w:rFonts w:hint="eastAsia" w:ascii="仿宋_GB2312" w:hAnsi="仿宋_GB2312" w:eastAsia="仿宋_GB2312" w:cs="仿宋_GB2312"/>
                <w:color w:val="auto"/>
                <w:spacing w:val="5"/>
                <w:sz w:val="21"/>
                <w:szCs w:val="21"/>
                <w:highlight w:val="none"/>
              </w:rPr>
              <w:t>以苯甲酸计）、</w:t>
            </w:r>
            <w:r>
              <w:rPr>
                <w:rFonts w:hint="eastAsia" w:ascii="仿宋_GB2312" w:hAnsi="仿宋_GB2312" w:eastAsia="仿宋_GB2312" w:cs="仿宋_GB2312"/>
                <w:color w:val="auto"/>
                <w:spacing w:val="-60"/>
                <w:sz w:val="21"/>
                <w:szCs w:val="21"/>
                <w:highlight w:val="none"/>
              </w:rPr>
              <w:t xml:space="preserve"> </w:t>
            </w:r>
            <w:r>
              <w:rPr>
                <w:rFonts w:hint="eastAsia" w:ascii="仿宋_GB2312" w:hAnsi="仿宋_GB2312" w:eastAsia="仿宋_GB2312" w:cs="仿宋_GB2312"/>
                <w:color w:val="auto"/>
                <w:spacing w:val="5"/>
                <w:sz w:val="21"/>
                <w:szCs w:val="21"/>
                <w:highlight w:val="none"/>
              </w:rPr>
              <w:t>山梨酸及其</w:t>
            </w:r>
            <w:r>
              <w:rPr>
                <w:rFonts w:hint="eastAsia" w:ascii="仿宋_GB2312" w:hAnsi="仿宋_GB2312" w:eastAsia="仿宋_GB2312" w:cs="仿宋_GB2312"/>
                <w:color w:val="auto"/>
                <w:spacing w:val="4"/>
                <w:sz w:val="21"/>
                <w:szCs w:val="21"/>
                <w:highlight w:val="none"/>
              </w:rPr>
              <w:t>钾盐（</w:t>
            </w:r>
            <w:r>
              <w:rPr>
                <w:rFonts w:hint="eastAsia" w:ascii="仿宋_GB2312" w:hAnsi="仿宋_GB2312" w:eastAsia="仿宋_GB2312" w:cs="仿宋_GB2312"/>
                <w:color w:val="auto"/>
                <w:spacing w:val="-39"/>
                <w:sz w:val="21"/>
                <w:szCs w:val="21"/>
                <w:highlight w:val="none"/>
              </w:rPr>
              <w:t xml:space="preserve"> </w:t>
            </w:r>
            <w:r>
              <w:rPr>
                <w:rFonts w:hint="eastAsia" w:ascii="仿宋_GB2312" w:hAnsi="仿宋_GB2312" w:eastAsia="仿宋_GB2312" w:cs="仿宋_GB2312"/>
                <w:color w:val="auto"/>
                <w:spacing w:val="4"/>
                <w:sz w:val="21"/>
                <w:szCs w:val="21"/>
                <w:highlight w:val="none"/>
              </w:rPr>
              <w:t>以山梨酸计）、脱氢乙酸及其钠盐（</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4"/>
                <w:sz w:val="21"/>
                <w:szCs w:val="21"/>
                <w:highlight w:val="none"/>
              </w:rPr>
              <w:t>以</w:t>
            </w:r>
            <w:r>
              <w:rPr>
                <w:rFonts w:hint="eastAsia" w:ascii="仿宋_GB2312" w:hAnsi="仿宋_GB2312" w:eastAsia="仿宋_GB2312" w:cs="仿宋_GB2312"/>
                <w:color w:val="auto"/>
                <w:spacing w:val="7"/>
                <w:sz w:val="21"/>
                <w:szCs w:val="21"/>
                <w:highlight w:val="none"/>
              </w:rPr>
              <w:t>脱氢乙酸计）</w:t>
            </w:r>
          </w:p>
        </w:tc>
        <w:tc>
          <w:tcPr>
            <w:tcW w:w="3435" w:type="dxa"/>
            <w:noWrap w:val="0"/>
            <w:vAlign w:val="center"/>
          </w:tcPr>
          <w:p w14:paraId="53F844FC">
            <w:pPr>
              <w:pStyle w:val="179"/>
              <w:spacing w:before="392" w:line="178" w:lineRule="auto"/>
              <w:ind w:left="107" w:lef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z w:val="21"/>
                <w:szCs w:val="21"/>
                <w:highlight w:val="none"/>
              </w:rPr>
              <w:t>/</w:t>
            </w:r>
          </w:p>
        </w:tc>
      </w:tr>
      <w:tr w14:paraId="3ABA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5" w:hRule="atLeast"/>
        </w:trPr>
        <w:tc>
          <w:tcPr>
            <w:tcW w:w="720" w:type="dxa"/>
            <w:vMerge w:val="continue"/>
            <w:noWrap w:val="0"/>
            <w:vAlign w:val="center"/>
          </w:tcPr>
          <w:p w14:paraId="1B5D138D">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3A7F6F3">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D713DC6">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4B8D6DB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腌腊肉制品</w:t>
            </w:r>
          </w:p>
        </w:tc>
        <w:tc>
          <w:tcPr>
            <w:tcW w:w="1856" w:type="dxa"/>
            <w:noWrap w:val="0"/>
            <w:vAlign w:val="center"/>
          </w:tcPr>
          <w:p w14:paraId="5C1A79D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腌腊肉制品</w:t>
            </w:r>
          </w:p>
        </w:tc>
        <w:tc>
          <w:tcPr>
            <w:tcW w:w="1106" w:type="dxa"/>
            <w:noWrap w:val="0"/>
            <w:vAlign w:val="center"/>
          </w:tcPr>
          <w:p w14:paraId="70661C1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4D700A89">
            <w:pPr>
              <w:pStyle w:val="179"/>
              <w:spacing w:before="58" w:line="262" w:lineRule="auto"/>
              <w:ind w:right="42"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2"/>
                <w:sz w:val="21"/>
                <w:szCs w:val="21"/>
                <w:highlight w:val="none"/>
              </w:rPr>
              <w:t>过氧化值（</w:t>
            </w:r>
            <w:r>
              <w:rPr>
                <w:rFonts w:hint="eastAsia" w:ascii="仿宋_GB2312" w:hAnsi="仿宋_GB2312" w:eastAsia="仿宋_GB2312" w:cs="仿宋_GB2312"/>
                <w:color w:val="auto"/>
                <w:spacing w:val="-45"/>
                <w:sz w:val="21"/>
                <w:szCs w:val="21"/>
                <w:highlight w:val="none"/>
              </w:rPr>
              <w:t xml:space="preserve"> </w:t>
            </w:r>
            <w:r>
              <w:rPr>
                <w:rFonts w:hint="eastAsia" w:ascii="仿宋_GB2312" w:hAnsi="仿宋_GB2312" w:eastAsia="仿宋_GB2312" w:cs="仿宋_GB2312"/>
                <w:color w:val="auto"/>
                <w:spacing w:val="2"/>
                <w:sz w:val="21"/>
                <w:szCs w:val="21"/>
                <w:highlight w:val="none"/>
              </w:rPr>
              <w:t>以脂肪计）、</w:t>
            </w:r>
            <w:r>
              <w:rPr>
                <w:rFonts w:hint="eastAsia" w:ascii="仿宋_GB2312" w:hAnsi="仿宋_GB2312" w:eastAsia="仿宋_GB2312" w:cs="仿宋_GB2312"/>
                <w:color w:val="auto"/>
                <w:spacing w:val="-59"/>
                <w:sz w:val="21"/>
                <w:szCs w:val="21"/>
                <w:highlight w:val="none"/>
              </w:rPr>
              <w:t xml:space="preserve"> </w:t>
            </w:r>
            <w:r>
              <w:rPr>
                <w:rFonts w:hint="eastAsia" w:ascii="仿宋_GB2312" w:hAnsi="仿宋_GB2312" w:eastAsia="仿宋_GB2312" w:cs="仿宋_GB2312"/>
                <w:color w:val="auto"/>
                <w:spacing w:val="2"/>
                <w:sz w:val="21"/>
                <w:szCs w:val="21"/>
                <w:highlight w:val="none"/>
              </w:rPr>
              <w:t>山梨酸及其钾盐（</w:t>
            </w:r>
            <w:r>
              <w:rPr>
                <w:rFonts w:hint="eastAsia" w:ascii="仿宋_GB2312" w:hAnsi="仿宋_GB2312" w:eastAsia="仿宋_GB2312" w:cs="仿宋_GB2312"/>
                <w:color w:val="auto"/>
                <w:spacing w:val="-52"/>
                <w:sz w:val="21"/>
                <w:szCs w:val="21"/>
                <w:highlight w:val="none"/>
              </w:rPr>
              <w:t xml:space="preserve"> </w:t>
            </w:r>
            <w:r>
              <w:rPr>
                <w:rFonts w:hint="eastAsia" w:ascii="仿宋_GB2312" w:hAnsi="仿宋_GB2312" w:eastAsia="仿宋_GB2312" w:cs="仿宋_GB2312"/>
                <w:color w:val="auto"/>
                <w:spacing w:val="2"/>
                <w:sz w:val="21"/>
                <w:szCs w:val="21"/>
                <w:highlight w:val="none"/>
              </w:rPr>
              <w:t>以</w:t>
            </w:r>
            <w:r>
              <w:rPr>
                <w:rFonts w:hint="eastAsia" w:ascii="仿宋_GB2312" w:hAnsi="仿宋_GB2312" w:eastAsia="仿宋_GB2312" w:cs="仿宋_GB2312"/>
                <w:color w:val="auto"/>
                <w:spacing w:val="7"/>
                <w:sz w:val="21"/>
                <w:szCs w:val="21"/>
                <w:highlight w:val="none"/>
              </w:rPr>
              <w:t>山梨酸计）、脱氢乙酸及其钠盐（</w:t>
            </w:r>
            <w:r>
              <w:rPr>
                <w:rFonts w:hint="eastAsia" w:ascii="仿宋_GB2312" w:hAnsi="仿宋_GB2312" w:eastAsia="仿宋_GB2312" w:cs="仿宋_GB2312"/>
                <w:color w:val="auto"/>
                <w:spacing w:val="-51"/>
                <w:sz w:val="21"/>
                <w:szCs w:val="21"/>
                <w:highlight w:val="none"/>
              </w:rPr>
              <w:t xml:space="preserve"> </w:t>
            </w:r>
            <w:r>
              <w:rPr>
                <w:rFonts w:hint="eastAsia" w:ascii="仿宋_GB2312" w:hAnsi="仿宋_GB2312" w:eastAsia="仿宋_GB2312" w:cs="仿宋_GB2312"/>
                <w:color w:val="auto"/>
                <w:spacing w:val="7"/>
                <w:sz w:val="21"/>
                <w:szCs w:val="21"/>
                <w:highlight w:val="none"/>
              </w:rPr>
              <w:t>以脱氢乙酸</w:t>
            </w:r>
            <w:r>
              <w:rPr>
                <w:rFonts w:hint="eastAsia" w:ascii="仿宋_GB2312" w:hAnsi="仿宋_GB2312" w:eastAsia="仿宋_GB2312" w:cs="仿宋_GB2312"/>
                <w:color w:val="auto"/>
                <w:spacing w:val="2"/>
                <w:sz w:val="21"/>
                <w:szCs w:val="21"/>
                <w:highlight w:val="none"/>
              </w:rPr>
              <w:t>计）、合成着色剂（柠檬黄、</w:t>
            </w:r>
            <w:r>
              <w:rPr>
                <w:rFonts w:hint="eastAsia" w:ascii="仿宋_GB2312" w:hAnsi="仿宋_GB2312" w:eastAsia="仿宋_GB2312" w:cs="仿宋_GB2312"/>
                <w:color w:val="auto"/>
                <w:spacing w:val="-47"/>
                <w:sz w:val="21"/>
                <w:szCs w:val="21"/>
                <w:highlight w:val="none"/>
              </w:rPr>
              <w:t xml:space="preserve"> </w:t>
            </w:r>
            <w:r>
              <w:rPr>
                <w:rFonts w:hint="eastAsia" w:ascii="仿宋_GB2312" w:hAnsi="仿宋_GB2312" w:eastAsia="仿宋_GB2312" w:cs="仿宋_GB2312"/>
                <w:color w:val="auto"/>
                <w:spacing w:val="2"/>
                <w:sz w:val="21"/>
                <w:szCs w:val="21"/>
                <w:highlight w:val="none"/>
              </w:rPr>
              <w:t>日落黄、胭脂红、</w:t>
            </w:r>
            <w:r>
              <w:rPr>
                <w:rFonts w:hint="eastAsia" w:ascii="仿宋_GB2312" w:hAnsi="仿宋_GB2312" w:eastAsia="仿宋_GB2312" w:cs="仿宋_GB2312"/>
                <w:color w:val="auto"/>
                <w:spacing w:val="11"/>
                <w:sz w:val="21"/>
                <w:szCs w:val="21"/>
                <w:highlight w:val="none"/>
              </w:rPr>
              <w:t>诱惑红、苋菜红、酸性红）</w:t>
            </w:r>
            <w:r>
              <w:rPr>
                <w:rFonts w:hint="eastAsia" w:ascii="仿宋_GB2312" w:hAnsi="仿宋_GB2312" w:eastAsia="仿宋_GB2312" w:cs="仿宋_GB2312"/>
                <w:color w:val="auto"/>
                <w:spacing w:val="11"/>
                <w:sz w:val="21"/>
                <w:szCs w:val="21"/>
                <w:highlight w:val="none"/>
                <w:lang w:eastAsia="zh-CN"/>
              </w:rPr>
              <w:t>、</w:t>
            </w:r>
            <w:r>
              <w:rPr>
                <w:rFonts w:hint="eastAsia" w:ascii="仿宋_GB2312" w:hAnsi="仿宋_GB2312" w:eastAsia="仿宋_GB2312" w:cs="仿宋_GB2312"/>
                <w:color w:val="auto"/>
                <w:spacing w:val="11"/>
                <w:sz w:val="21"/>
                <w:szCs w:val="21"/>
                <w:highlight w:val="none"/>
              </w:rPr>
              <w:t>氯霉素、红2G</w:t>
            </w:r>
          </w:p>
        </w:tc>
        <w:tc>
          <w:tcPr>
            <w:tcW w:w="3435" w:type="dxa"/>
            <w:noWrap w:val="0"/>
            <w:vAlign w:val="center"/>
          </w:tcPr>
          <w:p w14:paraId="19406915">
            <w:pPr>
              <w:pStyle w:val="179"/>
              <w:spacing w:before="211" w:line="277" w:lineRule="auto"/>
              <w:ind w:right="108" w:rightChars="0"/>
              <w:jc w:val="both"/>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5"/>
                <w:sz w:val="21"/>
                <w:szCs w:val="21"/>
                <w:highlight w:val="none"/>
              </w:rPr>
              <w:t>亚硝酸盐（</w:t>
            </w:r>
            <w:r>
              <w:rPr>
                <w:rFonts w:hint="eastAsia" w:ascii="仿宋_GB2312" w:hAnsi="仿宋_GB2312" w:eastAsia="仿宋_GB2312" w:cs="仿宋_GB2312"/>
                <w:color w:val="auto"/>
                <w:spacing w:val="-45"/>
                <w:sz w:val="21"/>
                <w:szCs w:val="21"/>
                <w:highlight w:val="none"/>
              </w:rPr>
              <w:t xml:space="preserve"> </w:t>
            </w:r>
            <w:r>
              <w:rPr>
                <w:rFonts w:hint="eastAsia" w:ascii="仿宋_GB2312" w:hAnsi="仿宋_GB2312" w:eastAsia="仿宋_GB2312" w:cs="仿宋_GB2312"/>
                <w:color w:val="auto"/>
                <w:spacing w:val="5"/>
                <w:sz w:val="21"/>
                <w:szCs w:val="21"/>
                <w:highlight w:val="none"/>
              </w:rPr>
              <w:t>以亚硝酸钠计）、苯甲</w:t>
            </w:r>
            <w:r>
              <w:rPr>
                <w:rFonts w:hint="eastAsia" w:ascii="仿宋_GB2312" w:hAnsi="仿宋_GB2312" w:eastAsia="仿宋_GB2312" w:cs="仿宋_GB2312"/>
                <w:color w:val="auto"/>
                <w:spacing w:val="-7"/>
                <w:sz w:val="21"/>
                <w:szCs w:val="21"/>
                <w:highlight w:val="none"/>
              </w:rPr>
              <w:t>酸及其钠盐（</w:t>
            </w:r>
            <w:r>
              <w:rPr>
                <w:rFonts w:hint="eastAsia" w:ascii="仿宋_GB2312" w:hAnsi="仿宋_GB2312" w:eastAsia="仿宋_GB2312" w:cs="仿宋_GB2312"/>
                <w:color w:val="auto"/>
                <w:spacing w:val="-56"/>
                <w:sz w:val="21"/>
                <w:szCs w:val="21"/>
                <w:highlight w:val="none"/>
              </w:rPr>
              <w:t xml:space="preserve"> </w:t>
            </w:r>
            <w:r>
              <w:rPr>
                <w:rFonts w:hint="eastAsia" w:ascii="仿宋_GB2312" w:hAnsi="仿宋_GB2312" w:eastAsia="仿宋_GB2312" w:cs="仿宋_GB2312"/>
                <w:color w:val="auto"/>
                <w:spacing w:val="-7"/>
                <w:sz w:val="21"/>
                <w:szCs w:val="21"/>
                <w:highlight w:val="none"/>
              </w:rPr>
              <w:t>以苯甲酸计）、铅（</w:t>
            </w:r>
            <w:r>
              <w:rPr>
                <w:rFonts w:hint="eastAsia" w:ascii="仿宋_GB2312" w:hAnsi="仿宋_GB2312" w:eastAsia="仿宋_GB2312" w:cs="仿宋_GB2312"/>
                <w:color w:val="auto"/>
                <w:spacing w:val="-59"/>
                <w:sz w:val="21"/>
                <w:szCs w:val="21"/>
                <w:highlight w:val="none"/>
              </w:rPr>
              <w:t xml:space="preserve"> </w:t>
            </w:r>
            <w:r>
              <w:rPr>
                <w:rFonts w:hint="eastAsia" w:ascii="仿宋_GB2312" w:hAnsi="仿宋_GB2312" w:eastAsia="仿宋_GB2312" w:cs="仿宋_GB2312"/>
                <w:color w:val="auto"/>
                <w:spacing w:val="-7"/>
                <w:sz w:val="21"/>
                <w:szCs w:val="21"/>
                <w:highlight w:val="none"/>
              </w:rPr>
              <w:t>以</w:t>
            </w:r>
            <w:r>
              <w:rPr>
                <w:rFonts w:hint="eastAsia" w:ascii="仿宋_GB2312" w:hAnsi="仿宋_GB2312" w:eastAsia="仿宋_GB2312" w:cs="仿宋_GB2312"/>
                <w:color w:val="auto"/>
                <w:sz w:val="21"/>
                <w:szCs w:val="21"/>
                <w:highlight w:val="none"/>
              </w:rPr>
              <w:t>Pb</w:t>
            </w:r>
            <w:r>
              <w:rPr>
                <w:rFonts w:hint="eastAsia" w:ascii="仿宋_GB2312" w:hAnsi="仿宋_GB2312" w:eastAsia="仿宋_GB2312" w:cs="仿宋_GB2312"/>
                <w:color w:val="auto"/>
                <w:spacing w:val="9"/>
                <w:sz w:val="21"/>
                <w:szCs w:val="21"/>
                <w:highlight w:val="none"/>
              </w:rPr>
              <w:t>计）、总砷（</w:t>
            </w:r>
            <w:r>
              <w:rPr>
                <w:rFonts w:hint="eastAsia" w:ascii="仿宋_GB2312" w:hAnsi="仿宋_GB2312" w:eastAsia="仿宋_GB2312" w:cs="仿宋_GB2312"/>
                <w:color w:val="auto"/>
                <w:spacing w:val="-48"/>
                <w:sz w:val="21"/>
                <w:szCs w:val="21"/>
                <w:highlight w:val="none"/>
              </w:rPr>
              <w:t xml:space="preserve"> </w:t>
            </w:r>
            <w:r>
              <w:rPr>
                <w:rFonts w:hint="eastAsia" w:ascii="仿宋_GB2312" w:hAnsi="仿宋_GB2312" w:eastAsia="仿宋_GB2312" w:cs="仿宋_GB2312"/>
                <w:color w:val="auto"/>
                <w:spacing w:val="9"/>
                <w:sz w:val="21"/>
                <w:szCs w:val="21"/>
                <w:highlight w:val="none"/>
              </w:rPr>
              <w:t>以</w:t>
            </w:r>
            <w:r>
              <w:rPr>
                <w:rFonts w:hint="eastAsia" w:ascii="仿宋_GB2312" w:hAnsi="仿宋_GB2312" w:eastAsia="仿宋_GB2312" w:cs="仿宋_GB2312"/>
                <w:color w:val="auto"/>
                <w:sz w:val="21"/>
                <w:szCs w:val="21"/>
                <w:highlight w:val="none"/>
              </w:rPr>
              <w:t>As</w:t>
            </w:r>
            <w:r>
              <w:rPr>
                <w:rFonts w:hint="eastAsia" w:ascii="仿宋_GB2312" w:hAnsi="仿宋_GB2312" w:eastAsia="仿宋_GB2312" w:cs="仿宋_GB2312"/>
                <w:color w:val="auto"/>
                <w:spacing w:val="9"/>
                <w:sz w:val="21"/>
                <w:szCs w:val="21"/>
                <w:highlight w:val="none"/>
              </w:rPr>
              <w:t>计）</w:t>
            </w:r>
          </w:p>
        </w:tc>
      </w:tr>
      <w:tr w14:paraId="40E7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20" w:type="dxa"/>
            <w:vMerge w:val="continue"/>
            <w:noWrap w:val="0"/>
            <w:vAlign w:val="center"/>
          </w:tcPr>
          <w:p w14:paraId="00376F56">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D4B68BC">
            <w:pPr>
              <w:widowControl/>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27AE3F37">
            <w:pPr>
              <w:widowControl/>
              <w:spacing w:line="300" w:lineRule="exact"/>
              <w:jc w:val="center"/>
              <w:rPr>
                <w:rFonts w:hint="default" w:ascii="Times New Roman" w:hAnsi="Times New Roman" w:eastAsia="仿宋_GB2312" w:cs="Times New Roman"/>
                <w:color w:val="auto"/>
                <w:kern w:val="0"/>
                <w:szCs w:val="21"/>
                <w:highlight w:val="none"/>
              </w:rPr>
            </w:pPr>
          </w:p>
          <w:p w14:paraId="024305E7">
            <w:pPr>
              <w:widowControl/>
              <w:spacing w:line="300" w:lineRule="exact"/>
              <w:jc w:val="center"/>
              <w:rPr>
                <w:rFonts w:hint="default" w:ascii="Times New Roman" w:hAnsi="Times New Roman" w:eastAsia="仿宋_GB2312" w:cs="Times New Roman"/>
                <w:color w:val="auto"/>
                <w:kern w:val="0"/>
                <w:szCs w:val="21"/>
                <w:highlight w:val="none"/>
              </w:rPr>
            </w:pPr>
          </w:p>
          <w:p w14:paraId="7901ABE1">
            <w:pPr>
              <w:widowControl/>
              <w:spacing w:line="300" w:lineRule="exact"/>
              <w:jc w:val="both"/>
              <w:rPr>
                <w:rFonts w:hint="default" w:ascii="Times New Roman" w:hAnsi="Times New Roman" w:eastAsia="仿宋_GB2312" w:cs="Times New Roman"/>
                <w:color w:val="auto"/>
                <w:kern w:val="0"/>
                <w:szCs w:val="21"/>
                <w:highlight w:val="none"/>
              </w:rPr>
            </w:pPr>
          </w:p>
          <w:p w14:paraId="620197A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熟肉制品</w:t>
            </w:r>
          </w:p>
          <w:p w14:paraId="6A70FA8D">
            <w:pPr>
              <w:widowControl/>
              <w:spacing w:line="300" w:lineRule="exact"/>
              <w:jc w:val="center"/>
              <w:rPr>
                <w:rFonts w:hint="default" w:ascii="Times New Roman" w:hAnsi="Times New Roman" w:eastAsia="仿宋_GB2312" w:cs="Times New Roman"/>
                <w:color w:val="auto"/>
                <w:kern w:val="0"/>
                <w:szCs w:val="21"/>
                <w:highlight w:val="none"/>
              </w:rPr>
            </w:pPr>
          </w:p>
          <w:p w14:paraId="1F36C6D3">
            <w:pPr>
              <w:widowControl/>
              <w:spacing w:line="300" w:lineRule="exact"/>
              <w:jc w:val="center"/>
              <w:rPr>
                <w:rFonts w:hint="default" w:ascii="Times New Roman" w:hAnsi="Times New Roman" w:eastAsia="仿宋_GB2312" w:cs="Times New Roman"/>
                <w:color w:val="auto"/>
                <w:kern w:val="0"/>
                <w:szCs w:val="21"/>
                <w:highlight w:val="none"/>
              </w:rPr>
            </w:pPr>
          </w:p>
          <w:p w14:paraId="238054C4">
            <w:pPr>
              <w:widowControl/>
              <w:spacing w:line="300" w:lineRule="exact"/>
              <w:jc w:val="center"/>
              <w:rPr>
                <w:rFonts w:hint="default" w:ascii="Times New Roman" w:hAnsi="Times New Roman" w:eastAsia="仿宋_GB2312" w:cs="Times New Roman"/>
                <w:color w:val="auto"/>
                <w:kern w:val="0"/>
                <w:szCs w:val="21"/>
                <w:highlight w:val="none"/>
              </w:rPr>
            </w:pPr>
          </w:p>
          <w:p w14:paraId="33756F59">
            <w:pPr>
              <w:widowControl/>
              <w:spacing w:line="300" w:lineRule="exact"/>
              <w:jc w:val="center"/>
              <w:rPr>
                <w:rFonts w:hint="default" w:ascii="Times New Roman" w:hAnsi="Times New Roman" w:eastAsia="仿宋_GB2312" w:cs="Times New Roman"/>
                <w:color w:val="auto"/>
                <w:kern w:val="0"/>
                <w:szCs w:val="21"/>
                <w:highlight w:val="none"/>
              </w:rPr>
            </w:pPr>
          </w:p>
          <w:p w14:paraId="128958D2">
            <w:pPr>
              <w:widowControl/>
              <w:spacing w:line="300" w:lineRule="exact"/>
              <w:jc w:val="center"/>
              <w:rPr>
                <w:rFonts w:hint="default" w:ascii="Times New Roman" w:hAnsi="Times New Roman" w:eastAsia="仿宋_GB2312" w:cs="Times New Roman"/>
                <w:color w:val="auto"/>
                <w:kern w:val="0"/>
                <w:szCs w:val="21"/>
                <w:highlight w:val="none"/>
              </w:rPr>
            </w:pPr>
          </w:p>
          <w:p w14:paraId="737D6B9F">
            <w:pPr>
              <w:widowControl/>
              <w:spacing w:line="300" w:lineRule="exact"/>
              <w:jc w:val="center"/>
              <w:rPr>
                <w:rFonts w:hint="default" w:ascii="Times New Roman" w:hAnsi="Times New Roman" w:eastAsia="仿宋_GB2312" w:cs="Times New Roman"/>
                <w:color w:val="auto"/>
                <w:kern w:val="0"/>
                <w:szCs w:val="21"/>
                <w:highlight w:val="none"/>
              </w:rPr>
            </w:pPr>
          </w:p>
          <w:p w14:paraId="6CF49A80">
            <w:pPr>
              <w:widowControl/>
              <w:spacing w:line="300" w:lineRule="exact"/>
              <w:jc w:val="center"/>
              <w:rPr>
                <w:rFonts w:hint="default" w:ascii="Times New Roman" w:hAnsi="Times New Roman" w:eastAsia="仿宋_GB2312" w:cs="Times New Roman"/>
                <w:color w:val="auto"/>
                <w:kern w:val="0"/>
                <w:szCs w:val="21"/>
                <w:highlight w:val="none"/>
              </w:rPr>
            </w:pPr>
          </w:p>
          <w:p w14:paraId="65275E4D">
            <w:pPr>
              <w:widowControl/>
              <w:spacing w:line="300" w:lineRule="exact"/>
              <w:jc w:val="center"/>
              <w:rPr>
                <w:rFonts w:hint="default" w:ascii="Times New Roman" w:hAnsi="Times New Roman" w:eastAsia="仿宋_GB2312" w:cs="Times New Roman"/>
                <w:color w:val="auto"/>
                <w:kern w:val="0"/>
                <w:szCs w:val="21"/>
                <w:highlight w:val="none"/>
              </w:rPr>
            </w:pPr>
          </w:p>
          <w:p w14:paraId="68E1271C">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3590C650">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36D18D12">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3C1D1FBA">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495A581F">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3E2899FD">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熟肉制品</w:t>
            </w:r>
          </w:p>
        </w:tc>
        <w:tc>
          <w:tcPr>
            <w:tcW w:w="1144" w:type="dxa"/>
            <w:noWrap w:val="0"/>
            <w:vAlign w:val="center"/>
          </w:tcPr>
          <w:p w14:paraId="4A39305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发酵肉制品</w:t>
            </w:r>
          </w:p>
        </w:tc>
        <w:tc>
          <w:tcPr>
            <w:tcW w:w="1856" w:type="dxa"/>
            <w:noWrap w:val="0"/>
            <w:vAlign w:val="center"/>
          </w:tcPr>
          <w:p w14:paraId="1B631C8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发酵肉制品</w:t>
            </w:r>
          </w:p>
        </w:tc>
        <w:tc>
          <w:tcPr>
            <w:tcW w:w="1106" w:type="dxa"/>
            <w:noWrap w:val="0"/>
            <w:vAlign w:val="center"/>
          </w:tcPr>
          <w:p w14:paraId="6F78BD7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230F4F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亚硝酸盐（以亚硝酸钠计）、沙门氏菌、金黄色葡萄球菌</w:t>
            </w:r>
          </w:p>
        </w:tc>
        <w:tc>
          <w:tcPr>
            <w:tcW w:w="3435" w:type="dxa"/>
            <w:noWrap w:val="0"/>
            <w:vAlign w:val="center"/>
          </w:tcPr>
          <w:p w14:paraId="47ED4F9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单核细胞增生李斯特氏菌、致泻大 </w:t>
            </w:r>
          </w:p>
          <w:p w14:paraId="0F0A7CB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肠埃希氏菌</w:t>
            </w:r>
          </w:p>
        </w:tc>
      </w:tr>
      <w:tr w14:paraId="7048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5" w:hRule="atLeast"/>
        </w:trPr>
        <w:tc>
          <w:tcPr>
            <w:tcW w:w="720" w:type="dxa"/>
            <w:vMerge w:val="continue"/>
            <w:noWrap w:val="0"/>
            <w:vAlign w:val="center"/>
          </w:tcPr>
          <w:p w14:paraId="177A37D1">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479650D">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6B1AE0B">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4394AB2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酱卤肉制品</w:t>
            </w:r>
          </w:p>
        </w:tc>
        <w:tc>
          <w:tcPr>
            <w:tcW w:w="1856" w:type="dxa"/>
            <w:noWrap w:val="0"/>
            <w:vAlign w:val="center"/>
          </w:tcPr>
          <w:p w14:paraId="5427F24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酱卤肉制品</w:t>
            </w:r>
          </w:p>
        </w:tc>
        <w:tc>
          <w:tcPr>
            <w:tcW w:w="1106" w:type="dxa"/>
            <w:noWrap w:val="0"/>
            <w:vAlign w:val="center"/>
          </w:tcPr>
          <w:p w14:paraId="5E3DED9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2E9FB2A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合成着色剂（柠檬黄、日落黄、胭脂红、诱惑红）、氯霉素、菌落总数、大肠菌群</w:t>
            </w:r>
          </w:p>
        </w:tc>
        <w:tc>
          <w:tcPr>
            <w:tcW w:w="3435" w:type="dxa"/>
            <w:noWrap w:val="0"/>
            <w:vAlign w:val="center"/>
          </w:tcPr>
          <w:p w14:paraId="33F15D0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沙门氏菌、金黄色葡萄球菌、纳他 </w:t>
            </w:r>
          </w:p>
          <w:p w14:paraId="75E2635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霉素、糖精钠（以糖精计）、N-二 </w:t>
            </w:r>
          </w:p>
          <w:p w14:paraId="1B23AFE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甲基亚硝胺、亚硝酸盐（以亚硝酸 </w:t>
            </w:r>
          </w:p>
          <w:p w14:paraId="729616C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钠计）</w:t>
            </w:r>
          </w:p>
        </w:tc>
      </w:tr>
      <w:tr w14:paraId="352E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atLeast"/>
        </w:trPr>
        <w:tc>
          <w:tcPr>
            <w:tcW w:w="720" w:type="dxa"/>
            <w:vMerge w:val="continue"/>
            <w:noWrap w:val="0"/>
            <w:vAlign w:val="center"/>
          </w:tcPr>
          <w:p w14:paraId="475830DC">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405701B">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36E50AA">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495E17A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油炸肉制品</w:t>
            </w:r>
          </w:p>
        </w:tc>
        <w:tc>
          <w:tcPr>
            <w:tcW w:w="1856" w:type="dxa"/>
            <w:noWrap w:val="0"/>
            <w:vAlign w:val="center"/>
          </w:tcPr>
          <w:p w14:paraId="736C32B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油炸肉制品</w:t>
            </w:r>
          </w:p>
        </w:tc>
        <w:tc>
          <w:tcPr>
            <w:tcW w:w="1106" w:type="dxa"/>
            <w:noWrap w:val="0"/>
            <w:vAlign w:val="center"/>
          </w:tcPr>
          <w:p w14:paraId="53B1BFB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22C87482">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亚硝酸盐（以亚硝酸钠计）、N－二甲基亚硝胺、 苯甲酸及其钠盐（以苯甲酸计）、山梨酸及其钾盐（以山梨酸计）、沙门氏菌、金黄色葡萄球菌</w:t>
            </w:r>
          </w:p>
        </w:tc>
        <w:tc>
          <w:tcPr>
            <w:tcW w:w="3435" w:type="dxa"/>
            <w:noWrap w:val="0"/>
            <w:vAlign w:val="center"/>
          </w:tcPr>
          <w:p w14:paraId="65246D7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单核细胞增生李斯特氏菌、致泻大 </w:t>
            </w:r>
          </w:p>
          <w:p w14:paraId="7E50AF5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肠埃希氏菌</w:t>
            </w:r>
          </w:p>
        </w:tc>
      </w:tr>
      <w:tr w14:paraId="4AB8C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8" w:hRule="atLeast"/>
        </w:trPr>
        <w:tc>
          <w:tcPr>
            <w:tcW w:w="720" w:type="dxa"/>
            <w:vMerge w:val="continue"/>
            <w:noWrap w:val="0"/>
            <w:vAlign w:val="center"/>
          </w:tcPr>
          <w:p w14:paraId="0B6853B9">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0931EF0">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3EF3A61">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3B9E22A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熟肉干制品</w:t>
            </w:r>
          </w:p>
        </w:tc>
        <w:tc>
          <w:tcPr>
            <w:tcW w:w="1856" w:type="dxa"/>
            <w:noWrap w:val="0"/>
            <w:vAlign w:val="center"/>
          </w:tcPr>
          <w:p w14:paraId="7E2591E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熟肉干制品</w:t>
            </w:r>
          </w:p>
        </w:tc>
        <w:tc>
          <w:tcPr>
            <w:tcW w:w="1106" w:type="dxa"/>
            <w:noWrap w:val="0"/>
            <w:vAlign w:val="center"/>
          </w:tcPr>
          <w:p w14:paraId="74514B8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3FC3382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N</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二甲基亚硝胺、苯甲酸及其钠盐（以苯甲酸计）、山梨酸及其钾盐（以山梨酸计）、脱氢乙酸及其钠盐（以脱氢乙酸计）、防腐剂混合使用时各自用量占其最大使用量的比例之和、氯霉素、菌落总数</w:t>
            </w:r>
          </w:p>
        </w:tc>
        <w:tc>
          <w:tcPr>
            <w:tcW w:w="3435" w:type="dxa"/>
            <w:noWrap w:val="0"/>
            <w:vAlign w:val="center"/>
          </w:tcPr>
          <w:p w14:paraId="7235712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铅（以Pb计）、合成着色剂（胭脂 </w:t>
            </w:r>
          </w:p>
          <w:p w14:paraId="2735CF9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红、诱惑红）、大肠菌群、沙门氏 </w:t>
            </w:r>
          </w:p>
          <w:p w14:paraId="02A4CA2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菌、金黄色葡萄球菌</w:t>
            </w:r>
          </w:p>
        </w:tc>
      </w:tr>
      <w:tr w14:paraId="7863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6" w:hRule="atLeast"/>
        </w:trPr>
        <w:tc>
          <w:tcPr>
            <w:tcW w:w="720" w:type="dxa"/>
            <w:vMerge w:val="continue"/>
            <w:noWrap w:val="0"/>
            <w:vAlign w:val="center"/>
          </w:tcPr>
          <w:p w14:paraId="0EA37C22">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6BE323F">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8F8618E">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0E9FF62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熏烧烤肉制品</w:t>
            </w:r>
          </w:p>
        </w:tc>
        <w:tc>
          <w:tcPr>
            <w:tcW w:w="1856" w:type="dxa"/>
            <w:noWrap w:val="0"/>
            <w:vAlign w:val="center"/>
          </w:tcPr>
          <w:p w14:paraId="32FD78D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熏烧烤肉制品</w:t>
            </w:r>
          </w:p>
        </w:tc>
        <w:tc>
          <w:tcPr>
            <w:tcW w:w="1106" w:type="dxa"/>
            <w:noWrap w:val="0"/>
            <w:vAlign w:val="center"/>
          </w:tcPr>
          <w:p w14:paraId="38DF5C7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EF54F6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苯甲酸及其钠盐（以苯甲酸计）、山梨酸及其钾盐（以山梨酸计）、合成着色剂（柠檬黄、日落黄、胭脂红）、氯霉素、菌落总数、大肠菌群</w:t>
            </w:r>
          </w:p>
        </w:tc>
        <w:tc>
          <w:tcPr>
            <w:tcW w:w="3435" w:type="dxa"/>
            <w:noWrap w:val="0"/>
            <w:vAlign w:val="center"/>
          </w:tcPr>
          <w:p w14:paraId="3306E7D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纳他霉素、苯并[a]芘、N-二甲基亚 </w:t>
            </w:r>
          </w:p>
          <w:p w14:paraId="3ABADB2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硝胺、亚硝酸盐（以亚硝酸钠计）、 </w:t>
            </w:r>
          </w:p>
          <w:p w14:paraId="493000E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沙门氏菌、金黄色葡萄球菌</w:t>
            </w:r>
          </w:p>
        </w:tc>
      </w:tr>
      <w:tr w14:paraId="31F0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8" w:hRule="atLeast"/>
        </w:trPr>
        <w:tc>
          <w:tcPr>
            <w:tcW w:w="720" w:type="dxa"/>
            <w:vMerge w:val="continue"/>
            <w:noWrap w:val="0"/>
            <w:vAlign w:val="center"/>
          </w:tcPr>
          <w:p w14:paraId="53937CF3">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1F7DDBD">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C05FB44">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12AE01F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熏煮香肠火腿制品</w:t>
            </w:r>
          </w:p>
        </w:tc>
        <w:tc>
          <w:tcPr>
            <w:tcW w:w="1856" w:type="dxa"/>
            <w:noWrap w:val="0"/>
            <w:vAlign w:val="center"/>
          </w:tcPr>
          <w:p w14:paraId="72138BB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熏煮香肠火腿制品</w:t>
            </w:r>
          </w:p>
        </w:tc>
        <w:tc>
          <w:tcPr>
            <w:tcW w:w="1106" w:type="dxa"/>
            <w:noWrap w:val="0"/>
            <w:vAlign w:val="center"/>
          </w:tcPr>
          <w:p w14:paraId="3038159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633F4D0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亚硝酸盐（以亚硝酸钠计）、苯甲酸及其钠盐（以苯甲酸计）、山梨酸及其钾盐（以山梨酸计）、脱氢乙酸及其钠盐（以脱氢乙酸计）、防腐剂混合使用时各自用量占其最大使用量的比例之和、氯霉素、菌落总数、大肠菌群</w:t>
            </w:r>
          </w:p>
        </w:tc>
        <w:tc>
          <w:tcPr>
            <w:tcW w:w="3435" w:type="dxa"/>
            <w:noWrap w:val="0"/>
            <w:vAlign w:val="center"/>
          </w:tcPr>
          <w:p w14:paraId="1757373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合成着色剂（胭脂红、诱惑红）、 </w:t>
            </w:r>
          </w:p>
          <w:p w14:paraId="0597297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沙门氏菌、金黄色葡萄球菌</w:t>
            </w:r>
          </w:p>
        </w:tc>
      </w:tr>
      <w:tr w14:paraId="223E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trPr>
        <w:tc>
          <w:tcPr>
            <w:tcW w:w="720" w:type="dxa"/>
            <w:vMerge w:val="restart"/>
            <w:noWrap w:val="0"/>
            <w:vAlign w:val="center"/>
          </w:tcPr>
          <w:p w14:paraId="64FE6DD7">
            <w:pPr>
              <w:widowControl/>
              <w:spacing w:line="300" w:lineRule="exact"/>
              <w:jc w:val="both"/>
              <w:rPr>
                <w:rFonts w:hint="default" w:ascii="Times New Roman" w:hAnsi="Times New Roman" w:eastAsia="仿宋_GB2312" w:cs="Times New Roman"/>
                <w:color w:val="auto"/>
                <w:kern w:val="0"/>
                <w:szCs w:val="21"/>
                <w:highlight w:val="none"/>
              </w:rPr>
            </w:pPr>
          </w:p>
          <w:p w14:paraId="2AD899F7">
            <w:pPr>
              <w:widowControl/>
              <w:spacing w:line="300" w:lineRule="exact"/>
              <w:jc w:val="center"/>
              <w:rPr>
                <w:rFonts w:hint="default" w:ascii="Times New Roman" w:hAnsi="Times New Roman" w:eastAsia="仿宋_GB2312" w:cs="Times New Roman"/>
                <w:color w:val="auto"/>
                <w:kern w:val="0"/>
                <w:szCs w:val="21"/>
                <w:highlight w:val="none"/>
              </w:rPr>
            </w:pPr>
          </w:p>
          <w:p w14:paraId="7B7C585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5</w:t>
            </w:r>
          </w:p>
          <w:p w14:paraId="568CF239">
            <w:pPr>
              <w:widowControl/>
              <w:spacing w:line="300" w:lineRule="exact"/>
              <w:jc w:val="center"/>
              <w:rPr>
                <w:rFonts w:hint="default" w:ascii="Times New Roman" w:hAnsi="Times New Roman" w:eastAsia="仿宋_GB2312" w:cs="Times New Roman"/>
                <w:color w:val="auto"/>
                <w:kern w:val="0"/>
                <w:szCs w:val="21"/>
                <w:highlight w:val="none"/>
              </w:rPr>
            </w:pPr>
          </w:p>
          <w:p w14:paraId="771CFEE6">
            <w:pPr>
              <w:widowControl/>
              <w:spacing w:line="300" w:lineRule="exact"/>
              <w:jc w:val="center"/>
              <w:rPr>
                <w:rFonts w:hint="default" w:ascii="Times New Roman" w:hAnsi="Times New Roman" w:eastAsia="仿宋_GB2312" w:cs="Times New Roman"/>
                <w:color w:val="auto"/>
                <w:kern w:val="0"/>
                <w:szCs w:val="21"/>
                <w:highlight w:val="none"/>
              </w:rPr>
            </w:pPr>
          </w:p>
          <w:p w14:paraId="3451A887">
            <w:pPr>
              <w:widowControl/>
              <w:spacing w:line="300" w:lineRule="exact"/>
              <w:jc w:val="center"/>
              <w:rPr>
                <w:rFonts w:hint="default" w:ascii="Times New Roman" w:hAnsi="Times New Roman" w:eastAsia="仿宋_GB2312" w:cs="Times New Roman"/>
                <w:color w:val="auto"/>
                <w:kern w:val="0"/>
                <w:szCs w:val="21"/>
                <w:highlight w:val="none"/>
              </w:rPr>
            </w:pPr>
          </w:p>
          <w:p w14:paraId="6C89E6E2">
            <w:pPr>
              <w:widowControl/>
              <w:spacing w:line="300" w:lineRule="exact"/>
              <w:jc w:val="center"/>
              <w:rPr>
                <w:rFonts w:hint="default" w:ascii="Times New Roman" w:hAnsi="Times New Roman" w:eastAsia="仿宋_GB2312" w:cs="Times New Roman"/>
                <w:color w:val="auto"/>
                <w:kern w:val="0"/>
                <w:szCs w:val="21"/>
                <w:highlight w:val="none"/>
              </w:rPr>
            </w:pPr>
          </w:p>
          <w:p w14:paraId="0AFB3B5F">
            <w:pPr>
              <w:widowControl/>
              <w:spacing w:line="300" w:lineRule="exact"/>
              <w:jc w:val="center"/>
              <w:rPr>
                <w:rFonts w:hint="default" w:ascii="Times New Roman" w:hAnsi="Times New Roman" w:eastAsia="仿宋_GB2312" w:cs="Times New Roman"/>
                <w:color w:val="auto"/>
                <w:kern w:val="0"/>
                <w:szCs w:val="21"/>
                <w:highlight w:val="none"/>
              </w:rPr>
            </w:pPr>
          </w:p>
          <w:p w14:paraId="6BFF4193">
            <w:pPr>
              <w:widowControl/>
              <w:spacing w:line="300" w:lineRule="exact"/>
              <w:jc w:val="center"/>
              <w:rPr>
                <w:rFonts w:hint="default" w:ascii="Times New Roman" w:hAnsi="Times New Roman" w:eastAsia="仿宋_GB2312" w:cs="Times New Roman"/>
                <w:color w:val="auto"/>
                <w:kern w:val="0"/>
                <w:szCs w:val="21"/>
                <w:highlight w:val="none"/>
              </w:rPr>
            </w:pPr>
          </w:p>
          <w:p w14:paraId="5CDCA884">
            <w:pPr>
              <w:widowControl/>
              <w:spacing w:line="300" w:lineRule="exact"/>
              <w:jc w:val="center"/>
              <w:rPr>
                <w:rFonts w:hint="default" w:ascii="Times New Roman" w:hAnsi="Times New Roman" w:eastAsia="仿宋_GB2312" w:cs="Times New Roman"/>
                <w:color w:val="auto"/>
                <w:kern w:val="0"/>
                <w:szCs w:val="21"/>
                <w:highlight w:val="none"/>
              </w:rPr>
            </w:pPr>
          </w:p>
          <w:p w14:paraId="245399E1">
            <w:pPr>
              <w:widowControl/>
              <w:spacing w:line="300" w:lineRule="exact"/>
              <w:jc w:val="center"/>
              <w:rPr>
                <w:rFonts w:hint="default" w:ascii="Times New Roman" w:hAnsi="Times New Roman" w:eastAsia="仿宋_GB2312" w:cs="Times New Roman"/>
                <w:color w:val="auto"/>
                <w:kern w:val="0"/>
                <w:szCs w:val="21"/>
                <w:highlight w:val="none"/>
              </w:rPr>
            </w:pPr>
          </w:p>
          <w:p w14:paraId="3F05F4F0">
            <w:pPr>
              <w:widowControl/>
              <w:spacing w:line="300" w:lineRule="exact"/>
              <w:jc w:val="center"/>
              <w:rPr>
                <w:rFonts w:hint="default" w:ascii="Times New Roman" w:hAnsi="Times New Roman" w:eastAsia="仿宋_GB2312" w:cs="Times New Roman"/>
                <w:color w:val="auto"/>
                <w:kern w:val="0"/>
                <w:szCs w:val="21"/>
                <w:highlight w:val="none"/>
              </w:rPr>
            </w:pPr>
          </w:p>
          <w:p w14:paraId="38AD78F3">
            <w:pPr>
              <w:widowControl/>
              <w:spacing w:line="300" w:lineRule="exact"/>
              <w:jc w:val="center"/>
              <w:rPr>
                <w:rFonts w:hint="default" w:ascii="Times New Roman" w:hAnsi="Times New Roman" w:eastAsia="仿宋_GB2312" w:cs="Times New Roman"/>
                <w:color w:val="auto"/>
                <w:kern w:val="0"/>
                <w:szCs w:val="21"/>
                <w:highlight w:val="none"/>
              </w:rPr>
            </w:pPr>
          </w:p>
          <w:p w14:paraId="64C16F55">
            <w:pPr>
              <w:widowControl/>
              <w:spacing w:line="300" w:lineRule="exact"/>
              <w:jc w:val="center"/>
              <w:rPr>
                <w:rFonts w:hint="default" w:ascii="Times New Roman" w:hAnsi="Times New Roman" w:eastAsia="仿宋_GB2312" w:cs="Times New Roman"/>
                <w:color w:val="auto"/>
                <w:kern w:val="0"/>
                <w:szCs w:val="21"/>
                <w:highlight w:val="none"/>
              </w:rPr>
            </w:pPr>
          </w:p>
          <w:p w14:paraId="0F91118F">
            <w:pPr>
              <w:widowControl/>
              <w:spacing w:line="300" w:lineRule="exact"/>
              <w:jc w:val="center"/>
              <w:rPr>
                <w:rFonts w:hint="default" w:ascii="Times New Roman" w:hAnsi="Times New Roman" w:eastAsia="仿宋_GB2312" w:cs="Times New Roman"/>
                <w:color w:val="auto"/>
                <w:kern w:val="0"/>
                <w:szCs w:val="21"/>
                <w:highlight w:val="none"/>
              </w:rPr>
            </w:pPr>
          </w:p>
          <w:p w14:paraId="6DAA755C">
            <w:pPr>
              <w:widowControl/>
              <w:spacing w:line="300" w:lineRule="exact"/>
              <w:jc w:val="both"/>
              <w:rPr>
                <w:rFonts w:hint="default" w:ascii="Times New Roman" w:hAnsi="Times New Roman" w:eastAsia="仿宋_GB2312" w:cs="Times New Roman"/>
                <w:color w:val="auto"/>
                <w:kern w:val="0"/>
                <w:szCs w:val="21"/>
                <w:highlight w:val="none"/>
              </w:rPr>
            </w:pPr>
          </w:p>
          <w:p w14:paraId="45D047CC">
            <w:pPr>
              <w:widowControl/>
              <w:spacing w:line="300" w:lineRule="exact"/>
              <w:jc w:val="center"/>
              <w:rPr>
                <w:rFonts w:hint="default" w:ascii="Times New Roman" w:hAnsi="Times New Roman" w:eastAsia="仿宋_GB2312" w:cs="Times New Roman"/>
                <w:color w:val="auto"/>
                <w:kern w:val="0"/>
                <w:szCs w:val="21"/>
                <w:highlight w:val="none"/>
              </w:rPr>
            </w:pPr>
          </w:p>
          <w:p w14:paraId="01BDCDF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5</w:t>
            </w:r>
          </w:p>
        </w:tc>
        <w:tc>
          <w:tcPr>
            <w:tcW w:w="1107" w:type="dxa"/>
            <w:vMerge w:val="restart"/>
            <w:noWrap w:val="0"/>
            <w:vAlign w:val="center"/>
          </w:tcPr>
          <w:p w14:paraId="56307AA9">
            <w:pPr>
              <w:widowControl/>
              <w:spacing w:line="300" w:lineRule="exact"/>
              <w:jc w:val="both"/>
              <w:rPr>
                <w:rFonts w:hint="default" w:ascii="Times New Roman" w:hAnsi="Times New Roman" w:eastAsia="仿宋_GB2312" w:cs="Times New Roman"/>
                <w:color w:val="auto"/>
                <w:kern w:val="0"/>
                <w:szCs w:val="21"/>
                <w:highlight w:val="none"/>
              </w:rPr>
            </w:pPr>
          </w:p>
          <w:p w14:paraId="2B17C6DB">
            <w:pPr>
              <w:widowControl/>
              <w:spacing w:line="300" w:lineRule="exact"/>
              <w:jc w:val="center"/>
              <w:rPr>
                <w:rFonts w:hint="default" w:ascii="Times New Roman" w:hAnsi="Times New Roman" w:eastAsia="仿宋_GB2312" w:cs="Times New Roman"/>
                <w:color w:val="auto"/>
                <w:kern w:val="0"/>
                <w:szCs w:val="21"/>
                <w:highlight w:val="none"/>
              </w:rPr>
            </w:pPr>
          </w:p>
          <w:p w14:paraId="5853726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乳制品</w:t>
            </w:r>
          </w:p>
          <w:p w14:paraId="20DDEDEC">
            <w:pPr>
              <w:widowControl/>
              <w:spacing w:line="300" w:lineRule="exact"/>
              <w:jc w:val="center"/>
              <w:rPr>
                <w:rFonts w:hint="default" w:ascii="Times New Roman" w:hAnsi="Times New Roman" w:eastAsia="仿宋_GB2312" w:cs="Times New Roman"/>
                <w:color w:val="auto"/>
                <w:kern w:val="0"/>
                <w:szCs w:val="21"/>
                <w:highlight w:val="none"/>
              </w:rPr>
            </w:pPr>
          </w:p>
          <w:p w14:paraId="36EB46B3">
            <w:pPr>
              <w:widowControl/>
              <w:spacing w:line="300" w:lineRule="exact"/>
              <w:jc w:val="center"/>
              <w:rPr>
                <w:rFonts w:hint="default" w:ascii="Times New Roman" w:hAnsi="Times New Roman" w:eastAsia="仿宋_GB2312" w:cs="Times New Roman"/>
                <w:color w:val="auto"/>
                <w:kern w:val="0"/>
                <w:szCs w:val="21"/>
                <w:highlight w:val="none"/>
              </w:rPr>
            </w:pPr>
          </w:p>
          <w:p w14:paraId="46CB5792">
            <w:pPr>
              <w:widowControl/>
              <w:spacing w:line="300" w:lineRule="exact"/>
              <w:jc w:val="center"/>
              <w:rPr>
                <w:rFonts w:hint="default" w:ascii="Times New Roman" w:hAnsi="Times New Roman" w:eastAsia="仿宋_GB2312" w:cs="Times New Roman"/>
                <w:color w:val="auto"/>
                <w:kern w:val="0"/>
                <w:szCs w:val="21"/>
                <w:highlight w:val="none"/>
              </w:rPr>
            </w:pPr>
          </w:p>
          <w:p w14:paraId="322D73F3">
            <w:pPr>
              <w:widowControl/>
              <w:spacing w:line="300" w:lineRule="exact"/>
              <w:jc w:val="center"/>
              <w:rPr>
                <w:rFonts w:hint="default" w:ascii="Times New Roman" w:hAnsi="Times New Roman" w:eastAsia="仿宋_GB2312" w:cs="Times New Roman"/>
                <w:color w:val="auto"/>
                <w:kern w:val="0"/>
                <w:szCs w:val="21"/>
                <w:highlight w:val="none"/>
              </w:rPr>
            </w:pPr>
          </w:p>
          <w:p w14:paraId="42AEE4A0">
            <w:pPr>
              <w:widowControl/>
              <w:spacing w:line="300" w:lineRule="exact"/>
              <w:jc w:val="center"/>
              <w:rPr>
                <w:rFonts w:hint="default" w:ascii="Times New Roman" w:hAnsi="Times New Roman" w:eastAsia="仿宋_GB2312" w:cs="Times New Roman"/>
                <w:color w:val="auto"/>
                <w:kern w:val="0"/>
                <w:szCs w:val="21"/>
                <w:highlight w:val="none"/>
              </w:rPr>
            </w:pPr>
          </w:p>
          <w:p w14:paraId="3AAAE45F">
            <w:pPr>
              <w:widowControl/>
              <w:spacing w:line="300" w:lineRule="exact"/>
              <w:jc w:val="center"/>
              <w:rPr>
                <w:rFonts w:hint="default" w:ascii="Times New Roman" w:hAnsi="Times New Roman" w:eastAsia="仿宋_GB2312" w:cs="Times New Roman"/>
                <w:color w:val="auto"/>
                <w:kern w:val="0"/>
                <w:szCs w:val="21"/>
                <w:highlight w:val="none"/>
              </w:rPr>
            </w:pPr>
          </w:p>
          <w:p w14:paraId="7EA2675F">
            <w:pPr>
              <w:widowControl/>
              <w:spacing w:line="300" w:lineRule="exact"/>
              <w:jc w:val="center"/>
              <w:rPr>
                <w:rFonts w:hint="default" w:ascii="Times New Roman" w:hAnsi="Times New Roman" w:eastAsia="仿宋_GB2312" w:cs="Times New Roman"/>
                <w:color w:val="auto"/>
                <w:kern w:val="0"/>
                <w:szCs w:val="21"/>
                <w:highlight w:val="none"/>
              </w:rPr>
            </w:pPr>
          </w:p>
          <w:p w14:paraId="4C950F9E">
            <w:pPr>
              <w:widowControl/>
              <w:spacing w:line="300" w:lineRule="exact"/>
              <w:jc w:val="center"/>
              <w:rPr>
                <w:rFonts w:hint="default" w:ascii="Times New Roman" w:hAnsi="Times New Roman" w:eastAsia="仿宋_GB2312" w:cs="Times New Roman"/>
                <w:color w:val="auto"/>
                <w:kern w:val="0"/>
                <w:szCs w:val="21"/>
                <w:highlight w:val="none"/>
              </w:rPr>
            </w:pPr>
          </w:p>
          <w:p w14:paraId="2DF89BE6">
            <w:pPr>
              <w:widowControl/>
              <w:spacing w:line="300" w:lineRule="exact"/>
              <w:jc w:val="center"/>
              <w:rPr>
                <w:rFonts w:hint="default" w:ascii="Times New Roman" w:hAnsi="Times New Roman" w:eastAsia="仿宋_GB2312" w:cs="Times New Roman"/>
                <w:color w:val="auto"/>
                <w:kern w:val="0"/>
                <w:szCs w:val="21"/>
                <w:highlight w:val="none"/>
              </w:rPr>
            </w:pPr>
          </w:p>
          <w:p w14:paraId="4C0818F1">
            <w:pPr>
              <w:widowControl/>
              <w:spacing w:line="300" w:lineRule="exact"/>
              <w:jc w:val="center"/>
              <w:rPr>
                <w:rFonts w:hint="default" w:ascii="Times New Roman" w:hAnsi="Times New Roman" w:eastAsia="仿宋_GB2312" w:cs="Times New Roman"/>
                <w:color w:val="auto"/>
                <w:kern w:val="0"/>
                <w:szCs w:val="21"/>
                <w:highlight w:val="none"/>
              </w:rPr>
            </w:pPr>
          </w:p>
          <w:p w14:paraId="61B109BA">
            <w:pPr>
              <w:widowControl/>
              <w:spacing w:line="300" w:lineRule="exact"/>
              <w:jc w:val="center"/>
              <w:rPr>
                <w:rFonts w:hint="default" w:ascii="Times New Roman" w:hAnsi="Times New Roman" w:eastAsia="仿宋_GB2312" w:cs="Times New Roman"/>
                <w:color w:val="auto"/>
                <w:kern w:val="0"/>
                <w:szCs w:val="21"/>
                <w:highlight w:val="none"/>
              </w:rPr>
            </w:pPr>
          </w:p>
          <w:p w14:paraId="243BE228">
            <w:pPr>
              <w:widowControl/>
              <w:spacing w:line="300" w:lineRule="exact"/>
              <w:jc w:val="center"/>
              <w:rPr>
                <w:rFonts w:hint="default" w:ascii="Times New Roman" w:hAnsi="Times New Roman" w:eastAsia="仿宋_GB2312" w:cs="Times New Roman"/>
                <w:color w:val="auto"/>
                <w:kern w:val="0"/>
                <w:szCs w:val="21"/>
                <w:highlight w:val="none"/>
              </w:rPr>
            </w:pPr>
          </w:p>
          <w:p w14:paraId="6A91BF67">
            <w:pPr>
              <w:widowControl/>
              <w:spacing w:line="300" w:lineRule="exact"/>
              <w:jc w:val="both"/>
              <w:rPr>
                <w:rFonts w:hint="default" w:ascii="Times New Roman" w:hAnsi="Times New Roman" w:eastAsia="仿宋_GB2312" w:cs="Times New Roman"/>
                <w:color w:val="auto"/>
                <w:kern w:val="0"/>
                <w:szCs w:val="21"/>
                <w:highlight w:val="none"/>
              </w:rPr>
            </w:pPr>
          </w:p>
          <w:p w14:paraId="1756CC0A">
            <w:pPr>
              <w:widowControl/>
              <w:spacing w:line="300" w:lineRule="exact"/>
              <w:jc w:val="center"/>
              <w:rPr>
                <w:rFonts w:hint="default" w:ascii="Times New Roman" w:hAnsi="Times New Roman" w:eastAsia="仿宋_GB2312" w:cs="Times New Roman"/>
                <w:color w:val="auto"/>
                <w:kern w:val="0"/>
                <w:szCs w:val="21"/>
                <w:highlight w:val="none"/>
              </w:rPr>
            </w:pPr>
          </w:p>
          <w:p w14:paraId="3268487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乳制品</w:t>
            </w:r>
          </w:p>
        </w:tc>
        <w:tc>
          <w:tcPr>
            <w:tcW w:w="1256" w:type="dxa"/>
            <w:vMerge w:val="restart"/>
            <w:noWrap w:val="0"/>
            <w:vAlign w:val="center"/>
          </w:tcPr>
          <w:p w14:paraId="62693828">
            <w:pPr>
              <w:widowControl/>
              <w:spacing w:line="300" w:lineRule="exact"/>
              <w:jc w:val="center"/>
              <w:rPr>
                <w:rFonts w:hint="default" w:ascii="Times New Roman" w:hAnsi="Times New Roman" w:eastAsia="仿宋_GB2312" w:cs="Times New Roman"/>
                <w:color w:val="auto"/>
                <w:kern w:val="0"/>
                <w:szCs w:val="21"/>
                <w:highlight w:val="none"/>
              </w:rPr>
            </w:pPr>
          </w:p>
          <w:p w14:paraId="43C12F80">
            <w:pPr>
              <w:widowControl/>
              <w:spacing w:line="300" w:lineRule="exact"/>
              <w:jc w:val="both"/>
              <w:rPr>
                <w:rFonts w:hint="default" w:ascii="Times New Roman" w:hAnsi="Times New Roman" w:eastAsia="仿宋_GB2312" w:cs="Times New Roman"/>
                <w:color w:val="auto"/>
                <w:kern w:val="0"/>
                <w:szCs w:val="21"/>
                <w:highlight w:val="none"/>
              </w:rPr>
            </w:pPr>
          </w:p>
          <w:p w14:paraId="7D2FE21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乳制品</w:t>
            </w:r>
          </w:p>
          <w:p w14:paraId="3A930EB4">
            <w:pPr>
              <w:widowControl/>
              <w:spacing w:line="300" w:lineRule="exact"/>
              <w:jc w:val="center"/>
              <w:rPr>
                <w:rFonts w:hint="default" w:ascii="Times New Roman" w:hAnsi="Times New Roman" w:eastAsia="仿宋_GB2312" w:cs="Times New Roman"/>
                <w:color w:val="auto"/>
                <w:kern w:val="0"/>
                <w:szCs w:val="21"/>
                <w:highlight w:val="none"/>
              </w:rPr>
            </w:pPr>
          </w:p>
          <w:p w14:paraId="0DCEB55F">
            <w:pPr>
              <w:widowControl/>
              <w:spacing w:line="300" w:lineRule="exact"/>
              <w:jc w:val="center"/>
              <w:rPr>
                <w:rFonts w:hint="default" w:ascii="Times New Roman" w:hAnsi="Times New Roman" w:eastAsia="仿宋_GB2312" w:cs="Times New Roman"/>
                <w:color w:val="auto"/>
                <w:kern w:val="0"/>
                <w:szCs w:val="21"/>
                <w:highlight w:val="none"/>
              </w:rPr>
            </w:pPr>
          </w:p>
          <w:p w14:paraId="7960E2E6">
            <w:pPr>
              <w:widowControl/>
              <w:spacing w:line="300" w:lineRule="exact"/>
              <w:jc w:val="center"/>
              <w:rPr>
                <w:rFonts w:hint="default" w:ascii="Times New Roman" w:hAnsi="Times New Roman" w:eastAsia="仿宋_GB2312" w:cs="Times New Roman"/>
                <w:color w:val="auto"/>
                <w:kern w:val="0"/>
                <w:szCs w:val="21"/>
                <w:highlight w:val="none"/>
              </w:rPr>
            </w:pPr>
          </w:p>
          <w:p w14:paraId="1566A28B">
            <w:pPr>
              <w:widowControl/>
              <w:spacing w:line="300" w:lineRule="exact"/>
              <w:jc w:val="center"/>
              <w:rPr>
                <w:rFonts w:hint="default" w:ascii="Times New Roman" w:hAnsi="Times New Roman" w:eastAsia="仿宋_GB2312" w:cs="Times New Roman"/>
                <w:color w:val="auto"/>
                <w:kern w:val="0"/>
                <w:szCs w:val="21"/>
                <w:highlight w:val="none"/>
              </w:rPr>
            </w:pPr>
          </w:p>
          <w:p w14:paraId="273E25CF">
            <w:pPr>
              <w:widowControl/>
              <w:spacing w:line="300" w:lineRule="exact"/>
              <w:jc w:val="center"/>
              <w:rPr>
                <w:rFonts w:hint="default" w:ascii="Times New Roman" w:hAnsi="Times New Roman" w:eastAsia="仿宋_GB2312" w:cs="Times New Roman"/>
                <w:color w:val="auto"/>
                <w:kern w:val="0"/>
                <w:szCs w:val="21"/>
                <w:highlight w:val="none"/>
              </w:rPr>
            </w:pPr>
          </w:p>
          <w:p w14:paraId="4B931FF1">
            <w:pPr>
              <w:widowControl/>
              <w:spacing w:line="300" w:lineRule="exact"/>
              <w:jc w:val="center"/>
              <w:rPr>
                <w:rFonts w:hint="default" w:ascii="Times New Roman" w:hAnsi="Times New Roman" w:eastAsia="仿宋_GB2312" w:cs="Times New Roman"/>
                <w:color w:val="auto"/>
                <w:kern w:val="0"/>
                <w:szCs w:val="21"/>
                <w:highlight w:val="none"/>
              </w:rPr>
            </w:pPr>
          </w:p>
          <w:p w14:paraId="1F2156D3">
            <w:pPr>
              <w:widowControl/>
              <w:spacing w:line="300" w:lineRule="exact"/>
              <w:jc w:val="center"/>
              <w:rPr>
                <w:rFonts w:hint="default" w:ascii="Times New Roman" w:hAnsi="Times New Roman" w:eastAsia="仿宋_GB2312" w:cs="Times New Roman"/>
                <w:color w:val="auto"/>
                <w:kern w:val="0"/>
                <w:szCs w:val="21"/>
                <w:highlight w:val="none"/>
              </w:rPr>
            </w:pPr>
          </w:p>
          <w:p w14:paraId="6EB9FAAA">
            <w:pPr>
              <w:widowControl/>
              <w:spacing w:line="300" w:lineRule="exact"/>
              <w:jc w:val="center"/>
              <w:rPr>
                <w:rFonts w:hint="default" w:ascii="Times New Roman" w:hAnsi="Times New Roman" w:eastAsia="仿宋_GB2312" w:cs="Times New Roman"/>
                <w:color w:val="auto"/>
                <w:kern w:val="0"/>
                <w:szCs w:val="21"/>
                <w:highlight w:val="none"/>
              </w:rPr>
            </w:pPr>
          </w:p>
          <w:p w14:paraId="41B1F784">
            <w:pPr>
              <w:widowControl/>
              <w:spacing w:line="300" w:lineRule="exact"/>
              <w:jc w:val="center"/>
              <w:rPr>
                <w:rFonts w:hint="default" w:ascii="Times New Roman" w:hAnsi="Times New Roman" w:eastAsia="仿宋_GB2312" w:cs="Times New Roman"/>
                <w:color w:val="auto"/>
                <w:kern w:val="0"/>
                <w:szCs w:val="21"/>
                <w:highlight w:val="none"/>
              </w:rPr>
            </w:pPr>
          </w:p>
          <w:p w14:paraId="3ADB85D6">
            <w:pPr>
              <w:widowControl/>
              <w:spacing w:line="300" w:lineRule="exact"/>
              <w:jc w:val="center"/>
              <w:rPr>
                <w:rFonts w:hint="default" w:ascii="Times New Roman" w:hAnsi="Times New Roman" w:eastAsia="仿宋_GB2312" w:cs="Times New Roman"/>
                <w:color w:val="auto"/>
                <w:kern w:val="0"/>
                <w:szCs w:val="21"/>
                <w:highlight w:val="none"/>
              </w:rPr>
            </w:pPr>
          </w:p>
          <w:p w14:paraId="25AD2785">
            <w:pPr>
              <w:widowControl/>
              <w:spacing w:line="300" w:lineRule="exact"/>
              <w:jc w:val="center"/>
              <w:rPr>
                <w:rFonts w:hint="default" w:ascii="Times New Roman" w:hAnsi="Times New Roman" w:eastAsia="仿宋_GB2312" w:cs="Times New Roman"/>
                <w:color w:val="auto"/>
                <w:kern w:val="0"/>
                <w:szCs w:val="21"/>
                <w:highlight w:val="none"/>
              </w:rPr>
            </w:pPr>
          </w:p>
          <w:p w14:paraId="5FD6284D">
            <w:pPr>
              <w:widowControl/>
              <w:spacing w:line="300" w:lineRule="exact"/>
              <w:jc w:val="center"/>
              <w:rPr>
                <w:rFonts w:hint="default" w:ascii="Times New Roman" w:hAnsi="Times New Roman" w:eastAsia="仿宋_GB2312" w:cs="Times New Roman"/>
                <w:color w:val="auto"/>
                <w:kern w:val="0"/>
                <w:szCs w:val="21"/>
                <w:highlight w:val="none"/>
              </w:rPr>
            </w:pPr>
          </w:p>
          <w:p w14:paraId="6B731729">
            <w:pPr>
              <w:widowControl/>
              <w:spacing w:line="300" w:lineRule="exact"/>
              <w:jc w:val="both"/>
              <w:rPr>
                <w:rFonts w:hint="default" w:ascii="Times New Roman" w:hAnsi="Times New Roman" w:eastAsia="仿宋_GB2312" w:cs="Times New Roman"/>
                <w:color w:val="auto"/>
                <w:kern w:val="0"/>
                <w:szCs w:val="21"/>
                <w:highlight w:val="none"/>
              </w:rPr>
            </w:pPr>
          </w:p>
          <w:p w14:paraId="09183D61">
            <w:pPr>
              <w:widowControl/>
              <w:spacing w:line="300" w:lineRule="exact"/>
              <w:jc w:val="center"/>
              <w:rPr>
                <w:rFonts w:hint="default" w:ascii="Times New Roman" w:hAnsi="Times New Roman" w:eastAsia="仿宋_GB2312" w:cs="Times New Roman"/>
                <w:color w:val="auto"/>
                <w:kern w:val="0"/>
                <w:szCs w:val="21"/>
                <w:highlight w:val="none"/>
              </w:rPr>
            </w:pPr>
          </w:p>
          <w:p w14:paraId="643729F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乳制品</w:t>
            </w:r>
          </w:p>
        </w:tc>
        <w:tc>
          <w:tcPr>
            <w:tcW w:w="1144" w:type="dxa"/>
            <w:vMerge w:val="restart"/>
            <w:noWrap w:val="0"/>
            <w:vAlign w:val="center"/>
          </w:tcPr>
          <w:p w14:paraId="329750EC">
            <w:pPr>
              <w:widowControl/>
              <w:spacing w:line="300" w:lineRule="exact"/>
              <w:jc w:val="center"/>
              <w:rPr>
                <w:rFonts w:hint="default" w:ascii="Times New Roman" w:hAnsi="Times New Roman" w:eastAsia="仿宋_GB2312" w:cs="Times New Roman"/>
                <w:color w:val="auto"/>
                <w:kern w:val="0"/>
                <w:szCs w:val="21"/>
                <w:highlight w:val="none"/>
              </w:rPr>
            </w:pPr>
          </w:p>
          <w:p w14:paraId="73062218">
            <w:pPr>
              <w:widowControl/>
              <w:spacing w:line="300" w:lineRule="exact"/>
              <w:jc w:val="center"/>
              <w:rPr>
                <w:rFonts w:hint="default" w:ascii="Times New Roman" w:hAnsi="Times New Roman" w:eastAsia="仿宋_GB2312" w:cs="Times New Roman"/>
                <w:color w:val="auto"/>
                <w:kern w:val="0"/>
                <w:szCs w:val="21"/>
                <w:highlight w:val="none"/>
              </w:rPr>
            </w:pPr>
          </w:p>
          <w:p w14:paraId="72A8E99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液体乳</w:t>
            </w:r>
          </w:p>
          <w:p w14:paraId="0C69EF74">
            <w:pPr>
              <w:widowControl/>
              <w:spacing w:line="300" w:lineRule="exact"/>
              <w:jc w:val="center"/>
              <w:rPr>
                <w:rFonts w:hint="default" w:ascii="Times New Roman" w:hAnsi="Times New Roman" w:eastAsia="仿宋_GB2312" w:cs="Times New Roman"/>
                <w:color w:val="auto"/>
                <w:kern w:val="0"/>
                <w:szCs w:val="21"/>
                <w:highlight w:val="none"/>
              </w:rPr>
            </w:pPr>
          </w:p>
          <w:p w14:paraId="7FEB9B08">
            <w:pPr>
              <w:widowControl/>
              <w:spacing w:line="300" w:lineRule="exact"/>
              <w:jc w:val="center"/>
              <w:rPr>
                <w:rFonts w:hint="default" w:ascii="Times New Roman" w:hAnsi="Times New Roman" w:eastAsia="仿宋_GB2312" w:cs="Times New Roman"/>
                <w:color w:val="auto"/>
                <w:kern w:val="0"/>
                <w:szCs w:val="21"/>
                <w:highlight w:val="none"/>
              </w:rPr>
            </w:pPr>
          </w:p>
          <w:p w14:paraId="686F3C4C">
            <w:pPr>
              <w:widowControl/>
              <w:spacing w:line="300" w:lineRule="exact"/>
              <w:jc w:val="center"/>
              <w:rPr>
                <w:rFonts w:hint="default" w:ascii="Times New Roman" w:hAnsi="Times New Roman" w:eastAsia="仿宋_GB2312" w:cs="Times New Roman"/>
                <w:color w:val="auto"/>
                <w:kern w:val="0"/>
                <w:szCs w:val="21"/>
                <w:highlight w:val="none"/>
              </w:rPr>
            </w:pPr>
          </w:p>
          <w:p w14:paraId="4B493539">
            <w:pPr>
              <w:widowControl/>
              <w:spacing w:line="300" w:lineRule="exact"/>
              <w:jc w:val="both"/>
              <w:rPr>
                <w:rFonts w:hint="default" w:ascii="Times New Roman" w:hAnsi="Times New Roman" w:eastAsia="仿宋_GB2312" w:cs="Times New Roman"/>
                <w:color w:val="auto"/>
                <w:kern w:val="0"/>
                <w:szCs w:val="21"/>
                <w:highlight w:val="none"/>
              </w:rPr>
            </w:pPr>
          </w:p>
          <w:p w14:paraId="3FC612B9">
            <w:pPr>
              <w:widowControl/>
              <w:spacing w:line="300" w:lineRule="exact"/>
              <w:jc w:val="center"/>
              <w:rPr>
                <w:rFonts w:hint="default" w:ascii="Times New Roman" w:hAnsi="Times New Roman" w:eastAsia="仿宋_GB2312" w:cs="Times New Roman"/>
                <w:color w:val="auto"/>
                <w:kern w:val="0"/>
                <w:szCs w:val="21"/>
                <w:highlight w:val="none"/>
              </w:rPr>
            </w:pPr>
          </w:p>
          <w:p w14:paraId="4602EBF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液体乳</w:t>
            </w:r>
          </w:p>
        </w:tc>
        <w:tc>
          <w:tcPr>
            <w:tcW w:w="1856" w:type="dxa"/>
            <w:noWrap w:val="0"/>
            <w:vAlign w:val="center"/>
          </w:tcPr>
          <w:p w14:paraId="14D02CB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灭菌乳</w:t>
            </w:r>
          </w:p>
        </w:tc>
        <w:tc>
          <w:tcPr>
            <w:tcW w:w="1106" w:type="dxa"/>
            <w:noWrap w:val="0"/>
            <w:vAlign w:val="center"/>
          </w:tcPr>
          <w:p w14:paraId="2FAE143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12ED480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蛋白质、非脂乳固体、酸度、脂肪、三聚氰胺、 铅（以Pb计）、黄曲霉毒素M</w:t>
            </w:r>
            <w:r>
              <w:rPr>
                <w:rFonts w:hint="default" w:ascii="Times New Roman" w:hAnsi="Times New Roman" w:eastAsia="仿宋_GB2312" w:cs="Times New Roman"/>
                <w:color w:val="auto"/>
                <w:kern w:val="0"/>
                <w:szCs w:val="21"/>
                <w:highlight w:val="none"/>
                <w:vertAlign w:val="subscript"/>
                <w:lang w:val="en-US" w:eastAsia="zh-CN"/>
              </w:rPr>
              <w:t>1</w:t>
            </w:r>
          </w:p>
        </w:tc>
        <w:tc>
          <w:tcPr>
            <w:tcW w:w="3435" w:type="dxa"/>
            <w:noWrap w:val="0"/>
            <w:vAlign w:val="center"/>
          </w:tcPr>
          <w:p w14:paraId="6207F19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丙二醇、商业无菌</w:t>
            </w:r>
          </w:p>
        </w:tc>
      </w:tr>
      <w:tr w14:paraId="7CCC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 w:hRule="atLeast"/>
        </w:trPr>
        <w:tc>
          <w:tcPr>
            <w:tcW w:w="720" w:type="dxa"/>
            <w:vMerge w:val="continue"/>
            <w:noWrap w:val="0"/>
            <w:vAlign w:val="center"/>
          </w:tcPr>
          <w:p w14:paraId="5DC01B6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9145B49">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95C8776">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79A7E73">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B47FA9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巴氏杀菌乳</w:t>
            </w:r>
          </w:p>
        </w:tc>
        <w:tc>
          <w:tcPr>
            <w:tcW w:w="1106" w:type="dxa"/>
            <w:noWrap w:val="0"/>
            <w:vAlign w:val="center"/>
          </w:tcPr>
          <w:p w14:paraId="30E8B76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5E41DF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蛋白质、酸度、三聚氰胺、铅（以Pb计）、黄曲霉毒素M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、丙二醇</w:t>
            </w:r>
          </w:p>
        </w:tc>
        <w:tc>
          <w:tcPr>
            <w:tcW w:w="3435" w:type="dxa"/>
            <w:noWrap w:val="0"/>
            <w:vAlign w:val="center"/>
          </w:tcPr>
          <w:p w14:paraId="0CB71C1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沙门氏菌、金黄色葡萄球菌、菌落 </w:t>
            </w:r>
          </w:p>
          <w:p w14:paraId="7E00A42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总数、大肠菌群</w:t>
            </w:r>
          </w:p>
        </w:tc>
      </w:tr>
      <w:tr w14:paraId="3D2C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2" w:hRule="atLeast"/>
        </w:trPr>
        <w:tc>
          <w:tcPr>
            <w:tcW w:w="720" w:type="dxa"/>
            <w:vMerge w:val="continue"/>
            <w:noWrap w:val="0"/>
            <w:vAlign w:val="center"/>
          </w:tcPr>
          <w:p w14:paraId="7223C37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0830F7E">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10366B7">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48A2E82">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3E0B97A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调制乳</w:t>
            </w:r>
          </w:p>
        </w:tc>
        <w:tc>
          <w:tcPr>
            <w:tcW w:w="1106" w:type="dxa"/>
            <w:noWrap w:val="0"/>
            <w:vAlign w:val="center"/>
          </w:tcPr>
          <w:p w14:paraId="288EF7F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12C9376C">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蛋白质、三聚氰胺、铅（以Pb计）、黄曲霉毒素M</w:t>
            </w:r>
            <w:r>
              <w:rPr>
                <w:rFonts w:hint="eastAsia" w:ascii="Times New Roman" w:hAnsi="Times New Roman" w:eastAsia="仿宋_GB2312" w:cs="Times New Roman"/>
                <w:color w:val="auto"/>
                <w:kern w:val="0"/>
                <w:szCs w:val="21"/>
                <w:highlight w:val="none"/>
                <w:vertAlign w:val="subscript"/>
                <w:lang w:val="en-US" w:eastAsia="zh-CN"/>
              </w:rPr>
              <w:t>1</w:t>
            </w:r>
            <w:r>
              <w:rPr>
                <w:rFonts w:hint="eastAsia" w:ascii="Times New Roman" w:hAnsi="Times New Roman" w:eastAsia="仿宋_GB2312" w:cs="Times New Roman"/>
                <w:color w:val="auto"/>
                <w:kern w:val="0"/>
                <w:szCs w:val="21"/>
                <w:highlight w:val="none"/>
                <w:lang w:val="en-US" w:eastAsia="zh-CN"/>
              </w:rPr>
              <w:t>、商业无菌、菌落总数、大肠菌群</w:t>
            </w:r>
          </w:p>
        </w:tc>
        <w:tc>
          <w:tcPr>
            <w:tcW w:w="3435" w:type="dxa"/>
            <w:noWrap w:val="0"/>
            <w:vAlign w:val="center"/>
          </w:tcPr>
          <w:p w14:paraId="4A7776A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5286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7" w:hRule="atLeast"/>
        </w:trPr>
        <w:tc>
          <w:tcPr>
            <w:tcW w:w="720" w:type="dxa"/>
            <w:vMerge w:val="continue"/>
            <w:noWrap w:val="0"/>
            <w:vAlign w:val="center"/>
          </w:tcPr>
          <w:p w14:paraId="4DDC7259">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5559B0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CCC2892">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685FA8C">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43A5C2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发酵乳</w:t>
            </w:r>
          </w:p>
        </w:tc>
        <w:tc>
          <w:tcPr>
            <w:tcW w:w="1106" w:type="dxa"/>
            <w:noWrap w:val="0"/>
            <w:vAlign w:val="center"/>
          </w:tcPr>
          <w:p w14:paraId="7D1FF2D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09F774F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脂肪、蛋白质、酸度、山梨酸及其钾盐（以山梨酸计）、甜蜜素（以环己基氨基磺酸计）、黄曲霉毒素M</w:t>
            </w:r>
            <w:r>
              <w:rPr>
                <w:rFonts w:hint="default" w:ascii="Times New Roman" w:hAnsi="Times New Roman" w:eastAsia="仿宋_GB2312" w:cs="Times New Roman"/>
                <w:color w:val="auto"/>
                <w:kern w:val="0"/>
                <w:szCs w:val="21"/>
                <w:highlight w:val="none"/>
                <w:vertAlign w:val="subscript"/>
                <w:lang w:val="en-US" w:eastAsia="zh-CN"/>
              </w:rPr>
              <w:t>1</w:t>
            </w:r>
          </w:p>
        </w:tc>
        <w:tc>
          <w:tcPr>
            <w:tcW w:w="3435" w:type="dxa"/>
            <w:noWrap w:val="0"/>
            <w:vAlign w:val="center"/>
          </w:tcPr>
          <w:p w14:paraId="6652010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阿斯巴甜、安赛蜜、三聚氰胺、铅 </w:t>
            </w:r>
          </w:p>
          <w:p w14:paraId="284AA7A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（以Pb计）、金黄色葡萄球菌、沙 </w:t>
            </w:r>
          </w:p>
          <w:p w14:paraId="401ADC8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门氏菌、大肠菌群、酵母、霉菌</w:t>
            </w:r>
          </w:p>
        </w:tc>
      </w:tr>
      <w:tr w14:paraId="6310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720" w:type="dxa"/>
            <w:vMerge w:val="continue"/>
            <w:noWrap w:val="0"/>
            <w:vAlign w:val="center"/>
          </w:tcPr>
          <w:p w14:paraId="07BBB5B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E6A7D1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C37526C">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648B693">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8B6EE7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高温杀菌乳</w:t>
            </w:r>
          </w:p>
        </w:tc>
        <w:tc>
          <w:tcPr>
            <w:tcW w:w="1106" w:type="dxa"/>
            <w:noWrap w:val="0"/>
            <w:vAlign w:val="center"/>
          </w:tcPr>
          <w:p w14:paraId="2655D1B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1A89F6E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蛋白质、酸度、三聚氰胺、铅（以Pb 计）、黄曲霉毒素M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、沙门氏菌</w:t>
            </w:r>
          </w:p>
        </w:tc>
        <w:tc>
          <w:tcPr>
            <w:tcW w:w="3435" w:type="dxa"/>
            <w:noWrap w:val="0"/>
            <w:vAlign w:val="center"/>
          </w:tcPr>
          <w:p w14:paraId="04F5AE0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菌落总数、大肠菌群、丙二醇</w:t>
            </w:r>
          </w:p>
        </w:tc>
      </w:tr>
      <w:tr w14:paraId="39DA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0" w:hRule="atLeast"/>
        </w:trPr>
        <w:tc>
          <w:tcPr>
            <w:tcW w:w="720" w:type="dxa"/>
            <w:vMerge w:val="continue"/>
            <w:noWrap w:val="0"/>
            <w:vAlign w:val="center"/>
          </w:tcPr>
          <w:p w14:paraId="69FC59E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F16C4EE">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1B9D451">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628C83F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乳清粉和乳清蛋白粉（企业原料）</w:t>
            </w:r>
          </w:p>
        </w:tc>
        <w:tc>
          <w:tcPr>
            <w:tcW w:w="1856" w:type="dxa"/>
            <w:noWrap w:val="0"/>
            <w:vAlign w:val="center"/>
          </w:tcPr>
          <w:p w14:paraId="617CD51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脱盐乳清粉、非脱 </w:t>
            </w:r>
          </w:p>
          <w:p w14:paraId="6F87E5A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盐乳清粉、浓缩乳 </w:t>
            </w:r>
          </w:p>
          <w:p w14:paraId="069BEF4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清蛋白粉、分离乳 </w:t>
            </w:r>
          </w:p>
          <w:p w14:paraId="02CFD6C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清蛋白粉</w:t>
            </w:r>
          </w:p>
        </w:tc>
        <w:tc>
          <w:tcPr>
            <w:tcW w:w="1106" w:type="dxa"/>
            <w:noWrap w:val="0"/>
            <w:vAlign w:val="center"/>
          </w:tcPr>
          <w:p w14:paraId="46C7775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4E91CD4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蛋白质、三聚氰胺</w:t>
            </w:r>
          </w:p>
        </w:tc>
        <w:tc>
          <w:tcPr>
            <w:tcW w:w="3435" w:type="dxa"/>
            <w:noWrap w:val="0"/>
            <w:vAlign w:val="center"/>
          </w:tcPr>
          <w:p w14:paraId="7A4ED5A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4E21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720" w:type="dxa"/>
            <w:vMerge w:val="continue"/>
            <w:noWrap w:val="0"/>
            <w:vAlign w:val="center"/>
          </w:tcPr>
          <w:p w14:paraId="20733A8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6590577">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BF6CAC8">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0A00EAA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乳粉</w:t>
            </w:r>
          </w:p>
        </w:tc>
        <w:tc>
          <w:tcPr>
            <w:tcW w:w="1856" w:type="dxa"/>
            <w:noWrap w:val="0"/>
            <w:vAlign w:val="center"/>
          </w:tcPr>
          <w:p w14:paraId="4467800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乳粉（全脂、脱脂、 </w:t>
            </w:r>
          </w:p>
          <w:p w14:paraId="28537A2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部分脱脂和调制 </w:t>
            </w:r>
          </w:p>
          <w:p w14:paraId="0113F5C5">
            <w:pPr>
              <w:widowControl/>
              <w:spacing w:line="300" w:lineRule="exact"/>
              <w:jc w:val="center"/>
              <w:rPr>
                <w:rFonts w:hint="default" w:ascii="Times New Roman" w:hAnsi="Times New Roman" w:eastAsia="仿宋_GB2312" w:cs="Times New Roman"/>
                <w:b/>
                <w:bCs/>
                <w:color w:val="auto"/>
                <w:kern w:val="0"/>
                <w:szCs w:val="21"/>
                <w:highlight w:val="none"/>
                <w:lang w:val="en-US"/>
              </w:rPr>
            </w:pPr>
            <w:r>
              <w:rPr>
                <w:rFonts w:hint="default" w:ascii="Times New Roman" w:hAnsi="Times New Roman" w:eastAsia="仿宋_GB2312" w:cs="Times New Roman"/>
                <w:color w:val="auto"/>
                <w:kern w:val="0"/>
                <w:szCs w:val="21"/>
                <w:highlight w:val="none"/>
                <w:lang w:val="en-US" w:eastAsia="zh-CN"/>
              </w:rPr>
              <w:t>乳粉</w:t>
            </w:r>
            <w:r>
              <w:rPr>
                <w:rFonts w:hint="eastAsia" w:ascii="Times New Roman" w:hAnsi="Times New Roman" w:eastAsia="仿宋_GB2312" w:cs="Times New Roman"/>
                <w:color w:val="auto"/>
                <w:kern w:val="0"/>
                <w:szCs w:val="21"/>
                <w:highlight w:val="none"/>
                <w:lang w:val="en-US" w:eastAsia="zh-CN"/>
              </w:rPr>
              <w:t>）</w:t>
            </w:r>
          </w:p>
        </w:tc>
        <w:tc>
          <w:tcPr>
            <w:tcW w:w="1106" w:type="dxa"/>
            <w:noWrap w:val="0"/>
            <w:vAlign w:val="center"/>
          </w:tcPr>
          <w:p w14:paraId="006FD5F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3F6CD2C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蛋白质、脂肪、复原乳酸度、杂质度、水分、三聚氰胺</w:t>
            </w:r>
          </w:p>
        </w:tc>
        <w:tc>
          <w:tcPr>
            <w:tcW w:w="3435" w:type="dxa"/>
            <w:noWrap w:val="0"/>
            <w:vAlign w:val="center"/>
          </w:tcPr>
          <w:p w14:paraId="4FDB0C8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铅（以Pb计）、菌落总数、大肠菌 </w:t>
            </w:r>
          </w:p>
          <w:p w14:paraId="1DCDBB3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群</w:t>
            </w:r>
          </w:p>
        </w:tc>
      </w:tr>
      <w:tr w14:paraId="7245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720" w:type="dxa"/>
            <w:vMerge w:val="continue"/>
            <w:noWrap w:val="0"/>
            <w:vAlign w:val="center"/>
          </w:tcPr>
          <w:p w14:paraId="02F72F3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51EC079">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0CFD1B2">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73381A0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其他乳制品（</w:t>
            </w:r>
            <w:r>
              <w:rPr>
                <w:rFonts w:hint="default" w:ascii="Times New Roman" w:hAnsi="Times New Roman" w:eastAsia="仿宋_GB2312" w:cs="Times New Roman"/>
                <w:color w:val="auto"/>
                <w:kern w:val="0"/>
                <w:szCs w:val="21"/>
                <w:highlight w:val="none"/>
                <w:lang w:val="en-US" w:eastAsia="zh-CN"/>
              </w:rPr>
              <w:t>炼乳、奶油、干酪、固态成型产品</w:t>
            </w:r>
            <w:r>
              <w:rPr>
                <w:rFonts w:hint="default" w:ascii="Times New Roman" w:hAnsi="Times New Roman" w:eastAsia="仿宋_GB2312" w:cs="Times New Roman"/>
                <w:color w:val="auto"/>
                <w:kern w:val="0"/>
                <w:szCs w:val="21"/>
                <w:highlight w:val="none"/>
              </w:rPr>
              <w:t>）</w:t>
            </w:r>
          </w:p>
        </w:tc>
        <w:tc>
          <w:tcPr>
            <w:tcW w:w="1856" w:type="dxa"/>
            <w:noWrap w:val="0"/>
            <w:vAlign w:val="center"/>
          </w:tcPr>
          <w:p w14:paraId="7F1A653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浓缩乳制品</w:t>
            </w:r>
          </w:p>
        </w:tc>
        <w:tc>
          <w:tcPr>
            <w:tcW w:w="1106" w:type="dxa"/>
            <w:noWrap w:val="0"/>
            <w:vAlign w:val="center"/>
          </w:tcPr>
          <w:p w14:paraId="6E2E4DF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117E596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蛋白质、三聚氰胺、商业无菌、大肠菌群</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菌落总数</w:t>
            </w:r>
          </w:p>
        </w:tc>
        <w:tc>
          <w:tcPr>
            <w:tcW w:w="3435" w:type="dxa"/>
            <w:noWrap w:val="0"/>
            <w:vAlign w:val="center"/>
          </w:tcPr>
          <w:p w14:paraId="6B98223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4A74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3459A4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A083891">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FF2835E">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8E44081">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1246299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稀奶油、奶油和无水奶油</w:t>
            </w:r>
          </w:p>
        </w:tc>
        <w:tc>
          <w:tcPr>
            <w:tcW w:w="1106" w:type="dxa"/>
            <w:noWrap w:val="0"/>
            <w:vAlign w:val="center"/>
          </w:tcPr>
          <w:p w14:paraId="6AAF776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D7C44D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脂肪、酸度、三聚氰胺、脱氢乙酸及其钠盐（以脱氢乙酸计）、沙门氏菌、商</w:t>
            </w:r>
            <w:r>
              <w:rPr>
                <w:rFonts w:hint="eastAsia" w:ascii="Times New Roman" w:hAnsi="Times New Roman" w:eastAsia="仿宋_GB2312" w:cs="Times New Roman"/>
                <w:color w:val="auto"/>
                <w:kern w:val="0"/>
                <w:szCs w:val="21"/>
                <w:highlight w:val="none"/>
                <w:lang w:val="en-US" w:eastAsia="zh-CN"/>
              </w:rPr>
              <w:t>业无菌</w:t>
            </w:r>
          </w:p>
        </w:tc>
        <w:tc>
          <w:tcPr>
            <w:tcW w:w="3435" w:type="dxa"/>
            <w:noWrap w:val="0"/>
            <w:vAlign w:val="center"/>
          </w:tcPr>
          <w:p w14:paraId="7F40AB9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菌落总数、大肠菌群、霉菌</w:t>
            </w:r>
          </w:p>
        </w:tc>
      </w:tr>
      <w:tr w14:paraId="17C7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42C0E46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BF9103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C0704C1">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67FCC35">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1EC56CC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rPr>
              <w:t>干酪、再制干酪</w:t>
            </w:r>
            <w:r>
              <w:rPr>
                <w:rFonts w:hint="eastAsia" w:ascii="Times New Roman" w:hAnsi="Times New Roman" w:eastAsia="仿宋_GB2312" w:cs="Times New Roman"/>
                <w:color w:val="auto"/>
                <w:kern w:val="0"/>
                <w:szCs w:val="21"/>
                <w:highlight w:val="none"/>
                <w:lang w:eastAsia="zh-CN"/>
              </w:rPr>
              <w:t>、干酪制品</w:t>
            </w:r>
          </w:p>
        </w:tc>
        <w:tc>
          <w:tcPr>
            <w:tcW w:w="1106" w:type="dxa"/>
            <w:noWrap w:val="0"/>
            <w:vAlign w:val="center"/>
          </w:tcPr>
          <w:p w14:paraId="274533A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25E38B3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三聚氰胺、金黄色葡萄球菌、沙门氏菌、单核细胞增生李斯特氏菌、菌落总数、大肠菌群、霉菌</w:t>
            </w:r>
          </w:p>
        </w:tc>
        <w:tc>
          <w:tcPr>
            <w:tcW w:w="3435" w:type="dxa"/>
            <w:noWrap w:val="0"/>
            <w:vAlign w:val="center"/>
          </w:tcPr>
          <w:p w14:paraId="4F167D1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BA5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CBCD798">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49BEE3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6288BE9">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FCFD7E0">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66DD2FE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奶片、奶条等</w:t>
            </w:r>
          </w:p>
          <w:p w14:paraId="6909304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固态成型产品</w:t>
            </w:r>
          </w:p>
        </w:tc>
        <w:tc>
          <w:tcPr>
            <w:tcW w:w="1106" w:type="dxa"/>
            <w:noWrap w:val="0"/>
            <w:vAlign w:val="center"/>
          </w:tcPr>
          <w:p w14:paraId="1077AC2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01F7974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蛋白质、脱氢乙酸及其钠盐（以脱氢乙酸计）、三聚氰胺、沙门氏菌</w:t>
            </w:r>
          </w:p>
        </w:tc>
        <w:tc>
          <w:tcPr>
            <w:tcW w:w="3435" w:type="dxa"/>
            <w:noWrap w:val="0"/>
            <w:vAlign w:val="center"/>
          </w:tcPr>
          <w:p w14:paraId="17E9F8B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F9A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217D5020">
            <w:pPr>
              <w:widowControl/>
              <w:spacing w:line="300" w:lineRule="exact"/>
              <w:jc w:val="center"/>
              <w:rPr>
                <w:rFonts w:hint="default" w:ascii="Times New Roman" w:hAnsi="Times New Roman" w:eastAsia="仿宋_GB2312" w:cs="Times New Roman"/>
                <w:color w:val="auto"/>
                <w:kern w:val="0"/>
                <w:szCs w:val="21"/>
                <w:highlight w:val="none"/>
              </w:rPr>
            </w:pPr>
          </w:p>
          <w:p w14:paraId="535CA6A6">
            <w:pPr>
              <w:widowControl/>
              <w:spacing w:line="300" w:lineRule="exact"/>
              <w:jc w:val="center"/>
              <w:rPr>
                <w:rFonts w:hint="default" w:ascii="Times New Roman" w:hAnsi="Times New Roman" w:eastAsia="仿宋_GB2312" w:cs="Times New Roman"/>
                <w:color w:val="auto"/>
                <w:kern w:val="0"/>
                <w:szCs w:val="21"/>
                <w:highlight w:val="none"/>
              </w:rPr>
            </w:pPr>
          </w:p>
          <w:p w14:paraId="5E3EBD45">
            <w:pPr>
              <w:widowControl/>
              <w:spacing w:line="300" w:lineRule="exact"/>
              <w:jc w:val="center"/>
              <w:rPr>
                <w:rFonts w:hint="default" w:ascii="Times New Roman" w:hAnsi="Times New Roman" w:eastAsia="仿宋_GB2312" w:cs="Times New Roman"/>
                <w:color w:val="auto"/>
                <w:kern w:val="0"/>
                <w:szCs w:val="21"/>
                <w:highlight w:val="none"/>
              </w:rPr>
            </w:pPr>
          </w:p>
          <w:p w14:paraId="493F29D7">
            <w:pPr>
              <w:widowControl/>
              <w:spacing w:line="300" w:lineRule="exact"/>
              <w:jc w:val="center"/>
              <w:rPr>
                <w:rFonts w:hint="default" w:ascii="Times New Roman" w:hAnsi="Times New Roman" w:eastAsia="仿宋_GB2312" w:cs="Times New Roman"/>
                <w:color w:val="auto"/>
                <w:kern w:val="0"/>
                <w:szCs w:val="21"/>
                <w:highlight w:val="none"/>
              </w:rPr>
            </w:pPr>
          </w:p>
          <w:p w14:paraId="6844FA99">
            <w:pPr>
              <w:widowControl/>
              <w:spacing w:line="300" w:lineRule="exact"/>
              <w:jc w:val="center"/>
              <w:rPr>
                <w:rFonts w:hint="default" w:ascii="Times New Roman" w:hAnsi="Times New Roman" w:eastAsia="仿宋_GB2312" w:cs="Times New Roman"/>
                <w:color w:val="auto"/>
                <w:kern w:val="0"/>
                <w:szCs w:val="21"/>
                <w:highlight w:val="none"/>
              </w:rPr>
            </w:pPr>
          </w:p>
          <w:p w14:paraId="14A5CBA0">
            <w:pPr>
              <w:widowControl/>
              <w:spacing w:line="300" w:lineRule="exact"/>
              <w:jc w:val="center"/>
              <w:rPr>
                <w:rFonts w:hint="default" w:ascii="Times New Roman" w:hAnsi="Times New Roman" w:eastAsia="仿宋_GB2312" w:cs="Times New Roman"/>
                <w:color w:val="auto"/>
                <w:kern w:val="0"/>
                <w:szCs w:val="21"/>
                <w:highlight w:val="none"/>
              </w:rPr>
            </w:pPr>
          </w:p>
          <w:p w14:paraId="2A00C5EF">
            <w:pPr>
              <w:widowControl/>
              <w:spacing w:line="300" w:lineRule="exact"/>
              <w:jc w:val="center"/>
              <w:rPr>
                <w:rFonts w:hint="default" w:ascii="Times New Roman" w:hAnsi="Times New Roman" w:eastAsia="仿宋_GB2312" w:cs="Times New Roman"/>
                <w:color w:val="auto"/>
                <w:kern w:val="0"/>
                <w:szCs w:val="21"/>
                <w:highlight w:val="none"/>
              </w:rPr>
            </w:pPr>
          </w:p>
          <w:p w14:paraId="2894EF99">
            <w:pPr>
              <w:widowControl/>
              <w:spacing w:line="300" w:lineRule="exact"/>
              <w:jc w:val="center"/>
              <w:rPr>
                <w:rFonts w:hint="default" w:ascii="Times New Roman" w:hAnsi="Times New Roman" w:eastAsia="仿宋_GB2312" w:cs="Times New Roman"/>
                <w:color w:val="auto"/>
                <w:kern w:val="0"/>
                <w:szCs w:val="21"/>
                <w:highlight w:val="none"/>
              </w:rPr>
            </w:pPr>
          </w:p>
          <w:p w14:paraId="3B0A4C1B">
            <w:pPr>
              <w:widowControl/>
              <w:spacing w:line="300" w:lineRule="exact"/>
              <w:jc w:val="center"/>
              <w:rPr>
                <w:rFonts w:hint="default" w:ascii="Times New Roman" w:hAnsi="Times New Roman" w:eastAsia="仿宋_GB2312" w:cs="Times New Roman"/>
                <w:color w:val="auto"/>
                <w:kern w:val="0"/>
                <w:szCs w:val="21"/>
                <w:highlight w:val="none"/>
              </w:rPr>
            </w:pPr>
          </w:p>
          <w:p w14:paraId="73A331F4">
            <w:pPr>
              <w:widowControl/>
              <w:spacing w:line="300" w:lineRule="exact"/>
              <w:jc w:val="center"/>
              <w:rPr>
                <w:rFonts w:hint="default" w:ascii="Times New Roman" w:hAnsi="Times New Roman" w:eastAsia="仿宋_GB2312" w:cs="Times New Roman"/>
                <w:color w:val="auto"/>
                <w:kern w:val="0"/>
                <w:szCs w:val="21"/>
                <w:highlight w:val="none"/>
              </w:rPr>
            </w:pPr>
          </w:p>
          <w:p w14:paraId="608DA713">
            <w:pPr>
              <w:widowControl/>
              <w:spacing w:line="300" w:lineRule="exact"/>
              <w:jc w:val="center"/>
              <w:rPr>
                <w:rFonts w:hint="default" w:ascii="Times New Roman" w:hAnsi="Times New Roman" w:eastAsia="仿宋_GB2312" w:cs="Times New Roman"/>
                <w:color w:val="auto"/>
                <w:kern w:val="0"/>
                <w:szCs w:val="21"/>
                <w:highlight w:val="none"/>
              </w:rPr>
            </w:pPr>
          </w:p>
          <w:p w14:paraId="13B64C2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6</w:t>
            </w:r>
          </w:p>
          <w:p w14:paraId="170E334D">
            <w:pPr>
              <w:widowControl/>
              <w:spacing w:line="300" w:lineRule="exact"/>
              <w:jc w:val="center"/>
              <w:rPr>
                <w:rFonts w:hint="default" w:ascii="Times New Roman" w:hAnsi="Times New Roman" w:eastAsia="仿宋_GB2312" w:cs="Times New Roman"/>
                <w:color w:val="auto"/>
                <w:kern w:val="0"/>
                <w:szCs w:val="21"/>
                <w:highlight w:val="none"/>
              </w:rPr>
            </w:pPr>
          </w:p>
          <w:p w14:paraId="43A5AC76">
            <w:pPr>
              <w:widowControl/>
              <w:spacing w:line="300" w:lineRule="exact"/>
              <w:jc w:val="center"/>
              <w:rPr>
                <w:rFonts w:hint="default" w:ascii="Times New Roman" w:hAnsi="Times New Roman" w:eastAsia="仿宋_GB2312" w:cs="Times New Roman"/>
                <w:color w:val="auto"/>
                <w:kern w:val="0"/>
                <w:szCs w:val="21"/>
                <w:highlight w:val="none"/>
              </w:rPr>
            </w:pPr>
          </w:p>
          <w:p w14:paraId="116B1664">
            <w:pPr>
              <w:widowControl/>
              <w:spacing w:line="300" w:lineRule="exact"/>
              <w:jc w:val="center"/>
              <w:rPr>
                <w:rFonts w:hint="default" w:ascii="Times New Roman" w:hAnsi="Times New Roman" w:eastAsia="仿宋_GB2312" w:cs="Times New Roman"/>
                <w:color w:val="auto"/>
                <w:kern w:val="0"/>
                <w:szCs w:val="21"/>
                <w:highlight w:val="none"/>
              </w:rPr>
            </w:pPr>
          </w:p>
          <w:p w14:paraId="6B9123AD">
            <w:pPr>
              <w:widowControl/>
              <w:spacing w:line="300" w:lineRule="exact"/>
              <w:jc w:val="center"/>
              <w:rPr>
                <w:rFonts w:hint="default" w:ascii="Times New Roman" w:hAnsi="Times New Roman" w:eastAsia="仿宋_GB2312" w:cs="Times New Roman"/>
                <w:color w:val="auto"/>
                <w:kern w:val="0"/>
                <w:szCs w:val="21"/>
                <w:highlight w:val="none"/>
              </w:rPr>
            </w:pPr>
          </w:p>
          <w:p w14:paraId="681BA228">
            <w:pPr>
              <w:widowControl/>
              <w:spacing w:line="300" w:lineRule="exact"/>
              <w:jc w:val="center"/>
              <w:rPr>
                <w:rFonts w:hint="default" w:ascii="Times New Roman" w:hAnsi="Times New Roman" w:eastAsia="仿宋_GB2312" w:cs="Times New Roman"/>
                <w:color w:val="auto"/>
                <w:kern w:val="0"/>
                <w:szCs w:val="21"/>
                <w:highlight w:val="none"/>
              </w:rPr>
            </w:pPr>
          </w:p>
          <w:p w14:paraId="4C8F9265">
            <w:pPr>
              <w:widowControl/>
              <w:spacing w:line="300" w:lineRule="exact"/>
              <w:jc w:val="center"/>
              <w:rPr>
                <w:rFonts w:hint="default" w:ascii="Times New Roman" w:hAnsi="Times New Roman" w:eastAsia="仿宋_GB2312" w:cs="Times New Roman"/>
                <w:color w:val="auto"/>
                <w:kern w:val="0"/>
                <w:szCs w:val="21"/>
                <w:highlight w:val="none"/>
              </w:rPr>
            </w:pPr>
          </w:p>
          <w:p w14:paraId="073D6834">
            <w:pPr>
              <w:widowControl/>
              <w:spacing w:line="300" w:lineRule="exact"/>
              <w:jc w:val="center"/>
              <w:rPr>
                <w:rFonts w:hint="default" w:ascii="Times New Roman" w:hAnsi="Times New Roman" w:eastAsia="仿宋_GB2312" w:cs="Times New Roman"/>
                <w:color w:val="auto"/>
                <w:kern w:val="0"/>
                <w:szCs w:val="21"/>
                <w:highlight w:val="none"/>
              </w:rPr>
            </w:pPr>
          </w:p>
          <w:p w14:paraId="47477D08">
            <w:pPr>
              <w:widowControl/>
              <w:spacing w:line="300" w:lineRule="exact"/>
              <w:jc w:val="center"/>
              <w:rPr>
                <w:rFonts w:hint="default" w:ascii="Times New Roman" w:hAnsi="Times New Roman" w:eastAsia="仿宋_GB2312" w:cs="Times New Roman"/>
                <w:color w:val="auto"/>
                <w:kern w:val="0"/>
                <w:szCs w:val="21"/>
                <w:highlight w:val="none"/>
              </w:rPr>
            </w:pPr>
          </w:p>
          <w:p w14:paraId="5C1E7ABF">
            <w:pPr>
              <w:widowControl/>
              <w:spacing w:line="300" w:lineRule="exact"/>
              <w:jc w:val="center"/>
              <w:rPr>
                <w:rFonts w:hint="default" w:ascii="Times New Roman" w:hAnsi="Times New Roman" w:eastAsia="仿宋_GB2312" w:cs="Times New Roman"/>
                <w:color w:val="auto"/>
                <w:kern w:val="0"/>
                <w:szCs w:val="21"/>
                <w:highlight w:val="none"/>
              </w:rPr>
            </w:pPr>
          </w:p>
          <w:p w14:paraId="2CAD64FA">
            <w:pPr>
              <w:widowControl/>
              <w:spacing w:line="300" w:lineRule="exact"/>
              <w:jc w:val="center"/>
              <w:rPr>
                <w:rFonts w:hint="default" w:ascii="Times New Roman" w:hAnsi="Times New Roman" w:eastAsia="仿宋_GB2312" w:cs="Times New Roman"/>
                <w:color w:val="auto"/>
                <w:kern w:val="0"/>
                <w:szCs w:val="21"/>
                <w:highlight w:val="none"/>
              </w:rPr>
            </w:pPr>
          </w:p>
          <w:p w14:paraId="013E0CF7">
            <w:pPr>
              <w:widowControl/>
              <w:spacing w:line="300" w:lineRule="exact"/>
              <w:jc w:val="center"/>
              <w:rPr>
                <w:rFonts w:hint="default" w:ascii="Times New Roman" w:hAnsi="Times New Roman" w:eastAsia="仿宋_GB2312" w:cs="Times New Roman"/>
                <w:color w:val="auto"/>
                <w:kern w:val="0"/>
                <w:szCs w:val="21"/>
                <w:highlight w:val="none"/>
              </w:rPr>
            </w:pPr>
          </w:p>
          <w:p w14:paraId="0DBFA81A">
            <w:pPr>
              <w:widowControl/>
              <w:spacing w:line="300" w:lineRule="exact"/>
              <w:jc w:val="center"/>
              <w:rPr>
                <w:rFonts w:hint="default" w:ascii="Times New Roman" w:hAnsi="Times New Roman" w:eastAsia="仿宋_GB2312" w:cs="Times New Roman"/>
                <w:color w:val="auto"/>
                <w:kern w:val="0"/>
                <w:szCs w:val="21"/>
                <w:highlight w:val="none"/>
              </w:rPr>
            </w:pPr>
          </w:p>
          <w:p w14:paraId="20B4E3A8">
            <w:pPr>
              <w:widowControl/>
              <w:spacing w:line="300" w:lineRule="exact"/>
              <w:jc w:val="center"/>
              <w:rPr>
                <w:rFonts w:hint="default" w:ascii="Times New Roman" w:hAnsi="Times New Roman" w:eastAsia="仿宋_GB2312" w:cs="Times New Roman"/>
                <w:color w:val="auto"/>
                <w:kern w:val="0"/>
                <w:szCs w:val="21"/>
                <w:highlight w:val="none"/>
              </w:rPr>
            </w:pPr>
          </w:p>
          <w:p w14:paraId="03C5A727">
            <w:pPr>
              <w:widowControl/>
              <w:spacing w:line="300" w:lineRule="exact"/>
              <w:jc w:val="center"/>
              <w:rPr>
                <w:rFonts w:hint="default" w:ascii="Times New Roman" w:hAnsi="Times New Roman" w:eastAsia="仿宋_GB2312" w:cs="Times New Roman"/>
                <w:color w:val="auto"/>
                <w:kern w:val="0"/>
                <w:szCs w:val="21"/>
                <w:highlight w:val="none"/>
              </w:rPr>
            </w:pPr>
          </w:p>
          <w:p w14:paraId="4B926E00">
            <w:pPr>
              <w:widowControl/>
              <w:spacing w:line="300" w:lineRule="exact"/>
              <w:jc w:val="center"/>
              <w:rPr>
                <w:rFonts w:hint="default" w:ascii="Times New Roman" w:hAnsi="Times New Roman" w:eastAsia="仿宋_GB2312" w:cs="Times New Roman"/>
                <w:color w:val="auto"/>
                <w:kern w:val="0"/>
                <w:szCs w:val="21"/>
                <w:highlight w:val="none"/>
              </w:rPr>
            </w:pPr>
          </w:p>
          <w:p w14:paraId="3B13CFA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6</w:t>
            </w:r>
          </w:p>
          <w:p w14:paraId="19E4955F">
            <w:pPr>
              <w:widowControl/>
              <w:spacing w:line="300" w:lineRule="exact"/>
              <w:jc w:val="center"/>
              <w:rPr>
                <w:rFonts w:hint="default" w:ascii="Times New Roman" w:hAnsi="Times New Roman" w:eastAsia="仿宋_GB2312" w:cs="Times New Roman"/>
                <w:color w:val="auto"/>
                <w:kern w:val="0"/>
                <w:szCs w:val="21"/>
                <w:highlight w:val="none"/>
              </w:rPr>
            </w:pPr>
          </w:p>
          <w:p w14:paraId="391F6ADC">
            <w:pPr>
              <w:widowControl/>
              <w:spacing w:line="300" w:lineRule="exact"/>
              <w:jc w:val="center"/>
              <w:rPr>
                <w:rFonts w:hint="default" w:ascii="Times New Roman" w:hAnsi="Times New Roman" w:eastAsia="仿宋_GB2312" w:cs="Times New Roman"/>
                <w:color w:val="auto"/>
                <w:kern w:val="0"/>
                <w:szCs w:val="21"/>
                <w:highlight w:val="none"/>
              </w:rPr>
            </w:pPr>
          </w:p>
          <w:p w14:paraId="346DA099">
            <w:pPr>
              <w:widowControl/>
              <w:spacing w:line="300" w:lineRule="exact"/>
              <w:jc w:val="center"/>
              <w:rPr>
                <w:rFonts w:hint="default" w:ascii="Times New Roman" w:hAnsi="Times New Roman" w:eastAsia="仿宋_GB2312" w:cs="Times New Roman"/>
                <w:color w:val="auto"/>
                <w:kern w:val="0"/>
                <w:szCs w:val="21"/>
                <w:highlight w:val="none"/>
              </w:rPr>
            </w:pPr>
          </w:p>
          <w:p w14:paraId="3B4E1060">
            <w:pPr>
              <w:widowControl/>
              <w:spacing w:line="300" w:lineRule="exact"/>
              <w:jc w:val="center"/>
              <w:rPr>
                <w:rFonts w:hint="default" w:ascii="Times New Roman" w:hAnsi="Times New Roman" w:eastAsia="仿宋_GB2312" w:cs="Times New Roman"/>
                <w:color w:val="auto"/>
                <w:kern w:val="0"/>
                <w:szCs w:val="21"/>
                <w:highlight w:val="none"/>
              </w:rPr>
            </w:pPr>
          </w:p>
          <w:p w14:paraId="7CB2551A">
            <w:pPr>
              <w:widowControl/>
              <w:spacing w:line="300" w:lineRule="exact"/>
              <w:jc w:val="center"/>
              <w:rPr>
                <w:rFonts w:hint="default" w:ascii="Times New Roman" w:hAnsi="Times New Roman" w:eastAsia="仿宋_GB2312" w:cs="Times New Roman"/>
                <w:color w:val="auto"/>
                <w:kern w:val="0"/>
                <w:szCs w:val="21"/>
                <w:highlight w:val="none"/>
              </w:rPr>
            </w:pPr>
          </w:p>
          <w:p w14:paraId="475CF47E">
            <w:pPr>
              <w:widowControl/>
              <w:spacing w:line="300" w:lineRule="exact"/>
              <w:jc w:val="center"/>
              <w:rPr>
                <w:rFonts w:hint="default" w:ascii="Times New Roman" w:hAnsi="Times New Roman" w:eastAsia="仿宋_GB2312" w:cs="Times New Roman"/>
                <w:color w:val="auto"/>
                <w:kern w:val="0"/>
                <w:szCs w:val="21"/>
                <w:highlight w:val="none"/>
              </w:rPr>
            </w:pPr>
          </w:p>
          <w:p w14:paraId="015D1431">
            <w:pPr>
              <w:widowControl/>
              <w:spacing w:line="300" w:lineRule="exact"/>
              <w:jc w:val="center"/>
              <w:rPr>
                <w:rFonts w:hint="default" w:ascii="Times New Roman" w:hAnsi="Times New Roman" w:eastAsia="仿宋_GB2312" w:cs="Times New Roman"/>
                <w:color w:val="auto"/>
                <w:kern w:val="0"/>
                <w:szCs w:val="21"/>
                <w:highlight w:val="none"/>
              </w:rPr>
            </w:pPr>
          </w:p>
          <w:p w14:paraId="050D498F">
            <w:pPr>
              <w:widowControl/>
              <w:spacing w:line="300" w:lineRule="exact"/>
              <w:jc w:val="center"/>
              <w:rPr>
                <w:rFonts w:hint="default" w:ascii="Times New Roman" w:hAnsi="Times New Roman" w:eastAsia="仿宋_GB2312" w:cs="Times New Roman"/>
                <w:color w:val="auto"/>
                <w:kern w:val="0"/>
                <w:szCs w:val="21"/>
                <w:highlight w:val="none"/>
              </w:rPr>
            </w:pPr>
          </w:p>
          <w:p w14:paraId="6BADA6F5">
            <w:pPr>
              <w:widowControl/>
              <w:spacing w:line="300" w:lineRule="exact"/>
              <w:jc w:val="center"/>
              <w:rPr>
                <w:rFonts w:hint="default" w:ascii="Times New Roman" w:hAnsi="Times New Roman" w:eastAsia="仿宋_GB2312" w:cs="Times New Roman"/>
                <w:color w:val="auto"/>
                <w:kern w:val="0"/>
                <w:szCs w:val="21"/>
                <w:highlight w:val="none"/>
              </w:rPr>
            </w:pPr>
          </w:p>
          <w:p w14:paraId="71D89408">
            <w:pPr>
              <w:widowControl/>
              <w:spacing w:line="300" w:lineRule="exact"/>
              <w:jc w:val="center"/>
              <w:rPr>
                <w:rFonts w:hint="default" w:ascii="Times New Roman" w:hAnsi="Times New Roman" w:eastAsia="仿宋_GB2312" w:cs="Times New Roman"/>
                <w:color w:val="auto"/>
                <w:kern w:val="0"/>
                <w:szCs w:val="21"/>
                <w:highlight w:val="none"/>
              </w:rPr>
            </w:pPr>
          </w:p>
          <w:p w14:paraId="73CCCF4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01D30660">
            <w:pPr>
              <w:widowControl/>
              <w:spacing w:line="300" w:lineRule="exact"/>
              <w:jc w:val="center"/>
              <w:rPr>
                <w:rFonts w:hint="default" w:ascii="Times New Roman" w:hAnsi="Times New Roman" w:eastAsia="仿宋_GB2312" w:cs="Times New Roman"/>
                <w:color w:val="auto"/>
                <w:kern w:val="0"/>
                <w:szCs w:val="21"/>
                <w:highlight w:val="none"/>
              </w:rPr>
            </w:pPr>
          </w:p>
          <w:p w14:paraId="5B17460D">
            <w:pPr>
              <w:widowControl/>
              <w:spacing w:line="300" w:lineRule="exact"/>
              <w:jc w:val="center"/>
              <w:rPr>
                <w:rFonts w:hint="default" w:ascii="Times New Roman" w:hAnsi="Times New Roman" w:eastAsia="仿宋_GB2312" w:cs="Times New Roman"/>
                <w:color w:val="auto"/>
                <w:kern w:val="0"/>
                <w:szCs w:val="21"/>
                <w:highlight w:val="none"/>
              </w:rPr>
            </w:pPr>
          </w:p>
          <w:p w14:paraId="1C2D615A">
            <w:pPr>
              <w:widowControl/>
              <w:spacing w:line="300" w:lineRule="exact"/>
              <w:jc w:val="center"/>
              <w:rPr>
                <w:rFonts w:hint="default" w:ascii="Times New Roman" w:hAnsi="Times New Roman" w:eastAsia="仿宋_GB2312" w:cs="Times New Roman"/>
                <w:color w:val="auto"/>
                <w:kern w:val="0"/>
                <w:szCs w:val="21"/>
                <w:highlight w:val="none"/>
              </w:rPr>
            </w:pPr>
          </w:p>
          <w:p w14:paraId="05F32E92">
            <w:pPr>
              <w:widowControl/>
              <w:spacing w:line="300" w:lineRule="exact"/>
              <w:jc w:val="center"/>
              <w:rPr>
                <w:rFonts w:hint="default" w:ascii="Times New Roman" w:hAnsi="Times New Roman" w:eastAsia="仿宋_GB2312" w:cs="Times New Roman"/>
                <w:color w:val="auto"/>
                <w:kern w:val="0"/>
                <w:szCs w:val="21"/>
                <w:highlight w:val="none"/>
              </w:rPr>
            </w:pPr>
          </w:p>
          <w:p w14:paraId="0368A6D6">
            <w:pPr>
              <w:widowControl/>
              <w:spacing w:line="300" w:lineRule="exact"/>
              <w:jc w:val="center"/>
              <w:rPr>
                <w:rFonts w:hint="default" w:ascii="Times New Roman" w:hAnsi="Times New Roman" w:eastAsia="仿宋_GB2312" w:cs="Times New Roman"/>
                <w:color w:val="auto"/>
                <w:kern w:val="0"/>
                <w:szCs w:val="21"/>
                <w:highlight w:val="none"/>
              </w:rPr>
            </w:pPr>
          </w:p>
          <w:p w14:paraId="289BF303">
            <w:pPr>
              <w:widowControl/>
              <w:spacing w:line="300" w:lineRule="exact"/>
              <w:jc w:val="center"/>
              <w:rPr>
                <w:rFonts w:hint="default" w:ascii="Times New Roman" w:hAnsi="Times New Roman" w:eastAsia="仿宋_GB2312" w:cs="Times New Roman"/>
                <w:color w:val="auto"/>
                <w:kern w:val="0"/>
                <w:szCs w:val="21"/>
                <w:highlight w:val="none"/>
              </w:rPr>
            </w:pPr>
          </w:p>
          <w:p w14:paraId="3CC8BC9E">
            <w:pPr>
              <w:widowControl/>
              <w:spacing w:line="300" w:lineRule="exact"/>
              <w:jc w:val="center"/>
              <w:rPr>
                <w:rFonts w:hint="default" w:ascii="Times New Roman" w:hAnsi="Times New Roman" w:eastAsia="仿宋_GB2312" w:cs="Times New Roman"/>
                <w:color w:val="auto"/>
                <w:kern w:val="0"/>
                <w:szCs w:val="21"/>
                <w:highlight w:val="none"/>
              </w:rPr>
            </w:pPr>
          </w:p>
          <w:p w14:paraId="38B6DCE4">
            <w:pPr>
              <w:widowControl/>
              <w:spacing w:line="300" w:lineRule="exact"/>
              <w:jc w:val="center"/>
              <w:rPr>
                <w:rFonts w:hint="default" w:ascii="Times New Roman" w:hAnsi="Times New Roman" w:eastAsia="仿宋_GB2312" w:cs="Times New Roman"/>
                <w:color w:val="auto"/>
                <w:kern w:val="0"/>
                <w:szCs w:val="21"/>
                <w:highlight w:val="none"/>
              </w:rPr>
            </w:pPr>
          </w:p>
          <w:p w14:paraId="1A39FAE8">
            <w:pPr>
              <w:widowControl/>
              <w:spacing w:line="300" w:lineRule="exact"/>
              <w:jc w:val="center"/>
              <w:rPr>
                <w:rFonts w:hint="default" w:ascii="Times New Roman" w:hAnsi="Times New Roman" w:eastAsia="仿宋_GB2312" w:cs="Times New Roman"/>
                <w:color w:val="auto"/>
                <w:kern w:val="0"/>
                <w:szCs w:val="21"/>
                <w:highlight w:val="none"/>
              </w:rPr>
            </w:pPr>
          </w:p>
          <w:p w14:paraId="1C380167">
            <w:pPr>
              <w:widowControl/>
              <w:spacing w:line="300" w:lineRule="exact"/>
              <w:jc w:val="center"/>
              <w:rPr>
                <w:rFonts w:hint="default" w:ascii="Times New Roman" w:hAnsi="Times New Roman" w:eastAsia="仿宋_GB2312" w:cs="Times New Roman"/>
                <w:color w:val="auto"/>
                <w:kern w:val="0"/>
                <w:szCs w:val="21"/>
                <w:highlight w:val="none"/>
              </w:rPr>
            </w:pPr>
          </w:p>
          <w:p w14:paraId="6FA2A573">
            <w:pPr>
              <w:widowControl/>
              <w:spacing w:line="300" w:lineRule="exact"/>
              <w:jc w:val="center"/>
              <w:rPr>
                <w:rFonts w:hint="default" w:ascii="Times New Roman" w:hAnsi="Times New Roman" w:eastAsia="仿宋_GB2312" w:cs="Times New Roman"/>
                <w:color w:val="auto"/>
                <w:kern w:val="0"/>
                <w:szCs w:val="21"/>
                <w:highlight w:val="none"/>
              </w:rPr>
            </w:pPr>
          </w:p>
          <w:p w14:paraId="03671FC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饮料</w:t>
            </w:r>
          </w:p>
          <w:p w14:paraId="5BCFE973">
            <w:pPr>
              <w:widowControl/>
              <w:spacing w:line="300" w:lineRule="exact"/>
              <w:jc w:val="center"/>
              <w:rPr>
                <w:rFonts w:hint="default" w:ascii="Times New Roman" w:hAnsi="Times New Roman" w:eastAsia="仿宋_GB2312" w:cs="Times New Roman"/>
                <w:color w:val="auto"/>
                <w:kern w:val="0"/>
                <w:szCs w:val="21"/>
                <w:highlight w:val="none"/>
              </w:rPr>
            </w:pPr>
          </w:p>
          <w:p w14:paraId="00D70082">
            <w:pPr>
              <w:widowControl/>
              <w:spacing w:line="300" w:lineRule="exact"/>
              <w:jc w:val="center"/>
              <w:rPr>
                <w:rFonts w:hint="default" w:ascii="Times New Roman" w:hAnsi="Times New Roman" w:eastAsia="仿宋_GB2312" w:cs="Times New Roman"/>
                <w:color w:val="auto"/>
                <w:kern w:val="0"/>
                <w:szCs w:val="21"/>
                <w:highlight w:val="none"/>
              </w:rPr>
            </w:pPr>
          </w:p>
          <w:p w14:paraId="1A8B6C88">
            <w:pPr>
              <w:widowControl/>
              <w:spacing w:line="300" w:lineRule="exact"/>
              <w:jc w:val="center"/>
              <w:rPr>
                <w:rFonts w:hint="default" w:ascii="Times New Roman" w:hAnsi="Times New Roman" w:eastAsia="仿宋_GB2312" w:cs="Times New Roman"/>
                <w:color w:val="auto"/>
                <w:kern w:val="0"/>
                <w:szCs w:val="21"/>
                <w:highlight w:val="none"/>
              </w:rPr>
            </w:pPr>
          </w:p>
          <w:p w14:paraId="7B08E759">
            <w:pPr>
              <w:widowControl/>
              <w:spacing w:line="300" w:lineRule="exact"/>
              <w:jc w:val="center"/>
              <w:rPr>
                <w:rFonts w:hint="default" w:ascii="Times New Roman" w:hAnsi="Times New Roman" w:eastAsia="仿宋_GB2312" w:cs="Times New Roman"/>
                <w:color w:val="auto"/>
                <w:kern w:val="0"/>
                <w:szCs w:val="21"/>
                <w:highlight w:val="none"/>
              </w:rPr>
            </w:pPr>
          </w:p>
          <w:p w14:paraId="15AC2756">
            <w:pPr>
              <w:widowControl/>
              <w:spacing w:line="300" w:lineRule="exact"/>
              <w:jc w:val="center"/>
              <w:rPr>
                <w:rFonts w:hint="default" w:ascii="Times New Roman" w:hAnsi="Times New Roman" w:eastAsia="仿宋_GB2312" w:cs="Times New Roman"/>
                <w:color w:val="auto"/>
                <w:kern w:val="0"/>
                <w:szCs w:val="21"/>
                <w:highlight w:val="none"/>
              </w:rPr>
            </w:pPr>
          </w:p>
          <w:p w14:paraId="3D27A454">
            <w:pPr>
              <w:widowControl/>
              <w:spacing w:line="300" w:lineRule="exact"/>
              <w:jc w:val="center"/>
              <w:rPr>
                <w:rFonts w:hint="default" w:ascii="Times New Roman" w:hAnsi="Times New Roman" w:eastAsia="仿宋_GB2312" w:cs="Times New Roman"/>
                <w:color w:val="auto"/>
                <w:kern w:val="0"/>
                <w:szCs w:val="21"/>
                <w:highlight w:val="none"/>
              </w:rPr>
            </w:pPr>
          </w:p>
          <w:p w14:paraId="25ECC16D">
            <w:pPr>
              <w:widowControl/>
              <w:spacing w:line="300" w:lineRule="exact"/>
              <w:jc w:val="center"/>
              <w:rPr>
                <w:rFonts w:hint="default" w:ascii="Times New Roman" w:hAnsi="Times New Roman" w:eastAsia="仿宋_GB2312" w:cs="Times New Roman"/>
                <w:color w:val="auto"/>
                <w:kern w:val="0"/>
                <w:szCs w:val="21"/>
                <w:highlight w:val="none"/>
              </w:rPr>
            </w:pPr>
          </w:p>
          <w:p w14:paraId="34B95380">
            <w:pPr>
              <w:widowControl/>
              <w:spacing w:line="300" w:lineRule="exact"/>
              <w:jc w:val="center"/>
              <w:rPr>
                <w:rFonts w:hint="default" w:ascii="Times New Roman" w:hAnsi="Times New Roman" w:eastAsia="仿宋_GB2312" w:cs="Times New Roman"/>
                <w:color w:val="auto"/>
                <w:kern w:val="0"/>
                <w:szCs w:val="21"/>
                <w:highlight w:val="none"/>
              </w:rPr>
            </w:pPr>
          </w:p>
          <w:p w14:paraId="4FE46BD8">
            <w:pPr>
              <w:widowControl/>
              <w:spacing w:line="300" w:lineRule="exact"/>
              <w:jc w:val="center"/>
              <w:rPr>
                <w:rFonts w:hint="default" w:ascii="Times New Roman" w:hAnsi="Times New Roman" w:eastAsia="仿宋_GB2312" w:cs="Times New Roman"/>
                <w:color w:val="auto"/>
                <w:kern w:val="0"/>
                <w:szCs w:val="21"/>
                <w:highlight w:val="none"/>
              </w:rPr>
            </w:pPr>
          </w:p>
          <w:p w14:paraId="353D51C9">
            <w:pPr>
              <w:widowControl/>
              <w:spacing w:line="300" w:lineRule="exact"/>
              <w:jc w:val="center"/>
              <w:rPr>
                <w:rFonts w:hint="default" w:ascii="Times New Roman" w:hAnsi="Times New Roman" w:eastAsia="仿宋_GB2312" w:cs="Times New Roman"/>
                <w:color w:val="auto"/>
                <w:kern w:val="0"/>
                <w:szCs w:val="21"/>
                <w:highlight w:val="none"/>
              </w:rPr>
            </w:pPr>
          </w:p>
          <w:p w14:paraId="3E441A27">
            <w:pPr>
              <w:widowControl/>
              <w:spacing w:line="300" w:lineRule="exact"/>
              <w:jc w:val="center"/>
              <w:rPr>
                <w:rFonts w:hint="default" w:ascii="Times New Roman" w:hAnsi="Times New Roman" w:eastAsia="仿宋_GB2312" w:cs="Times New Roman"/>
                <w:color w:val="auto"/>
                <w:kern w:val="0"/>
                <w:szCs w:val="21"/>
                <w:highlight w:val="none"/>
              </w:rPr>
            </w:pPr>
          </w:p>
          <w:p w14:paraId="20BF0292">
            <w:pPr>
              <w:widowControl/>
              <w:spacing w:line="300" w:lineRule="exact"/>
              <w:jc w:val="center"/>
              <w:rPr>
                <w:rFonts w:hint="default" w:ascii="Times New Roman" w:hAnsi="Times New Roman" w:eastAsia="仿宋_GB2312" w:cs="Times New Roman"/>
                <w:color w:val="auto"/>
                <w:kern w:val="0"/>
                <w:szCs w:val="21"/>
                <w:highlight w:val="none"/>
              </w:rPr>
            </w:pPr>
          </w:p>
          <w:p w14:paraId="2B862F40">
            <w:pPr>
              <w:widowControl/>
              <w:spacing w:line="300" w:lineRule="exact"/>
              <w:jc w:val="center"/>
              <w:rPr>
                <w:rFonts w:hint="default" w:ascii="Times New Roman" w:hAnsi="Times New Roman" w:eastAsia="仿宋_GB2312" w:cs="Times New Roman"/>
                <w:color w:val="auto"/>
                <w:kern w:val="0"/>
                <w:szCs w:val="21"/>
                <w:highlight w:val="none"/>
              </w:rPr>
            </w:pPr>
          </w:p>
          <w:p w14:paraId="70F95719">
            <w:pPr>
              <w:widowControl/>
              <w:spacing w:line="300" w:lineRule="exact"/>
              <w:jc w:val="center"/>
              <w:rPr>
                <w:rFonts w:hint="default" w:ascii="Times New Roman" w:hAnsi="Times New Roman" w:eastAsia="仿宋_GB2312" w:cs="Times New Roman"/>
                <w:color w:val="auto"/>
                <w:kern w:val="0"/>
                <w:szCs w:val="21"/>
                <w:highlight w:val="none"/>
              </w:rPr>
            </w:pPr>
          </w:p>
          <w:p w14:paraId="44F224EB">
            <w:pPr>
              <w:widowControl/>
              <w:spacing w:line="300" w:lineRule="exact"/>
              <w:jc w:val="center"/>
              <w:rPr>
                <w:rFonts w:hint="default" w:ascii="Times New Roman" w:hAnsi="Times New Roman" w:eastAsia="仿宋_GB2312" w:cs="Times New Roman"/>
                <w:color w:val="auto"/>
                <w:kern w:val="0"/>
                <w:szCs w:val="21"/>
                <w:highlight w:val="none"/>
              </w:rPr>
            </w:pPr>
          </w:p>
          <w:p w14:paraId="6390037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饮料</w:t>
            </w:r>
          </w:p>
          <w:p w14:paraId="3DD39B8F">
            <w:pPr>
              <w:widowControl/>
              <w:spacing w:line="300" w:lineRule="exact"/>
              <w:jc w:val="center"/>
              <w:rPr>
                <w:rFonts w:hint="default" w:ascii="Times New Roman" w:hAnsi="Times New Roman" w:eastAsia="仿宋_GB2312" w:cs="Times New Roman"/>
                <w:color w:val="auto"/>
                <w:kern w:val="0"/>
                <w:szCs w:val="21"/>
                <w:highlight w:val="none"/>
              </w:rPr>
            </w:pPr>
          </w:p>
          <w:p w14:paraId="25AFB9A5">
            <w:pPr>
              <w:widowControl/>
              <w:spacing w:line="300" w:lineRule="exact"/>
              <w:jc w:val="center"/>
              <w:rPr>
                <w:rFonts w:hint="default" w:ascii="Times New Roman" w:hAnsi="Times New Roman" w:eastAsia="仿宋_GB2312" w:cs="Times New Roman"/>
                <w:color w:val="auto"/>
                <w:kern w:val="0"/>
                <w:szCs w:val="21"/>
                <w:highlight w:val="none"/>
              </w:rPr>
            </w:pPr>
          </w:p>
          <w:p w14:paraId="00CB3D44">
            <w:pPr>
              <w:widowControl/>
              <w:spacing w:line="300" w:lineRule="exact"/>
              <w:jc w:val="center"/>
              <w:rPr>
                <w:rFonts w:hint="default" w:ascii="Times New Roman" w:hAnsi="Times New Roman" w:eastAsia="仿宋_GB2312" w:cs="Times New Roman"/>
                <w:color w:val="auto"/>
                <w:kern w:val="0"/>
                <w:szCs w:val="21"/>
                <w:highlight w:val="none"/>
              </w:rPr>
            </w:pPr>
          </w:p>
          <w:p w14:paraId="22D4A416">
            <w:pPr>
              <w:widowControl/>
              <w:spacing w:line="300" w:lineRule="exact"/>
              <w:jc w:val="center"/>
              <w:rPr>
                <w:rFonts w:hint="default" w:ascii="Times New Roman" w:hAnsi="Times New Roman" w:eastAsia="仿宋_GB2312" w:cs="Times New Roman"/>
                <w:color w:val="auto"/>
                <w:kern w:val="0"/>
                <w:szCs w:val="21"/>
                <w:highlight w:val="none"/>
              </w:rPr>
            </w:pPr>
          </w:p>
          <w:p w14:paraId="5334A925">
            <w:pPr>
              <w:widowControl/>
              <w:spacing w:line="300" w:lineRule="exact"/>
              <w:jc w:val="center"/>
              <w:rPr>
                <w:rFonts w:hint="default" w:ascii="Times New Roman" w:hAnsi="Times New Roman" w:eastAsia="仿宋_GB2312" w:cs="Times New Roman"/>
                <w:color w:val="auto"/>
                <w:kern w:val="0"/>
                <w:szCs w:val="21"/>
                <w:highlight w:val="none"/>
              </w:rPr>
            </w:pPr>
          </w:p>
          <w:p w14:paraId="70CA153F">
            <w:pPr>
              <w:widowControl/>
              <w:spacing w:line="300" w:lineRule="exact"/>
              <w:jc w:val="center"/>
              <w:rPr>
                <w:rFonts w:hint="default" w:ascii="Times New Roman" w:hAnsi="Times New Roman" w:eastAsia="仿宋_GB2312" w:cs="Times New Roman"/>
                <w:color w:val="auto"/>
                <w:kern w:val="0"/>
                <w:szCs w:val="21"/>
                <w:highlight w:val="none"/>
              </w:rPr>
            </w:pPr>
          </w:p>
          <w:p w14:paraId="3FDCFF44">
            <w:pPr>
              <w:widowControl/>
              <w:spacing w:line="300" w:lineRule="exact"/>
              <w:jc w:val="center"/>
              <w:rPr>
                <w:rFonts w:hint="default" w:ascii="Times New Roman" w:hAnsi="Times New Roman" w:eastAsia="仿宋_GB2312" w:cs="Times New Roman"/>
                <w:color w:val="auto"/>
                <w:kern w:val="0"/>
                <w:szCs w:val="21"/>
                <w:highlight w:val="none"/>
              </w:rPr>
            </w:pPr>
          </w:p>
          <w:p w14:paraId="25E76896">
            <w:pPr>
              <w:widowControl/>
              <w:spacing w:line="300" w:lineRule="exact"/>
              <w:jc w:val="center"/>
              <w:rPr>
                <w:rFonts w:hint="default" w:ascii="Times New Roman" w:hAnsi="Times New Roman" w:eastAsia="仿宋_GB2312" w:cs="Times New Roman"/>
                <w:color w:val="auto"/>
                <w:kern w:val="0"/>
                <w:szCs w:val="21"/>
                <w:highlight w:val="none"/>
              </w:rPr>
            </w:pPr>
          </w:p>
          <w:p w14:paraId="60EB5E79">
            <w:pPr>
              <w:widowControl/>
              <w:spacing w:line="300" w:lineRule="exact"/>
              <w:jc w:val="center"/>
              <w:rPr>
                <w:rFonts w:hint="default" w:ascii="Times New Roman" w:hAnsi="Times New Roman" w:eastAsia="仿宋_GB2312" w:cs="Times New Roman"/>
                <w:color w:val="auto"/>
                <w:kern w:val="0"/>
                <w:szCs w:val="21"/>
                <w:highlight w:val="none"/>
              </w:rPr>
            </w:pPr>
          </w:p>
          <w:p w14:paraId="46768198">
            <w:pPr>
              <w:widowControl/>
              <w:spacing w:line="300" w:lineRule="exact"/>
              <w:jc w:val="center"/>
              <w:rPr>
                <w:rFonts w:hint="default" w:ascii="Times New Roman" w:hAnsi="Times New Roman" w:eastAsia="仿宋_GB2312" w:cs="Times New Roman"/>
                <w:color w:val="auto"/>
                <w:kern w:val="0"/>
                <w:szCs w:val="21"/>
                <w:highlight w:val="none"/>
              </w:rPr>
            </w:pPr>
          </w:p>
          <w:p w14:paraId="189DF548">
            <w:pPr>
              <w:widowControl/>
              <w:spacing w:line="300" w:lineRule="exact"/>
              <w:jc w:val="center"/>
              <w:rPr>
                <w:rFonts w:hint="default" w:ascii="Times New Roman" w:hAnsi="Times New Roman" w:eastAsia="仿宋_GB2312" w:cs="Times New Roman"/>
                <w:color w:val="auto"/>
                <w:kern w:val="0"/>
                <w:szCs w:val="21"/>
                <w:highlight w:val="none"/>
              </w:rPr>
            </w:pPr>
          </w:p>
          <w:p w14:paraId="201CFFEF">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44CC10F8">
            <w:pPr>
              <w:widowControl/>
              <w:spacing w:line="300" w:lineRule="exact"/>
              <w:jc w:val="center"/>
              <w:rPr>
                <w:rFonts w:hint="default" w:ascii="Times New Roman" w:hAnsi="Times New Roman" w:eastAsia="仿宋_GB2312" w:cs="Times New Roman"/>
                <w:color w:val="auto"/>
                <w:kern w:val="0"/>
                <w:szCs w:val="21"/>
                <w:highlight w:val="none"/>
              </w:rPr>
            </w:pPr>
          </w:p>
          <w:p w14:paraId="1322F73F">
            <w:pPr>
              <w:widowControl/>
              <w:spacing w:line="300" w:lineRule="exact"/>
              <w:jc w:val="center"/>
              <w:rPr>
                <w:rFonts w:hint="default" w:ascii="Times New Roman" w:hAnsi="Times New Roman" w:eastAsia="仿宋_GB2312" w:cs="Times New Roman"/>
                <w:color w:val="auto"/>
                <w:kern w:val="0"/>
                <w:szCs w:val="21"/>
                <w:highlight w:val="none"/>
              </w:rPr>
            </w:pPr>
          </w:p>
          <w:p w14:paraId="7A9564E1">
            <w:pPr>
              <w:widowControl/>
              <w:spacing w:line="300" w:lineRule="exact"/>
              <w:jc w:val="center"/>
              <w:rPr>
                <w:rFonts w:hint="default" w:ascii="Times New Roman" w:hAnsi="Times New Roman" w:eastAsia="仿宋_GB2312" w:cs="Times New Roman"/>
                <w:color w:val="auto"/>
                <w:kern w:val="0"/>
                <w:szCs w:val="21"/>
                <w:highlight w:val="none"/>
              </w:rPr>
            </w:pPr>
          </w:p>
          <w:p w14:paraId="56432653">
            <w:pPr>
              <w:widowControl/>
              <w:spacing w:line="300" w:lineRule="exact"/>
              <w:jc w:val="center"/>
              <w:rPr>
                <w:rFonts w:hint="default" w:ascii="Times New Roman" w:hAnsi="Times New Roman" w:eastAsia="仿宋_GB2312" w:cs="Times New Roman"/>
                <w:color w:val="auto"/>
                <w:kern w:val="0"/>
                <w:szCs w:val="21"/>
                <w:highlight w:val="none"/>
              </w:rPr>
            </w:pPr>
          </w:p>
          <w:p w14:paraId="0009213C">
            <w:pPr>
              <w:widowControl/>
              <w:spacing w:line="300" w:lineRule="exact"/>
              <w:jc w:val="center"/>
              <w:rPr>
                <w:rFonts w:hint="default" w:ascii="Times New Roman" w:hAnsi="Times New Roman" w:eastAsia="仿宋_GB2312" w:cs="Times New Roman"/>
                <w:color w:val="auto"/>
                <w:kern w:val="0"/>
                <w:szCs w:val="21"/>
                <w:highlight w:val="none"/>
              </w:rPr>
            </w:pPr>
          </w:p>
          <w:p w14:paraId="15FD172D">
            <w:pPr>
              <w:widowControl/>
              <w:spacing w:line="300" w:lineRule="exact"/>
              <w:jc w:val="center"/>
              <w:rPr>
                <w:rFonts w:hint="default" w:ascii="Times New Roman" w:hAnsi="Times New Roman" w:eastAsia="仿宋_GB2312" w:cs="Times New Roman"/>
                <w:color w:val="auto"/>
                <w:kern w:val="0"/>
                <w:szCs w:val="21"/>
                <w:highlight w:val="none"/>
              </w:rPr>
            </w:pPr>
          </w:p>
          <w:p w14:paraId="0ED4AB83">
            <w:pPr>
              <w:widowControl/>
              <w:spacing w:line="300" w:lineRule="exact"/>
              <w:jc w:val="center"/>
              <w:rPr>
                <w:rFonts w:hint="default" w:ascii="Times New Roman" w:hAnsi="Times New Roman" w:eastAsia="仿宋_GB2312" w:cs="Times New Roman"/>
                <w:color w:val="auto"/>
                <w:kern w:val="0"/>
                <w:szCs w:val="21"/>
                <w:highlight w:val="none"/>
              </w:rPr>
            </w:pPr>
          </w:p>
          <w:p w14:paraId="4261C892">
            <w:pPr>
              <w:widowControl/>
              <w:spacing w:line="300" w:lineRule="exact"/>
              <w:jc w:val="center"/>
              <w:rPr>
                <w:rFonts w:hint="default" w:ascii="Times New Roman" w:hAnsi="Times New Roman" w:eastAsia="仿宋_GB2312" w:cs="Times New Roman"/>
                <w:color w:val="auto"/>
                <w:kern w:val="0"/>
                <w:szCs w:val="21"/>
                <w:highlight w:val="none"/>
              </w:rPr>
            </w:pPr>
          </w:p>
          <w:p w14:paraId="0F5D86CF">
            <w:pPr>
              <w:widowControl/>
              <w:spacing w:line="300" w:lineRule="exact"/>
              <w:jc w:val="center"/>
              <w:rPr>
                <w:rFonts w:hint="default" w:ascii="Times New Roman" w:hAnsi="Times New Roman" w:eastAsia="仿宋_GB2312" w:cs="Times New Roman"/>
                <w:color w:val="auto"/>
                <w:kern w:val="0"/>
                <w:szCs w:val="21"/>
                <w:highlight w:val="none"/>
              </w:rPr>
            </w:pPr>
          </w:p>
          <w:p w14:paraId="20A9B94D">
            <w:pPr>
              <w:widowControl/>
              <w:spacing w:line="300" w:lineRule="exact"/>
              <w:jc w:val="center"/>
              <w:rPr>
                <w:rFonts w:hint="default" w:ascii="Times New Roman" w:hAnsi="Times New Roman" w:eastAsia="仿宋_GB2312" w:cs="Times New Roman"/>
                <w:color w:val="auto"/>
                <w:kern w:val="0"/>
                <w:szCs w:val="21"/>
                <w:highlight w:val="none"/>
              </w:rPr>
            </w:pPr>
          </w:p>
          <w:p w14:paraId="33E4F777">
            <w:pPr>
              <w:widowControl/>
              <w:spacing w:line="300" w:lineRule="exact"/>
              <w:jc w:val="center"/>
              <w:rPr>
                <w:rFonts w:hint="default" w:ascii="Times New Roman" w:hAnsi="Times New Roman" w:eastAsia="仿宋_GB2312" w:cs="Times New Roman"/>
                <w:color w:val="auto"/>
                <w:kern w:val="0"/>
                <w:szCs w:val="21"/>
                <w:highlight w:val="none"/>
              </w:rPr>
            </w:pPr>
          </w:p>
          <w:p w14:paraId="4E75294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饮料</w:t>
            </w:r>
          </w:p>
          <w:p w14:paraId="5F480FF5">
            <w:pPr>
              <w:widowControl/>
              <w:spacing w:line="300" w:lineRule="exact"/>
              <w:jc w:val="center"/>
              <w:rPr>
                <w:rFonts w:hint="default" w:ascii="Times New Roman" w:hAnsi="Times New Roman" w:eastAsia="仿宋_GB2312" w:cs="Times New Roman"/>
                <w:color w:val="auto"/>
                <w:kern w:val="0"/>
                <w:szCs w:val="21"/>
                <w:highlight w:val="none"/>
              </w:rPr>
            </w:pPr>
          </w:p>
          <w:p w14:paraId="18718E13">
            <w:pPr>
              <w:widowControl/>
              <w:spacing w:line="300" w:lineRule="exact"/>
              <w:jc w:val="center"/>
              <w:rPr>
                <w:rFonts w:hint="default" w:ascii="Times New Roman" w:hAnsi="Times New Roman" w:eastAsia="仿宋_GB2312" w:cs="Times New Roman"/>
                <w:color w:val="auto"/>
                <w:kern w:val="0"/>
                <w:szCs w:val="21"/>
                <w:highlight w:val="none"/>
              </w:rPr>
            </w:pPr>
          </w:p>
          <w:p w14:paraId="20FF96D2">
            <w:pPr>
              <w:widowControl/>
              <w:spacing w:line="300" w:lineRule="exact"/>
              <w:jc w:val="center"/>
              <w:rPr>
                <w:rFonts w:hint="default" w:ascii="Times New Roman" w:hAnsi="Times New Roman" w:eastAsia="仿宋_GB2312" w:cs="Times New Roman"/>
                <w:color w:val="auto"/>
                <w:kern w:val="0"/>
                <w:szCs w:val="21"/>
                <w:highlight w:val="none"/>
              </w:rPr>
            </w:pPr>
          </w:p>
          <w:p w14:paraId="25DE9B6B">
            <w:pPr>
              <w:widowControl/>
              <w:spacing w:line="300" w:lineRule="exact"/>
              <w:jc w:val="center"/>
              <w:rPr>
                <w:rFonts w:hint="default" w:ascii="Times New Roman" w:hAnsi="Times New Roman" w:eastAsia="仿宋_GB2312" w:cs="Times New Roman"/>
                <w:color w:val="auto"/>
                <w:kern w:val="0"/>
                <w:szCs w:val="21"/>
                <w:highlight w:val="none"/>
              </w:rPr>
            </w:pPr>
          </w:p>
          <w:p w14:paraId="122F2141">
            <w:pPr>
              <w:widowControl/>
              <w:spacing w:line="300" w:lineRule="exact"/>
              <w:jc w:val="center"/>
              <w:rPr>
                <w:rFonts w:hint="default" w:ascii="Times New Roman" w:hAnsi="Times New Roman" w:eastAsia="仿宋_GB2312" w:cs="Times New Roman"/>
                <w:color w:val="auto"/>
                <w:kern w:val="0"/>
                <w:szCs w:val="21"/>
                <w:highlight w:val="none"/>
              </w:rPr>
            </w:pPr>
          </w:p>
          <w:p w14:paraId="3E92A704">
            <w:pPr>
              <w:widowControl/>
              <w:spacing w:line="300" w:lineRule="exact"/>
              <w:jc w:val="center"/>
              <w:rPr>
                <w:rFonts w:hint="default" w:ascii="Times New Roman" w:hAnsi="Times New Roman" w:eastAsia="仿宋_GB2312" w:cs="Times New Roman"/>
                <w:color w:val="auto"/>
                <w:kern w:val="0"/>
                <w:szCs w:val="21"/>
                <w:highlight w:val="none"/>
              </w:rPr>
            </w:pPr>
          </w:p>
          <w:p w14:paraId="26496EE5">
            <w:pPr>
              <w:widowControl/>
              <w:spacing w:line="300" w:lineRule="exact"/>
              <w:jc w:val="center"/>
              <w:rPr>
                <w:rFonts w:hint="default" w:ascii="Times New Roman" w:hAnsi="Times New Roman" w:eastAsia="仿宋_GB2312" w:cs="Times New Roman"/>
                <w:color w:val="auto"/>
                <w:kern w:val="0"/>
                <w:szCs w:val="21"/>
                <w:highlight w:val="none"/>
              </w:rPr>
            </w:pPr>
          </w:p>
          <w:p w14:paraId="2DFDDBE2">
            <w:pPr>
              <w:widowControl/>
              <w:spacing w:line="300" w:lineRule="exact"/>
              <w:jc w:val="center"/>
              <w:rPr>
                <w:rFonts w:hint="default" w:ascii="Times New Roman" w:hAnsi="Times New Roman" w:eastAsia="仿宋_GB2312" w:cs="Times New Roman"/>
                <w:color w:val="auto"/>
                <w:kern w:val="0"/>
                <w:szCs w:val="21"/>
                <w:highlight w:val="none"/>
              </w:rPr>
            </w:pPr>
          </w:p>
          <w:p w14:paraId="70C789BA">
            <w:pPr>
              <w:widowControl/>
              <w:spacing w:line="300" w:lineRule="exact"/>
              <w:jc w:val="center"/>
              <w:rPr>
                <w:rFonts w:hint="default" w:ascii="Times New Roman" w:hAnsi="Times New Roman" w:eastAsia="仿宋_GB2312" w:cs="Times New Roman"/>
                <w:color w:val="auto"/>
                <w:kern w:val="0"/>
                <w:szCs w:val="21"/>
                <w:highlight w:val="none"/>
              </w:rPr>
            </w:pPr>
          </w:p>
          <w:p w14:paraId="70969CE7">
            <w:pPr>
              <w:widowControl/>
              <w:spacing w:line="300" w:lineRule="exact"/>
              <w:jc w:val="center"/>
              <w:rPr>
                <w:rFonts w:hint="default" w:ascii="Times New Roman" w:hAnsi="Times New Roman" w:eastAsia="仿宋_GB2312" w:cs="Times New Roman"/>
                <w:color w:val="auto"/>
                <w:kern w:val="0"/>
                <w:szCs w:val="21"/>
                <w:highlight w:val="none"/>
              </w:rPr>
            </w:pPr>
          </w:p>
          <w:p w14:paraId="2C748432">
            <w:pPr>
              <w:widowControl/>
              <w:spacing w:line="300" w:lineRule="exact"/>
              <w:jc w:val="center"/>
              <w:rPr>
                <w:rFonts w:hint="default" w:ascii="Times New Roman" w:hAnsi="Times New Roman" w:eastAsia="仿宋_GB2312" w:cs="Times New Roman"/>
                <w:color w:val="auto"/>
                <w:kern w:val="0"/>
                <w:szCs w:val="21"/>
                <w:highlight w:val="none"/>
              </w:rPr>
            </w:pPr>
          </w:p>
          <w:p w14:paraId="15981E59">
            <w:pPr>
              <w:widowControl/>
              <w:spacing w:line="300" w:lineRule="exact"/>
              <w:jc w:val="center"/>
              <w:rPr>
                <w:rFonts w:hint="default" w:ascii="Times New Roman" w:hAnsi="Times New Roman" w:eastAsia="仿宋_GB2312" w:cs="Times New Roman"/>
                <w:color w:val="auto"/>
                <w:kern w:val="0"/>
                <w:szCs w:val="21"/>
                <w:highlight w:val="none"/>
              </w:rPr>
            </w:pPr>
          </w:p>
          <w:p w14:paraId="7CA71D19">
            <w:pPr>
              <w:widowControl/>
              <w:spacing w:line="300" w:lineRule="exact"/>
              <w:jc w:val="center"/>
              <w:rPr>
                <w:rFonts w:hint="default" w:ascii="Times New Roman" w:hAnsi="Times New Roman" w:eastAsia="仿宋_GB2312" w:cs="Times New Roman"/>
                <w:color w:val="auto"/>
                <w:kern w:val="0"/>
                <w:szCs w:val="21"/>
                <w:highlight w:val="none"/>
              </w:rPr>
            </w:pPr>
          </w:p>
          <w:p w14:paraId="2B2B15CE">
            <w:pPr>
              <w:widowControl/>
              <w:spacing w:line="300" w:lineRule="exact"/>
              <w:jc w:val="center"/>
              <w:rPr>
                <w:rFonts w:hint="default" w:ascii="Times New Roman" w:hAnsi="Times New Roman" w:eastAsia="仿宋_GB2312" w:cs="Times New Roman"/>
                <w:color w:val="auto"/>
                <w:kern w:val="0"/>
                <w:szCs w:val="21"/>
                <w:highlight w:val="none"/>
              </w:rPr>
            </w:pPr>
          </w:p>
          <w:p w14:paraId="6E5ECF26">
            <w:pPr>
              <w:widowControl/>
              <w:spacing w:line="300" w:lineRule="exact"/>
              <w:jc w:val="center"/>
              <w:rPr>
                <w:rFonts w:hint="default" w:ascii="Times New Roman" w:hAnsi="Times New Roman" w:eastAsia="仿宋_GB2312" w:cs="Times New Roman"/>
                <w:color w:val="auto"/>
                <w:kern w:val="0"/>
                <w:szCs w:val="21"/>
                <w:highlight w:val="none"/>
              </w:rPr>
            </w:pPr>
          </w:p>
          <w:p w14:paraId="5DEE514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饮料</w:t>
            </w:r>
          </w:p>
          <w:p w14:paraId="02C722A1">
            <w:pPr>
              <w:widowControl/>
              <w:spacing w:line="300" w:lineRule="exact"/>
              <w:jc w:val="center"/>
              <w:rPr>
                <w:rFonts w:hint="default" w:ascii="Times New Roman" w:hAnsi="Times New Roman" w:eastAsia="仿宋_GB2312" w:cs="Times New Roman"/>
                <w:color w:val="auto"/>
                <w:kern w:val="0"/>
                <w:szCs w:val="21"/>
                <w:highlight w:val="none"/>
              </w:rPr>
            </w:pPr>
          </w:p>
          <w:p w14:paraId="6819D73D">
            <w:pPr>
              <w:widowControl/>
              <w:spacing w:line="300" w:lineRule="exact"/>
              <w:jc w:val="center"/>
              <w:rPr>
                <w:rFonts w:hint="default" w:ascii="Times New Roman" w:hAnsi="Times New Roman" w:eastAsia="仿宋_GB2312" w:cs="Times New Roman"/>
                <w:color w:val="auto"/>
                <w:kern w:val="0"/>
                <w:szCs w:val="21"/>
                <w:highlight w:val="none"/>
              </w:rPr>
            </w:pPr>
          </w:p>
          <w:p w14:paraId="59FB0ED3">
            <w:pPr>
              <w:widowControl/>
              <w:spacing w:line="300" w:lineRule="exact"/>
              <w:jc w:val="center"/>
              <w:rPr>
                <w:rFonts w:hint="default" w:ascii="Times New Roman" w:hAnsi="Times New Roman" w:eastAsia="仿宋_GB2312" w:cs="Times New Roman"/>
                <w:color w:val="auto"/>
                <w:kern w:val="0"/>
                <w:szCs w:val="21"/>
                <w:highlight w:val="none"/>
              </w:rPr>
            </w:pPr>
          </w:p>
          <w:p w14:paraId="3CF2BD16">
            <w:pPr>
              <w:widowControl/>
              <w:spacing w:line="300" w:lineRule="exact"/>
              <w:jc w:val="center"/>
              <w:rPr>
                <w:rFonts w:hint="default" w:ascii="Times New Roman" w:hAnsi="Times New Roman" w:eastAsia="仿宋_GB2312" w:cs="Times New Roman"/>
                <w:color w:val="auto"/>
                <w:kern w:val="0"/>
                <w:szCs w:val="21"/>
                <w:highlight w:val="none"/>
              </w:rPr>
            </w:pPr>
          </w:p>
          <w:p w14:paraId="71AED874">
            <w:pPr>
              <w:widowControl/>
              <w:spacing w:line="300" w:lineRule="exact"/>
              <w:jc w:val="center"/>
              <w:rPr>
                <w:rFonts w:hint="default" w:ascii="Times New Roman" w:hAnsi="Times New Roman" w:eastAsia="仿宋_GB2312" w:cs="Times New Roman"/>
                <w:color w:val="auto"/>
                <w:kern w:val="0"/>
                <w:szCs w:val="21"/>
                <w:highlight w:val="none"/>
              </w:rPr>
            </w:pPr>
          </w:p>
          <w:p w14:paraId="2934AA94">
            <w:pPr>
              <w:widowControl/>
              <w:spacing w:line="300" w:lineRule="exact"/>
              <w:jc w:val="center"/>
              <w:rPr>
                <w:rFonts w:hint="default" w:ascii="Times New Roman" w:hAnsi="Times New Roman" w:eastAsia="仿宋_GB2312" w:cs="Times New Roman"/>
                <w:color w:val="auto"/>
                <w:kern w:val="0"/>
                <w:szCs w:val="21"/>
                <w:highlight w:val="none"/>
              </w:rPr>
            </w:pPr>
          </w:p>
          <w:p w14:paraId="27ED6D96">
            <w:pPr>
              <w:widowControl/>
              <w:spacing w:line="300" w:lineRule="exact"/>
              <w:jc w:val="center"/>
              <w:rPr>
                <w:rFonts w:hint="default" w:ascii="Times New Roman" w:hAnsi="Times New Roman" w:eastAsia="仿宋_GB2312" w:cs="Times New Roman"/>
                <w:color w:val="auto"/>
                <w:kern w:val="0"/>
                <w:szCs w:val="21"/>
                <w:highlight w:val="none"/>
              </w:rPr>
            </w:pPr>
          </w:p>
          <w:p w14:paraId="7C0DD24A">
            <w:pPr>
              <w:widowControl/>
              <w:spacing w:line="300" w:lineRule="exact"/>
              <w:jc w:val="center"/>
              <w:rPr>
                <w:rFonts w:hint="default" w:ascii="Times New Roman" w:hAnsi="Times New Roman" w:eastAsia="仿宋_GB2312" w:cs="Times New Roman"/>
                <w:color w:val="auto"/>
                <w:kern w:val="0"/>
                <w:szCs w:val="21"/>
                <w:highlight w:val="none"/>
              </w:rPr>
            </w:pPr>
          </w:p>
          <w:p w14:paraId="6692744F">
            <w:pPr>
              <w:widowControl/>
              <w:spacing w:line="300" w:lineRule="exact"/>
              <w:jc w:val="center"/>
              <w:rPr>
                <w:rFonts w:hint="default" w:ascii="Times New Roman" w:hAnsi="Times New Roman" w:eastAsia="仿宋_GB2312" w:cs="Times New Roman"/>
                <w:color w:val="auto"/>
                <w:kern w:val="0"/>
                <w:szCs w:val="21"/>
                <w:highlight w:val="none"/>
              </w:rPr>
            </w:pPr>
          </w:p>
          <w:p w14:paraId="0FEB4DF1">
            <w:pPr>
              <w:widowControl/>
              <w:spacing w:line="300" w:lineRule="exact"/>
              <w:jc w:val="center"/>
              <w:rPr>
                <w:rFonts w:hint="default" w:ascii="Times New Roman" w:hAnsi="Times New Roman" w:eastAsia="仿宋_GB2312" w:cs="Times New Roman"/>
                <w:color w:val="auto"/>
                <w:kern w:val="0"/>
                <w:szCs w:val="21"/>
                <w:highlight w:val="none"/>
              </w:rPr>
            </w:pPr>
          </w:p>
          <w:p w14:paraId="43038EB6">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45D97D8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包装饮用水</w:t>
            </w:r>
          </w:p>
        </w:tc>
        <w:tc>
          <w:tcPr>
            <w:tcW w:w="1856" w:type="dxa"/>
            <w:noWrap w:val="0"/>
            <w:vAlign w:val="center"/>
          </w:tcPr>
          <w:p w14:paraId="4D5C7D3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饮用天然矿泉水</w:t>
            </w:r>
          </w:p>
        </w:tc>
        <w:tc>
          <w:tcPr>
            <w:tcW w:w="1106" w:type="dxa"/>
            <w:noWrap w:val="0"/>
            <w:vAlign w:val="center"/>
          </w:tcPr>
          <w:p w14:paraId="7DE33752">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一般</w:t>
            </w:r>
          </w:p>
        </w:tc>
        <w:tc>
          <w:tcPr>
            <w:tcW w:w="4376" w:type="dxa"/>
            <w:noWrap w:val="0"/>
            <w:vAlign w:val="center"/>
          </w:tcPr>
          <w:p w14:paraId="405FA81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界限指标、总砷（以As计）、溴酸盐、硝酸盐 （以NO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 xml:space="preserve"> - 计）、亚硝酸盐（以NO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 计）、大肠菌群、铜绿假单胞菌</w:t>
            </w:r>
          </w:p>
        </w:tc>
        <w:tc>
          <w:tcPr>
            <w:tcW w:w="3435" w:type="dxa"/>
            <w:noWrap w:val="0"/>
            <w:vAlign w:val="center"/>
          </w:tcPr>
          <w:p w14:paraId="53845E9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铅（以Pb计）、镉（以Cd计）</w:t>
            </w:r>
          </w:p>
        </w:tc>
      </w:tr>
      <w:tr w14:paraId="435A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trPr>
        <w:tc>
          <w:tcPr>
            <w:tcW w:w="720" w:type="dxa"/>
            <w:vMerge w:val="continue"/>
            <w:noWrap w:val="0"/>
            <w:vAlign w:val="center"/>
          </w:tcPr>
          <w:p w14:paraId="47573F5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3E2401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7E9FA78">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7041BB7">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E4F5D7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饮用纯净水</w:t>
            </w:r>
          </w:p>
        </w:tc>
        <w:tc>
          <w:tcPr>
            <w:tcW w:w="1106" w:type="dxa"/>
            <w:noWrap w:val="0"/>
            <w:vAlign w:val="center"/>
          </w:tcPr>
          <w:p w14:paraId="334A29B6">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7CA923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电导率、亚硝酸盐（以NO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-计）、余氯（游离氯）、溴酸盐、大肠菌群、铜绿假单胞菌</w:t>
            </w:r>
          </w:p>
        </w:tc>
        <w:tc>
          <w:tcPr>
            <w:tcW w:w="3435" w:type="dxa"/>
            <w:noWrap w:val="0"/>
            <w:vAlign w:val="center"/>
          </w:tcPr>
          <w:p w14:paraId="34A463A5">
            <w:pPr>
              <w:keepNext w:val="0"/>
              <w:keepLines w:val="0"/>
              <w:widowControl/>
              <w:suppressLineNumbers w:val="0"/>
              <w:jc w:val="left"/>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bidi="ar"/>
              </w:rPr>
              <w:t>耗氧量（以O</w:t>
            </w:r>
            <w:r>
              <w:rPr>
                <w:rFonts w:hint="eastAsia" w:ascii="仿宋_GB2312" w:hAnsi="仿宋_GB2312" w:eastAsia="仿宋_GB2312" w:cs="仿宋_GB2312"/>
                <w:color w:val="auto"/>
                <w:kern w:val="0"/>
                <w:sz w:val="21"/>
                <w:szCs w:val="21"/>
                <w:highlight w:val="none"/>
                <w:vertAlign w:val="subscript"/>
                <w:lang w:val="en-US" w:eastAsia="zh-CN" w:bidi="ar"/>
              </w:rPr>
              <w:t>2</w:t>
            </w:r>
            <w:r>
              <w:rPr>
                <w:rFonts w:hint="eastAsia" w:ascii="仿宋_GB2312" w:hAnsi="仿宋_GB2312" w:eastAsia="仿宋_GB2312" w:cs="仿宋_GB2312"/>
                <w:color w:val="auto"/>
                <w:kern w:val="0"/>
                <w:sz w:val="21"/>
                <w:szCs w:val="21"/>
                <w:highlight w:val="none"/>
                <w:lang w:val="en-US" w:eastAsia="zh-CN" w:bidi="ar"/>
              </w:rPr>
              <w:t>计）、三氯甲烷</w:t>
            </w:r>
          </w:p>
        </w:tc>
      </w:tr>
      <w:tr w14:paraId="5B85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C1FB08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C982D3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CD7E993">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40B69A8">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658518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其他类饮用水</w:t>
            </w:r>
          </w:p>
        </w:tc>
        <w:tc>
          <w:tcPr>
            <w:tcW w:w="1106" w:type="dxa"/>
            <w:noWrap w:val="0"/>
            <w:vAlign w:val="center"/>
          </w:tcPr>
          <w:p w14:paraId="7788BBBA">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7857A94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亚硝酸盐 （以NO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 计）、余氯（游离氯）、溴酸盐、大肠菌群、铜绿假单胞菌、总砷（以As计）</w:t>
            </w:r>
          </w:p>
        </w:tc>
        <w:tc>
          <w:tcPr>
            <w:tcW w:w="3435" w:type="dxa"/>
            <w:noWrap w:val="0"/>
            <w:vAlign w:val="center"/>
          </w:tcPr>
          <w:p w14:paraId="13E34CB0">
            <w:pPr>
              <w:keepNext w:val="0"/>
              <w:keepLines w:val="0"/>
              <w:widowControl/>
              <w:suppressLineNumbers w:val="0"/>
              <w:jc w:val="left"/>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耗氧量（以O</w:t>
            </w:r>
            <w:r>
              <w:rPr>
                <w:rFonts w:hint="eastAsia" w:ascii="仿宋_GB2312" w:hAnsi="仿宋_GB2312" w:eastAsia="仿宋_GB2312" w:cs="仿宋_GB2312"/>
                <w:color w:val="auto"/>
                <w:kern w:val="0"/>
                <w:sz w:val="21"/>
                <w:szCs w:val="21"/>
                <w:highlight w:val="none"/>
                <w:vertAlign w:val="subscript"/>
                <w:lang w:val="en-US" w:eastAsia="zh-CN"/>
              </w:rPr>
              <w:t>2</w:t>
            </w:r>
            <w:r>
              <w:rPr>
                <w:rFonts w:hint="eastAsia" w:ascii="仿宋_GB2312" w:hAnsi="仿宋_GB2312" w:eastAsia="仿宋_GB2312" w:cs="仿宋_GB2312"/>
                <w:color w:val="auto"/>
                <w:kern w:val="0"/>
                <w:sz w:val="21"/>
                <w:szCs w:val="21"/>
                <w:highlight w:val="none"/>
                <w:lang w:val="en-US" w:eastAsia="zh-CN"/>
              </w:rPr>
              <w:t>计）、三氯甲烷</w:t>
            </w:r>
          </w:p>
        </w:tc>
      </w:tr>
      <w:tr w14:paraId="47093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652DED3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BCDE2D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E4F5DBE">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264340A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果蔬汁类及其饮料</w:t>
            </w:r>
          </w:p>
        </w:tc>
        <w:tc>
          <w:tcPr>
            <w:tcW w:w="1856" w:type="dxa"/>
            <w:noWrap w:val="0"/>
            <w:vAlign w:val="center"/>
          </w:tcPr>
          <w:p w14:paraId="681FDDC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果蔬汁类及其饮料</w:t>
            </w:r>
          </w:p>
        </w:tc>
        <w:tc>
          <w:tcPr>
            <w:tcW w:w="1106" w:type="dxa"/>
            <w:noWrap w:val="0"/>
            <w:vAlign w:val="center"/>
          </w:tcPr>
          <w:p w14:paraId="3D8632C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A469C3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脱氢乙酸及其钠盐（以脱氢乙酸计）、展青霉素、阿斯巴甜、合成着色剂（柠檬黄、新红、苋菜红、靛蓝、胭脂红、日落黄、诱惑红、亮蓝、酸性红、喹啉黄、赤藓红）、菌落总数、大肠菌群、霉菌、酵母</w:t>
            </w:r>
          </w:p>
        </w:tc>
        <w:tc>
          <w:tcPr>
            <w:tcW w:w="3435" w:type="dxa"/>
            <w:noWrap w:val="0"/>
            <w:vAlign w:val="center"/>
          </w:tcPr>
          <w:p w14:paraId="1780C66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苯甲酸及其钠盐（以苯甲酸计）、山梨酸及其钾盐（以山梨酸计）、防腐剂混合使用时各自用量占其最大使用量的比例之和</w:t>
            </w:r>
          </w:p>
        </w:tc>
      </w:tr>
      <w:tr w14:paraId="303D6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721C82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7F573C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D42D60A">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281BEDE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蛋白饮料</w:t>
            </w:r>
          </w:p>
        </w:tc>
        <w:tc>
          <w:tcPr>
            <w:tcW w:w="1856" w:type="dxa"/>
            <w:noWrap w:val="0"/>
            <w:vAlign w:val="center"/>
          </w:tcPr>
          <w:p w14:paraId="1A779B4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蛋白饮料</w:t>
            </w:r>
          </w:p>
        </w:tc>
        <w:tc>
          <w:tcPr>
            <w:tcW w:w="1106" w:type="dxa"/>
            <w:noWrap w:val="0"/>
            <w:vAlign w:val="center"/>
          </w:tcPr>
          <w:p w14:paraId="1A8037B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4C4E1EB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蛋白质、乳酸菌数、氰化物（以HCN计）、三聚氰胺、脱氢乙酸及其钠盐（以脱氢乙酸计）、安赛蜜、甜蜜素（以环己基氨基磺酸计）、阿斯巴甜、菌落总数、大肠菌群、商业无菌</w:t>
            </w:r>
          </w:p>
        </w:tc>
        <w:tc>
          <w:tcPr>
            <w:tcW w:w="3435" w:type="dxa"/>
            <w:noWrap w:val="0"/>
            <w:vAlign w:val="center"/>
          </w:tcPr>
          <w:p w14:paraId="59B5951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霉菌、酵母</w:t>
            </w:r>
          </w:p>
        </w:tc>
      </w:tr>
      <w:tr w14:paraId="5E91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9" w:hRule="atLeast"/>
        </w:trPr>
        <w:tc>
          <w:tcPr>
            <w:tcW w:w="720" w:type="dxa"/>
            <w:vMerge w:val="continue"/>
            <w:noWrap w:val="0"/>
            <w:vAlign w:val="center"/>
          </w:tcPr>
          <w:p w14:paraId="2BB9764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99E02D1">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1663347">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56A02C98">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碳酸饮料</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汽水</w:t>
            </w:r>
            <w:r>
              <w:rPr>
                <w:rFonts w:hint="eastAsia" w:ascii="Times New Roman" w:hAnsi="Times New Roman" w:eastAsia="仿宋_GB2312" w:cs="Times New Roman"/>
                <w:color w:val="auto"/>
                <w:kern w:val="0"/>
                <w:szCs w:val="21"/>
                <w:highlight w:val="none"/>
                <w:lang w:eastAsia="zh-CN"/>
              </w:rPr>
              <w:t>）</w:t>
            </w:r>
          </w:p>
        </w:tc>
        <w:tc>
          <w:tcPr>
            <w:tcW w:w="1856" w:type="dxa"/>
            <w:noWrap w:val="0"/>
            <w:vAlign w:val="center"/>
          </w:tcPr>
          <w:p w14:paraId="48A565FB">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碳酸饮料</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汽水</w:t>
            </w:r>
            <w:r>
              <w:rPr>
                <w:rFonts w:hint="eastAsia" w:ascii="Times New Roman" w:hAnsi="Times New Roman" w:eastAsia="仿宋_GB2312" w:cs="Times New Roman"/>
                <w:color w:val="auto"/>
                <w:kern w:val="0"/>
                <w:szCs w:val="21"/>
                <w:highlight w:val="none"/>
                <w:lang w:eastAsia="zh-CN"/>
              </w:rPr>
              <w:t>）</w:t>
            </w:r>
          </w:p>
        </w:tc>
        <w:tc>
          <w:tcPr>
            <w:tcW w:w="1106" w:type="dxa"/>
            <w:noWrap w:val="0"/>
            <w:vAlign w:val="center"/>
          </w:tcPr>
          <w:p w14:paraId="1A78471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070732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二氧化碳气容量、苯甲酸及其钠盐（以苯甲酸计）、山梨酸及其钾盐（以山梨酸计）、防腐剂混合使用时各自用量占其最大使用量的比例之和、菌落总数、霉菌、酵母</w:t>
            </w:r>
          </w:p>
        </w:tc>
        <w:tc>
          <w:tcPr>
            <w:tcW w:w="3435" w:type="dxa"/>
            <w:noWrap w:val="0"/>
            <w:vAlign w:val="center"/>
          </w:tcPr>
          <w:p w14:paraId="6A5F722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安赛蜜、阿斯巴甜、甜蜜素（以环己基氨基磺酸计）</w:t>
            </w:r>
          </w:p>
        </w:tc>
      </w:tr>
      <w:tr w14:paraId="1A3F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4" w:hRule="atLeast"/>
        </w:trPr>
        <w:tc>
          <w:tcPr>
            <w:tcW w:w="720" w:type="dxa"/>
            <w:vMerge w:val="continue"/>
            <w:noWrap w:val="0"/>
            <w:vAlign w:val="center"/>
          </w:tcPr>
          <w:p w14:paraId="74A398F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4ADD02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26D8120">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73A7ABF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茶饮料</w:t>
            </w:r>
          </w:p>
        </w:tc>
        <w:tc>
          <w:tcPr>
            <w:tcW w:w="1856" w:type="dxa"/>
            <w:noWrap w:val="0"/>
            <w:vAlign w:val="center"/>
          </w:tcPr>
          <w:p w14:paraId="4E441CD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茶饮料</w:t>
            </w:r>
          </w:p>
        </w:tc>
        <w:tc>
          <w:tcPr>
            <w:tcW w:w="1106" w:type="dxa"/>
            <w:noWrap w:val="0"/>
            <w:vAlign w:val="center"/>
          </w:tcPr>
          <w:p w14:paraId="6E8C89B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97F20FF">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茶多酚、咖啡因、安赛蜜、甜蜜素（以环己基氨基磺酸计）、阿斯巴甜、菌落总数</w:t>
            </w:r>
          </w:p>
        </w:tc>
        <w:tc>
          <w:tcPr>
            <w:tcW w:w="3435" w:type="dxa"/>
            <w:noWrap w:val="0"/>
            <w:vAlign w:val="center"/>
          </w:tcPr>
          <w:p w14:paraId="6BA24FB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ascii="仿宋_GB2312" w:hAnsi="仿宋_GB2312" w:eastAsia="仿宋_GB2312" w:cs="仿宋_GB2312"/>
                <w:color w:val="auto"/>
                <w:kern w:val="0"/>
                <w:sz w:val="20"/>
                <w:szCs w:val="20"/>
                <w:highlight w:val="none"/>
                <w:lang w:val="en-US" w:eastAsia="zh-CN" w:bidi="ar"/>
              </w:rPr>
              <w:t>脱氢乙酸及其钠盐（以脱氢乙酸计）</w:t>
            </w:r>
          </w:p>
        </w:tc>
      </w:tr>
      <w:tr w14:paraId="22F06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61" w:hRule="atLeast"/>
        </w:trPr>
        <w:tc>
          <w:tcPr>
            <w:tcW w:w="720" w:type="dxa"/>
            <w:vMerge w:val="continue"/>
            <w:noWrap w:val="0"/>
            <w:vAlign w:val="center"/>
          </w:tcPr>
          <w:p w14:paraId="0017D84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2A14C0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52FD097">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4F8D598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固体饮料</w:t>
            </w:r>
          </w:p>
        </w:tc>
        <w:tc>
          <w:tcPr>
            <w:tcW w:w="1856" w:type="dxa"/>
            <w:noWrap w:val="0"/>
            <w:vAlign w:val="center"/>
          </w:tcPr>
          <w:p w14:paraId="57EE7BF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固体饮料</w:t>
            </w:r>
          </w:p>
        </w:tc>
        <w:tc>
          <w:tcPr>
            <w:tcW w:w="1106" w:type="dxa"/>
            <w:noWrap w:val="0"/>
            <w:vAlign w:val="center"/>
          </w:tcPr>
          <w:p w14:paraId="315FDBD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6" w:type="dxa"/>
            <w:noWrap w:val="0"/>
            <w:vAlign w:val="center"/>
          </w:tcPr>
          <w:p w14:paraId="5E595A9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西地那非、他达拉非、西布曲明、比沙可啶、氰化物（以HCN计）、糖精钠（以糖精计）、安赛蜜、甜蜜素（以环己基氨基磺酸计）、阿斯巴甜、合成着色剂（柠檬黄、新红、苋菜红、靛蓝、胭脂红、日落黄、诱惑红、亮蓝、酸性红、喹啉黄、赤藓红）、相同色泽着色剂混合使用时各自用量占其最大使用量的比例之和、菌落总数、大肠菌群、霉菌</w:t>
            </w:r>
          </w:p>
        </w:tc>
        <w:tc>
          <w:tcPr>
            <w:tcW w:w="3435" w:type="dxa"/>
            <w:noWrap w:val="0"/>
            <w:vAlign w:val="center"/>
          </w:tcPr>
          <w:p w14:paraId="7ABE674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铅（以Pb计）、苯甲酸及其钠盐（以 </w:t>
            </w:r>
          </w:p>
          <w:p w14:paraId="2C85E38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苯甲酸计）、山梨酸及其钾盐（以山梨酸计）、防腐剂混合使用时各自用量占其最大使用量的比例之和</w:t>
            </w:r>
          </w:p>
        </w:tc>
      </w:tr>
      <w:tr w14:paraId="0891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6" w:hRule="atLeast"/>
        </w:trPr>
        <w:tc>
          <w:tcPr>
            <w:tcW w:w="720" w:type="dxa"/>
            <w:vMerge w:val="continue"/>
            <w:noWrap w:val="0"/>
            <w:vAlign w:val="center"/>
          </w:tcPr>
          <w:p w14:paraId="2D23B3D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61B0BBA">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F97427C">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6539293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其他饮料</w:t>
            </w:r>
          </w:p>
        </w:tc>
        <w:tc>
          <w:tcPr>
            <w:tcW w:w="1856" w:type="dxa"/>
            <w:noWrap w:val="0"/>
            <w:vAlign w:val="center"/>
          </w:tcPr>
          <w:p w14:paraId="237BD2F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其他饮料</w:t>
            </w:r>
          </w:p>
        </w:tc>
        <w:tc>
          <w:tcPr>
            <w:tcW w:w="1106" w:type="dxa"/>
            <w:noWrap w:val="0"/>
            <w:vAlign w:val="center"/>
          </w:tcPr>
          <w:p w14:paraId="0CA6A468">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6" w:type="dxa"/>
            <w:noWrap w:val="0"/>
            <w:vAlign w:val="center"/>
          </w:tcPr>
          <w:p w14:paraId="2EB0F0B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糖精钠（以糖精计）、合成着色剂（柠檬黄、新红、苋菜红、靛蓝、胭脂红、日落黄、诱惑红、亮蓝、酸性红、喹啉黄、赤藓红）、菌落总数、大肠菌群、霉菌、酵母</w:t>
            </w:r>
          </w:p>
        </w:tc>
        <w:tc>
          <w:tcPr>
            <w:tcW w:w="3435" w:type="dxa"/>
            <w:noWrap w:val="0"/>
            <w:vAlign w:val="center"/>
          </w:tcPr>
          <w:p w14:paraId="470CEA3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安赛蜜、甜蜜素（以环己基氨基磺酸计）</w:t>
            </w:r>
          </w:p>
        </w:tc>
      </w:tr>
      <w:tr w14:paraId="182E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5" w:hRule="atLeast"/>
        </w:trPr>
        <w:tc>
          <w:tcPr>
            <w:tcW w:w="720" w:type="dxa"/>
            <w:vMerge w:val="restart"/>
            <w:noWrap w:val="0"/>
            <w:vAlign w:val="center"/>
          </w:tcPr>
          <w:p w14:paraId="6F5592BB">
            <w:pPr>
              <w:widowControl/>
              <w:spacing w:line="300" w:lineRule="exact"/>
              <w:jc w:val="center"/>
              <w:rPr>
                <w:rFonts w:hint="default" w:ascii="Times New Roman" w:hAnsi="Times New Roman" w:eastAsia="仿宋_GB2312" w:cs="Times New Roman"/>
                <w:color w:val="auto"/>
                <w:kern w:val="0"/>
                <w:szCs w:val="21"/>
                <w:highlight w:val="none"/>
              </w:rPr>
            </w:pPr>
          </w:p>
          <w:p w14:paraId="5712D2B4">
            <w:pPr>
              <w:widowControl/>
              <w:spacing w:line="300" w:lineRule="exact"/>
              <w:jc w:val="center"/>
              <w:rPr>
                <w:rFonts w:hint="default" w:ascii="Times New Roman" w:hAnsi="Times New Roman" w:eastAsia="仿宋_GB2312" w:cs="Times New Roman"/>
                <w:color w:val="auto"/>
                <w:kern w:val="0"/>
                <w:szCs w:val="21"/>
                <w:highlight w:val="none"/>
              </w:rPr>
            </w:pPr>
          </w:p>
          <w:p w14:paraId="5471383D">
            <w:pPr>
              <w:widowControl/>
              <w:spacing w:line="300" w:lineRule="exact"/>
              <w:jc w:val="center"/>
              <w:rPr>
                <w:rFonts w:hint="default" w:ascii="Times New Roman" w:hAnsi="Times New Roman" w:eastAsia="仿宋_GB2312" w:cs="Times New Roman"/>
                <w:color w:val="auto"/>
                <w:kern w:val="0"/>
                <w:szCs w:val="21"/>
                <w:highlight w:val="none"/>
              </w:rPr>
            </w:pPr>
          </w:p>
          <w:p w14:paraId="228596D7">
            <w:pPr>
              <w:widowControl/>
              <w:spacing w:line="300" w:lineRule="exact"/>
              <w:jc w:val="both"/>
              <w:rPr>
                <w:rFonts w:hint="default" w:ascii="Times New Roman" w:hAnsi="Times New Roman" w:eastAsia="仿宋_GB2312" w:cs="Times New Roman"/>
                <w:color w:val="auto"/>
                <w:kern w:val="0"/>
                <w:szCs w:val="21"/>
                <w:highlight w:val="none"/>
              </w:rPr>
            </w:pPr>
          </w:p>
          <w:p w14:paraId="309D127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7</w:t>
            </w:r>
          </w:p>
          <w:p w14:paraId="1F408FCD">
            <w:pPr>
              <w:widowControl/>
              <w:spacing w:line="300" w:lineRule="exact"/>
              <w:jc w:val="center"/>
              <w:rPr>
                <w:rFonts w:hint="default" w:ascii="Times New Roman" w:hAnsi="Times New Roman" w:eastAsia="仿宋_GB2312" w:cs="Times New Roman"/>
                <w:color w:val="auto"/>
                <w:kern w:val="0"/>
                <w:szCs w:val="21"/>
                <w:highlight w:val="none"/>
              </w:rPr>
            </w:pPr>
          </w:p>
          <w:p w14:paraId="1205D5F5">
            <w:pPr>
              <w:widowControl/>
              <w:spacing w:line="300" w:lineRule="exact"/>
              <w:jc w:val="center"/>
              <w:rPr>
                <w:rFonts w:hint="default" w:ascii="Times New Roman" w:hAnsi="Times New Roman" w:eastAsia="仿宋_GB2312" w:cs="Times New Roman"/>
                <w:color w:val="auto"/>
                <w:kern w:val="0"/>
                <w:szCs w:val="21"/>
                <w:highlight w:val="none"/>
              </w:rPr>
            </w:pPr>
          </w:p>
          <w:p w14:paraId="096E6A96">
            <w:pPr>
              <w:widowControl/>
              <w:spacing w:line="300" w:lineRule="exact"/>
              <w:jc w:val="center"/>
              <w:rPr>
                <w:rFonts w:hint="default" w:ascii="Times New Roman" w:hAnsi="Times New Roman" w:eastAsia="仿宋_GB2312" w:cs="Times New Roman"/>
                <w:color w:val="auto"/>
                <w:kern w:val="0"/>
                <w:szCs w:val="21"/>
                <w:highlight w:val="none"/>
              </w:rPr>
            </w:pPr>
          </w:p>
          <w:p w14:paraId="13CAFB52">
            <w:pPr>
              <w:widowControl/>
              <w:spacing w:line="300" w:lineRule="exact"/>
              <w:jc w:val="center"/>
              <w:rPr>
                <w:rFonts w:hint="default" w:ascii="Times New Roman" w:hAnsi="Times New Roman" w:eastAsia="仿宋_GB2312" w:cs="Times New Roman"/>
                <w:color w:val="auto"/>
                <w:kern w:val="0"/>
                <w:szCs w:val="21"/>
                <w:highlight w:val="none"/>
              </w:rPr>
            </w:pPr>
          </w:p>
          <w:p w14:paraId="23B855CB">
            <w:pPr>
              <w:widowControl/>
              <w:spacing w:line="300" w:lineRule="exact"/>
              <w:jc w:val="center"/>
              <w:rPr>
                <w:rFonts w:hint="default" w:ascii="Times New Roman" w:hAnsi="Times New Roman" w:eastAsia="仿宋_GB2312" w:cs="Times New Roman"/>
                <w:color w:val="auto"/>
                <w:kern w:val="0"/>
                <w:szCs w:val="21"/>
                <w:highlight w:val="none"/>
              </w:rPr>
            </w:pPr>
          </w:p>
          <w:p w14:paraId="5CAD9ADA">
            <w:pPr>
              <w:widowControl/>
              <w:spacing w:line="300" w:lineRule="exact"/>
              <w:jc w:val="center"/>
              <w:rPr>
                <w:rFonts w:hint="default" w:ascii="Times New Roman" w:hAnsi="Times New Roman" w:eastAsia="仿宋_GB2312" w:cs="Times New Roman"/>
                <w:color w:val="auto"/>
                <w:kern w:val="0"/>
                <w:szCs w:val="21"/>
                <w:highlight w:val="none"/>
              </w:rPr>
            </w:pPr>
          </w:p>
          <w:p w14:paraId="10505774">
            <w:pPr>
              <w:widowControl/>
              <w:spacing w:line="300" w:lineRule="exact"/>
              <w:jc w:val="center"/>
              <w:rPr>
                <w:rFonts w:hint="default" w:ascii="Times New Roman" w:hAnsi="Times New Roman" w:eastAsia="仿宋_GB2312" w:cs="Times New Roman"/>
                <w:color w:val="auto"/>
                <w:kern w:val="0"/>
                <w:szCs w:val="21"/>
                <w:highlight w:val="none"/>
              </w:rPr>
            </w:pPr>
          </w:p>
          <w:p w14:paraId="7379F06A">
            <w:pPr>
              <w:widowControl/>
              <w:spacing w:line="300" w:lineRule="exact"/>
              <w:jc w:val="center"/>
              <w:rPr>
                <w:rFonts w:hint="default" w:ascii="Times New Roman" w:hAnsi="Times New Roman" w:eastAsia="仿宋_GB2312" w:cs="Times New Roman"/>
                <w:color w:val="auto"/>
                <w:kern w:val="0"/>
                <w:szCs w:val="21"/>
                <w:highlight w:val="none"/>
              </w:rPr>
            </w:pPr>
          </w:p>
          <w:p w14:paraId="1A73CE96">
            <w:pPr>
              <w:widowControl/>
              <w:spacing w:line="300" w:lineRule="exact"/>
              <w:jc w:val="center"/>
              <w:rPr>
                <w:rFonts w:hint="default" w:ascii="Times New Roman" w:hAnsi="Times New Roman" w:eastAsia="仿宋_GB2312" w:cs="Times New Roman"/>
                <w:color w:val="auto"/>
                <w:kern w:val="0"/>
                <w:szCs w:val="21"/>
                <w:highlight w:val="none"/>
              </w:rPr>
            </w:pPr>
          </w:p>
          <w:p w14:paraId="207AC2F7">
            <w:pPr>
              <w:widowControl/>
              <w:spacing w:line="300" w:lineRule="exact"/>
              <w:jc w:val="center"/>
              <w:rPr>
                <w:rFonts w:hint="default" w:ascii="Times New Roman" w:hAnsi="Times New Roman" w:eastAsia="仿宋_GB2312" w:cs="Times New Roman"/>
                <w:color w:val="auto"/>
                <w:kern w:val="0"/>
                <w:szCs w:val="21"/>
                <w:highlight w:val="none"/>
              </w:rPr>
            </w:pPr>
          </w:p>
          <w:p w14:paraId="6627574A">
            <w:pPr>
              <w:widowControl/>
              <w:spacing w:line="300" w:lineRule="exact"/>
              <w:jc w:val="center"/>
              <w:rPr>
                <w:rFonts w:hint="default" w:ascii="Times New Roman" w:hAnsi="Times New Roman" w:eastAsia="仿宋_GB2312" w:cs="Times New Roman"/>
                <w:color w:val="auto"/>
                <w:kern w:val="0"/>
                <w:szCs w:val="21"/>
                <w:highlight w:val="none"/>
              </w:rPr>
            </w:pPr>
          </w:p>
          <w:p w14:paraId="5318B500">
            <w:pPr>
              <w:widowControl/>
              <w:spacing w:line="300" w:lineRule="exact"/>
              <w:jc w:val="center"/>
              <w:rPr>
                <w:rFonts w:hint="default" w:ascii="Times New Roman" w:hAnsi="Times New Roman" w:eastAsia="仿宋_GB2312" w:cs="Times New Roman"/>
                <w:color w:val="auto"/>
                <w:kern w:val="0"/>
                <w:szCs w:val="21"/>
                <w:highlight w:val="none"/>
              </w:rPr>
            </w:pPr>
          </w:p>
          <w:p w14:paraId="493334B0">
            <w:pPr>
              <w:widowControl/>
              <w:spacing w:line="300" w:lineRule="exact"/>
              <w:jc w:val="center"/>
              <w:rPr>
                <w:rFonts w:hint="default" w:ascii="Times New Roman" w:hAnsi="Times New Roman" w:eastAsia="仿宋_GB2312" w:cs="Times New Roman"/>
                <w:color w:val="auto"/>
                <w:kern w:val="0"/>
                <w:szCs w:val="21"/>
                <w:highlight w:val="none"/>
              </w:rPr>
            </w:pPr>
          </w:p>
          <w:p w14:paraId="318BB574">
            <w:pPr>
              <w:widowControl/>
              <w:spacing w:line="300" w:lineRule="exact"/>
              <w:jc w:val="center"/>
              <w:rPr>
                <w:rFonts w:hint="default" w:ascii="Times New Roman" w:hAnsi="Times New Roman" w:eastAsia="仿宋_GB2312" w:cs="Times New Roman"/>
                <w:color w:val="auto"/>
                <w:kern w:val="0"/>
                <w:szCs w:val="21"/>
                <w:highlight w:val="none"/>
              </w:rPr>
            </w:pPr>
          </w:p>
          <w:p w14:paraId="041AF76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7</w:t>
            </w:r>
          </w:p>
        </w:tc>
        <w:tc>
          <w:tcPr>
            <w:tcW w:w="1107" w:type="dxa"/>
            <w:vMerge w:val="restart"/>
            <w:noWrap w:val="0"/>
            <w:vAlign w:val="center"/>
          </w:tcPr>
          <w:p w14:paraId="38A8D6A9">
            <w:pPr>
              <w:widowControl/>
              <w:spacing w:line="300" w:lineRule="exact"/>
              <w:jc w:val="center"/>
              <w:rPr>
                <w:rFonts w:hint="default" w:ascii="Times New Roman" w:hAnsi="Times New Roman" w:eastAsia="仿宋_GB2312" w:cs="Times New Roman"/>
                <w:color w:val="auto"/>
                <w:kern w:val="0"/>
                <w:szCs w:val="21"/>
                <w:highlight w:val="none"/>
              </w:rPr>
            </w:pPr>
          </w:p>
          <w:p w14:paraId="12F92B4F">
            <w:pPr>
              <w:widowControl/>
              <w:spacing w:line="300" w:lineRule="exact"/>
              <w:jc w:val="center"/>
              <w:rPr>
                <w:rFonts w:hint="default" w:ascii="Times New Roman" w:hAnsi="Times New Roman" w:eastAsia="仿宋_GB2312" w:cs="Times New Roman"/>
                <w:color w:val="auto"/>
                <w:kern w:val="0"/>
                <w:szCs w:val="21"/>
                <w:highlight w:val="none"/>
              </w:rPr>
            </w:pPr>
          </w:p>
          <w:p w14:paraId="07A8DABA">
            <w:pPr>
              <w:widowControl/>
              <w:spacing w:line="300" w:lineRule="exact"/>
              <w:jc w:val="center"/>
              <w:rPr>
                <w:rFonts w:hint="default" w:ascii="Times New Roman" w:hAnsi="Times New Roman" w:eastAsia="仿宋_GB2312" w:cs="Times New Roman"/>
                <w:color w:val="auto"/>
                <w:kern w:val="0"/>
                <w:szCs w:val="21"/>
                <w:highlight w:val="none"/>
              </w:rPr>
            </w:pPr>
          </w:p>
          <w:p w14:paraId="0ACFC839">
            <w:pPr>
              <w:widowControl/>
              <w:spacing w:line="300" w:lineRule="exact"/>
              <w:jc w:val="center"/>
              <w:rPr>
                <w:rFonts w:hint="default" w:ascii="Times New Roman" w:hAnsi="Times New Roman" w:eastAsia="仿宋_GB2312" w:cs="Times New Roman"/>
                <w:color w:val="auto"/>
                <w:kern w:val="0"/>
                <w:szCs w:val="21"/>
                <w:highlight w:val="none"/>
              </w:rPr>
            </w:pPr>
          </w:p>
          <w:p w14:paraId="0672447E">
            <w:pPr>
              <w:widowControl/>
              <w:spacing w:line="300" w:lineRule="exact"/>
              <w:jc w:val="both"/>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方便食品</w:t>
            </w:r>
          </w:p>
          <w:p w14:paraId="2C6910EE">
            <w:pPr>
              <w:widowControl/>
              <w:spacing w:line="300" w:lineRule="exact"/>
              <w:jc w:val="center"/>
              <w:rPr>
                <w:rFonts w:hint="default" w:ascii="Times New Roman" w:hAnsi="Times New Roman" w:eastAsia="仿宋_GB2312" w:cs="Times New Roman"/>
                <w:color w:val="auto"/>
                <w:kern w:val="0"/>
                <w:szCs w:val="21"/>
                <w:highlight w:val="none"/>
              </w:rPr>
            </w:pPr>
          </w:p>
          <w:p w14:paraId="200B584D">
            <w:pPr>
              <w:widowControl/>
              <w:spacing w:line="300" w:lineRule="exact"/>
              <w:jc w:val="center"/>
              <w:rPr>
                <w:rFonts w:hint="default" w:ascii="Times New Roman" w:hAnsi="Times New Roman" w:eastAsia="仿宋_GB2312" w:cs="Times New Roman"/>
                <w:color w:val="auto"/>
                <w:kern w:val="0"/>
                <w:szCs w:val="21"/>
                <w:highlight w:val="none"/>
              </w:rPr>
            </w:pPr>
          </w:p>
          <w:p w14:paraId="6A8E36BA">
            <w:pPr>
              <w:widowControl/>
              <w:spacing w:line="300" w:lineRule="exact"/>
              <w:jc w:val="center"/>
              <w:rPr>
                <w:rFonts w:hint="default" w:ascii="Times New Roman" w:hAnsi="Times New Roman" w:eastAsia="仿宋_GB2312" w:cs="Times New Roman"/>
                <w:color w:val="auto"/>
                <w:kern w:val="0"/>
                <w:szCs w:val="21"/>
                <w:highlight w:val="none"/>
              </w:rPr>
            </w:pPr>
          </w:p>
          <w:p w14:paraId="20B0B692">
            <w:pPr>
              <w:widowControl/>
              <w:spacing w:line="300" w:lineRule="exact"/>
              <w:jc w:val="center"/>
              <w:rPr>
                <w:rFonts w:hint="default" w:ascii="Times New Roman" w:hAnsi="Times New Roman" w:eastAsia="仿宋_GB2312" w:cs="Times New Roman"/>
                <w:color w:val="auto"/>
                <w:kern w:val="0"/>
                <w:szCs w:val="21"/>
                <w:highlight w:val="none"/>
              </w:rPr>
            </w:pPr>
          </w:p>
          <w:p w14:paraId="4F4C4642">
            <w:pPr>
              <w:widowControl/>
              <w:spacing w:line="300" w:lineRule="exact"/>
              <w:jc w:val="center"/>
              <w:rPr>
                <w:rFonts w:hint="default" w:ascii="Times New Roman" w:hAnsi="Times New Roman" w:eastAsia="仿宋_GB2312" w:cs="Times New Roman"/>
                <w:color w:val="auto"/>
                <w:kern w:val="0"/>
                <w:szCs w:val="21"/>
                <w:highlight w:val="none"/>
              </w:rPr>
            </w:pPr>
          </w:p>
          <w:p w14:paraId="3E8819EE">
            <w:pPr>
              <w:widowControl/>
              <w:spacing w:line="300" w:lineRule="exact"/>
              <w:jc w:val="center"/>
              <w:rPr>
                <w:rFonts w:hint="default" w:ascii="Times New Roman" w:hAnsi="Times New Roman" w:eastAsia="仿宋_GB2312" w:cs="Times New Roman"/>
                <w:color w:val="auto"/>
                <w:kern w:val="0"/>
                <w:szCs w:val="21"/>
                <w:highlight w:val="none"/>
              </w:rPr>
            </w:pPr>
          </w:p>
          <w:p w14:paraId="75068C40">
            <w:pPr>
              <w:widowControl/>
              <w:spacing w:line="300" w:lineRule="exact"/>
              <w:jc w:val="center"/>
              <w:rPr>
                <w:rFonts w:hint="default" w:ascii="Times New Roman" w:hAnsi="Times New Roman" w:eastAsia="仿宋_GB2312" w:cs="Times New Roman"/>
                <w:color w:val="auto"/>
                <w:kern w:val="0"/>
                <w:szCs w:val="21"/>
                <w:highlight w:val="none"/>
              </w:rPr>
            </w:pPr>
          </w:p>
          <w:p w14:paraId="07289F8E">
            <w:pPr>
              <w:widowControl/>
              <w:spacing w:line="300" w:lineRule="exact"/>
              <w:jc w:val="center"/>
              <w:rPr>
                <w:rFonts w:hint="default" w:ascii="Times New Roman" w:hAnsi="Times New Roman" w:eastAsia="仿宋_GB2312" w:cs="Times New Roman"/>
                <w:color w:val="auto"/>
                <w:kern w:val="0"/>
                <w:szCs w:val="21"/>
                <w:highlight w:val="none"/>
              </w:rPr>
            </w:pPr>
          </w:p>
          <w:p w14:paraId="04391CF9">
            <w:pPr>
              <w:widowControl/>
              <w:spacing w:line="300" w:lineRule="exact"/>
              <w:jc w:val="center"/>
              <w:rPr>
                <w:rFonts w:hint="default" w:ascii="Times New Roman" w:hAnsi="Times New Roman" w:eastAsia="仿宋_GB2312" w:cs="Times New Roman"/>
                <w:color w:val="auto"/>
                <w:kern w:val="0"/>
                <w:szCs w:val="21"/>
                <w:highlight w:val="none"/>
              </w:rPr>
            </w:pPr>
          </w:p>
          <w:p w14:paraId="271FE13C">
            <w:pPr>
              <w:widowControl/>
              <w:spacing w:line="300" w:lineRule="exact"/>
              <w:jc w:val="center"/>
              <w:rPr>
                <w:rFonts w:hint="default" w:ascii="Times New Roman" w:hAnsi="Times New Roman" w:eastAsia="仿宋_GB2312" w:cs="Times New Roman"/>
                <w:color w:val="auto"/>
                <w:kern w:val="0"/>
                <w:szCs w:val="21"/>
                <w:highlight w:val="none"/>
              </w:rPr>
            </w:pPr>
          </w:p>
          <w:p w14:paraId="5B5A04FB">
            <w:pPr>
              <w:widowControl/>
              <w:spacing w:line="300" w:lineRule="exact"/>
              <w:jc w:val="center"/>
              <w:rPr>
                <w:rFonts w:hint="default" w:ascii="Times New Roman" w:hAnsi="Times New Roman" w:eastAsia="仿宋_GB2312" w:cs="Times New Roman"/>
                <w:color w:val="auto"/>
                <w:kern w:val="0"/>
                <w:szCs w:val="21"/>
                <w:highlight w:val="none"/>
              </w:rPr>
            </w:pPr>
          </w:p>
          <w:p w14:paraId="470822F5">
            <w:pPr>
              <w:widowControl/>
              <w:spacing w:line="300" w:lineRule="exact"/>
              <w:jc w:val="center"/>
              <w:rPr>
                <w:rFonts w:hint="default" w:ascii="Times New Roman" w:hAnsi="Times New Roman" w:eastAsia="仿宋_GB2312" w:cs="Times New Roman"/>
                <w:color w:val="auto"/>
                <w:kern w:val="0"/>
                <w:szCs w:val="21"/>
                <w:highlight w:val="none"/>
              </w:rPr>
            </w:pPr>
          </w:p>
          <w:p w14:paraId="6AE43613">
            <w:pPr>
              <w:widowControl/>
              <w:spacing w:line="300" w:lineRule="exact"/>
              <w:jc w:val="center"/>
              <w:rPr>
                <w:rFonts w:hint="default" w:ascii="Times New Roman" w:hAnsi="Times New Roman" w:eastAsia="仿宋_GB2312" w:cs="Times New Roman"/>
                <w:color w:val="auto"/>
                <w:kern w:val="0"/>
                <w:szCs w:val="21"/>
                <w:highlight w:val="none"/>
              </w:rPr>
            </w:pPr>
          </w:p>
          <w:p w14:paraId="2117CBE8">
            <w:pPr>
              <w:widowControl/>
              <w:spacing w:line="300" w:lineRule="exact"/>
              <w:jc w:val="center"/>
              <w:rPr>
                <w:rFonts w:hint="default" w:ascii="Times New Roman" w:hAnsi="Times New Roman" w:eastAsia="仿宋_GB2312" w:cs="Times New Roman"/>
                <w:color w:val="auto"/>
                <w:kern w:val="0"/>
                <w:szCs w:val="21"/>
                <w:highlight w:val="none"/>
              </w:rPr>
            </w:pPr>
          </w:p>
          <w:p w14:paraId="5B05FCF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方便食品</w:t>
            </w:r>
          </w:p>
        </w:tc>
        <w:tc>
          <w:tcPr>
            <w:tcW w:w="1256" w:type="dxa"/>
            <w:vMerge w:val="restart"/>
            <w:noWrap w:val="0"/>
            <w:vAlign w:val="center"/>
          </w:tcPr>
          <w:p w14:paraId="794B979C">
            <w:pPr>
              <w:widowControl/>
              <w:spacing w:line="300" w:lineRule="exact"/>
              <w:jc w:val="center"/>
              <w:rPr>
                <w:rFonts w:hint="default" w:ascii="Times New Roman" w:hAnsi="Times New Roman" w:eastAsia="仿宋_GB2312" w:cs="Times New Roman"/>
                <w:color w:val="auto"/>
                <w:kern w:val="0"/>
                <w:szCs w:val="21"/>
                <w:highlight w:val="none"/>
              </w:rPr>
            </w:pPr>
          </w:p>
          <w:p w14:paraId="19410A9F">
            <w:pPr>
              <w:widowControl/>
              <w:spacing w:line="300" w:lineRule="exact"/>
              <w:jc w:val="center"/>
              <w:rPr>
                <w:rFonts w:hint="default" w:ascii="Times New Roman" w:hAnsi="Times New Roman" w:eastAsia="仿宋_GB2312" w:cs="Times New Roman"/>
                <w:color w:val="auto"/>
                <w:kern w:val="0"/>
                <w:szCs w:val="21"/>
                <w:highlight w:val="none"/>
              </w:rPr>
            </w:pPr>
          </w:p>
          <w:p w14:paraId="328548C9">
            <w:pPr>
              <w:widowControl/>
              <w:spacing w:line="300" w:lineRule="exact"/>
              <w:jc w:val="center"/>
              <w:rPr>
                <w:rFonts w:hint="default" w:ascii="Times New Roman" w:hAnsi="Times New Roman" w:eastAsia="仿宋_GB2312" w:cs="Times New Roman"/>
                <w:color w:val="auto"/>
                <w:kern w:val="0"/>
                <w:szCs w:val="21"/>
                <w:highlight w:val="none"/>
              </w:rPr>
            </w:pPr>
          </w:p>
          <w:p w14:paraId="51CA1CEE">
            <w:pPr>
              <w:widowControl/>
              <w:spacing w:line="300" w:lineRule="exact"/>
              <w:jc w:val="center"/>
              <w:rPr>
                <w:rFonts w:hint="default" w:ascii="Times New Roman" w:hAnsi="Times New Roman" w:eastAsia="仿宋_GB2312" w:cs="Times New Roman"/>
                <w:color w:val="auto"/>
                <w:kern w:val="0"/>
                <w:szCs w:val="21"/>
                <w:highlight w:val="none"/>
              </w:rPr>
            </w:pPr>
          </w:p>
          <w:p w14:paraId="6C2D0736">
            <w:pPr>
              <w:widowControl/>
              <w:spacing w:line="300" w:lineRule="exact"/>
              <w:jc w:val="both"/>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方便食品</w:t>
            </w:r>
          </w:p>
          <w:p w14:paraId="5598645E">
            <w:pPr>
              <w:widowControl/>
              <w:spacing w:line="300" w:lineRule="exact"/>
              <w:jc w:val="center"/>
              <w:rPr>
                <w:rFonts w:hint="default" w:ascii="Times New Roman" w:hAnsi="Times New Roman" w:eastAsia="仿宋_GB2312" w:cs="Times New Roman"/>
                <w:color w:val="auto"/>
                <w:kern w:val="0"/>
                <w:szCs w:val="21"/>
                <w:highlight w:val="none"/>
              </w:rPr>
            </w:pPr>
          </w:p>
          <w:p w14:paraId="352F0ABC">
            <w:pPr>
              <w:widowControl/>
              <w:spacing w:line="300" w:lineRule="exact"/>
              <w:jc w:val="center"/>
              <w:rPr>
                <w:rFonts w:hint="default" w:ascii="Times New Roman" w:hAnsi="Times New Roman" w:eastAsia="仿宋_GB2312" w:cs="Times New Roman"/>
                <w:color w:val="auto"/>
                <w:kern w:val="0"/>
                <w:szCs w:val="21"/>
                <w:highlight w:val="none"/>
              </w:rPr>
            </w:pPr>
          </w:p>
          <w:p w14:paraId="15E71F49">
            <w:pPr>
              <w:widowControl/>
              <w:spacing w:line="300" w:lineRule="exact"/>
              <w:jc w:val="center"/>
              <w:rPr>
                <w:rFonts w:hint="default" w:ascii="Times New Roman" w:hAnsi="Times New Roman" w:eastAsia="仿宋_GB2312" w:cs="Times New Roman"/>
                <w:color w:val="auto"/>
                <w:kern w:val="0"/>
                <w:szCs w:val="21"/>
                <w:highlight w:val="none"/>
              </w:rPr>
            </w:pPr>
          </w:p>
          <w:p w14:paraId="091EFEE4">
            <w:pPr>
              <w:widowControl/>
              <w:spacing w:line="300" w:lineRule="exact"/>
              <w:jc w:val="center"/>
              <w:rPr>
                <w:rFonts w:hint="default" w:ascii="Times New Roman" w:hAnsi="Times New Roman" w:eastAsia="仿宋_GB2312" w:cs="Times New Roman"/>
                <w:color w:val="auto"/>
                <w:kern w:val="0"/>
                <w:szCs w:val="21"/>
                <w:highlight w:val="none"/>
              </w:rPr>
            </w:pPr>
          </w:p>
          <w:p w14:paraId="5815E8C8">
            <w:pPr>
              <w:widowControl/>
              <w:spacing w:line="300" w:lineRule="exact"/>
              <w:jc w:val="center"/>
              <w:rPr>
                <w:rFonts w:hint="default" w:ascii="Times New Roman" w:hAnsi="Times New Roman" w:eastAsia="仿宋_GB2312" w:cs="Times New Roman"/>
                <w:color w:val="auto"/>
                <w:kern w:val="0"/>
                <w:szCs w:val="21"/>
                <w:highlight w:val="none"/>
              </w:rPr>
            </w:pPr>
          </w:p>
          <w:p w14:paraId="6387377D">
            <w:pPr>
              <w:widowControl/>
              <w:spacing w:line="300" w:lineRule="exact"/>
              <w:jc w:val="center"/>
              <w:rPr>
                <w:rFonts w:hint="default" w:ascii="Times New Roman" w:hAnsi="Times New Roman" w:eastAsia="仿宋_GB2312" w:cs="Times New Roman"/>
                <w:color w:val="auto"/>
                <w:kern w:val="0"/>
                <w:szCs w:val="21"/>
                <w:highlight w:val="none"/>
              </w:rPr>
            </w:pPr>
          </w:p>
          <w:p w14:paraId="1A06D3B9">
            <w:pPr>
              <w:widowControl/>
              <w:spacing w:line="300" w:lineRule="exact"/>
              <w:jc w:val="center"/>
              <w:rPr>
                <w:rFonts w:hint="default" w:ascii="Times New Roman" w:hAnsi="Times New Roman" w:eastAsia="仿宋_GB2312" w:cs="Times New Roman"/>
                <w:color w:val="auto"/>
                <w:kern w:val="0"/>
                <w:szCs w:val="21"/>
                <w:highlight w:val="none"/>
              </w:rPr>
            </w:pPr>
          </w:p>
          <w:p w14:paraId="077A87DE">
            <w:pPr>
              <w:widowControl/>
              <w:spacing w:line="300" w:lineRule="exact"/>
              <w:jc w:val="center"/>
              <w:rPr>
                <w:rFonts w:hint="default" w:ascii="Times New Roman" w:hAnsi="Times New Roman" w:eastAsia="仿宋_GB2312" w:cs="Times New Roman"/>
                <w:color w:val="auto"/>
                <w:kern w:val="0"/>
                <w:szCs w:val="21"/>
                <w:highlight w:val="none"/>
              </w:rPr>
            </w:pPr>
          </w:p>
          <w:p w14:paraId="4CFF6BA6">
            <w:pPr>
              <w:widowControl/>
              <w:spacing w:line="300" w:lineRule="exact"/>
              <w:jc w:val="center"/>
              <w:rPr>
                <w:rFonts w:hint="default" w:ascii="Times New Roman" w:hAnsi="Times New Roman" w:eastAsia="仿宋_GB2312" w:cs="Times New Roman"/>
                <w:color w:val="auto"/>
                <w:kern w:val="0"/>
                <w:szCs w:val="21"/>
                <w:highlight w:val="none"/>
              </w:rPr>
            </w:pPr>
          </w:p>
          <w:p w14:paraId="17100BB6">
            <w:pPr>
              <w:widowControl/>
              <w:spacing w:line="300" w:lineRule="exact"/>
              <w:jc w:val="center"/>
              <w:rPr>
                <w:rFonts w:hint="default" w:ascii="Times New Roman" w:hAnsi="Times New Roman" w:eastAsia="仿宋_GB2312" w:cs="Times New Roman"/>
                <w:color w:val="auto"/>
                <w:kern w:val="0"/>
                <w:szCs w:val="21"/>
                <w:highlight w:val="none"/>
              </w:rPr>
            </w:pPr>
          </w:p>
          <w:p w14:paraId="2B128E5E">
            <w:pPr>
              <w:widowControl/>
              <w:spacing w:line="300" w:lineRule="exact"/>
              <w:jc w:val="center"/>
              <w:rPr>
                <w:rFonts w:hint="default" w:ascii="Times New Roman" w:hAnsi="Times New Roman" w:eastAsia="仿宋_GB2312" w:cs="Times New Roman"/>
                <w:color w:val="auto"/>
                <w:kern w:val="0"/>
                <w:szCs w:val="21"/>
                <w:highlight w:val="none"/>
              </w:rPr>
            </w:pPr>
          </w:p>
          <w:p w14:paraId="78445553">
            <w:pPr>
              <w:widowControl/>
              <w:spacing w:line="300" w:lineRule="exact"/>
              <w:jc w:val="center"/>
              <w:rPr>
                <w:rFonts w:hint="default" w:ascii="Times New Roman" w:hAnsi="Times New Roman" w:eastAsia="仿宋_GB2312" w:cs="Times New Roman"/>
                <w:color w:val="auto"/>
                <w:kern w:val="0"/>
                <w:szCs w:val="21"/>
                <w:highlight w:val="none"/>
              </w:rPr>
            </w:pPr>
          </w:p>
          <w:p w14:paraId="5A14D703">
            <w:pPr>
              <w:widowControl/>
              <w:spacing w:line="300" w:lineRule="exact"/>
              <w:jc w:val="center"/>
              <w:rPr>
                <w:rFonts w:hint="default" w:ascii="Times New Roman" w:hAnsi="Times New Roman" w:eastAsia="仿宋_GB2312" w:cs="Times New Roman"/>
                <w:color w:val="auto"/>
                <w:kern w:val="0"/>
                <w:szCs w:val="21"/>
                <w:highlight w:val="none"/>
              </w:rPr>
            </w:pPr>
          </w:p>
          <w:p w14:paraId="5DD73472">
            <w:pPr>
              <w:widowControl/>
              <w:spacing w:line="300" w:lineRule="exact"/>
              <w:jc w:val="center"/>
              <w:rPr>
                <w:rFonts w:hint="default" w:ascii="Times New Roman" w:hAnsi="Times New Roman" w:eastAsia="仿宋_GB2312" w:cs="Times New Roman"/>
                <w:color w:val="auto"/>
                <w:kern w:val="0"/>
                <w:szCs w:val="21"/>
                <w:highlight w:val="none"/>
              </w:rPr>
            </w:pPr>
          </w:p>
          <w:p w14:paraId="5687E12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方便食品</w:t>
            </w:r>
          </w:p>
        </w:tc>
        <w:tc>
          <w:tcPr>
            <w:tcW w:w="1144" w:type="dxa"/>
            <w:noWrap w:val="0"/>
            <w:vAlign w:val="center"/>
          </w:tcPr>
          <w:p w14:paraId="4204CDC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方便面</w:t>
            </w:r>
          </w:p>
        </w:tc>
        <w:tc>
          <w:tcPr>
            <w:tcW w:w="1856" w:type="dxa"/>
            <w:noWrap w:val="0"/>
            <w:vAlign w:val="center"/>
          </w:tcPr>
          <w:p w14:paraId="26F76BD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油炸面、非油炸面、</w:t>
            </w:r>
          </w:p>
        </w:tc>
        <w:tc>
          <w:tcPr>
            <w:tcW w:w="1106" w:type="dxa"/>
            <w:noWrap w:val="0"/>
            <w:vAlign w:val="center"/>
          </w:tcPr>
          <w:p w14:paraId="2B4A38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4FB4D1D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水分、酸价（以脂肪计）（KOH）、过氧化值（以脂肪计）、菌落总数、大肠菌群、霉菌</w:t>
            </w:r>
          </w:p>
        </w:tc>
        <w:tc>
          <w:tcPr>
            <w:tcW w:w="3435" w:type="dxa"/>
            <w:noWrap w:val="0"/>
            <w:vAlign w:val="center"/>
          </w:tcPr>
          <w:p w14:paraId="134973A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011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trPr>
        <w:tc>
          <w:tcPr>
            <w:tcW w:w="720" w:type="dxa"/>
            <w:vMerge w:val="continue"/>
            <w:noWrap w:val="0"/>
            <w:vAlign w:val="center"/>
          </w:tcPr>
          <w:p w14:paraId="22AA5DB4">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153660A">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0E9338A">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2C02798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方便面</w:t>
            </w:r>
          </w:p>
        </w:tc>
        <w:tc>
          <w:tcPr>
            <w:tcW w:w="1856" w:type="dxa"/>
            <w:noWrap w:val="0"/>
            <w:vAlign w:val="center"/>
          </w:tcPr>
          <w:p w14:paraId="66AEFDA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方便米粉（米线）</w:t>
            </w:r>
          </w:p>
        </w:tc>
        <w:tc>
          <w:tcPr>
            <w:tcW w:w="1106" w:type="dxa"/>
            <w:noWrap w:val="0"/>
            <w:vAlign w:val="center"/>
          </w:tcPr>
          <w:p w14:paraId="2B31289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23C151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水分、酸价（以脂肪计）（KOH）、过氧化值（以脂肪计）、菌落总数、大肠菌群、霉菌</w:t>
            </w:r>
          </w:p>
        </w:tc>
        <w:tc>
          <w:tcPr>
            <w:tcW w:w="3435" w:type="dxa"/>
            <w:noWrap w:val="0"/>
            <w:vAlign w:val="center"/>
          </w:tcPr>
          <w:p w14:paraId="5624AAC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0606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4" w:hRule="atLeast"/>
        </w:trPr>
        <w:tc>
          <w:tcPr>
            <w:tcW w:w="720" w:type="dxa"/>
            <w:vMerge w:val="continue"/>
            <w:noWrap w:val="0"/>
            <w:vAlign w:val="center"/>
          </w:tcPr>
          <w:p w14:paraId="239294B1">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133300D">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D9044C6">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5CE8A47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方便面</w:t>
            </w:r>
          </w:p>
        </w:tc>
        <w:tc>
          <w:tcPr>
            <w:tcW w:w="1856" w:type="dxa"/>
            <w:noWrap w:val="0"/>
            <w:vAlign w:val="center"/>
          </w:tcPr>
          <w:p w14:paraId="59B339D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方便粉丝</w:t>
            </w:r>
          </w:p>
        </w:tc>
        <w:tc>
          <w:tcPr>
            <w:tcW w:w="1106" w:type="dxa"/>
            <w:noWrap w:val="0"/>
            <w:vAlign w:val="center"/>
          </w:tcPr>
          <w:p w14:paraId="3E3851B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3380E1A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水分、酸价（以脂肪计）（KOH）、过氧化值（以脂肪计）、菌落总数、大肠菌群、霉菌</w:t>
            </w:r>
          </w:p>
        </w:tc>
        <w:tc>
          <w:tcPr>
            <w:tcW w:w="3435" w:type="dxa"/>
            <w:noWrap w:val="0"/>
            <w:vAlign w:val="center"/>
          </w:tcPr>
          <w:p w14:paraId="4E3976F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71E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trPr>
        <w:tc>
          <w:tcPr>
            <w:tcW w:w="720" w:type="dxa"/>
            <w:vMerge w:val="continue"/>
            <w:noWrap w:val="0"/>
            <w:vAlign w:val="center"/>
          </w:tcPr>
          <w:p w14:paraId="39F6A2E4">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431ED16">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BD9A33E">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78E4047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方便面</w:t>
            </w:r>
          </w:p>
        </w:tc>
        <w:tc>
          <w:tcPr>
            <w:tcW w:w="1856" w:type="dxa"/>
            <w:noWrap w:val="0"/>
            <w:vAlign w:val="center"/>
          </w:tcPr>
          <w:p w14:paraId="584B723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其他方便面</w:t>
            </w:r>
          </w:p>
        </w:tc>
        <w:tc>
          <w:tcPr>
            <w:tcW w:w="1106" w:type="dxa"/>
            <w:noWrap w:val="0"/>
            <w:vAlign w:val="center"/>
          </w:tcPr>
          <w:p w14:paraId="68B93C6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5A7014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水分、酸价（以脂肪计）（KOH）、过氧化值（以脂肪计）、菌落总数、大肠菌群、霉菌</w:t>
            </w:r>
          </w:p>
        </w:tc>
        <w:tc>
          <w:tcPr>
            <w:tcW w:w="3435" w:type="dxa"/>
            <w:noWrap w:val="0"/>
            <w:vAlign w:val="center"/>
          </w:tcPr>
          <w:p w14:paraId="0E8E6F3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D60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atLeast"/>
        </w:trPr>
        <w:tc>
          <w:tcPr>
            <w:tcW w:w="720" w:type="dxa"/>
            <w:vMerge w:val="continue"/>
            <w:noWrap w:val="0"/>
            <w:vAlign w:val="center"/>
          </w:tcPr>
          <w:p w14:paraId="3FE92DD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0F2DEA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AB42D46">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47F6F62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调味面制品</w:t>
            </w:r>
          </w:p>
        </w:tc>
        <w:tc>
          <w:tcPr>
            <w:tcW w:w="1856" w:type="dxa"/>
            <w:noWrap w:val="0"/>
            <w:vAlign w:val="center"/>
          </w:tcPr>
          <w:p w14:paraId="6839CEB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调味面制品</w:t>
            </w:r>
          </w:p>
        </w:tc>
        <w:tc>
          <w:tcPr>
            <w:tcW w:w="1106" w:type="dxa"/>
            <w:noWrap w:val="0"/>
            <w:vAlign w:val="center"/>
          </w:tcPr>
          <w:p w14:paraId="477316B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F8C7F2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酸价（以脂肪计）（KOH）、过氧化值（以 </w:t>
            </w:r>
          </w:p>
          <w:p w14:paraId="0C0BF9B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脂肪计）、甜蜜素（以环己基氨基磺酸计）、 </w:t>
            </w:r>
          </w:p>
          <w:p w14:paraId="4A5BC4D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三氯蔗糖、菌落总数、大肠菌群</w:t>
            </w:r>
          </w:p>
        </w:tc>
        <w:tc>
          <w:tcPr>
            <w:tcW w:w="3435" w:type="dxa"/>
            <w:noWrap w:val="0"/>
            <w:vAlign w:val="center"/>
          </w:tcPr>
          <w:p w14:paraId="086974B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w:t>
            </w:r>
          </w:p>
        </w:tc>
      </w:tr>
      <w:tr w14:paraId="600B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3" w:hRule="atLeast"/>
        </w:trPr>
        <w:tc>
          <w:tcPr>
            <w:tcW w:w="720" w:type="dxa"/>
            <w:vMerge w:val="continue"/>
            <w:noWrap w:val="0"/>
            <w:vAlign w:val="center"/>
          </w:tcPr>
          <w:p w14:paraId="1AA3489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592EE4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F9A33F8">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573B411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其他方便食品</w:t>
            </w:r>
          </w:p>
        </w:tc>
        <w:tc>
          <w:tcPr>
            <w:tcW w:w="1856" w:type="dxa"/>
            <w:noWrap w:val="0"/>
            <w:vAlign w:val="center"/>
          </w:tcPr>
          <w:p w14:paraId="3B934F4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冲调类方便食品</w:t>
            </w:r>
          </w:p>
        </w:tc>
        <w:tc>
          <w:tcPr>
            <w:tcW w:w="1106" w:type="dxa"/>
            <w:noWrap w:val="0"/>
            <w:vAlign w:val="center"/>
          </w:tcPr>
          <w:p w14:paraId="3434162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C26C33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菌落总数、大肠菌群、霉菌、糖精钠（以糖精计）、黄曲霉毒素B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、铅（以Pb计）</w:t>
            </w:r>
          </w:p>
        </w:tc>
        <w:tc>
          <w:tcPr>
            <w:tcW w:w="3435" w:type="dxa"/>
            <w:noWrap w:val="0"/>
            <w:vAlign w:val="center"/>
          </w:tcPr>
          <w:p w14:paraId="5586DF7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w:t>
            </w:r>
          </w:p>
        </w:tc>
      </w:tr>
      <w:tr w14:paraId="6221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5" w:hRule="atLeast"/>
        </w:trPr>
        <w:tc>
          <w:tcPr>
            <w:tcW w:w="720" w:type="dxa"/>
            <w:vMerge w:val="continue"/>
            <w:noWrap w:val="0"/>
            <w:vAlign w:val="center"/>
          </w:tcPr>
          <w:p w14:paraId="0A6F952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2D10A1E">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4680038">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2B3DAC3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其他方便食品</w:t>
            </w:r>
          </w:p>
        </w:tc>
        <w:tc>
          <w:tcPr>
            <w:tcW w:w="1856" w:type="dxa"/>
            <w:noWrap w:val="0"/>
            <w:vAlign w:val="center"/>
          </w:tcPr>
          <w:p w14:paraId="6E4F24C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主食类方便食品</w:t>
            </w:r>
          </w:p>
        </w:tc>
        <w:tc>
          <w:tcPr>
            <w:tcW w:w="1106" w:type="dxa"/>
            <w:noWrap w:val="0"/>
            <w:vAlign w:val="center"/>
          </w:tcPr>
          <w:p w14:paraId="6A4284B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AEC674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酸价（以脂肪计）（KOH）、过氧化值（以 </w:t>
            </w:r>
          </w:p>
          <w:p w14:paraId="20A3E75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脂肪计）、苯甲酸及其钠盐（以苯甲酸计）、 </w:t>
            </w:r>
          </w:p>
          <w:p w14:paraId="4B1BF3C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山梨酸及其钾盐（以山梨酸计）、霉菌、菌落总数</w:t>
            </w:r>
          </w:p>
        </w:tc>
        <w:tc>
          <w:tcPr>
            <w:tcW w:w="3435" w:type="dxa"/>
            <w:noWrap w:val="0"/>
            <w:vAlign w:val="center"/>
          </w:tcPr>
          <w:p w14:paraId="35EF030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大肠菌群、糖精钠（以糖精计）、纽甜、三氯蔗糖、安赛蜜、甜蜜素（以环己基氨基磺酸计）</w:t>
            </w:r>
          </w:p>
        </w:tc>
      </w:tr>
      <w:tr w14:paraId="4004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4" w:hRule="atLeast"/>
        </w:trPr>
        <w:tc>
          <w:tcPr>
            <w:tcW w:w="720" w:type="dxa"/>
            <w:vMerge w:val="continue"/>
            <w:noWrap w:val="0"/>
            <w:vAlign w:val="center"/>
          </w:tcPr>
          <w:p w14:paraId="5B7A1C9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F8CB42F">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F534BC9">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6BE559E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w:t>
            </w:r>
            <w:r>
              <w:rPr>
                <w:rFonts w:hint="eastAsia" w:ascii="Times New Roman" w:hAnsi="Times New Roman" w:eastAsia="仿宋_GB2312" w:cs="Times New Roman"/>
                <w:color w:val="auto"/>
                <w:kern w:val="0"/>
                <w:szCs w:val="21"/>
                <w:highlight w:val="none"/>
                <w:lang w:eastAsia="zh-CN"/>
              </w:rPr>
              <w:t>类</w:t>
            </w:r>
            <w:r>
              <w:rPr>
                <w:rFonts w:hint="default" w:ascii="Times New Roman" w:hAnsi="Times New Roman" w:eastAsia="仿宋_GB2312" w:cs="Times New Roman"/>
                <w:color w:val="auto"/>
                <w:kern w:val="0"/>
                <w:szCs w:val="21"/>
                <w:highlight w:val="none"/>
              </w:rPr>
              <w:t>方便食品</w:t>
            </w:r>
          </w:p>
        </w:tc>
        <w:tc>
          <w:tcPr>
            <w:tcW w:w="1856" w:type="dxa"/>
            <w:noWrap w:val="0"/>
            <w:vAlign w:val="center"/>
          </w:tcPr>
          <w:p w14:paraId="1D97BCD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其他方便食品</w:t>
            </w:r>
          </w:p>
        </w:tc>
        <w:tc>
          <w:tcPr>
            <w:tcW w:w="1106" w:type="dxa"/>
            <w:noWrap w:val="0"/>
            <w:vAlign w:val="center"/>
          </w:tcPr>
          <w:p w14:paraId="04F42CF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27BE30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酸价（以脂肪计）（KOH）、过氧化值（以 </w:t>
            </w:r>
          </w:p>
          <w:p w14:paraId="1A8197A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脂肪计）、苯甲酸及其钠盐（以苯甲酸计）、 </w:t>
            </w:r>
          </w:p>
          <w:p w14:paraId="4F26E9C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山梨酸及其钾盐（以山梨酸计）、霉菌、菌落总数</w:t>
            </w:r>
          </w:p>
        </w:tc>
        <w:tc>
          <w:tcPr>
            <w:tcW w:w="3435" w:type="dxa"/>
            <w:noWrap w:val="0"/>
            <w:vAlign w:val="center"/>
          </w:tcPr>
          <w:p w14:paraId="36CA5EF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大肠菌群、糖精钠（以糖精计）</w:t>
            </w:r>
          </w:p>
        </w:tc>
      </w:tr>
      <w:tr w14:paraId="7BC5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noWrap w:val="0"/>
            <w:vAlign w:val="center"/>
          </w:tcPr>
          <w:p w14:paraId="43D980D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8</w:t>
            </w:r>
          </w:p>
        </w:tc>
        <w:tc>
          <w:tcPr>
            <w:tcW w:w="1107" w:type="dxa"/>
            <w:noWrap w:val="0"/>
            <w:vAlign w:val="center"/>
          </w:tcPr>
          <w:p w14:paraId="7DD0071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饼干</w:t>
            </w:r>
          </w:p>
        </w:tc>
        <w:tc>
          <w:tcPr>
            <w:tcW w:w="1256" w:type="dxa"/>
            <w:noWrap w:val="0"/>
            <w:vAlign w:val="center"/>
          </w:tcPr>
          <w:p w14:paraId="3B6F26E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饼干</w:t>
            </w:r>
          </w:p>
        </w:tc>
        <w:tc>
          <w:tcPr>
            <w:tcW w:w="1144" w:type="dxa"/>
            <w:noWrap w:val="0"/>
            <w:vAlign w:val="center"/>
          </w:tcPr>
          <w:p w14:paraId="3478170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饼干</w:t>
            </w:r>
          </w:p>
        </w:tc>
        <w:tc>
          <w:tcPr>
            <w:tcW w:w="1856" w:type="dxa"/>
            <w:noWrap w:val="0"/>
            <w:vAlign w:val="center"/>
          </w:tcPr>
          <w:p w14:paraId="7E77AA1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饼干</w:t>
            </w:r>
          </w:p>
        </w:tc>
        <w:tc>
          <w:tcPr>
            <w:tcW w:w="1106" w:type="dxa"/>
            <w:noWrap w:val="0"/>
            <w:vAlign w:val="center"/>
          </w:tcPr>
          <w:p w14:paraId="564D06C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B20EA22">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酸价（以脂肪计）（KOH）、过氧化值（以脂肪计）、山梨酸及其钾盐（以山梨酸计）、二氧化硫残留量、合成着色剂（柠檬黄、日落黄、胭脂红、苋菜红、亮蓝、靛蓝、诱惑红）、霉菌</w:t>
            </w:r>
          </w:p>
        </w:tc>
        <w:tc>
          <w:tcPr>
            <w:tcW w:w="3435" w:type="dxa"/>
            <w:noWrap w:val="0"/>
            <w:vAlign w:val="center"/>
          </w:tcPr>
          <w:p w14:paraId="41CD9D0C">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 xml:space="preserve">铝的残留量（干样品，以Al计）、 </w:t>
            </w:r>
          </w:p>
          <w:p w14:paraId="7A299C44">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 xml:space="preserve">脱氢乙酸及其钠盐（以脱氢乙酸 </w:t>
            </w:r>
          </w:p>
          <w:p w14:paraId="18E4E948">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 xml:space="preserve">计）、甜蜜素（以环己基氨基磺酸 </w:t>
            </w:r>
          </w:p>
          <w:p w14:paraId="1BC1E179">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 xml:space="preserve">计）、糖精钠（以糖精计）、苯甲 </w:t>
            </w:r>
          </w:p>
          <w:p w14:paraId="26CC15F5">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 xml:space="preserve">酸及其钠盐（以苯甲酸计）、丙酸 </w:t>
            </w:r>
          </w:p>
          <w:p w14:paraId="4DB07B6A">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及其钠盐、钙盐（以丙酸计）</w:t>
            </w:r>
          </w:p>
        </w:tc>
      </w:tr>
      <w:tr w14:paraId="13E8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trPr>
        <w:tc>
          <w:tcPr>
            <w:tcW w:w="720" w:type="dxa"/>
            <w:vMerge w:val="restart"/>
            <w:noWrap w:val="0"/>
            <w:vAlign w:val="center"/>
          </w:tcPr>
          <w:p w14:paraId="41C9115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9</w:t>
            </w:r>
          </w:p>
          <w:p w14:paraId="73BFE83B">
            <w:pPr>
              <w:widowControl/>
              <w:jc w:val="center"/>
              <w:rPr>
                <w:rFonts w:hint="eastAsia"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2192D3B9">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罐头</w:t>
            </w:r>
          </w:p>
          <w:p w14:paraId="2F545D80">
            <w:pPr>
              <w:widowControl/>
              <w:jc w:val="both"/>
              <w:rPr>
                <w:rFonts w:hint="eastAsia" w:ascii="Times New Roman" w:hAnsi="Times New Roman" w:eastAsia="仿宋_GB2312" w:cs="Times New Roman"/>
                <w:color w:val="auto"/>
                <w:kern w:val="0"/>
                <w:szCs w:val="21"/>
                <w:highlight w:val="none"/>
                <w:lang w:eastAsia="zh-CN"/>
              </w:rPr>
            </w:pPr>
          </w:p>
        </w:tc>
        <w:tc>
          <w:tcPr>
            <w:tcW w:w="1256" w:type="dxa"/>
            <w:vMerge w:val="restart"/>
            <w:noWrap w:val="0"/>
            <w:vAlign w:val="center"/>
          </w:tcPr>
          <w:p w14:paraId="0DC9C75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罐头</w:t>
            </w:r>
          </w:p>
          <w:p w14:paraId="63B20D2C">
            <w:pPr>
              <w:widowControl/>
              <w:jc w:val="both"/>
              <w:rPr>
                <w:rFonts w:hint="eastAsia" w:ascii="Times New Roman" w:hAnsi="Times New Roman" w:eastAsia="仿宋_GB2312" w:cs="Times New Roman"/>
                <w:color w:val="auto"/>
                <w:kern w:val="0"/>
                <w:szCs w:val="21"/>
                <w:highlight w:val="none"/>
                <w:lang w:eastAsia="zh-CN"/>
              </w:rPr>
            </w:pPr>
          </w:p>
        </w:tc>
        <w:tc>
          <w:tcPr>
            <w:tcW w:w="1144" w:type="dxa"/>
            <w:vMerge w:val="restart"/>
            <w:noWrap w:val="0"/>
            <w:vAlign w:val="center"/>
          </w:tcPr>
          <w:p w14:paraId="6F9748C0">
            <w:pPr>
              <w:widowControl/>
              <w:spacing w:line="300" w:lineRule="exact"/>
              <w:jc w:val="center"/>
              <w:rPr>
                <w:rFonts w:hint="default" w:ascii="Times New Roman" w:hAnsi="Times New Roman" w:eastAsia="仿宋_GB2312" w:cs="Times New Roman"/>
                <w:color w:val="auto"/>
                <w:kern w:val="0"/>
                <w:szCs w:val="21"/>
                <w:highlight w:val="none"/>
              </w:rPr>
            </w:pPr>
          </w:p>
          <w:p w14:paraId="5EA3108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畜禽水产罐头</w:t>
            </w:r>
          </w:p>
          <w:p w14:paraId="5EC5E488">
            <w:pPr>
              <w:widowControl/>
              <w:spacing w:line="300" w:lineRule="exact"/>
              <w:jc w:val="center"/>
              <w:rPr>
                <w:rFonts w:hint="default" w:ascii="Times New Roman" w:hAnsi="Times New Roman" w:eastAsia="仿宋_GB2312" w:cs="Times New Roman"/>
                <w:color w:val="auto"/>
                <w:kern w:val="0"/>
                <w:szCs w:val="21"/>
                <w:highlight w:val="none"/>
              </w:rPr>
            </w:pPr>
          </w:p>
          <w:p w14:paraId="6EA2449E">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2B19927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畜禽肉类罐头</w:t>
            </w:r>
          </w:p>
        </w:tc>
        <w:tc>
          <w:tcPr>
            <w:tcW w:w="1106" w:type="dxa"/>
            <w:noWrap w:val="0"/>
            <w:vAlign w:val="center"/>
          </w:tcPr>
          <w:p w14:paraId="7007254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4738E8E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铅（以Pb计）、镉（以Cd计）、脱氢乙酸及其钠盐（以脱氢乙酸计）、苯甲酸及其钠盐（以苯甲酸计）、山梨酸及其钾盐（以山梨酸计）、商业无菌</w:t>
            </w:r>
          </w:p>
        </w:tc>
        <w:tc>
          <w:tcPr>
            <w:tcW w:w="3435" w:type="dxa"/>
            <w:noWrap w:val="0"/>
            <w:vAlign w:val="center"/>
          </w:tcPr>
          <w:p w14:paraId="2C1D81B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B28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2" w:hRule="atLeast"/>
        </w:trPr>
        <w:tc>
          <w:tcPr>
            <w:tcW w:w="720" w:type="dxa"/>
            <w:vMerge w:val="continue"/>
            <w:noWrap w:val="0"/>
            <w:vAlign w:val="center"/>
          </w:tcPr>
          <w:p w14:paraId="4BE202F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5CEC72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3B8BC13">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BC82FA6">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619FA4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水产动物类罐头</w:t>
            </w:r>
          </w:p>
        </w:tc>
        <w:tc>
          <w:tcPr>
            <w:tcW w:w="1106" w:type="dxa"/>
            <w:noWrap w:val="0"/>
            <w:vAlign w:val="center"/>
          </w:tcPr>
          <w:p w14:paraId="688E001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745F4F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组胺、铅（以Pb计）、无机砷（以As计）、脱氢乙酸及其钠盐（以脱氢乙酸计）、甜蜜素（以环己基氨基磺酸计）、商业无菌</w:t>
            </w:r>
          </w:p>
        </w:tc>
        <w:tc>
          <w:tcPr>
            <w:tcW w:w="3435" w:type="dxa"/>
            <w:noWrap w:val="0"/>
            <w:vAlign w:val="center"/>
          </w:tcPr>
          <w:p w14:paraId="36544C6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苯甲酸及其钠盐（以苯甲酸计）、山梨酸及其钾盐（以山梨酸计）、糖精钠（以糖精计）</w:t>
            </w:r>
          </w:p>
        </w:tc>
      </w:tr>
      <w:tr w14:paraId="44B6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1" w:hRule="atLeast"/>
        </w:trPr>
        <w:tc>
          <w:tcPr>
            <w:tcW w:w="720" w:type="dxa"/>
            <w:vMerge w:val="continue"/>
            <w:noWrap w:val="0"/>
            <w:vAlign w:val="center"/>
          </w:tcPr>
          <w:p w14:paraId="1C34584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068703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11EC674">
            <w:pPr>
              <w:widowControl/>
              <w:jc w:val="center"/>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1EF4B3E1">
            <w:pPr>
              <w:widowControl/>
              <w:spacing w:line="300" w:lineRule="exact"/>
              <w:jc w:val="center"/>
              <w:rPr>
                <w:rFonts w:hint="default" w:ascii="Times New Roman" w:hAnsi="Times New Roman" w:eastAsia="仿宋_GB2312" w:cs="Times New Roman"/>
                <w:color w:val="auto"/>
                <w:kern w:val="0"/>
                <w:szCs w:val="21"/>
                <w:highlight w:val="none"/>
              </w:rPr>
            </w:pPr>
          </w:p>
          <w:p w14:paraId="1B841997">
            <w:pPr>
              <w:widowControl/>
              <w:spacing w:line="300" w:lineRule="exact"/>
              <w:jc w:val="center"/>
              <w:rPr>
                <w:rFonts w:hint="default" w:ascii="Times New Roman" w:hAnsi="Times New Roman" w:eastAsia="仿宋_GB2312" w:cs="Times New Roman"/>
                <w:color w:val="auto"/>
                <w:kern w:val="0"/>
                <w:szCs w:val="21"/>
                <w:highlight w:val="none"/>
              </w:rPr>
            </w:pPr>
          </w:p>
          <w:p w14:paraId="36AA9F0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果蔬罐头</w:t>
            </w:r>
          </w:p>
          <w:p w14:paraId="7E915FF1">
            <w:pPr>
              <w:widowControl/>
              <w:spacing w:line="300" w:lineRule="exact"/>
              <w:jc w:val="center"/>
              <w:rPr>
                <w:rFonts w:hint="default" w:ascii="Times New Roman" w:hAnsi="Times New Roman" w:eastAsia="仿宋_GB2312" w:cs="Times New Roman"/>
                <w:color w:val="auto"/>
                <w:kern w:val="0"/>
                <w:szCs w:val="21"/>
                <w:highlight w:val="none"/>
              </w:rPr>
            </w:pPr>
          </w:p>
          <w:p w14:paraId="1A0BECE7">
            <w:pPr>
              <w:widowControl/>
              <w:spacing w:line="300" w:lineRule="exact"/>
              <w:jc w:val="center"/>
              <w:rPr>
                <w:rFonts w:hint="default" w:ascii="Times New Roman" w:hAnsi="Times New Roman" w:eastAsia="仿宋_GB2312" w:cs="Times New Roman"/>
                <w:color w:val="auto"/>
                <w:kern w:val="0"/>
                <w:szCs w:val="21"/>
                <w:highlight w:val="none"/>
              </w:rPr>
            </w:pPr>
          </w:p>
          <w:p w14:paraId="3720DFDC">
            <w:pPr>
              <w:widowControl/>
              <w:spacing w:line="300" w:lineRule="exact"/>
              <w:jc w:val="both"/>
              <w:rPr>
                <w:rFonts w:hint="default" w:ascii="Times New Roman" w:hAnsi="Times New Roman" w:eastAsia="仿宋_GB2312" w:cs="Times New Roman"/>
                <w:color w:val="auto"/>
                <w:kern w:val="0"/>
                <w:szCs w:val="21"/>
                <w:highlight w:val="none"/>
              </w:rPr>
            </w:pPr>
          </w:p>
        </w:tc>
        <w:tc>
          <w:tcPr>
            <w:tcW w:w="1856" w:type="dxa"/>
            <w:noWrap w:val="0"/>
            <w:vAlign w:val="center"/>
          </w:tcPr>
          <w:p w14:paraId="552B8DD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水果类罐头</w:t>
            </w:r>
          </w:p>
        </w:tc>
        <w:tc>
          <w:tcPr>
            <w:tcW w:w="1106" w:type="dxa"/>
            <w:noWrap w:val="0"/>
            <w:vAlign w:val="center"/>
          </w:tcPr>
          <w:p w14:paraId="545C4FA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08CE32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铅（以Pb计）、合成着色剂（柠檬黄、日落黄、苋菜红、胭脂红、赤藓红、诱惑红、亮蓝）、脱氢乙酸及其钠盐（以脱氢乙酸计）、甜蜜素（以环己基氨基磺酸计）、二氧化硫残留量、商业无菌</w:t>
            </w:r>
          </w:p>
        </w:tc>
        <w:tc>
          <w:tcPr>
            <w:tcW w:w="3435" w:type="dxa"/>
            <w:noWrap w:val="0"/>
            <w:vAlign w:val="center"/>
          </w:tcPr>
          <w:p w14:paraId="764A784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苯甲酸及其钠盐（以苯甲酸计）、山梨酸及其钾盐（以山梨酸计）、糖精钠（以糖精计）</w:t>
            </w:r>
          </w:p>
        </w:tc>
      </w:tr>
      <w:tr w14:paraId="658C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9" w:hRule="atLeast"/>
        </w:trPr>
        <w:tc>
          <w:tcPr>
            <w:tcW w:w="720" w:type="dxa"/>
            <w:vMerge w:val="continue"/>
            <w:noWrap w:val="0"/>
            <w:vAlign w:val="center"/>
          </w:tcPr>
          <w:p w14:paraId="1D5466F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8A4807A">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015C9A1">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40244E68">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3DAC56F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蔬菜类罐头</w:t>
            </w:r>
          </w:p>
        </w:tc>
        <w:tc>
          <w:tcPr>
            <w:tcW w:w="1106" w:type="dxa"/>
            <w:noWrap w:val="0"/>
            <w:vAlign w:val="center"/>
          </w:tcPr>
          <w:p w14:paraId="66BA742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2AF132D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铅（以Pb计）、合成着色剂（柠檬黄、日落黄）、脱氢乙酸及其钠盐（以脱氢乙酸计）、苯甲酸及其钠盐（以苯甲酸计）、山梨酸及其钾盐（以山梨酸计）、商业无菌</w:t>
            </w:r>
          </w:p>
        </w:tc>
        <w:tc>
          <w:tcPr>
            <w:tcW w:w="3435" w:type="dxa"/>
            <w:noWrap w:val="0"/>
            <w:vAlign w:val="center"/>
          </w:tcPr>
          <w:p w14:paraId="23C4DFE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乙二胺四乙酸二钠、二氧化硫残留 </w:t>
            </w:r>
          </w:p>
          <w:p w14:paraId="0EE3BBA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量</w:t>
            </w:r>
          </w:p>
        </w:tc>
      </w:tr>
      <w:tr w14:paraId="3EE1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9" w:hRule="atLeast"/>
        </w:trPr>
        <w:tc>
          <w:tcPr>
            <w:tcW w:w="720" w:type="dxa"/>
            <w:vMerge w:val="continue"/>
            <w:noWrap w:val="0"/>
            <w:vAlign w:val="center"/>
          </w:tcPr>
          <w:p w14:paraId="2FAB61F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6FA9B4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B710F19">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D037682">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1F8C09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食用菌罐头</w:t>
            </w:r>
          </w:p>
        </w:tc>
        <w:tc>
          <w:tcPr>
            <w:tcW w:w="1106" w:type="dxa"/>
            <w:noWrap w:val="0"/>
            <w:vAlign w:val="center"/>
          </w:tcPr>
          <w:p w14:paraId="3C23464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8CF912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铅（以Pb计）、脱氢乙酸及其钠盐（以脱氢乙酸计）、苯甲酸及其钠盐（以苯甲酸计）、山梨酸及其钾盐（以山梨酸计）、乙二胺四乙酸二钠、商业无菌</w:t>
            </w:r>
          </w:p>
        </w:tc>
        <w:tc>
          <w:tcPr>
            <w:tcW w:w="3435" w:type="dxa"/>
            <w:noWrap w:val="0"/>
            <w:vAlign w:val="center"/>
          </w:tcPr>
          <w:p w14:paraId="1425CE38">
            <w:pPr>
              <w:keepNext w:val="0"/>
              <w:keepLines w:val="0"/>
              <w:widowControl/>
              <w:suppressLineNumbers w:val="0"/>
              <w:jc w:val="left"/>
              <w:rPr>
                <w:color w:val="auto"/>
                <w:highlight w:val="none"/>
              </w:rPr>
            </w:pPr>
            <w:r>
              <w:rPr>
                <w:rFonts w:ascii="仿宋_GB2312" w:hAnsi="仿宋_GB2312" w:eastAsia="仿宋_GB2312" w:cs="仿宋_GB2312"/>
                <w:color w:val="auto"/>
                <w:kern w:val="0"/>
                <w:sz w:val="20"/>
                <w:szCs w:val="20"/>
                <w:highlight w:val="none"/>
                <w:lang w:val="en-US" w:eastAsia="zh-CN" w:bidi="ar"/>
              </w:rPr>
              <w:t>二氧化硫残留量</w:t>
            </w:r>
          </w:p>
          <w:p w14:paraId="0F0FF0C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B03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trPr>
        <w:tc>
          <w:tcPr>
            <w:tcW w:w="720" w:type="dxa"/>
            <w:vMerge w:val="continue"/>
            <w:noWrap w:val="0"/>
            <w:vAlign w:val="center"/>
          </w:tcPr>
          <w:p w14:paraId="6A57DC9B">
            <w:pPr>
              <w:widowControl/>
              <w:jc w:val="center"/>
              <w:rPr>
                <w:rFonts w:hint="eastAsia" w:ascii="Times New Roman" w:hAnsi="Times New Roman" w:eastAsia="仿宋_GB2312" w:cs="Times New Roman"/>
                <w:color w:val="auto"/>
                <w:kern w:val="0"/>
                <w:szCs w:val="21"/>
                <w:highlight w:val="none"/>
                <w:lang w:val="en-US" w:eastAsia="zh-CN"/>
              </w:rPr>
            </w:pPr>
          </w:p>
        </w:tc>
        <w:tc>
          <w:tcPr>
            <w:tcW w:w="1107" w:type="dxa"/>
            <w:vMerge w:val="continue"/>
            <w:noWrap w:val="0"/>
            <w:vAlign w:val="center"/>
          </w:tcPr>
          <w:p w14:paraId="2E11790C">
            <w:pPr>
              <w:widowControl/>
              <w:jc w:val="center"/>
              <w:rPr>
                <w:rFonts w:hint="eastAsia" w:ascii="Times New Roman" w:hAnsi="Times New Roman" w:eastAsia="仿宋_GB2312" w:cs="Times New Roman"/>
                <w:color w:val="auto"/>
                <w:kern w:val="0"/>
                <w:szCs w:val="21"/>
                <w:highlight w:val="none"/>
                <w:lang w:eastAsia="zh-CN"/>
              </w:rPr>
            </w:pPr>
          </w:p>
        </w:tc>
        <w:tc>
          <w:tcPr>
            <w:tcW w:w="1256" w:type="dxa"/>
            <w:vMerge w:val="continue"/>
            <w:noWrap w:val="0"/>
            <w:vAlign w:val="center"/>
          </w:tcPr>
          <w:p w14:paraId="1B6EF168">
            <w:pPr>
              <w:widowControl/>
              <w:jc w:val="center"/>
              <w:rPr>
                <w:rFonts w:hint="eastAsia" w:ascii="Times New Roman" w:hAnsi="Times New Roman" w:eastAsia="仿宋_GB2312" w:cs="Times New Roman"/>
                <w:color w:val="auto"/>
                <w:kern w:val="0"/>
                <w:szCs w:val="21"/>
                <w:highlight w:val="none"/>
                <w:lang w:eastAsia="zh-CN"/>
              </w:rPr>
            </w:pPr>
          </w:p>
        </w:tc>
        <w:tc>
          <w:tcPr>
            <w:tcW w:w="1144" w:type="dxa"/>
            <w:noWrap w:val="0"/>
            <w:vAlign w:val="center"/>
          </w:tcPr>
          <w:p w14:paraId="26C5DCEE">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其他罐头</w:t>
            </w:r>
          </w:p>
        </w:tc>
        <w:tc>
          <w:tcPr>
            <w:tcW w:w="1856" w:type="dxa"/>
            <w:noWrap w:val="0"/>
            <w:vAlign w:val="center"/>
          </w:tcPr>
          <w:p w14:paraId="384C4C7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其他罐头</w:t>
            </w:r>
          </w:p>
        </w:tc>
        <w:tc>
          <w:tcPr>
            <w:tcW w:w="1106" w:type="dxa"/>
            <w:noWrap w:val="0"/>
            <w:vAlign w:val="center"/>
          </w:tcPr>
          <w:p w14:paraId="437B2DA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4C0E52D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、脱氢乙酸及其钠盐（以脱氢乙酸计）、苯甲酸及其钠盐（以苯甲酸计）、山梨酸及其钾盐（以山梨酸计）、乙二胺四乙酸二钠、商业无菌</w:t>
            </w:r>
          </w:p>
        </w:tc>
        <w:tc>
          <w:tcPr>
            <w:tcW w:w="3435" w:type="dxa"/>
            <w:noWrap w:val="0"/>
            <w:vAlign w:val="center"/>
          </w:tcPr>
          <w:p w14:paraId="1D488F2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769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5" w:hRule="atLeast"/>
        </w:trPr>
        <w:tc>
          <w:tcPr>
            <w:tcW w:w="720" w:type="dxa"/>
            <w:noWrap w:val="0"/>
            <w:vAlign w:val="center"/>
          </w:tcPr>
          <w:p w14:paraId="782124D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10</w:t>
            </w:r>
          </w:p>
        </w:tc>
        <w:tc>
          <w:tcPr>
            <w:tcW w:w="1107" w:type="dxa"/>
            <w:noWrap w:val="0"/>
            <w:vAlign w:val="center"/>
          </w:tcPr>
          <w:p w14:paraId="7275C9D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冷冻饮品</w:t>
            </w:r>
          </w:p>
        </w:tc>
        <w:tc>
          <w:tcPr>
            <w:tcW w:w="1256" w:type="dxa"/>
            <w:noWrap w:val="0"/>
            <w:vAlign w:val="center"/>
          </w:tcPr>
          <w:p w14:paraId="33E4396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冷冻饮品</w:t>
            </w:r>
          </w:p>
        </w:tc>
        <w:tc>
          <w:tcPr>
            <w:tcW w:w="1144" w:type="dxa"/>
            <w:noWrap w:val="0"/>
            <w:vAlign w:val="center"/>
          </w:tcPr>
          <w:p w14:paraId="63F0EF5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冷冻饮品</w:t>
            </w:r>
          </w:p>
        </w:tc>
        <w:tc>
          <w:tcPr>
            <w:tcW w:w="1856" w:type="dxa"/>
            <w:noWrap w:val="0"/>
            <w:vAlign w:val="center"/>
          </w:tcPr>
          <w:p w14:paraId="3D349E1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冰淇淋、雪糕、雪泥、冰棍、食用冰、甜味冰、其他类</w:t>
            </w:r>
          </w:p>
        </w:tc>
        <w:tc>
          <w:tcPr>
            <w:tcW w:w="1106" w:type="dxa"/>
            <w:noWrap w:val="0"/>
            <w:vAlign w:val="center"/>
          </w:tcPr>
          <w:p w14:paraId="7875B41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一般</w:t>
            </w:r>
          </w:p>
        </w:tc>
        <w:tc>
          <w:tcPr>
            <w:tcW w:w="4376" w:type="dxa"/>
            <w:noWrap w:val="0"/>
            <w:vAlign w:val="center"/>
          </w:tcPr>
          <w:p w14:paraId="723B6F8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甜蜜素（以环己基氨基磺酸计）、三氯蔗糖、合成着色剂（柠檬黄、日落黄、新红、苋菜红、靛蓝、胭脂红、诱惑红、亮蓝、酸性红、喹啉黄、赤藓红）、相同色泽着色剂混合使用时各自用量占其最大使用量的比例之和、菌落总数、大肠菌群</w:t>
            </w:r>
          </w:p>
        </w:tc>
        <w:tc>
          <w:tcPr>
            <w:tcW w:w="3435" w:type="dxa"/>
            <w:noWrap w:val="0"/>
            <w:vAlign w:val="center"/>
          </w:tcPr>
          <w:p w14:paraId="6F61234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糖精钠（以糖精计）、安赛蜜</w:t>
            </w:r>
          </w:p>
        </w:tc>
      </w:tr>
      <w:tr w14:paraId="4642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0" w:hRule="atLeast"/>
        </w:trPr>
        <w:tc>
          <w:tcPr>
            <w:tcW w:w="720" w:type="dxa"/>
            <w:vMerge w:val="restart"/>
            <w:noWrap w:val="0"/>
            <w:vAlign w:val="center"/>
          </w:tcPr>
          <w:p w14:paraId="35AA921E">
            <w:pPr>
              <w:widowControl/>
              <w:spacing w:line="300" w:lineRule="exact"/>
              <w:jc w:val="center"/>
              <w:rPr>
                <w:rFonts w:hint="default" w:ascii="Times New Roman" w:hAnsi="Times New Roman" w:eastAsia="仿宋_GB2312" w:cs="Times New Roman"/>
                <w:color w:val="auto"/>
                <w:kern w:val="0"/>
                <w:szCs w:val="21"/>
                <w:highlight w:val="none"/>
              </w:rPr>
            </w:pPr>
          </w:p>
          <w:p w14:paraId="72310FA3">
            <w:pPr>
              <w:widowControl/>
              <w:spacing w:line="300" w:lineRule="exact"/>
              <w:jc w:val="center"/>
              <w:rPr>
                <w:rFonts w:hint="default" w:ascii="Times New Roman" w:hAnsi="Times New Roman" w:eastAsia="仿宋_GB2312" w:cs="Times New Roman"/>
                <w:color w:val="auto"/>
                <w:kern w:val="0"/>
                <w:szCs w:val="21"/>
                <w:highlight w:val="none"/>
              </w:rPr>
            </w:pPr>
          </w:p>
          <w:p w14:paraId="4CCE9AF3">
            <w:pPr>
              <w:widowControl/>
              <w:spacing w:line="300" w:lineRule="exact"/>
              <w:jc w:val="center"/>
              <w:rPr>
                <w:rFonts w:hint="default" w:ascii="Times New Roman" w:hAnsi="Times New Roman" w:eastAsia="仿宋_GB2312" w:cs="Times New Roman"/>
                <w:color w:val="auto"/>
                <w:kern w:val="0"/>
                <w:szCs w:val="21"/>
                <w:highlight w:val="none"/>
              </w:rPr>
            </w:pPr>
          </w:p>
          <w:p w14:paraId="6C154D8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rPr>
              <w:t>1</w:t>
            </w:r>
            <w:r>
              <w:rPr>
                <w:rFonts w:hint="eastAsia" w:ascii="Times New Roman" w:hAnsi="Times New Roman" w:eastAsia="仿宋_GB2312" w:cs="Times New Roman"/>
                <w:color w:val="auto"/>
                <w:kern w:val="0"/>
                <w:szCs w:val="21"/>
                <w:highlight w:val="none"/>
                <w:lang w:val="en-US" w:eastAsia="zh-CN"/>
              </w:rPr>
              <w:t>1</w:t>
            </w:r>
          </w:p>
          <w:p w14:paraId="60805CED">
            <w:pPr>
              <w:widowControl/>
              <w:spacing w:line="300" w:lineRule="exact"/>
              <w:jc w:val="center"/>
              <w:rPr>
                <w:rFonts w:hint="default" w:ascii="Times New Roman" w:hAnsi="Times New Roman" w:eastAsia="仿宋_GB2312" w:cs="Times New Roman"/>
                <w:color w:val="auto"/>
                <w:kern w:val="0"/>
                <w:szCs w:val="21"/>
                <w:highlight w:val="none"/>
              </w:rPr>
            </w:pPr>
          </w:p>
          <w:p w14:paraId="4DF61C35">
            <w:pPr>
              <w:widowControl/>
              <w:spacing w:line="300" w:lineRule="exact"/>
              <w:jc w:val="center"/>
              <w:rPr>
                <w:rFonts w:hint="default" w:ascii="Times New Roman" w:hAnsi="Times New Roman" w:eastAsia="仿宋_GB2312" w:cs="Times New Roman"/>
                <w:color w:val="auto"/>
                <w:kern w:val="0"/>
                <w:szCs w:val="21"/>
                <w:highlight w:val="none"/>
              </w:rPr>
            </w:pPr>
          </w:p>
          <w:p w14:paraId="77CFD9F7">
            <w:pPr>
              <w:widowControl/>
              <w:spacing w:line="300" w:lineRule="exact"/>
              <w:jc w:val="center"/>
              <w:rPr>
                <w:rFonts w:hint="default" w:ascii="Times New Roman" w:hAnsi="Times New Roman" w:eastAsia="仿宋_GB2312" w:cs="Times New Roman"/>
                <w:color w:val="auto"/>
                <w:kern w:val="0"/>
                <w:szCs w:val="21"/>
                <w:highlight w:val="none"/>
              </w:rPr>
            </w:pPr>
          </w:p>
          <w:p w14:paraId="3FD389B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15E43959">
            <w:pPr>
              <w:widowControl/>
              <w:spacing w:line="300" w:lineRule="exact"/>
              <w:jc w:val="both"/>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速冻食品</w:t>
            </w:r>
          </w:p>
          <w:p w14:paraId="0DA0D09A">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53273A9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速冻面米食品</w:t>
            </w:r>
          </w:p>
        </w:tc>
        <w:tc>
          <w:tcPr>
            <w:tcW w:w="1144" w:type="dxa"/>
            <w:vMerge w:val="restart"/>
            <w:noWrap w:val="0"/>
            <w:vAlign w:val="center"/>
          </w:tcPr>
          <w:p w14:paraId="598199F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速冻面米食品</w:t>
            </w:r>
          </w:p>
        </w:tc>
        <w:tc>
          <w:tcPr>
            <w:tcW w:w="1856" w:type="dxa"/>
            <w:noWrap w:val="0"/>
            <w:vAlign w:val="center"/>
          </w:tcPr>
          <w:p w14:paraId="58800A0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速冻面米生制品</w:t>
            </w:r>
          </w:p>
        </w:tc>
        <w:tc>
          <w:tcPr>
            <w:tcW w:w="1106" w:type="dxa"/>
            <w:noWrap w:val="0"/>
            <w:vAlign w:val="center"/>
          </w:tcPr>
          <w:p w14:paraId="058DAAD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5064778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过氧化值（以脂肪计）、铅（以Pb计）、糖精钠（以糖精计）、甜蜜素（以环己基氨基磺酸计）、合成着色剂（柠檬黄、日落黄、苋菜红、亮蓝、胭脂红）</w:t>
            </w:r>
          </w:p>
        </w:tc>
        <w:tc>
          <w:tcPr>
            <w:tcW w:w="3435" w:type="dxa"/>
            <w:noWrap w:val="0"/>
            <w:vAlign w:val="center"/>
          </w:tcPr>
          <w:p w14:paraId="39007C4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8C6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4" w:hRule="atLeast"/>
        </w:trPr>
        <w:tc>
          <w:tcPr>
            <w:tcW w:w="720" w:type="dxa"/>
            <w:vMerge w:val="continue"/>
            <w:noWrap w:val="0"/>
            <w:vAlign w:val="center"/>
          </w:tcPr>
          <w:p w14:paraId="19FE7DF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91884D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BE01BEC">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39DF0E0">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7D50D31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速冻面米熟制品</w:t>
            </w:r>
          </w:p>
        </w:tc>
        <w:tc>
          <w:tcPr>
            <w:tcW w:w="1106" w:type="dxa"/>
            <w:noWrap w:val="0"/>
            <w:vAlign w:val="center"/>
          </w:tcPr>
          <w:p w14:paraId="3BEA960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06648C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过氧化值（以脂肪计）、铅（以Pb计）、糖精钠（以糖精计）、甜蜜素（以环己基氨基磺酸计）、合成着色剂（柠檬黄、日落黄、苋菜红、亮蓝、胭脂红）</w:t>
            </w:r>
          </w:p>
        </w:tc>
        <w:tc>
          <w:tcPr>
            <w:tcW w:w="3435" w:type="dxa"/>
            <w:noWrap w:val="0"/>
            <w:vAlign w:val="center"/>
          </w:tcPr>
          <w:p w14:paraId="44737C4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菌落总数、大肠菌群、沙门氏菌、金黄色葡萄球菌</w:t>
            </w:r>
          </w:p>
        </w:tc>
      </w:tr>
      <w:tr w14:paraId="22B6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6" w:hRule="atLeast"/>
        </w:trPr>
        <w:tc>
          <w:tcPr>
            <w:tcW w:w="720" w:type="dxa"/>
            <w:vMerge w:val="continue"/>
            <w:noWrap w:val="0"/>
            <w:vAlign w:val="center"/>
          </w:tcPr>
          <w:p w14:paraId="496283A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040DE62">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24098974">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速冻调制食品</w:t>
            </w:r>
          </w:p>
        </w:tc>
        <w:tc>
          <w:tcPr>
            <w:tcW w:w="1144" w:type="dxa"/>
            <w:noWrap w:val="0"/>
            <w:vAlign w:val="center"/>
          </w:tcPr>
          <w:p w14:paraId="4BA87B2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速冻调理肉制品</w:t>
            </w:r>
          </w:p>
        </w:tc>
        <w:tc>
          <w:tcPr>
            <w:tcW w:w="1856" w:type="dxa"/>
            <w:noWrap w:val="0"/>
            <w:vAlign w:val="center"/>
          </w:tcPr>
          <w:p w14:paraId="5AE1820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速冻调理肉制品</w:t>
            </w:r>
          </w:p>
        </w:tc>
        <w:tc>
          <w:tcPr>
            <w:tcW w:w="1106" w:type="dxa"/>
            <w:noWrap w:val="0"/>
            <w:vAlign w:val="center"/>
          </w:tcPr>
          <w:p w14:paraId="50BBF2E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50FFBA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过氧化值（以脂肪计）、铬（以Cr计）、合成着色剂（胭脂红、柠檬黄、日落黄、诱惑红）、亚硝酸盐（以亚硝酸钠计）、苯甲酸及其钠盐（以苯甲酸计）、山梨酸及其钾盐（以山梨酸计）、沙门氏菌</w:t>
            </w:r>
          </w:p>
        </w:tc>
        <w:tc>
          <w:tcPr>
            <w:tcW w:w="3435" w:type="dxa"/>
            <w:noWrap w:val="0"/>
            <w:vAlign w:val="center"/>
          </w:tcPr>
          <w:p w14:paraId="60809DB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铅（以Pb计）、氯霉素</w:t>
            </w:r>
          </w:p>
        </w:tc>
      </w:tr>
      <w:tr w14:paraId="1A0A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trPr>
        <w:tc>
          <w:tcPr>
            <w:tcW w:w="720" w:type="dxa"/>
            <w:vMerge w:val="continue"/>
            <w:noWrap w:val="0"/>
            <w:vAlign w:val="center"/>
          </w:tcPr>
          <w:p w14:paraId="6236704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B9E19C0">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1493494">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603563E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速冻调制水产制品</w:t>
            </w:r>
          </w:p>
        </w:tc>
        <w:tc>
          <w:tcPr>
            <w:tcW w:w="1856" w:type="dxa"/>
            <w:noWrap w:val="0"/>
            <w:vAlign w:val="center"/>
          </w:tcPr>
          <w:p w14:paraId="080C13F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速冻调制水产制品</w:t>
            </w:r>
          </w:p>
        </w:tc>
        <w:tc>
          <w:tcPr>
            <w:tcW w:w="1106" w:type="dxa"/>
            <w:noWrap w:val="0"/>
            <w:vAlign w:val="center"/>
          </w:tcPr>
          <w:p w14:paraId="76501CC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54C23A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挥发性盐基氮、苯甲酸及其钠盐（以苯甲酸计）、山梨酸及其钾盐（以山梨酸计）、二氧化硫残留量、沙门氏菌、单核细胞增生李斯特氏菌</w:t>
            </w:r>
          </w:p>
        </w:tc>
        <w:tc>
          <w:tcPr>
            <w:tcW w:w="3435" w:type="dxa"/>
            <w:noWrap w:val="0"/>
            <w:vAlign w:val="center"/>
          </w:tcPr>
          <w:p w14:paraId="1725772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菌落总数、大肠菌群、副溶血性弧菌</w:t>
            </w:r>
          </w:p>
        </w:tc>
      </w:tr>
      <w:tr w14:paraId="0BDF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trPr>
        <w:tc>
          <w:tcPr>
            <w:tcW w:w="720" w:type="dxa"/>
            <w:vMerge w:val="restart"/>
            <w:noWrap w:val="0"/>
            <w:vAlign w:val="center"/>
          </w:tcPr>
          <w:p w14:paraId="2521CADB">
            <w:pPr>
              <w:widowControl/>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11</w:t>
            </w:r>
          </w:p>
        </w:tc>
        <w:tc>
          <w:tcPr>
            <w:tcW w:w="1107" w:type="dxa"/>
            <w:vMerge w:val="restart"/>
            <w:noWrap w:val="0"/>
            <w:vAlign w:val="center"/>
          </w:tcPr>
          <w:p w14:paraId="77591E76">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速冻食品</w:t>
            </w:r>
          </w:p>
        </w:tc>
        <w:tc>
          <w:tcPr>
            <w:tcW w:w="1256" w:type="dxa"/>
            <w:vMerge w:val="restart"/>
            <w:noWrap w:val="0"/>
            <w:vAlign w:val="center"/>
          </w:tcPr>
          <w:p w14:paraId="2DB1204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速冻其他食品</w:t>
            </w:r>
          </w:p>
        </w:tc>
        <w:tc>
          <w:tcPr>
            <w:tcW w:w="1144" w:type="dxa"/>
            <w:noWrap w:val="0"/>
            <w:vAlign w:val="center"/>
          </w:tcPr>
          <w:p w14:paraId="75C0075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速冻谷物食品</w:t>
            </w:r>
          </w:p>
        </w:tc>
        <w:tc>
          <w:tcPr>
            <w:tcW w:w="1856" w:type="dxa"/>
            <w:noWrap w:val="0"/>
            <w:vAlign w:val="center"/>
          </w:tcPr>
          <w:p w14:paraId="14E5E9D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速冻谷物食品</w:t>
            </w:r>
          </w:p>
        </w:tc>
        <w:tc>
          <w:tcPr>
            <w:tcW w:w="1106" w:type="dxa"/>
            <w:noWrap w:val="0"/>
            <w:vAlign w:val="center"/>
          </w:tcPr>
          <w:p w14:paraId="0518D1D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7ED947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铅（以Pb计）、黄曲霉毒素B</w:t>
            </w:r>
            <w:r>
              <w:rPr>
                <w:rFonts w:hint="default" w:ascii="Times New Roman" w:hAnsi="Times New Roman" w:eastAsia="仿宋_GB2312" w:cs="Times New Roman"/>
                <w:color w:val="auto"/>
                <w:kern w:val="0"/>
                <w:szCs w:val="21"/>
                <w:highlight w:val="none"/>
                <w:vertAlign w:val="subscript"/>
                <w:lang w:val="en-US" w:eastAsia="zh-CN"/>
              </w:rPr>
              <w:t>1</w:t>
            </w:r>
          </w:p>
        </w:tc>
        <w:tc>
          <w:tcPr>
            <w:tcW w:w="3435" w:type="dxa"/>
            <w:noWrap w:val="0"/>
            <w:vAlign w:val="center"/>
          </w:tcPr>
          <w:p w14:paraId="1866AF6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00A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720" w:type="dxa"/>
            <w:vMerge w:val="continue"/>
            <w:noWrap w:val="0"/>
            <w:vAlign w:val="center"/>
          </w:tcPr>
          <w:p w14:paraId="7AC4D835">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EB21A44">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FABE36A">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61A3DB3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速冻蔬菜制品</w:t>
            </w:r>
          </w:p>
        </w:tc>
        <w:tc>
          <w:tcPr>
            <w:tcW w:w="1856" w:type="dxa"/>
            <w:noWrap w:val="0"/>
            <w:vAlign w:val="center"/>
          </w:tcPr>
          <w:p w14:paraId="0D618C0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速冻蔬菜制品</w:t>
            </w:r>
          </w:p>
        </w:tc>
        <w:tc>
          <w:tcPr>
            <w:tcW w:w="1106" w:type="dxa"/>
            <w:noWrap w:val="0"/>
            <w:vAlign w:val="center"/>
          </w:tcPr>
          <w:p w14:paraId="055925B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207E98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铅（以Pb计）、镉（以Cd计）、糖精钠（以糖精计）</w:t>
            </w:r>
          </w:p>
        </w:tc>
        <w:tc>
          <w:tcPr>
            <w:tcW w:w="3435" w:type="dxa"/>
            <w:noWrap w:val="0"/>
            <w:vAlign w:val="center"/>
          </w:tcPr>
          <w:p w14:paraId="5C233B2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05C8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5" w:hRule="atLeast"/>
        </w:trPr>
        <w:tc>
          <w:tcPr>
            <w:tcW w:w="720" w:type="dxa"/>
            <w:vMerge w:val="continue"/>
            <w:noWrap w:val="0"/>
            <w:vAlign w:val="center"/>
          </w:tcPr>
          <w:p w14:paraId="5FD2CD4F">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58CFE3F">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FAE90D8">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3D39799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速冻水果制品</w:t>
            </w:r>
          </w:p>
        </w:tc>
        <w:tc>
          <w:tcPr>
            <w:tcW w:w="1856" w:type="dxa"/>
            <w:noWrap w:val="0"/>
            <w:vAlign w:val="center"/>
          </w:tcPr>
          <w:p w14:paraId="3469BB7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速冻水果制品</w:t>
            </w:r>
          </w:p>
        </w:tc>
        <w:tc>
          <w:tcPr>
            <w:tcW w:w="1106" w:type="dxa"/>
            <w:noWrap w:val="0"/>
            <w:vAlign w:val="center"/>
          </w:tcPr>
          <w:p w14:paraId="49F03F0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345403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菌落总数、大肠菌群、霉菌、沙门氏菌、金黄色葡萄球菌</w:t>
            </w:r>
          </w:p>
        </w:tc>
        <w:tc>
          <w:tcPr>
            <w:tcW w:w="3435" w:type="dxa"/>
            <w:noWrap w:val="0"/>
            <w:vAlign w:val="center"/>
          </w:tcPr>
          <w:p w14:paraId="03598A5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镉（以Cd计）</w:t>
            </w:r>
          </w:p>
        </w:tc>
      </w:tr>
      <w:tr w14:paraId="747F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06" w:hRule="atLeast"/>
        </w:trPr>
        <w:tc>
          <w:tcPr>
            <w:tcW w:w="720" w:type="dxa"/>
            <w:vMerge w:val="restart"/>
            <w:noWrap w:val="0"/>
            <w:vAlign w:val="center"/>
          </w:tcPr>
          <w:p w14:paraId="5843091A">
            <w:pPr>
              <w:widowControl/>
              <w:spacing w:line="300" w:lineRule="exact"/>
              <w:jc w:val="center"/>
              <w:rPr>
                <w:rFonts w:hint="default" w:ascii="Times New Roman" w:hAnsi="Times New Roman" w:eastAsia="仿宋_GB2312" w:cs="Times New Roman"/>
                <w:color w:val="auto"/>
                <w:kern w:val="0"/>
                <w:szCs w:val="21"/>
                <w:highlight w:val="none"/>
              </w:rPr>
            </w:pPr>
          </w:p>
          <w:p w14:paraId="3D8F42EA">
            <w:pPr>
              <w:widowControl/>
              <w:spacing w:line="300" w:lineRule="exact"/>
              <w:jc w:val="center"/>
              <w:rPr>
                <w:rFonts w:hint="default" w:ascii="Times New Roman" w:hAnsi="Times New Roman" w:eastAsia="仿宋_GB2312" w:cs="Times New Roman"/>
                <w:color w:val="auto"/>
                <w:kern w:val="0"/>
                <w:szCs w:val="21"/>
                <w:highlight w:val="none"/>
              </w:rPr>
            </w:pPr>
          </w:p>
          <w:p w14:paraId="1CDA4B18">
            <w:pPr>
              <w:widowControl/>
              <w:spacing w:line="300" w:lineRule="exact"/>
              <w:jc w:val="center"/>
              <w:rPr>
                <w:rFonts w:hint="default" w:ascii="Times New Roman" w:hAnsi="Times New Roman" w:eastAsia="仿宋_GB2312" w:cs="Times New Roman"/>
                <w:color w:val="auto"/>
                <w:kern w:val="0"/>
                <w:szCs w:val="21"/>
                <w:highlight w:val="none"/>
              </w:rPr>
            </w:pPr>
          </w:p>
          <w:p w14:paraId="1B5E69DD">
            <w:pPr>
              <w:widowControl/>
              <w:spacing w:line="300" w:lineRule="exact"/>
              <w:jc w:val="center"/>
              <w:rPr>
                <w:rFonts w:hint="default" w:ascii="Times New Roman" w:hAnsi="Times New Roman" w:eastAsia="仿宋_GB2312" w:cs="Times New Roman"/>
                <w:color w:val="auto"/>
                <w:kern w:val="0"/>
                <w:szCs w:val="21"/>
                <w:highlight w:val="none"/>
              </w:rPr>
            </w:pPr>
          </w:p>
          <w:p w14:paraId="3211A9F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12</w:t>
            </w:r>
          </w:p>
          <w:p w14:paraId="103C5BCF">
            <w:pPr>
              <w:widowControl/>
              <w:spacing w:line="300" w:lineRule="exact"/>
              <w:jc w:val="center"/>
              <w:rPr>
                <w:rFonts w:hint="default" w:ascii="Times New Roman" w:hAnsi="Times New Roman" w:eastAsia="仿宋_GB2312" w:cs="Times New Roman"/>
                <w:color w:val="auto"/>
                <w:kern w:val="0"/>
                <w:szCs w:val="21"/>
                <w:highlight w:val="none"/>
              </w:rPr>
            </w:pPr>
          </w:p>
          <w:p w14:paraId="405FDF18">
            <w:pPr>
              <w:widowControl/>
              <w:spacing w:line="300" w:lineRule="exact"/>
              <w:jc w:val="center"/>
              <w:rPr>
                <w:rFonts w:hint="default" w:ascii="Times New Roman" w:hAnsi="Times New Roman" w:eastAsia="仿宋_GB2312" w:cs="Times New Roman"/>
                <w:color w:val="auto"/>
                <w:kern w:val="0"/>
                <w:szCs w:val="21"/>
                <w:highlight w:val="none"/>
              </w:rPr>
            </w:pPr>
          </w:p>
          <w:p w14:paraId="181FCF7E">
            <w:pPr>
              <w:widowControl/>
              <w:spacing w:line="300" w:lineRule="exact"/>
              <w:jc w:val="center"/>
              <w:rPr>
                <w:rFonts w:hint="default" w:ascii="Times New Roman" w:hAnsi="Times New Roman" w:eastAsia="仿宋_GB2312" w:cs="Times New Roman"/>
                <w:color w:val="auto"/>
                <w:kern w:val="0"/>
                <w:szCs w:val="21"/>
                <w:highlight w:val="none"/>
              </w:rPr>
            </w:pPr>
          </w:p>
          <w:p w14:paraId="707FDD2F">
            <w:pPr>
              <w:widowControl/>
              <w:spacing w:line="300" w:lineRule="exact"/>
              <w:jc w:val="center"/>
              <w:rPr>
                <w:rFonts w:hint="default" w:ascii="Times New Roman" w:hAnsi="Times New Roman" w:eastAsia="仿宋_GB2312" w:cs="Times New Roman"/>
                <w:color w:val="auto"/>
                <w:kern w:val="0"/>
                <w:szCs w:val="21"/>
                <w:highlight w:val="none"/>
              </w:rPr>
            </w:pPr>
          </w:p>
          <w:p w14:paraId="5404308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111FBACB">
            <w:pPr>
              <w:widowControl/>
              <w:spacing w:line="300" w:lineRule="exact"/>
              <w:jc w:val="center"/>
              <w:rPr>
                <w:rFonts w:hint="default" w:ascii="Times New Roman" w:hAnsi="Times New Roman" w:eastAsia="仿宋_GB2312" w:cs="Times New Roman"/>
                <w:color w:val="auto"/>
                <w:kern w:val="0"/>
                <w:szCs w:val="21"/>
                <w:highlight w:val="none"/>
              </w:rPr>
            </w:pPr>
          </w:p>
          <w:p w14:paraId="446E6014">
            <w:pPr>
              <w:widowControl/>
              <w:spacing w:line="300" w:lineRule="exact"/>
              <w:jc w:val="center"/>
              <w:rPr>
                <w:rFonts w:hint="default" w:ascii="Times New Roman" w:hAnsi="Times New Roman" w:eastAsia="仿宋_GB2312" w:cs="Times New Roman"/>
                <w:color w:val="auto"/>
                <w:kern w:val="0"/>
                <w:szCs w:val="21"/>
                <w:highlight w:val="none"/>
              </w:rPr>
            </w:pPr>
          </w:p>
          <w:p w14:paraId="6B29D93E">
            <w:pPr>
              <w:widowControl/>
              <w:spacing w:line="300" w:lineRule="exact"/>
              <w:jc w:val="center"/>
              <w:rPr>
                <w:rFonts w:hint="default" w:ascii="Times New Roman" w:hAnsi="Times New Roman" w:eastAsia="仿宋_GB2312" w:cs="Times New Roman"/>
                <w:color w:val="auto"/>
                <w:kern w:val="0"/>
                <w:szCs w:val="21"/>
                <w:highlight w:val="none"/>
              </w:rPr>
            </w:pPr>
          </w:p>
          <w:p w14:paraId="53A6D43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薯类和膨化食品</w:t>
            </w:r>
          </w:p>
          <w:p w14:paraId="1F8093DB">
            <w:pPr>
              <w:widowControl/>
              <w:spacing w:line="300" w:lineRule="exact"/>
              <w:jc w:val="center"/>
              <w:rPr>
                <w:rFonts w:hint="default" w:ascii="Times New Roman" w:hAnsi="Times New Roman" w:eastAsia="仿宋_GB2312" w:cs="Times New Roman"/>
                <w:color w:val="auto"/>
                <w:kern w:val="0"/>
                <w:szCs w:val="21"/>
                <w:highlight w:val="none"/>
              </w:rPr>
            </w:pPr>
          </w:p>
          <w:p w14:paraId="357B5562">
            <w:pPr>
              <w:widowControl/>
              <w:spacing w:line="300" w:lineRule="exact"/>
              <w:jc w:val="center"/>
              <w:rPr>
                <w:rFonts w:hint="default" w:ascii="Times New Roman" w:hAnsi="Times New Roman" w:eastAsia="仿宋_GB2312" w:cs="Times New Roman"/>
                <w:color w:val="auto"/>
                <w:kern w:val="0"/>
                <w:szCs w:val="21"/>
                <w:highlight w:val="none"/>
              </w:rPr>
            </w:pPr>
          </w:p>
          <w:p w14:paraId="1B46E862">
            <w:pPr>
              <w:widowControl/>
              <w:spacing w:line="300" w:lineRule="exact"/>
              <w:jc w:val="center"/>
              <w:rPr>
                <w:rFonts w:hint="default" w:ascii="Times New Roman" w:hAnsi="Times New Roman" w:eastAsia="仿宋_GB2312" w:cs="Times New Roman"/>
                <w:color w:val="auto"/>
                <w:kern w:val="0"/>
                <w:szCs w:val="21"/>
                <w:highlight w:val="none"/>
              </w:rPr>
            </w:pPr>
          </w:p>
          <w:p w14:paraId="7DFC0807">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397A836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薯类和膨化食品</w:t>
            </w:r>
          </w:p>
        </w:tc>
        <w:tc>
          <w:tcPr>
            <w:tcW w:w="1144" w:type="dxa"/>
            <w:noWrap w:val="0"/>
            <w:vAlign w:val="center"/>
          </w:tcPr>
          <w:p w14:paraId="6C4ECF8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膨化食品</w:t>
            </w:r>
          </w:p>
        </w:tc>
        <w:tc>
          <w:tcPr>
            <w:tcW w:w="1856" w:type="dxa"/>
            <w:noWrap w:val="0"/>
            <w:vAlign w:val="center"/>
          </w:tcPr>
          <w:p w14:paraId="4328041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含油型膨化食品和非含油型膨化食品</w:t>
            </w:r>
          </w:p>
        </w:tc>
        <w:tc>
          <w:tcPr>
            <w:tcW w:w="1106" w:type="dxa"/>
            <w:noWrap w:val="0"/>
            <w:vAlign w:val="center"/>
          </w:tcPr>
          <w:p w14:paraId="1667F05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3838C37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水分、酸价（以脂肪计）（KOH）、过氧化值 （以脂肪计）、糖精钠（以糖精计）、纽甜、三氯蔗糖、合成着色剂（新红、苋菜红、酸性红、喹啉黄）</w:t>
            </w:r>
          </w:p>
        </w:tc>
        <w:tc>
          <w:tcPr>
            <w:tcW w:w="3435" w:type="dxa"/>
            <w:noWrap w:val="0"/>
            <w:vAlign w:val="center"/>
          </w:tcPr>
          <w:p w14:paraId="6450353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菌落总数、苯甲酸及其钠盐（以苯甲酸计）、山梨酸及其钾盐（以山梨酸计）、甜蜜素（以环己基氨基磺酸计）、黄曲霉毒素B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、大肠菌群、沙门氏菌、金黄色葡萄球菌</w:t>
            </w:r>
          </w:p>
        </w:tc>
      </w:tr>
      <w:tr w14:paraId="0345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2" w:hRule="atLeast"/>
        </w:trPr>
        <w:tc>
          <w:tcPr>
            <w:tcW w:w="720" w:type="dxa"/>
            <w:vMerge w:val="continue"/>
            <w:noWrap w:val="0"/>
            <w:vAlign w:val="center"/>
          </w:tcPr>
          <w:p w14:paraId="39CD7719">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07F4DC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62694C4">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5FA2B62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薯类食品</w:t>
            </w:r>
          </w:p>
        </w:tc>
        <w:tc>
          <w:tcPr>
            <w:tcW w:w="1856" w:type="dxa"/>
            <w:noWrap w:val="0"/>
            <w:vAlign w:val="center"/>
          </w:tcPr>
          <w:p w14:paraId="662FA88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干制薯类</w:t>
            </w:r>
          </w:p>
        </w:tc>
        <w:tc>
          <w:tcPr>
            <w:tcW w:w="1106" w:type="dxa"/>
            <w:noWrap w:val="0"/>
            <w:vAlign w:val="center"/>
          </w:tcPr>
          <w:p w14:paraId="64EFAFF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C16305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酸价（以脂肪计）（KOH）、过氧化值（以脂肪计）、铅（以Pb计）、二氧化硫残留量、菌落总数、大肠菌群</w:t>
            </w:r>
          </w:p>
        </w:tc>
        <w:tc>
          <w:tcPr>
            <w:tcW w:w="3435" w:type="dxa"/>
            <w:noWrap w:val="0"/>
            <w:vAlign w:val="center"/>
          </w:tcPr>
          <w:p w14:paraId="3C9DEB4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沙门氏菌、金黄色葡萄球菌</w:t>
            </w:r>
          </w:p>
        </w:tc>
      </w:tr>
      <w:tr w14:paraId="2EAB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trPr>
        <w:tc>
          <w:tcPr>
            <w:tcW w:w="720" w:type="dxa"/>
            <w:vMerge w:val="continue"/>
            <w:noWrap w:val="0"/>
            <w:vAlign w:val="center"/>
          </w:tcPr>
          <w:p w14:paraId="2A22FAF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F4CFF1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88AB9DE">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2F9CE26">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22F079A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冷冻薯类</w:t>
            </w:r>
          </w:p>
        </w:tc>
        <w:tc>
          <w:tcPr>
            <w:tcW w:w="1106" w:type="dxa"/>
            <w:noWrap w:val="0"/>
            <w:vAlign w:val="center"/>
          </w:tcPr>
          <w:p w14:paraId="433D1B3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5B6B81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w:t>
            </w:r>
          </w:p>
        </w:tc>
        <w:tc>
          <w:tcPr>
            <w:tcW w:w="3435" w:type="dxa"/>
            <w:noWrap w:val="0"/>
            <w:vAlign w:val="center"/>
          </w:tcPr>
          <w:p w14:paraId="685A092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5E48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atLeast"/>
        </w:trPr>
        <w:tc>
          <w:tcPr>
            <w:tcW w:w="720" w:type="dxa"/>
            <w:vMerge w:val="continue"/>
            <w:noWrap w:val="0"/>
            <w:vAlign w:val="center"/>
          </w:tcPr>
          <w:p w14:paraId="376211C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6F01FF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6AE77BB">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E208DE8">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2EE345E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薯泥（酱）类</w:t>
            </w:r>
          </w:p>
        </w:tc>
        <w:tc>
          <w:tcPr>
            <w:tcW w:w="1106" w:type="dxa"/>
            <w:noWrap w:val="0"/>
            <w:vAlign w:val="center"/>
          </w:tcPr>
          <w:p w14:paraId="242C193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26FEB8B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w:t>
            </w:r>
            <w:r>
              <w:rPr>
                <w:rFonts w:hint="eastAsia" w:ascii="Times New Roman" w:hAnsi="Times New Roman" w:eastAsia="仿宋_GB2312" w:cs="Times New Roman"/>
                <w:color w:val="auto"/>
                <w:kern w:val="0"/>
                <w:szCs w:val="21"/>
                <w:highlight w:val="none"/>
                <w:lang w:val="en-US" w:eastAsia="zh-CN"/>
              </w:rPr>
              <w:t>、商业无菌、沙门氏菌、金黄色葡萄球菌</w:t>
            </w:r>
          </w:p>
        </w:tc>
        <w:tc>
          <w:tcPr>
            <w:tcW w:w="3435" w:type="dxa"/>
            <w:noWrap w:val="0"/>
            <w:vAlign w:val="center"/>
          </w:tcPr>
          <w:p w14:paraId="71D77E0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C6D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720" w:type="dxa"/>
            <w:vMerge w:val="continue"/>
            <w:noWrap w:val="0"/>
            <w:vAlign w:val="center"/>
          </w:tcPr>
          <w:p w14:paraId="545EBB4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05C86B0">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1BA19F7">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50C2E13">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09784CE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薯粉类</w:t>
            </w:r>
          </w:p>
        </w:tc>
        <w:tc>
          <w:tcPr>
            <w:tcW w:w="1106" w:type="dxa"/>
            <w:noWrap w:val="0"/>
            <w:vAlign w:val="center"/>
          </w:tcPr>
          <w:p w14:paraId="6D0DE14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2C0709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二氧化硫残留量</w:t>
            </w:r>
          </w:p>
        </w:tc>
        <w:tc>
          <w:tcPr>
            <w:tcW w:w="3435" w:type="dxa"/>
            <w:noWrap w:val="0"/>
            <w:vAlign w:val="center"/>
          </w:tcPr>
          <w:p w14:paraId="04CDDB1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B7F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vMerge w:val="continue"/>
            <w:noWrap w:val="0"/>
            <w:vAlign w:val="center"/>
          </w:tcPr>
          <w:p w14:paraId="354354F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575B5F1">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DC708AF">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D98FC89">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E66BB6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其他薯类食品</w:t>
            </w:r>
          </w:p>
        </w:tc>
        <w:tc>
          <w:tcPr>
            <w:tcW w:w="1106" w:type="dxa"/>
            <w:noWrap w:val="0"/>
            <w:vAlign w:val="center"/>
          </w:tcPr>
          <w:p w14:paraId="4D75BBC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96E209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铅（以Pb计）、沙门氏菌、金黄色葡萄球菌</w:t>
            </w:r>
          </w:p>
        </w:tc>
        <w:tc>
          <w:tcPr>
            <w:tcW w:w="3435" w:type="dxa"/>
            <w:noWrap w:val="0"/>
            <w:vAlign w:val="center"/>
          </w:tcPr>
          <w:p w14:paraId="18E54D5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CD0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48FDE54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13</w:t>
            </w:r>
          </w:p>
        </w:tc>
        <w:tc>
          <w:tcPr>
            <w:tcW w:w="1107" w:type="dxa"/>
            <w:vMerge w:val="restart"/>
            <w:noWrap w:val="0"/>
            <w:vAlign w:val="center"/>
          </w:tcPr>
          <w:p w14:paraId="4A88897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糖果制品</w:t>
            </w:r>
          </w:p>
        </w:tc>
        <w:tc>
          <w:tcPr>
            <w:tcW w:w="1256" w:type="dxa"/>
            <w:vMerge w:val="restart"/>
            <w:noWrap w:val="0"/>
            <w:vAlign w:val="center"/>
          </w:tcPr>
          <w:p w14:paraId="5740F17F">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糖果制品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含巧克力及制品</w:t>
            </w:r>
            <w:r>
              <w:rPr>
                <w:rFonts w:hint="eastAsia" w:ascii="Times New Roman" w:hAnsi="Times New Roman" w:eastAsia="仿宋_GB2312" w:cs="Times New Roman"/>
                <w:color w:val="auto"/>
                <w:kern w:val="0"/>
                <w:szCs w:val="21"/>
                <w:highlight w:val="none"/>
                <w:lang w:eastAsia="zh-CN"/>
              </w:rPr>
              <w:t>）</w:t>
            </w:r>
          </w:p>
        </w:tc>
        <w:tc>
          <w:tcPr>
            <w:tcW w:w="1144" w:type="dxa"/>
            <w:noWrap w:val="0"/>
            <w:vAlign w:val="center"/>
          </w:tcPr>
          <w:p w14:paraId="14124E6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糖果</w:t>
            </w:r>
          </w:p>
        </w:tc>
        <w:tc>
          <w:tcPr>
            <w:tcW w:w="1856" w:type="dxa"/>
            <w:noWrap w:val="0"/>
            <w:vAlign w:val="center"/>
          </w:tcPr>
          <w:p w14:paraId="2D24CAD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糖果</w:t>
            </w:r>
          </w:p>
        </w:tc>
        <w:tc>
          <w:tcPr>
            <w:tcW w:w="1106" w:type="dxa"/>
            <w:noWrap w:val="0"/>
            <w:vAlign w:val="center"/>
          </w:tcPr>
          <w:p w14:paraId="18E6FDD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617CDFD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糖精钠（以糖精计）、甜蜜素（以环己基氨基磺酸计）、合成着色剂（柠檬黄、新红、苋菜红、靛蓝、胭脂红、日落黄、诱惑红、亮蓝、酸性红、喹啉黄、赤藓红）、相同色泽着色剂混合使用时各自用量占其最大使用量的比例之和、二氧化硫残留量、菌落总数、大肠菌群、西地那非、他达拉非、酚丁、双酚沙丁、双丙酚丁、脱乙酰比沙可啶</w:t>
            </w:r>
          </w:p>
        </w:tc>
        <w:tc>
          <w:tcPr>
            <w:tcW w:w="3435" w:type="dxa"/>
            <w:noWrap w:val="0"/>
            <w:vAlign w:val="center"/>
          </w:tcPr>
          <w:p w14:paraId="13D4463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w:t>
            </w:r>
          </w:p>
        </w:tc>
      </w:tr>
      <w:tr w14:paraId="5660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CBAA64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51F9E3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63C346C">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5C88CFF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巧克力及巧克力制品</w:t>
            </w:r>
          </w:p>
        </w:tc>
        <w:tc>
          <w:tcPr>
            <w:tcW w:w="1856" w:type="dxa"/>
            <w:noWrap w:val="0"/>
            <w:vAlign w:val="center"/>
          </w:tcPr>
          <w:p w14:paraId="105E93A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巧克力、巧克力制品、代可可脂巧克力及代可可脂巧克力制品</w:t>
            </w:r>
          </w:p>
        </w:tc>
        <w:tc>
          <w:tcPr>
            <w:tcW w:w="1106" w:type="dxa"/>
            <w:noWrap w:val="0"/>
            <w:vAlign w:val="center"/>
          </w:tcPr>
          <w:p w14:paraId="49CA043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4B806E6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铅（以Pb计）、沙门氏菌</w:t>
            </w:r>
          </w:p>
        </w:tc>
        <w:tc>
          <w:tcPr>
            <w:tcW w:w="3435" w:type="dxa"/>
            <w:noWrap w:val="0"/>
            <w:vAlign w:val="center"/>
          </w:tcPr>
          <w:p w14:paraId="566C7219">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p>
          <w:p w14:paraId="29BEA1A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E8B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C3B95A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6AC94CA">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309982E">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094B2C5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果冻</w:t>
            </w:r>
          </w:p>
        </w:tc>
        <w:tc>
          <w:tcPr>
            <w:tcW w:w="1856" w:type="dxa"/>
            <w:noWrap w:val="0"/>
            <w:vAlign w:val="center"/>
          </w:tcPr>
          <w:p w14:paraId="1EC1B18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果冻</w:t>
            </w:r>
          </w:p>
        </w:tc>
        <w:tc>
          <w:tcPr>
            <w:tcW w:w="1106" w:type="dxa"/>
            <w:noWrap w:val="0"/>
            <w:vAlign w:val="center"/>
          </w:tcPr>
          <w:p w14:paraId="0923DF7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7AF13F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合成着色剂（柠檬黄、新红、苋菜红、靛蓝、胭脂红、日落黄、诱惑红、亮蓝、酸性红、喹啉黄、赤藓红）、相同色泽着色剂混合使用时各自用量占其最大使用量的比例之和、安赛蜜、甜蜜素（以环己基氨基磺酸计）、菌落总数、霉菌、双丙酚丁、脱乙酰比沙可啶</w:t>
            </w:r>
          </w:p>
        </w:tc>
        <w:tc>
          <w:tcPr>
            <w:tcW w:w="3435" w:type="dxa"/>
            <w:noWrap w:val="0"/>
            <w:vAlign w:val="center"/>
          </w:tcPr>
          <w:p w14:paraId="646F121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山梨酸及其钾盐（以山梨酸计）、苯甲酸及其钠盐（以苯甲酸计）、糖精钠（以糖精计）、大肠菌群、 酵母</w:t>
            </w:r>
          </w:p>
        </w:tc>
      </w:tr>
      <w:tr w14:paraId="2B6E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7" w:hRule="atLeast"/>
        </w:trPr>
        <w:tc>
          <w:tcPr>
            <w:tcW w:w="720" w:type="dxa"/>
            <w:vMerge w:val="restart"/>
            <w:noWrap w:val="0"/>
            <w:vAlign w:val="center"/>
          </w:tcPr>
          <w:p w14:paraId="243DB8D5">
            <w:pPr>
              <w:widowControl/>
              <w:spacing w:line="300" w:lineRule="exact"/>
              <w:jc w:val="center"/>
              <w:rPr>
                <w:rFonts w:hint="default" w:ascii="Times New Roman" w:hAnsi="Times New Roman" w:eastAsia="仿宋_GB2312" w:cs="Times New Roman"/>
                <w:color w:val="auto"/>
                <w:kern w:val="0"/>
                <w:szCs w:val="21"/>
                <w:highlight w:val="none"/>
              </w:rPr>
            </w:pPr>
          </w:p>
          <w:p w14:paraId="6673FC90">
            <w:pPr>
              <w:widowControl/>
              <w:spacing w:line="300" w:lineRule="exact"/>
              <w:jc w:val="center"/>
              <w:rPr>
                <w:rFonts w:hint="default" w:ascii="Times New Roman" w:hAnsi="Times New Roman" w:eastAsia="仿宋_GB2312" w:cs="Times New Roman"/>
                <w:color w:val="auto"/>
                <w:kern w:val="0"/>
                <w:szCs w:val="21"/>
                <w:highlight w:val="none"/>
              </w:rPr>
            </w:pPr>
          </w:p>
          <w:p w14:paraId="65110462">
            <w:pPr>
              <w:widowControl/>
              <w:spacing w:line="300" w:lineRule="exact"/>
              <w:jc w:val="center"/>
              <w:rPr>
                <w:rFonts w:hint="default" w:ascii="Times New Roman" w:hAnsi="Times New Roman" w:eastAsia="仿宋_GB2312" w:cs="Times New Roman"/>
                <w:color w:val="auto"/>
                <w:kern w:val="0"/>
                <w:szCs w:val="21"/>
                <w:highlight w:val="none"/>
              </w:rPr>
            </w:pPr>
          </w:p>
          <w:p w14:paraId="06CF030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14</w:t>
            </w:r>
          </w:p>
          <w:p w14:paraId="6546F46E">
            <w:pPr>
              <w:widowControl/>
              <w:spacing w:line="300" w:lineRule="exact"/>
              <w:jc w:val="center"/>
              <w:rPr>
                <w:rFonts w:hint="default" w:ascii="Times New Roman" w:hAnsi="Times New Roman" w:eastAsia="仿宋_GB2312" w:cs="Times New Roman"/>
                <w:color w:val="auto"/>
                <w:kern w:val="0"/>
                <w:szCs w:val="21"/>
                <w:highlight w:val="none"/>
              </w:rPr>
            </w:pPr>
          </w:p>
          <w:p w14:paraId="7673296F">
            <w:pPr>
              <w:widowControl/>
              <w:spacing w:line="300" w:lineRule="exact"/>
              <w:jc w:val="center"/>
              <w:rPr>
                <w:rFonts w:hint="default" w:ascii="Times New Roman" w:hAnsi="Times New Roman" w:eastAsia="仿宋_GB2312" w:cs="Times New Roman"/>
                <w:color w:val="auto"/>
                <w:kern w:val="0"/>
                <w:szCs w:val="21"/>
                <w:highlight w:val="none"/>
              </w:rPr>
            </w:pPr>
          </w:p>
          <w:p w14:paraId="110B16F4">
            <w:pPr>
              <w:widowControl/>
              <w:spacing w:line="300" w:lineRule="exact"/>
              <w:jc w:val="center"/>
              <w:rPr>
                <w:rFonts w:hint="default" w:ascii="Times New Roman" w:hAnsi="Times New Roman" w:eastAsia="仿宋_GB2312" w:cs="Times New Roman"/>
                <w:color w:val="auto"/>
                <w:kern w:val="0"/>
                <w:szCs w:val="21"/>
                <w:highlight w:val="none"/>
              </w:rPr>
            </w:pPr>
          </w:p>
          <w:p w14:paraId="228A49CE">
            <w:pPr>
              <w:widowControl/>
              <w:spacing w:line="300" w:lineRule="exact"/>
              <w:jc w:val="center"/>
              <w:rPr>
                <w:rFonts w:hint="default" w:ascii="Times New Roman" w:hAnsi="Times New Roman" w:eastAsia="仿宋_GB2312" w:cs="Times New Roman"/>
                <w:color w:val="auto"/>
                <w:kern w:val="0"/>
                <w:szCs w:val="21"/>
                <w:highlight w:val="none"/>
              </w:rPr>
            </w:pPr>
          </w:p>
          <w:p w14:paraId="79002654">
            <w:pPr>
              <w:widowControl/>
              <w:spacing w:line="300" w:lineRule="exact"/>
              <w:jc w:val="center"/>
              <w:rPr>
                <w:rFonts w:hint="default" w:ascii="Times New Roman" w:hAnsi="Times New Roman" w:eastAsia="仿宋_GB2312" w:cs="Times New Roman"/>
                <w:color w:val="auto"/>
                <w:kern w:val="0"/>
                <w:szCs w:val="21"/>
                <w:highlight w:val="none"/>
              </w:rPr>
            </w:pPr>
          </w:p>
          <w:p w14:paraId="3E43D319">
            <w:pPr>
              <w:widowControl/>
              <w:spacing w:line="300" w:lineRule="exact"/>
              <w:jc w:val="center"/>
              <w:rPr>
                <w:rFonts w:hint="default" w:ascii="Times New Roman" w:hAnsi="Times New Roman" w:eastAsia="仿宋_GB2312" w:cs="Times New Roman"/>
                <w:color w:val="auto"/>
                <w:kern w:val="0"/>
                <w:szCs w:val="21"/>
                <w:highlight w:val="none"/>
              </w:rPr>
            </w:pPr>
          </w:p>
          <w:p w14:paraId="7DDB126B">
            <w:pPr>
              <w:widowControl/>
              <w:spacing w:line="300" w:lineRule="exact"/>
              <w:jc w:val="center"/>
              <w:rPr>
                <w:rFonts w:hint="default" w:ascii="Times New Roman" w:hAnsi="Times New Roman" w:eastAsia="仿宋_GB2312" w:cs="Times New Roman"/>
                <w:color w:val="auto"/>
                <w:kern w:val="0"/>
                <w:szCs w:val="21"/>
                <w:highlight w:val="none"/>
              </w:rPr>
            </w:pPr>
          </w:p>
          <w:p w14:paraId="77C73503">
            <w:pPr>
              <w:widowControl/>
              <w:spacing w:line="300" w:lineRule="exact"/>
              <w:jc w:val="center"/>
              <w:rPr>
                <w:rFonts w:hint="default" w:ascii="Times New Roman" w:hAnsi="Times New Roman" w:eastAsia="仿宋_GB2312" w:cs="Times New Roman"/>
                <w:color w:val="auto"/>
                <w:kern w:val="0"/>
                <w:szCs w:val="21"/>
                <w:highlight w:val="none"/>
              </w:rPr>
            </w:pPr>
          </w:p>
          <w:p w14:paraId="608ED239">
            <w:pPr>
              <w:widowControl/>
              <w:spacing w:line="300" w:lineRule="exact"/>
              <w:jc w:val="center"/>
              <w:rPr>
                <w:rFonts w:hint="default" w:ascii="Times New Roman" w:hAnsi="Times New Roman" w:eastAsia="仿宋_GB2312" w:cs="Times New Roman"/>
                <w:color w:val="auto"/>
                <w:kern w:val="0"/>
                <w:szCs w:val="21"/>
                <w:highlight w:val="none"/>
              </w:rPr>
            </w:pPr>
          </w:p>
          <w:p w14:paraId="119BDC8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14</w:t>
            </w:r>
          </w:p>
        </w:tc>
        <w:tc>
          <w:tcPr>
            <w:tcW w:w="1107" w:type="dxa"/>
            <w:vMerge w:val="restart"/>
            <w:noWrap w:val="0"/>
            <w:vAlign w:val="center"/>
          </w:tcPr>
          <w:p w14:paraId="3BA9E72F">
            <w:pPr>
              <w:widowControl/>
              <w:spacing w:line="300" w:lineRule="exact"/>
              <w:jc w:val="center"/>
              <w:rPr>
                <w:rFonts w:hint="default" w:ascii="Times New Roman" w:hAnsi="Times New Roman" w:eastAsia="仿宋_GB2312" w:cs="Times New Roman"/>
                <w:color w:val="auto"/>
                <w:kern w:val="0"/>
                <w:szCs w:val="21"/>
                <w:highlight w:val="none"/>
              </w:rPr>
            </w:pPr>
          </w:p>
          <w:p w14:paraId="4BBDAC5D">
            <w:pPr>
              <w:widowControl/>
              <w:spacing w:line="300" w:lineRule="exact"/>
              <w:jc w:val="center"/>
              <w:rPr>
                <w:rFonts w:hint="default" w:ascii="Times New Roman" w:hAnsi="Times New Roman" w:eastAsia="仿宋_GB2312" w:cs="Times New Roman"/>
                <w:color w:val="auto"/>
                <w:kern w:val="0"/>
                <w:szCs w:val="21"/>
                <w:highlight w:val="none"/>
              </w:rPr>
            </w:pPr>
          </w:p>
          <w:p w14:paraId="499E11D3">
            <w:pPr>
              <w:widowControl/>
              <w:spacing w:line="300" w:lineRule="exact"/>
              <w:jc w:val="center"/>
              <w:rPr>
                <w:rFonts w:hint="default" w:ascii="Times New Roman" w:hAnsi="Times New Roman" w:eastAsia="仿宋_GB2312" w:cs="Times New Roman"/>
                <w:color w:val="auto"/>
                <w:kern w:val="0"/>
                <w:szCs w:val="21"/>
                <w:highlight w:val="none"/>
              </w:rPr>
            </w:pPr>
          </w:p>
          <w:p w14:paraId="44DE1F7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茶叶及相关制品</w:t>
            </w:r>
          </w:p>
          <w:p w14:paraId="5AC0181F">
            <w:pPr>
              <w:widowControl/>
              <w:spacing w:line="300" w:lineRule="exact"/>
              <w:jc w:val="center"/>
              <w:rPr>
                <w:rFonts w:hint="default" w:ascii="Times New Roman" w:hAnsi="Times New Roman" w:eastAsia="仿宋_GB2312" w:cs="Times New Roman"/>
                <w:color w:val="auto"/>
                <w:kern w:val="0"/>
                <w:szCs w:val="21"/>
                <w:highlight w:val="none"/>
              </w:rPr>
            </w:pPr>
          </w:p>
          <w:p w14:paraId="313A0C1C">
            <w:pPr>
              <w:widowControl/>
              <w:jc w:val="center"/>
              <w:rPr>
                <w:rFonts w:hint="default" w:ascii="Times New Roman" w:hAnsi="Times New Roman" w:eastAsia="仿宋_GB2312" w:cs="Times New Roman"/>
                <w:color w:val="auto"/>
                <w:kern w:val="0"/>
                <w:szCs w:val="21"/>
                <w:highlight w:val="none"/>
              </w:rPr>
            </w:pPr>
          </w:p>
          <w:p w14:paraId="66F1F6D7">
            <w:pPr>
              <w:widowControl/>
              <w:jc w:val="center"/>
              <w:rPr>
                <w:rFonts w:hint="default" w:ascii="Times New Roman" w:hAnsi="Times New Roman" w:eastAsia="仿宋_GB2312" w:cs="Times New Roman"/>
                <w:color w:val="auto"/>
                <w:kern w:val="0"/>
                <w:szCs w:val="21"/>
                <w:highlight w:val="none"/>
              </w:rPr>
            </w:pPr>
          </w:p>
          <w:p w14:paraId="21021F43">
            <w:pPr>
              <w:widowControl/>
              <w:jc w:val="center"/>
              <w:rPr>
                <w:rFonts w:hint="default" w:ascii="Times New Roman" w:hAnsi="Times New Roman" w:eastAsia="仿宋_GB2312" w:cs="Times New Roman"/>
                <w:color w:val="auto"/>
                <w:kern w:val="0"/>
                <w:szCs w:val="21"/>
                <w:highlight w:val="none"/>
              </w:rPr>
            </w:pPr>
          </w:p>
          <w:p w14:paraId="56B3B001">
            <w:pPr>
              <w:widowControl/>
              <w:jc w:val="center"/>
              <w:rPr>
                <w:rFonts w:hint="default" w:ascii="Times New Roman" w:hAnsi="Times New Roman" w:eastAsia="仿宋_GB2312" w:cs="Times New Roman"/>
                <w:color w:val="auto"/>
                <w:kern w:val="0"/>
                <w:szCs w:val="21"/>
                <w:highlight w:val="none"/>
              </w:rPr>
            </w:pPr>
          </w:p>
          <w:p w14:paraId="2A10CA61">
            <w:pPr>
              <w:widowControl/>
              <w:jc w:val="center"/>
              <w:rPr>
                <w:rFonts w:hint="default" w:ascii="Times New Roman" w:hAnsi="Times New Roman" w:eastAsia="仿宋_GB2312" w:cs="Times New Roman"/>
                <w:color w:val="auto"/>
                <w:kern w:val="0"/>
                <w:szCs w:val="21"/>
                <w:highlight w:val="none"/>
              </w:rPr>
            </w:pPr>
          </w:p>
          <w:p w14:paraId="32AE6D08">
            <w:pPr>
              <w:widowControl/>
              <w:jc w:val="center"/>
              <w:rPr>
                <w:rFonts w:hint="default" w:ascii="Times New Roman" w:hAnsi="Times New Roman" w:eastAsia="仿宋_GB2312" w:cs="Times New Roman"/>
                <w:color w:val="auto"/>
                <w:kern w:val="0"/>
                <w:szCs w:val="21"/>
                <w:highlight w:val="none"/>
              </w:rPr>
            </w:pPr>
          </w:p>
          <w:p w14:paraId="3DAA9BB7">
            <w:pPr>
              <w:widowControl/>
              <w:jc w:val="center"/>
              <w:rPr>
                <w:rFonts w:hint="default" w:ascii="Times New Roman" w:hAnsi="Times New Roman" w:eastAsia="仿宋_GB2312" w:cs="Times New Roman"/>
                <w:color w:val="auto"/>
                <w:kern w:val="0"/>
                <w:szCs w:val="21"/>
                <w:highlight w:val="none"/>
              </w:rPr>
            </w:pPr>
          </w:p>
          <w:p w14:paraId="36B3B95B">
            <w:pPr>
              <w:widowControl/>
              <w:jc w:val="center"/>
              <w:rPr>
                <w:rFonts w:hint="default" w:ascii="Times New Roman" w:hAnsi="Times New Roman" w:eastAsia="仿宋_GB2312" w:cs="Times New Roman"/>
                <w:color w:val="auto"/>
                <w:kern w:val="0"/>
                <w:szCs w:val="21"/>
                <w:highlight w:val="none"/>
              </w:rPr>
            </w:pPr>
          </w:p>
          <w:p w14:paraId="69BF69CC">
            <w:pPr>
              <w:widowControl/>
              <w:jc w:val="center"/>
              <w:rPr>
                <w:rFonts w:hint="default" w:ascii="Times New Roman" w:hAnsi="Times New Roman" w:eastAsia="仿宋_GB2312" w:cs="Times New Roman"/>
                <w:color w:val="auto"/>
                <w:kern w:val="0"/>
                <w:szCs w:val="21"/>
                <w:highlight w:val="none"/>
              </w:rPr>
            </w:pPr>
          </w:p>
          <w:p w14:paraId="1C7BB9A6">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茶叶及相关制品</w:t>
            </w:r>
          </w:p>
        </w:tc>
        <w:tc>
          <w:tcPr>
            <w:tcW w:w="1256" w:type="dxa"/>
            <w:noWrap w:val="0"/>
            <w:vAlign w:val="center"/>
          </w:tcPr>
          <w:p w14:paraId="3E51B21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茶叶</w:t>
            </w:r>
          </w:p>
        </w:tc>
        <w:tc>
          <w:tcPr>
            <w:tcW w:w="1144" w:type="dxa"/>
            <w:noWrap w:val="0"/>
            <w:vAlign w:val="center"/>
          </w:tcPr>
          <w:p w14:paraId="6E08B69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茶叶</w:t>
            </w:r>
          </w:p>
        </w:tc>
        <w:tc>
          <w:tcPr>
            <w:tcW w:w="1856" w:type="dxa"/>
            <w:noWrap w:val="0"/>
            <w:vAlign w:val="center"/>
          </w:tcPr>
          <w:p w14:paraId="780E787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绿茶、红茶、乌龙茶、黄茶、白茶、黑茶、花茶、袋泡茶、紧压茶</w:t>
            </w:r>
          </w:p>
        </w:tc>
        <w:tc>
          <w:tcPr>
            <w:tcW w:w="1106" w:type="dxa"/>
            <w:noWrap w:val="0"/>
            <w:vAlign w:val="center"/>
          </w:tcPr>
          <w:p w14:paraId="3792DE7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E618A5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草甘膦、吡虫啉、乙酰甲胺磷、联苯菊酯、灭多威、三氯杀螨醇、水胺硫磷、合成着色剂（柠檬黄、日落黄、胭脂红、亮蓝）、糖精钠、甜蜜素（以环己基氨基磺酸计）</w:t>
            </w:r>
          </w:p>
        </w:tc>
        <w:tc>
          <w:tcPr>
            <w:tcW w:w="3435" w:type="dxa"/>
            <w:noWrap w:val="0"/>
            <w:vAlign w:val="center"/>
          </w:tcPr>
          <w:p w14:paraId="497CDAA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铅（以Pb计）、啶虫脒</w:t>
            </w:r>
          </w:p>
        </w:tc>
      </w:tr>
      <w:tr w14:paraId="48F8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1BF1281C">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6DB477A">
            <w:pPr>
              <w:widowControl/>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09DD58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含茶制品和代用茶</w:t>
            </w:r>
          </w:p>
          <w:p w14:paraId="0FB5691D">
            <w:pPr>
              <w:widowControl/>
              <w:spacing w:line="300" w:lineRule="exact"/>
              <w:jc w:val="center"/>
              <w:rPr>
                <w:rFonts w:hint="default" w:ascii="Times New Roman" w:hAnsi="Times New Roman" w:eastAsia="仿宋_GB2312" w:cs="Times New Roman"/>
                <w:color w:val="auto"/>
                <w:kern w:val="0"/>
                <w:szCs w:val="21"/>
                <w:highlight w:val="none"/>
              </w:rPr>
            </w:pPr>
          </w:p>
          <w:p w14:paraId="6D2A4933">
            <w:pPr>
              <w:widowControl/>
              <w:spacing w:line="300" w:lineRule="exact"/>
              <w:jc w:val="center"/>
              <w:rPr>
                <w:rFonts w:hint="default" w:ascii="Times New Roman" w:hAnsi="Times New Roman" w:eastAsia="仿宋_GB2312" w:cs="Times New Roman"/>
                <w:color w:val="auto"/>
                <w:kern w:val="0"/>
                <w:szCs w:val="21"/>
                <w:highlight w:val="none"/>
              </w:rPr>
            </w:pPr>
          </w:p>
          <w:p w14:paraId="131FDBD7">
            <w:pPr>
              <w:widowControl/>
              <w:spacing w:line="300" w:lineRule="exact"/>
              <w:jc w:val="center"/>
              <w:rPr>
                <w:rFonts w:hint="default" w:ascii="Times New Roman" w:hAnsi="Times New Roman" w:eastAsia="仿宋_GB2312" w:cs="Times New Roman"/>
                <w:color w:val="auto"/>
                <w:kern w:val="0"/>
                <w:szCs w:val="21"/>
                <w:highlight w:val="none"/>
              </w:rPr>
            </w:pPr>
          </w:p>
          <w:p w14:paraId="04434A6D">
            <w:pPr>
              <w:widowControl/>
              <w:spacing w:line="300" w:lineRule="exact"/>
              <w:jc w:val="center"/>
              <w:rPr>
                <w:rFonts w:hint="default" w:ascii="Times New Roman" w:hAnsi="Times New Roman" w:eastAsia="仿宋_GB2312" w:cs="Times New Roman"/>
                <w:color w:val="auto"/>
                <w:kern w:val="0"/>
                <w:szCs w:val="21"/>
                <w:highlight w:val="none"/>
              </w:rPr>
            </w:pPr>
          </w:p>
          <w:p w14:paraId="2A13FAD0">
            <w:pPr>
              <w:widowControl/>
              <w:spacing w:line="300" w:lineRule="exact"/>
              <w:jc w:val="center"/>
              <w:rPr>
                <w:rFonts w:hint="default" w:ascii="Times New Roman" w:hAnsi="Times New Roman" w:eastAsia="仿宋_GB2312" w:cs="Times New Roman"/>
                <w:color w:val="auto"/>
                <w:kern w:val="0"/>
                <w:szCs w:val="21"/>
                <w:highlight w:val="none"/>
              </w:rPr>
            </w:pPr>
          </w:p>
          <w:p w14:paraId="44CDA8C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含茶制品和代用茶</w:t>
            </w:r>
          </w:p>
        </w:tc>
        <w:tc>
          <w:tcPr>
            <w:tcW w:w="1144" w:type="dxa"/>
            <w:noWrap w:val="0"/>
            <w:vAlign w:val="center"/>
          </w:tcPr>
          <w:p w14:paraId="3DF4764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含茶制品</w:t>
            </w:r>
          </w:p>
        </w:tc>
        <w:tc>
          <w:tcPr>
            <w:tcW w:w="1856" w:type="dxa"/>
            <w:noWrap w:val="0"/>
            <w:vAlign w:val="center"/>
          </w:tcPr>
          <w:p w14:paraId="4B25AC9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速溶茶类、</w:t>
            </w:r>
            <w:r>
              <w:rPr>
                <w:rFonts w:hint="eastAsia" w:ascii="Times New Roman" w:hAnsi="Times New Roman" w:eastAsia="仿宋_GB2312" w:cs="Times New Roman"/>
                <w:color w:val="auto"/>
                <w:kern w:val="0"/>
                <w:szCs w:val="21"/>
                <w:highlight w:val="none"/>
                <w:lang w:eastAsia="zh-CN"/>
              </w:rPr>
              <w:t>其他</w:t>
            </w:r>
            <w:r>
              <w:rPr>
                <w:rFonts w:hint="default" w:ascii="Times New Roman" w:hAnsi="Times New Roman" w:eastAsia="仿宋_GB2312" w:cs="Times New Roman"/>
                <w:color w:val="auto"/>
                <w:kern w:val="0"/>
                <w:szCs w:val="21"/>
                <w:highlight w:val="none"/>
              </w:rPr>
              <w:t>含茶制品</w:t>
            </w:r>
          </w:p>
        </w:tc>
        <w:tc>
          <w:tcPr>
            <w:tcW w:w="1106" w:type="dxa"/>
            <w:noWrap w:val="0"/>
            <w:vAlign w:val="center"/>
          </w:tcPr>
          <w:p w14:paraId="36E5A9E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E95AD4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铅（以Pb计）、菌落总数、霉菌、霉菌及酵母、合成着色剂（柠檬黄、日落黄、胭脂红、亮蓝）</w:t>
            </w:r>
          </w:p>
        </w:tc>
        <w:tc>
          <w:tcPr>
            <w:tcW w:w="3435" w:type="dxa"/>
            <w:noWrap w:val="0"/>
            <w:vAlign w:val="center"/>
          </w:tcPr>
          <w:p w14:paraId="77B3EF2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糖精钠、甜蜜素（以环己基氨基磺 </w:t>
            </w:r>
          </w:p>
          <w:p w14:paraId="5CE1565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酸计）</w:t>
            </w:r>
          </w:p>
        </w:tc>
      </w:tr>
      <w:tr w14:paraId="6C79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6F60392">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2BE09F5">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A1C397E">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462BB85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代用茶</w:t>
            </w:r>
          </w:p>
        </w:tc>
        <w:tc>
          <w:tcPr>
            <w:tcW w:w="1856" w:type="dxa"/>
            <w:noWrap w:val="0"/>
            <w:vAlign w:val="center"/>
          </w:tcPr>
          <w:p w14:paraId="5362C85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枸杞（干）</w:t>
            </w:r>
          </w:p>
        </w:tc>
        <w:tc>
          <w:tcPr>
            <w:tcW w:w="1106" w:type="dxa"/>
            <w:noWrap w:val="0"/>
            <w:vAlign w:val="center"/>
          </w:tcPr>
          <w:p w14:paraId="6A7312F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6521D0D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铅（以Pb计）、二氧化硫残留量、克百威、啶虫脒、氯氟氰菊酯和高效氯氟氰菊酯、三唑磷、霉菌</w:t>
            </w:r>
          </w:p>
        </w:tc>
        <w:tc>
          <w:tcPr>
            <w:tcW w:w="3435" w:type="dxa"/>
            <w:noWrap w:val="0"/>
            <w:vAlign w:val="center"/>
          </w:tcPr>
          <w:p w14:paraId="4DDCD0E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毒死蜱、吡虫啉</w:t>
            </w:r>
          </w:p>
        </w:tc>
      </w:tr>
      <w:tr w14:paraId="104B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A027CB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725714C">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F67DED1">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EDC535D">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5F23EA6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菊花（干）</w:t>
            </w:r>
          </w:p>
        </w:tc>
        <w:tc>
          <w:tcPr>
            <w:tcW w:w="1106" w:type="dxa"/>
            <w:noWrap w:val="0"/>
            <w:vAlign w:val="center"/>
          </w:tcPr>
          <w:p w14:paraId="3B054DE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F98EC0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铅（以Pb计）、二氧化硫残留量、克百威、氯氟氰菊酯和高效氯氟氰菊酯、三唑磷、霉菌</w:t>
            </w:r>
          </w:p>
        </w:tc>
        <w:tc>
          <w:tcPr>
            <w:tcW w:w="3435" w:type="dxa"/>
            <w:noWrap w:val="0"/>
            <w:vAlign w:val="center"/>
          </w:tcPr>
          <w:p w14:paraId="6C74195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毒死蜱、吡虫啉</w:t>
            </w:r>
          </w:p>
        </w:tc>
      </w:tr>
      <w:tr w14:paraId="5739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2E148CB">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88FD1DA">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11B2DB6">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130EE8F">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6DE5B88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金银花（干）</w:t>
            </w:r>
          </w:p>
        </w:tc>
        <w:tc>
          <w:tcPr>
            <w:tcW w:w="1106" w:type="dxa"/>
            <w:noWrap w:val="0"/>
            <w:vAlign w:val="center"/>
          </w:tcPr>
          <w:p w14:paraId="1353530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165E04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铅（以Pb计）、二氧化硫残留量、克百威、啶虫脒、氯氟氰菊酯和高效氯氟氰菊酯、三唑磷、 霉菌</w:t>
            </w:r>
          </w:p>
        </w:tc>
        <w:tc>
          <w:tcPr>
            <w:tcW w:w="3435" w:type="dxa"/>
            <w:noWrap w:val="0"/>
            <w:vAlign w:val="center"/>
          </w:tcPr>
          <w:p w14:paraId="1E8090B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毒死蜱、吡虫啉</w:t>
            </w:r>
          </w:p>
        </w:tc>
      </w:tr>
      <w:tr w14:paraId="1781F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3A0E95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16EB77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48DBB54">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2713012">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0D408A2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苦丁茶</w:t>
            </w:r>
          </w:p>
        </w:tc>
        <w:tc>
          <w:tcPr>
            <w:tcW w:w="1106" w:type="dxa"/>
            <w:noWrap w:val="0"/>
            <w:vAlign w:val="center"/>
          </w:tcPr>
          <w:p w14:paraId="79A9EAE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50BF08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铅（以Pb计）、二氧化硫残留量、克百威、啶虫脒、氯氟氰菊酯和高效氯氟氰菊酯、三唑磷、霉菌</w:t>
            </w:r>
          </w:p>
        </w:tc>
        <w:tc>
          <w:tcPr>
            <w:tcW w:w="3435" w:type="dxa"/>
            <w:noWrap w:val="0"/>
            <w:vAlign w:val="center"/>
          </w:tcPr>
          <w:p w14:paraId="73A2CB0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毒死蜱、吡虫啉</w:t>
            </w:r>
          </w:p>
        </w:tc>
      </w:tr>
      <w:tr w14:paraId="212C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C70DF1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350B2C1">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A3F0336">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139A0B7">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27B59E34">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其他</w:t>
            </w:r>
            <w:r>
              <w:rPr>
                <w:rFonts w:hint="default" w:ascii="Times New Roman" w:hAnsi="Times New Roman" w:eastAsia="仿宋_GB2312" w:cs="Times New Roman"/>
                <w:color w:val="auto"/>
                <w:kern w:val="0"/>
                <w:szCs w:val="21"/>
                <w:highlight w:val="none"/>
              </w:rPr>
              <w:t>代用茶</w:t>
            </w:r>
          </w:p>
        </w:tc>
        <w:tc>
          <w:tcPr>
            <w:tcW w:w="1106" w:type="dxa"/>
            <w:noWrap w:val="0"/>
            <w:vAlign w:val="center"/>
          </w:tcPr>
          <w:p w14:paraId="0644D00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3D05E6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铅（以Pb计）、二氧化硫残留量、克百威、啶虫脒、氯氟氰菊酯和高效氯氟氰菊酯、三唑磷、霉菌</w:t>
            </w:r>
          </w:p>
        </w:tc>
        <w:tc>
          <w:tcPr>
            <w:tcW w:w="3435" w:type="dxa"/>
            <w:noWrap w:val="0"/>
            <w:vAlign w:val="center"/>
          </w:tcPr>
          <w:p w14:paraId="1EEF2C7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毒死蜱、吡虫啉</w:t>
            </w:r>
          </w:p>
        </w:tc>
      </w:tr>
      <w:tr w14:paraId="3337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720" w:type="dxa"/>
            <w:vMerge w:val="restart"/>
            <w:noWrap w:val="0"/>
            <w:vAlign w:val="center"/>
          </w:tcPr>
          <w:p w14:paraId="07F6EE87">
            <w:pPr>
              <w:widowControl/>
              <w:spacing w:line="300" w:lineRule="exact"/>
              <w:jc w:val="center"/>
              <w:rPr>
                <w:rFonts w:hint="default" w:ascii="Times New Roman" w:hAnsi="Times New Roman" w:eastAsia="仿宋_GB2312" w:cs="Times New Roman"/>
                <w:color w:val="auto"/>
                <w:kern w:val="0"/>
                <w:szCs w:val="21"/>
                <w:highlight w:val="none"/>
              </w:rPr>
            </w:pPr>
          </w:p>
          <w:p w14:paraId="6DF0A6E2">
            <w:pPr>
              <w:widowControl/>
              <w:spacing w:line="300" w:lineRule="exact"/>
              <w:jc w:val="center"/>
              <w:rPr>
                <w:rFonts w:hint="default" w:ascii="Times New Roman" w:hAnsi="Times New Roman" w:eastAsia="仿宋_GB2312" w:cs="Times New Roman"/>
                <w:color w:val="auto"/>
                <w:kern w:val="0"/>
                <w:szCs w:val="21"/>
                <w:highlight w:val="none"/>
              </w:rPr>
            </w:pPr>
          </w:p>
          <w:p w14:paraId="771C12FF">
            <w:pPr>
              <w:widowControl/>
              <w:spacing w:line="300" w:lineRule="exact"/>
              <w:jc w:val="center"/>
              <w:rPr>
                <w:rFonts w:hint="default" w:ascii="Times New Roman" w:hAnsi="Times New Roman" w:eastAsia="仿宋_GB2312" w:cs="Times New Roman"/>
                <w:color w:val="auto"/>
                <w:kern w:val="0"/>
                <w:szCs w:val="21"/>
                <w:highlight w:val="none"/>
              </w:rPr>
            </w:pPr>
          </w:p>
          <w:p w14:paraId="2A905774">
            <w:pPr>
              <w:widowControl/>
              <w:spacing w:line="300" w:lineRule="exact"/>
              <w:jc w:val="center"/>
              <w:rPr>
                <w:rFonts w:hint="default" w:ascii="Times New Roman" w:hAnsi="Times New Roman" w:eastAsia="仿宋_GB2312" w:cs="Times New Roman"/>
                <w:color w:val="auto"/>
                <w:kern w:val="0"/>
                <w:szCs w:val="21"/>
                <w:highlight w:val="none"/>
              </w:rPr>
            </w:pPr>
          </w:p>
          <w:p w14:paraId="4F3E93A1">
            <w:pPr>
              <w:widowControl/>
              <w:spacing w:line="300" w:lineRule="exact"/>
              <w:jc w:val="center"/>
              <w:rPr>
                <w:rFonts w:hint="default" w:ascii="Times New Roman" w:hAnsi="Times New Roman" w:eastAsia="仿宋_GB2312" w:cs="Times New Roman"/>
                <w:color w:val="auto"/>
                <w:kern w:val="0"/>
                <w:szCs w:val="21"/>
                <w:highlight w:val="none"/>
              </w:rPr>
            </w:pPr>
          </w:p>
          <w:p w14:paraId="306119A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p w14:paraId="3F60316E">
            <w:pPr>
              <w:widowControl/>
              <w:spacing w:line="300" w:lineRule="exact"/>
              <w:jc w:val="center"/>
              <w:rPr>
                <w:rFonts w:hint="default" w:ascii="Times New Roman" w:hAnsi="Times New Roman" w:eastAsia="仿宋_GB2312" w:cs="Times New Roman"/>
                <w:color w:val="auto"/>
                <w:kern w:val="0"/>
                <w:szCs w:val="21"/>
                <w:highlight w:val="none"/>
              </w:rPr>
            </w:pPr>
          </w:p>
          <w:p w14:paraId="6E88A103">
            <w:pPr>
              <w:widowControl/>
              <w:spacing w:line="300" w:lineRule="exact"/>
              <w:jc w:val="center"/>
              <w:rPr>
                <w:rFonts w:hint="default" w:ascii="Times New Roman" w:hAnsi="Times New Roman" w:eastAsia="仿宋_GB2312" w:cs="Times New Roman"/>
                <w:color w:val="auto"/>
                <w:kern w:val="0"/>
                <w:szCs w:val="21"/>
                <w:highlight w:val="none"/>
              </w:rPr>
            </w:pPr>
          </w:p>
          <w:p w14:paraId="7E723977">
            <w:pPr>
              <w:widowControl/>
              <w:spacing w:line="300" w:lineRule="exact"/>
              <w:jc w:val="center"/>
              <w:rPr>
                <w:rFonts w:hint="default" w:ascii="Times New Roman" w:hAnsi="Times New Roman" w:eastAsia="仿宋_GB2312" w:cs="Times New Roman"/>
                <w:color w:val="auto"/>
                <w:kern w:val="0"/>
                <w:szCs w:val="21"/>
                <w:highlight w:val="none"/>
              </w:rPr>
            </w:pPr>
          </w:p>
          <w:p w14:paraId="5E039563">
            <w:pPr>
              <w:widowControl/>
              <w:spacing w:line="300" w:lineRule="exact"/>
              <w:jc w:val="center"/>
              <w:rPr>
                <w:rFonts w:hint="default" w:ascii="Times New Roman" w:hAnsi="Times New Roman" w:eastAsia="仿宋_GB2312" w:cs="Times New Roman"/>
                <w:color w:val="auto"/>
                <w:kern w:val="0"/>
                <w:szCs w:val="21"/>
                <w:highlight w:val="none"/>
              </w:rPr>
            </w:pPr>
          </w:p>
          <w:p w14:paraId="64194473">
            <w:pPr>
              <w:widowControl/>
              <w:spacing w:line="300" w:lineRule="exact"/>
              <w:jc w:val="center"/>
              <w:rPr>
                <w:rFonts w:hint="default" w:ascii="Times New Roman" w:hAnsi="Times New Roman" w:eastAsia="仿宋_GB2312" w:cs="Times New Roman"/>
                <w:color w:val="auto"/>
                <w:kern w:val="0"/>
                <w:szCs w:val="21"/>
                <w:highlight w:val="none"/>
              </w:rPr>
            </w:pPr>
          </w:p>
          <w:p w14:paraId="54E8FB73">
            <w:pPr>
              <w:widowControl/>
              <w:spacing w:line="300" w:lineRule="exact"/>
              <w:jc w:val="center"/>
              <w:rPr>
                <w:rFonts w:hint="default" w:ascii="Times New Roman" w:hAnsi="Times New Roman" w:eastAsia="仿宋_GB2312" w:cs="Times New Roman"/>
                <w:color w:val="auto"/>
                <w:kern w:val="0"/>
                <w:szCs w:val="21"/>
                <w:highlight w:val="none"/>
              </w:rPr>
            </w:pPr>
          </w:p>
          <w:p w14:paraId="66089261">
            <w:pPr>
              <w:widowControl/>
              <w:spacing w:line="300" w:lineRule="exact"/>
              <w:jc w:val="center"/>
              <w:rPr>
                <w:rFonts w:hint="default" w:ascii="Times New Roman" w:hAnsi="Times New Roman" w:eastAsia="仿宋_GB2312" w:cs="Times New Roman"/>
                <w:color w:val="auto"/>
                <w:kern w:val="0"/>
                <w:szCs w:val="21"/>
                <w:highlight w:val="none"/>
              </w:rPr>
            </w:pPr>
          </w:p>
          <w:p w14:paraId="7D43A0CA">
            <w:pPr>
              <w:widowControl/>
              <w:spacing w:line="300" w:lineRule="exact"/>
              <w:jc w:val="center"/>
              <w:rPr>
                <w:rFonts w:hint="default" w:ascii="Times New Roman" w:hAnsi="Times New Roman" w:eastAsia="仿宋_GB2312" w:cs="Times New Roman"/>
                <w:color w:val="auto"/>
                <w:kern w:val="0"/>
                <w:szCs w:val="21"/>
                <w:highlight w:val="none"/>
              </w:rPr>
            </w:pPr>
          </w:p>
          <w:p w14:paraId="6FAAF3AB">
            <w:pPr>
              <w:widowControl/>
              <w:spacing w:line="300" w:lineRule="exact"/>
              <w:jc w:val="center"/>
              <w:rPr>
                <w:rFonts w:hint="default" w:ascii="Times New Roman" w:hAnsi="Times New Roman" w:eastAsia="仿宋_GB2312" w:cs="Times New Roman"/>
                <w:color w:val="auto"/>
                <w:kern w:val="0"/>
                <w:szCs w:val="21"/>
                <w:highlight w:val="none"/>
              </w:rPr>
            </w:pPr>
          </w:p>
          <w:p w14:paraId="0B8B01D1">
            <w:pPr>
              <w:widowControl/>
              <w:spacing w:line="300" w:lineRule="exact"/>
              <w:jc w:val="center"/>
              <w:rPr>
                <w:rFonts w:hint="default" w:ascii="Times New Roman" w:hAnsi="Times New Roman" w:eastAsia="仿宋_GB2312" w:cs="Times New Roman"/>
                <w:color w:val="auto"/>
                <w:kern w:val="0"/>
                <w:szCs w:val="21"/>
                <w:highlight w:val="none"/>
              </w:rPr>
            </w:pPr>
          </w:p>
          <w:p w14:paraId="6E668656">
            <w:pPr>
              <w:widowControl/>
              <w:spacing w:line="300" w:lineRule="exact"/>
              <w:jc w:val="center"/>
              <w:rPr>
                <w:rFonts w:hint="default" w:ascii="Times New Roman" w:hAnsi="Times New Roman" w:eastAsia="仿宋_GB2312" w:cs="Times New Roman"/>
                <w:color w:val="auto"/>
                <w:kern w:val="0"/>
                <w:szCs w:val="21"/>
                <w:highlight w:val="none"/>
              </w:rPr>
            </w:pPr>
          </w:p>
          <w:p w14:paraId="6E99B0C6">
            <w:pPr>
              <w:widowControl/>
              <w:spacing w:line="300" w:lineRule="exact"/>
              <w:jc w:val="center"/>
              <w:rPr>
                <w:rFonts w:hint="default" w:ascii="Times New Roman" w:hAnsi="Times New Roman" w:eastAsia="仿宋_GB2312" w:cs="Times New Roman"/>
                <w:color w:val="auto"/>
                <w:kern w:val="0"/>
                <w:szCs w:val="21"/>
                <w:highlight w:val="none"/>
              </w:rPr>
            </w:pPr>
          </w:p>
          <w:p w14:paraId="3F284269">
            <w:pPr>
              <w:widowControl/>
              <w:spacing w:line="300" w:lineRule="exact"/>
              <w:jc w:val="center"/>
              <w:rPr>
                <w:rFonts w:hint="default" w:ascii="Times New Roman" w:hAnsi="Times New Roman" w:eastAsia="仿宋_GB2312" w:cs="Times New Roman"/>
                <w:color w:val="auto"/>
                <w:kern w:val="0"/>
                <w:szCs w:val="21"/>
                <w:highlight w:val="none"/>
              </w:rPr>
            </w:pPr>
          </w:p>
          <w:p w14:paraId="797D907A">
            <w:pPr>
              <w:widowControl/>
              <w:spacing w:line="300" w:lineRule="exact"/>
              <w:jc w:val="center"/>
              <w:rPr>
                <w:rFonts w:hint="default" w:ascii="Times New Roman" w:hAnsi="Times New Roman" w:eastAsia="仿宋_GB2312" w:cs="Times New Roman"/>
                <w:color w:val="auto"/>
                <w:kern w:val="0"/>
                <w:szCs w:val="21"/>
                <w:highlight w:val="none"/>
              </w:rPr>
            </w:pPr>
          </w:p>
          <w:p w14:paraId="0DCCF391">
            <w:pPr>
              <w:widowControl/>
              <w:spacing w:line="300" w:lineRule="exact"/>
              <w:jc w:val="center"/>
              <w:rPr>
                <w:rFonts w:hint="default" w:ascii="Times New Roman" w:hAnsi="Times New Roman" w:eastAsia="仿宋_GB2312" w:cs="Times New Roman"/>
                <w:color w:val="auto"/>
                <w:kern w:val="0"/>
                <w:szCs w:val="21"/>
                <w:highlight w:val="none"/>
              </w:rPr>
            </w:pPr>
          </w:p>
          <w:p w14:paraId="18F93F8B">
            <w:pPr>
              <w:widowControl/>
              <w:spacing w:line="300" w:lineRule="exact"/>
              <w:jc w:val="center"/>
              <w:rPr>
                <w:rFonts w:hint="default" w:ascii="Times New Roman" w:hAnsi="Times New Roman" w:eastAsia="仿宋_GB2312" w:cs="Times New Roman"/>
                <w:color w:val="auto"/>
                <w:kern w:val="0"/>
                <w:szCs w:val="21"/>
                <w:highlight w:val="none"/>
              </w:rPr>
            </w:pPr>
          </w:p>
          <w:p w14:paraId="6A07BCF0">
            <w:pPr>
              <w:widowControl/>
              <w:spacing w:line="300" w:lineRule="exact"/>
              <w:jc w:val="center"/>
              <w:rPr>
                <w:rFonts w:hint="default" w:ascii="Times New Roman" w:hAnsi="Times New Roman" w:eastAsia="仿宋_GB2312" w:cs="Times New Roman"/>
                <w:color w:val="auto"/>
                <w:kern w:val="0"/>
                <w:szCs w:val="21"/>
                <w:highlight w:val="none"/>
              </w:rPr>
            </w:pPr>
          </w:p>
          <w:p w14:paraId="0BB0511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15</w:t>
            </w:r>
          </w:p>
          <w:p w14:paraId="05CB37FE">
            <w:pPr>
              <w:widowControl/>
              <w:spacing w:line="300" w:lineRule="exact"/>
              <w:jc w:val="center"/>
              <w:rPr>
                <w:rFonts w:hint="default" w:ascii="Times New Roman" w:hAnsi="Times New Roman" w:eastAsia="仿宋_GB2312" w:cs="Times New Roman"/>
                <w:color w:val="auto"/>
                <w:kern w:val="0"/>
                <w:szCs w:val="21"/>
                <w:highlight w:val="none"/>
              </w:rPr>
            </w:pPr>
          </w:p>
          <w:p w14:paraId="7813E3FE">
            <w:pPr>
              <w:widowControl/>
              <w:spacing w:line="300" w:lineRule="exact"/>
              <w:jc w:val="center"/>
              <w:rPr>
                <w:rFonts w:hint="default" w:ascii="Times New Roman" w:hAnsi="Times New Roman" w:eastAsia="仿宋_GB2312" w:cs="Times New Roman"/>
                <w:color w:val="auto"/>
                <w:kern w:val="0"/>
                <w:szCs w:val="21"/>
                <w:highlight w:val="none"/>
              </w:rPr>
            </w:pPr>
          </w:p>
          <w:p w14:paraId="7F903244">
            <w:pPr>
              <w:widowControl/>
              <w:spacing w:line="300" w:lineRule="exact"/>
              <w:jc w:val="center"/>
              <w:rPr>
                <w:rFonts w:hint="default" w:ascii="Times New Roman" w:hAnsi="Times New Roman" w:eastAsia="仿宋_GB2312" w:cs="Times New Roman"/>
                <w:color w:val="auto"/>
                <w:kern w:val="0"/>
                <w:szCs w:val="21"/>
                <w:highlight w:val="none"/>
              </w:rPr>
            </w:pPr>
          </w:p>
          <w:p w14:paraId="7ADC41DE">
            <w:pPr>
              <w:widowControl/>
              <w:spacing w:line="300" w:lineRule="exact"/>
              <w:jc w:val="center"/>
              <w:rPr>
                <w:rFonts w:hint="default" w:ascii="Times New Roman" w:hAnsi="Times New Roman" w:eastAsia="仿宋_GB2312" w:cs="Times New Roman"/>
                <w:color w:val="auto"/>
                <w:kern w:val="0"/>
                <w:szCs w:val="21"/>
                <w:highlight w:val="none"/>
              </w:rPr>
            </w:pPr>
          </w:p>
          <w:p w14:paraId="17B879D1">
            <w:pPr>
              <w:widowControl/>
              <w:spacing w:line="300" w:lineRule="exact"/>
              <w:jc w:val="center"/>
              <w:rPr>
                <w:rFonts w:hint="default" w:ascii="Times New Roman" w:hAnsi="Times New Roman" w:eastAsia="仿宋_GB2312" w:cs="Times New Roman"/>
                <w:color w:val="auto"/>
                <w:kern w:val="0"/>
                <w:szCs w:val="21"/>
                <w:highlight w:val="none"/>
              </w:rPr>
            </w:pPr>
          </w:p>
          <w:p w14:paraId="402192C4">
            <w:pPr>
              <w:widowControl/>
              <w:spacing w:line="300" w:lineRule="exact"/>
              <w:jc w:val="center"/>
              <w:rPr>
                <w:rFonts w:hint="default" w:ascii="Times New Roman" w:hAnsi="Times New Roman" w:eastAsia="仿宋_GB2312" w:cs="Times New Roman"/>
                <w:color w:val="auto"/>
                <w:kern w:val="0"/>
                <w:szCs w:val="21"/>
                <w:highlight w:val="none"/>
              </w:rPr>
            </w:pPr>
          </w:p>
          <w:p w14:paraId="1F5790EC">
            <w:pPr>
              <w:widowControl/>
              <w:spacing w:line="300" w:lineRule="exact"/>
              <w:jc w:val="center"/>
              <w:rPr>
                <w:rFonts w:hint="default" w:ascii="Times New Roman" w:hAnsi="Times New Roman" w:eastAsia="仿宋_GB2312" w:cs="Times New Roman"/>
                <w:color w:val="auto"/>
                <w:kern w:val="0"/>
                <w:szCs w:val="21"/>
                <w:highlight w:val="none"/>
              </w:rPr>
            </w:pPr>
          </w:p>
          <w:p w14:paraId="284EB5AF">
            <w:pPr>
              <w:widowControl/>
              <w:spacing w:line="300" w:lineRule="exact"/>
              <w:jc w:val="center"/>
              <w:rPr>
                <w:rFonts w:hint="default" w:ascii="Times New Roman" w:hAnsi="Times New Roman" w:eastAsia="仿宋_GB2312" w:cs="Times New Roman"/>
                <w:color w:val="auto"/>
                <w:kern w:val="0"/>
                <w:szCs w:val="21"/>
                <w:highlight w:val="none"/>
              </w:rPr>
            </w:pPr>
          </w:p>
          <w:p w14:paraId="557B28B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731C2A19">
            <w:pPr>
              <w:widowControl/>
              <w:spacing w:line="300" w:lineRule="exact"/>
              <w:jc w:val="center"/>
              <w:rPr>
                <w:rFonts w:hint="default" w:ascii="Times New Roman" w:hAnsi="Times New Roman" w:eastAsia="仿宋_GB2312" w:cs="Times New Roman"/>
                <w:color w:val="auto"/>
                <w:kern w:val="0"/>
                <w:szCs w:val="21"/>
                <w:highlight w:val="none"/>
              </w:rPr>
            </w:pPr>
          </w:p>
          <w:p w14:paraId="039A79A2">
            <w:pPr>
              <w:widowControl/>
              <w:spacing w:line="300" w:lineRule="exact"/>
              <w:jc w:val="center"/>
              <w:rPr>
                <w:rFonts w:hint="default" w:ascii="Times New Roman" w:hAnsi="Times New Roman" w:eastAsia="仿宋_GB2312" w:cs="Times New Roman"/>
                <w:color w:val="auto"/>
                <w:kern w:val="0"/>
                <w:szCs w:val="21"/>
                <w:highlight w:val="none"/>
              </w:rPr>
            </w:pPr>
          </w:p>
          <w:p w14:paraId="39AD5073">
            <w:pPr>
              <w:widowControl/>
              <w:spacing w:line="300" w:lineRule="exact"/>
              <w:jc w:val="center"/>
              <w:rPr>
                <w:rFonts w:hint="default" w:ascii="Times New Roman" w:hAnsi="Times New Roman" w:eastAsia="仿宋_GB2312" w:cs="Times New Roman"/>
                <w:color w:val="auto"/>
                <w:kern w:val="0"/>
                <w:szCs w:val="21"/>
                <w:highlight w:val="none"/>
              </w:rPr>
            </w:pPr>
          </w:p>
          <w:p w14:paraId="1EF28FAD">
            <w:pPr>
              <w:widowControl/>
              <w:spacing w:line="300" w:lineRule="exact"/>
              <w:jc w:val="center"/>
              <w:rPr>
                <w:rFonts w:hint="default" w:ascii="Times New Roman" w:hAnsi="Times New Roman" w:eastAsia="仿宋_GB2312" w:cs="Times New Roman"/>
                <w:color w:val="auto"/>
                <w:kern w:val="0"/>
                <w:szCs w:val="21"/>
                <w:highlight w:val="none"/>
              </w:rPr>
            </w:pPr>
          </w:p>
          <w:p w14:paraId="3C6F38A9">
            <w:pPr>
              <w:widowControl/>
              <w:spacing w:line="300" w:lineRule="exact"/>
              <w:jc w:val="center"/>
              <w:rPr>
                <w:rFonts w:hint="default" w:ascii="Times New Roman" w:hAnsi="Times New Roman" w:eastAsia="仿宋_GB2312" w:cs="Times New Roman"/>
                <w:color w:val="auto"/>
                <w:kern w:val="0"/>
                <w:szCs w:val="21"/>
                <w:highlight w:val="none"/>
              </w:rPr>
            </w:pPr>
          </w:p>
          <w:p w14:paraId="055A0EE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酒类</w:t>
            </w:r>
          </w:p>
          <w:p w14:paraId="55975B5E">
            <w:pPr>
              <w:widowControl/>
              <w:spacing w:line="300" w:lineRule="exact"/>
              <w:jc w:val="center"/>
              <w:rPr>
                <w:rFonts w:hint="default" w:ascii="Times New Roman" w:hAnsi="Times New Roman" w:eastAsia="仿宋_GB2312" w:cs="Times New Roman"/>
                <w:color w:val="auto"/>
                <w:kern w:val="0"/>
                <w:szCs w:val="21"/>
                <w:highlight w:val="none"/>
              </w:rPr>
            </w:pPr>
          </w:p>
          <w:p w14:paraId="7A50A945">
            <w:pPr>
              <w:widowControl/>
              <w:spacing w:line="300" w:lineRule="exact"/>
              <w:jc w:val="center"/>
              <w:rPr>
                <w:rFonts w:hint="default" w:ascii="Times New Roman" w:hAnsi="Times New Roman" w:eastAsia="仿宋_GB2312" w:cs="Times New Roman"/>
                <w:color w:val="auto"/>
                <w:kern w:val="0"/>
                <w:szCs w:val="21"/>
                <w:highlight w:val="none"/>
              </w:rPr>
            </w:pPr>
          </w:p>
          <w:p w14:paraId="68B0DCD1">
            <w:pPr>
              <w:widowControl/>
              <w:spacing w:line="300" w:lineRule="exact"/>
              <w:jc w:val="center"/>
              <w:rPr>
                <w:rFonts w:hint="default" w:ascii="Times New Roman" w:hAnsi="Times New Roman" w:eastAsia="仿宋_GB2312" w:cs="Times New Roman"/>
                <w:color w:val="auto"/>
                <w:kern w:val="0"/>
                <w:szCs w:val="21"/>
                <w:highlight w:val="none"/>
              </w:rPr>
            </w:pPr>
          </w:p>
          <w:p w14:paraId="72816C58">
            <w:pPr>
              <w:widowControl/>
              <w:spacing w:line="300" w:lineRule="exact"/>
              <w:jc w:val="center"/>
              <w:rPr>
                <w:rFonts w:hint="default" w:ascii="Times New Roman" w:hAnsi="Times New Roman" w:eastAsia="仿宋_GB2312" w:cs="Times New Roman"/>
                <w:color w:val="auto"/>
                <w:kern w:val="0"/>
                <w:szCs w:val="21"/>
                <w:highlight w:val="none"/>
              </w:rPr>
            </w:pPr>
          </w:p>
          <w:p w14:paraId="27832F6E">
            <w:pPr>
              <w:widowControl/>
              <w:spacing w:line="300" w:lineRule="exact"/>
              <w:jc w:val="center"/>
              <w:rPr>
                <w:rFonts w:hint="default" w:ascii="Times New Roman" w:hAnsi="Times New Roman" w:eastAsia="仿宋_GB2312" w:cs="Times New Roman"/>
                <w:color w:val="auto"/>
                <w:kern w:val="0"/>
                <w:szCs w:val="21"/>
                <w:highlight w:val="none"/>
              </w:rPr>
            </w:pPr>
          </w:p>
          <w:p w14:paraId="2DDD013A">
            <w:pPr>
              <w:widowControl/>
              <w:spacing w:line="300" w:lineRule="exact"/>
              <w:jc w:val="center"/>
              <w:rPr>
                <w:rFonts w:hint="default" w:ascii="Times New Roman" w:hAnsi="Times New Roman" w:eastAsia="仿宋_GB2312" w:cs="Times New Roman"/>
                <w:color w:val="auto"/>
                <w:kern w:val="0"/>
                <w:szCs w:val="21"/>
                <w:highlight w:val="none"/>
              </w:rPr>
            </w:pPr>
          </w:p>
          <w:p w14:paraId="0A1F4784">
            <w:pPr>
              <w:widowControl/>
              <w:spacing w:line="300" w:lineRule="exact"/>
              <w:jc w:val="center"/>
              <w:rPr>
                <w:rFonts w:hint="default" w:ascii="Times New Roman" w:hAnsi="Times New Roman" w:eastAsia="仿宋_GB2312" w:cs="Times New Roman"/>
                <w:color w:val="auto"/>
                <w:kern w:val="0"/>
                <w:szCs w:val="21"/>
                <w:highlight w:val="none"/>
              </w:rPr>
            </w:pPr>
          </w:p>
          <w:p w14:paraId="167113F2">
            <w:pPr>
              <w:widowControl/>
              <w:spacing w:line="300" w:lineRule="exact"/>
              <w:jc w:val="center"/>
              <w:rPr>
                <w:rFonts w:hint="default" w:ascii="Times New Roman" w:hAnsi="Times New Roman" w:eastAsia="仿宋_GB2312" w:cs="Times New Roman"/>
                <w:color w:val="auto"/>
                <w:kern w:val="0"/>
                <w:szCs w:val="21"/>
                <w:highlight w:val="none"/>
              </w:rPr>
            </w:pPr>
          </w:p>
          <w:p w14:paraId="70D1759F">
            <w:pPr>
              <w:widowControl/>
              <w:spacing w:line="300" w:lineRule="exact"/>
              <w:jc w:val="center"/>
              <w:rPr>
                <w:rFonts w:hint="default" w:ascii="Times New Roman" w:hAnsi="Times New Roman" w:eastAsia="仿宋_GB2312" w:cs="Times New Roman"/>
                <w:color w:val="auto"/>
                <w:kern w:val="0"/>
                <w:szCs w:val="21"/>
                <w:highlight w:val="none"/>
              </w:rPr>
            </w:pPr>
          </w:p>
          <w:p w14:paraId="4E63D680">
            <w:pPr>
              <w:widowControl/>
              <w:spacing w:line="300" w:lineRule="exact"/>
              <w:jc w:val="center"/>
              <w:rPr>
                <w:rFonts w:hint="default" w:ascii="Times New Roman" w:hAnsi="Times New Roman" w:eastAsia="仿宋_GB2312" w:cs="Times New Roman"/>
                <w:color w:val="auto"/>
                <w:kern w:val="0"/>
                <w:szCs w:val="21"/>
                <w:highlight w:val="none"/>
              </w:rPr>
            </w:pPr>
          </w:p>
          <w:p w14:paraId="3C979CCF">
            <w:pPr>
              <w:widowControl/>
              <w:spacing w:line="300" w:lineRule="exact"/>
              <w:jc w:val="center"/>
              <w:rPr>
                <w:rFonts w:hint="default" w:ascii="Times New Roman" w:hAnsi="Times New Roman" w:eastAsia="仿宋_GB2312" w:cs="Times New Roman"/>
                <w:color w:val="auto"/>
                <w:kern w:val="0"/>
                <w:szCs w:val="21"/>
                <w:highlight w:val="none"/>
              </w:rPr>
            </w:pPr>
          </w:p>
          <w:p w14:paraId="4C8B6436">
            <w:pPr>
              <w:widowControl/>
              <w:spacing w:line="300" w:lineRule="exact"/>
              <w:jc w:val="center"/>
              <w:rPr>
                <w:rFonts w:hint="default" w:ascii="Times New Roman" w:hAnsi="Times New Roman" w:eastAsia="仿宋_GB2312" w:cs="Times New Roman"/>
                <w:color w:val="auto"/>
                <w:kern w:val="0"/>
                <w:szCs w:val="21"/>
                <w:highlight w:val="none"/>
              </w:rPr>
            </w:pPr>
          </w:p>
          <w:p w14:paraId="2836840F">
            <w:pPr>
              <w:widowControl/>
              <w:spacing w:line="300" w:lineRule="exact"/>
              <w:jc w:val="center"/>
              <w:rPr>
                <w:rFonts w:hint="default" w:ascii="Times New Roman" w:hAnsi="Times New Roman" w:eastAsia="仿宋_GB2312" w:cs="Times New Roman"/>
                <w:color w:val="auto"/>
                <w:kern w:val="0"/>
                <w:szCs w:val="21"/>
                <w:highlight w:val="none"/>
              </w:rPr>
            </w:pPr>
          </w:p>
          <w:p w14:paraId="2CB361B0">
            <w:pPr>
              <w:widowControl/>
              <w:spacing w:line="300" w:lineRule="exact"/>
              <w:jc w:val="center"/>
              <w:rPr>
                <w:rFonts w:hint="default" w:ascii="Times New Roman" w:hAnsi="Times New Roman" w:eastAsia="仿宋_GB2312" w:cs="Times New Roman"/>
                <w:color w:val="auto"/>
                <w:kern w:val="0"/>
                <w:szCs w:val="21"/>
                <w:highlight w:val="none"/>
              </w:rPr>
            </w:pPr>
          </w:p>
          <w:p w14:paraId="4F648968">
            <w:pPr>
              <w:widowControl/>
              <w:spacing w:line="300" w:lineRule="exact"/>
              <w:jc w:val="center"/>
              <w:rPr>
                <w:rFonts w:hint="default" w:ascii="Times New Roman" w:hAnsi="Times New Roman" w:eastAsia="仿宋_GB2312" w:cs="Times New Roman"/>
                <w:color w:val="auto"/>
                <w:kern w:val="0"/>
                <w:szCs w:val="21"/>
                <w:highlight w:val="none"/>
              </w:rPr>
            </w:pPr>
          </w:p>
          <w:p w14:paraId="3A0FDCD4">
            <w:pPr>
              <w:widowControl/>
              <w:spacing w:line="300" w:lineRule="exact"/>
              <w:jc w:val="center"/>
              <w:rPr>
                <w:rFonts w:hint="default" w:ascii="Times New Roman" w:hAnsi="Times New Roman" w:eastAsia="仿宋_GB2312" w:cs="Times New Roman"/>
                <w:color w:val="auto"/>
                <w:kern w:val="0"/>
                <w:szCs w:val="21"/>
                <w:highlight w:val="none"/>
              </w:rPr>
            </w:pPr>
          </w:p>
          <w:p w14:paraId="24B3D316">
            <w:pPr>
              <w:widowControl/>
              <w:spacing w:line="300" w:lineRule="exact"/>
              <w:jc w:val="center"/>
              <w:rPr>
                <w:rFonts w:hint="default" w:ascii="Times New Roman" w:hAnsi="Times New Roman" w:eastAsia="仿宋_GB2312" w:cs="Times New Roman"/>
                <w:color w:val="auto"/>
                <w:kern w:val="0"/>
                <w:szCs w:val="21"/>
                <w:highlight w:val="none"/>
              </w:rPr>
            </w:pPr>
          </w:p>
          <w:p w14:paraId="6081FB9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酒类</w:t>
            </w:r>
          </w:p>
          <w:p w14:paraId="456D5307">
            <w:pPr>
              <w:widowControl/>
              <w:spacing w:line="300" w:lineRule="exact"/>
              <w:jc w:val="center"/>
              <w:rPr>
                <w:rFonts w:hint="default" w:ascii="Times New Roman" w:hAnsi="Times New Roman" w:eastAsia="仿宋_GB2312" w:cs="Times New Roman"/>
                <w:color w:val="auto"/>
                <w:kern w:val="0"/>
                <w:szCs w:val="21"/>
                <w:highlight w:val="none"/>
              </w:rPr>
            </w:pPr>
          </w:p>
          <w:p w14:paraId="44D31157">
            <w:pPr>
              <w:widowControl/>
              <w:spacing w:line="300" w:lineRule="exact"/>
              <w:jc w:val="center"/>
              <w:rPr>
                <w:rFonts w:hint="default" w:ascii="Times New Roman" w:hAnsi="Times New Roman" w:eastAsia="仿宋_GB2312" w:cs="Times New Roman"/>
                <w:color w:val="auto"/>
                <w:kern w:val="0"/>
                <w:szCs w:val="21"/>
                <w:highlight w:val="none"/>
              </w:rPr>
            </w:pPr>
          </w:p>
          <w:p w14:paraId="28B17C5D">
            <w:pPr>
              <w:widowControl/>
              <w:spacing w:line="300" w:lineRule="exact"/>
              <w:jc w:val="center"/>
              <w:rPr>
                <w:rFonts w:hint="default" w:ascii="Times New Roman" w:hAnsi="Times New Roman" w:eastAsia="仿宋_GB2312" w:cs="Times New Roman"/>
                <w:color w:val="auto"/>
                <w:kern w:val="0"/>
                <w:szCs w:val="21"/>
                <w:highlight w:val="none"/>
              </w:rPr>
            </w:pPr>
          </w:p>
          <w:p w14:paraId="1C8934E3">
            <w:pPr>
              <w:widowControl/>
              <w:spacing w:line="300" w:lineRule="exact"/>
              <w:jc w:val="center"/>
              <w:rPr>
                <w:rFonts w:hint="default" w:ascii="Times New Roman" w:hAnsi="Times New Roman" w:eastAsia="仿宋_GB2312" w:cs="Times New Roman"/>
                <w:color w:val="auto"/>
                <w:kern w:val="0"/>
                <w:szCs w:val="21"/>
                <w:highlight w:val="none"/>
              </w:rPr>
            </w:pPr>
          </w:p>
          <w:p w14:paraId="37B855FB">
            <w:pPr>
              <w:widowControl/>
              <w:spacing w:line="300" w:lineRule="exact"/>
              <w:jc w:val="center"/>
              <w:rPr>
                <w:rFonts w:hint="default" w:ascii="Times New Roman" w:hAnsi="Times New Roman" w:eastAsia="仿宋_GB2312" w:cs="Times New Roman"/>
                <w:color w:val="auto"/>
                <w:kern w:val="0"/>
                <w:szCs w:val="21"/>
                <w:highlight w:val="none"/>
              </w:rPr>
            </w:pPr>
          </w:p>
          <w:p w14:paraId="0A379733">
            <w:pPr>
              <w:widowControl/>
              <w:spacing w:line="300" w:lineRule="exact"/>
              <w:jc w:val="center"/>
              <w:rPr>
                <w:rFonts w:hint="default" w:ascii="Times New Roman" w:hAnsi="Times New Roman" w:eastAsia="仿宋_GB2312" w:cs="Times New Roman"/>
                <w:color w:val="auto"/>
                <w:kern w:val="0"/>
                <w:szCs w:val="21"/>
                <w:highlight w:val="none"/>
              </w:rPr>
            </w:pPr>
          </w:p>
          <w:p w14:paraId="112D6F32">
            <w:pPr>
              <w:widowControl/>
              <w:spacing w:line="300" w:lineRule="exact"/>
              <w:jc w:val="center"/>
              <w:rPr>
                <w:rFonts w:hint="default" w:ascii="Times New Roman" w:hAnsi="Times New Roman" w:eastAsia="仿宋_GB2312" w:cs="Times New Roman"/>
                <w:color w:val="auto"/>
                <w:kern w:val="0"/>
                <w:szCs w:val="21"/>
                <w:highlight w:val="none"/>
              </w:rPr>
            </w:pPr>
          </w:p>
          <w:p w14:paraId="242B0BCE">
            <w:pPr>
              <w:widowControl/>
              <w:spacing w:line="300" w:lineRule="exact"/>
              <w:jc w:val="center"/>
              <w:rPr>
                <w:rFonts w:hint="default" w:ascii="Times New Roman" w:hAnsi="Times New Roman" w:eastAsia="仿宋_GB2312" w:cs="Times New Roman"/>
                <w:color w:val="auto"/>
                <w:kern w:val="0"/>
                <w:szCs w:val="21"/>
                <w:highlight w:val="none"/>
              </w:rPr>
            </w:pPr>
          </w:p>
          <w:p w14:paraId="72A0B3A9">
            <w:pPr>
              <w:widowControl/>
              <w:spacing w:line="300" w:lineRule="exact"/>
              <w:jc w:val="center"/>
              <w:rPr>
                <w:rFonts w:hint="default" w:ascii="Times New Roman" w:hAnsi="Times New Roman" w:eastAsia="仿宋_GB2312" w:cs="Times New Roman"/>
                <w:color w:val="auto"/>
                <w:kern w:val="0"/>
                <w:szCs w:val="21"/>
                <w:highlight w:val="none"/>
              </w:rPr>
            </w:pPr>
          </w:p>
          <w:p w14:paraId="29CDA9D0">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noWrap w:val="0"/>
            <w:vAlign w:val="center"/>
          </w:tcPr>
          <w:p w14:paraId="0330398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蒸馏酒</w:t>
            </w:r>
          </w:p>
        </w:tc>
        <w:tc>
          <w:tcPr>
            <w:tcW w:w="1144" w:type="dxa"/>
            <w:noWrap w:val="0"/>
            <w:vAlign w:val="center"/>
          </w:tcPr>
          <w:p w14:paraId="7783B7F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白酒</w:t>
            </w:r>
          </w:p>
        </w:tc>
        <w:tc>
          <w:tcPr>
            <w:tcW w:w="1856" w:type="dxa"/>
            <w:noWrap w:val="0"/>
            <w:vAlign w:val="center"/>
          </w:tcPr>
          <w:p w14:paraId="548180D2">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白酒、白酒</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液态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、白酒</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原酒</w:t>
            </w:r>
            <w:r>
              <w:rPr>
                <w:rFonts w:hint="eastAsia" w:ascii="Times New Roman" w:hAnsi="Times New Roman" w:eastAsia="仿宋_GB2312" w:cs="Times New Roman"/>
                <w:color w:val="auto"/>
                <w:kern w:val="0"/>
                <w:szCs w:val="21"/>
                <w:highlight w:val="none"/>
                <w:lang w:eastAsia="zh-CN"/>
              </w:rPr>
              <w:t>）</w:t>
            </w:r>
          </w:p>
        </w:tc>
        <w:tc>
          <w:tcPr>
            <w:tcW w:w="1106" w:type="dxa"/>
            <w:noWrap w:val="0"/>
            <w:vAlign w:val="center"/>
          </w:tcPr>
          <w:p w14:paraId="3115B47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20C676EF">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酒精度、甲醇、糖精钠（以糖精计）、甜蜜素（以环己基氨基磺酸计）、三氯蔗糖、安赛蜜、纽甜</w:t>
            </w:r>
          </w:p>
        </w:tc>
        <w:tc>
          <w:tcPr>
            <w:tcW w:w="3435" w:type="dxa"/>
            <w:noWrap w:val="0"/>
            <w:vAlign w:val="center"/>
          </w:tcPr>
          <w:p w14:paraId="35A2BA1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氰化物（以HCN计）、铅（以Pb计）</w:t>
            </w:r>
          </w:p>
        </w:tc>
      </w:tr>
      <w:tr w14:paraId="3F39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4" w:hRule="atLeast"/>
        </w:trPr>
        <w:tc>
          <w:tcPr>
            <w:tcW w:w="720" w:type="dxa"/>
            <w:vMerge w:val="continue"/>
            <w:noWrap w:val="0"/>
            <w:vAlign w:val="center"/>
          </w:tcPr>
          <w:p w14:paraId="68641F7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5133AF7">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0D832AA5">
            <w:pPr>
              <w:widowControl/>
              <w:spacing w:line="300" w:lineRule="exact"/>
              <w:jc w:val="center"/>
              <w:rPr>
                <w:rFonts w:hint="default" w:ascii="Times New Roman" w:hAnsi="Times New Roman" w:eastAsia="仿宋_GB2312" w:cs="Times New Roman"/>
                <w:color w:val="auto"/>
                <w:kern w:val="0"/>
                <w:szCs w:val="21"/>
                <w:highlight w:val="none"/>
              </w:rPr>
            </w:pPr>
          </w:p>
          <w:p w14:paraId="5351FE51">
            <w:pPr>
              <w:widowControl/>
              <w:spacing w:line="300" w:lineRule="exact"/>
              <w:jc w:val="center"/>
              <w:rPr>
                <w:rFonts w:hint="default" w:ascii="Times New Roman" w:hAnsi="Times New Roman" w:eastAsia="仿宋_GB2312" w:cs="Times New Roman"/>
                <w:color w:val="auto"/>
                <w:kern w:val="0"/>
                <w:szCs w:val="21"/>
                <w:highlight w:val="none"/>
              </w:rPr>
            </w:pPr>
          </w:p>
          <w:p w14:paraId="00CA4941">
            <w:pPr>
              <w:widowControl/>
              <w:spacing w:line="300" w:lineRule="exact"/>
              <w:jc w:val="center"/>
              <w:rPr>
                <w:rFonts w:hint="default" w:ascii="Times New Roman" w:hAnsi="Times New Roman" w:eastAsia="仿宋_GB2312" w:cs="Times New Roman"/>
                <w:color w:val="auto"/>
                <w:kern w:val="0"/>
                <w:szCs w:val="21"/>
                <w:highlight w:val="none"/>
              </w:rPr>
            </w:pPr>
          </w:p>
          <w:p w14:paraId="5381EA91">
            <w:pPr>
              <w:widowControl/>
              <w:spacing w:line="300" w:lineRule="exact"/>
              <w:jc w:val="center"/>
              <w:rPr>
                <w:rFonts w:hint="default" w:ascii="Times New Roman" w:hAnsi="Times New Roman" w:eastAsia="仿宋_GB2312" w:cs="Times New Roman"/>
                <w:color w:val="auto"/>
                <w:kern w:val="0"/>
                <w:szCs w:val="21"/>
                <w:highlight w:val="none"/>
              </w:rPr>
            </w:pPr>
          </w:p>
          <w:p w14:paraId="6E3CED2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发酵酒</w:t>
            </w:r>
          </w:p>
          <w:p w14:paraId="408C6EC6">
            <w:pPr>
              <w:widowControl/>
              <w:spacing w:line="300" w:lineRule="exact"/>
              <w:jc w:val="center"/>
              <w:rPr>
                <w:rFonts w:hint="default" w:ascii="Times New Roman" w:hAnsi="Times New Roman" w:eastAsia="仿宋_GB2312" w:cs="Times New Roman"/>
                <w:color w:val="auto"/>
                <w:kern w:val="0"/>
                <w:szCs w:val="21"/>
                <w:highlight w:val="none"/>
              </w:rPr>
            </w:pPr>
          </w:p>
          <w:p w14:paraId="3BBB0E91">
            <w:pPr>
              <w:widowControl/>
              <w:spacing w:line="300" w:lineRule="exact"/>
              <w:jc w:val="center"/>
              <w:rPr>
                <w:rFonts w:hint="default" w:ascii="Times New Roman" w:hAnsi="Times New Roman" w:eastAsia="仿宋_GB2312" w:cs="Times New Roman"/>
                <w:color w:val="auto"/>
                <w:kern w:val="0"/>
                <w:szCs w:val="21"/>
                <w:highlight w:val="none"/>
              </w:rPr>
            </w:pPr>
          </w:p>
          <w:p w14:paraId="0F05081B">
            <w:pPr>
              <w:widowControl/>
              <w:spacing w:line="300" w:lineRule="exact"/>
              <w:jc w:val="center"/>
              <w:rPr>
                <w:rFonts w:hint="default" w:ascii="Times New Roman" w:hAnsi="Times New Roman" w:eastAsia="仿宋_GB2312" w:cs="Times New Roman"/>
                <w:color w:val="auto"/>
                <w:kern w:val="0"/>
                <w:szCs w:val="21"/>
                <w:highlight w:val="none"/>
              </w:rPr>
            </w:pPr>
          </w:p>
          <w:p w14:paraId="0ADB1288">
            <w:pPr>
              <w:widowControl/>
              <w:spacing w:line="300" w:lineRule="exact"/>
              <w:jc w:val="both"/>
              <w:rPr>
                <w:rFonts w:hint="default" w:ascii="Times New Roman" w:hAnsi="Times New Roman" w:eastAsia="仿宋_GB2312" w:cs="Times New Roman"/>
                <w:color w:val="auto"/>
                <w:kern w:val="0"/>
                <w:szCs w:val="21"/>
                <w:highlight w:val="none"/>
              </w:rPr>
            </w:pPr>
          </w:p>
          <w:p w14:paraId="3B0E1775">
            <w:pPr>
              <w:widowControl/>
              <w:spacing w:line="300" w:lineRule="exact"/>
              <w:jc w:val="center"/>
              <w:rPr>
                <w:rFonts w:hint="default" w:ascii="Times New Roman" w:hAnsi="Times New Roman" w:eastAsia="仿宋_GB2312" w:cs="Times New Roman"/>
                <w:color w:val="auto"/>
                <w:kern w:val="0"/>
                <w:szCs w:val="21"/>
                <w:highlight w:val="none"/>
              </w:rPr>
            </w:pPr>
          </w:p>
          <w:p w14:paraId="6AD011C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发酵酒</w:t>
            </w:r>
          </w:p>
        </w:tc>
        <w:tc>
          <w:tcPr>
            <w:tcW w:w="1144" w:type="dxa"/>
            <w:noWrap w:val="0"/>
            <w:vAlign w:val="center"/>
          </w:tcPr>
          <w:p w14:paraId="2943925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黄酒</w:t>
            </w:r>
          </w:p>
        </w:tc>
        <w:tc>
          <w:tcPr>
            <w:tcW w:w="1856" w:type="dxa"/>
            <w:noWrap w:val="0"/>
            <w:vAlign w:val="center"/>
          </w:tcPr>
          <w:p w14:paraId="0549225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黄酒</w:t>
            </w:r>
          </w:p>
        </w:tc>
        <w:tc>
          <w:tcPr>
            <w:tcW w:w="1106" w:type="dxa"/>
            <w:noWrap w:val="0"/>
            <w:vAlign w:val="center"/>
          </w:tcPr>
          <w:p w14:paraId="2599718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0614858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酒精度、氨基酸态氮、苯甲酸及其钠盐（以苯甲酸计）、山梨酸及其钾盐 （以山梨酸计）、糖精钠（以糖精计）、甜蜜素（以环己基氨基磺酸计）</w:t>
            </w:r>
          </w:p>
        </w:tc>
        <w:tc>
          <w:tcPr>
            <w:tcW w:w="3435" w:type="dxa"/>
            <w:noWrap w:val="0"/>
            <w:vAlign w:val="center"/>
          </w:tcPr>
          <w:p w14:paraId="68DA588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0C63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720" w:type="dxa"/>
            <w:vMerge w:val="continue"/>
            <w:noWrap w:val="0"/>
            <w:vAlign w:val="center"/>
          </w:tcPr>
          <w:p w14:paraId="3CFBB04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D70AB5A">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32BB045">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3A9A168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啤酒</w:t>
            </w:r>
          </w:p>
        </w:tc>
        <w:tc>
          <w:tcPr>
            <w:tcW w:w="1856" w:type="dxa"/>
            <w:noWrap w:val="0"/>
            <w:vAlign w:val="center"/>
          </w:tcPr>
          <w:p w14:paraId="73E6465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啤酒</w:t>
            </w:r>
          </w:p>
        </w:tc>
        <w:tc>
          <w:tcPr>
            <w:tcW w:w="1106" w:type="dxa"/>
            <w:noWrap w:val="0"/>
            <w:vAlign w:val="center"/>
          </w:tcPr>
          <w:p w14:paraId="2BC671E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28D4C5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酒精度、甲醛</w:t>
            </w:r>
          </w:p>
        </w:tc>
        <w:tc>
          <w:tcPr>
            <w:tcW w:w="3435" w:type="dxa"/>
            <w:noWrap w:val="0"/>
            <w:vAlign w:val="center"/>
          </w:tcPr>
          <w:p w14:paraId="394FB1A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4636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BABDCB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AE52097">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1E0556F">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7788C55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葡萄酒</w:t>
            </w:r>
          </w:p>
        </w:tc>
        <w:tc>
          <w:tcPr>
            <w:tcW w:w="1856" w:type="dxa"/>
            <w:noWrap w:val="0"/>
            <w:vAlign w:val="center"/>
          </w:tcPr>
          <w:p w14:paraId="44CE19C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葡萄酒</w:t>
            </w:r>
          </w:p>
        </w:tc>
        <w:tc>
          <w:tcPr>
            <w:tcW w:w="1106" w:type="dxa"/>
            <w:noWrap w:val="0"/>
            <w:vAlign w:val="center"/>
          </w:tcPr>
          <w:p w14:paraId="6E00787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8E0979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酒精度、甲醇、苯甲酸及其钠盐（以苯甲酸计）、山梨酸及其钾盐（以山梨酸计）、糖精钠（以糖精计）、二氧化硫残留量、甜蜜素（以环己基氨基磺酸计）、三氯蔗糖</w:t>
            </w:r>
          </w:p>
        </w:tc>
        <w:tc>
          <w:tcPr>
            <w:tcW w:w="3435" w:type="dxa"/>
            <w:noWrap w:val="0"/>
            <w:vAlign w:val="center"/>
          </w:tcPr>
          <w:p w14:paraId="5F7D95B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合成着色剂（柠檬黄、日落黄、新红、胭脂红、赤藓红、苋菜红、诱惑红、酸性红、亮蓝）</w:t>
            </w:r>
          </w:p>
        </w:tc>
      </w:tr>
      <w:tr w14:paraId="7DDE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7" w:hRule="atLeast"/>
        </w:trPr>
        <w:tc>
          <w:tcPr>
            <w:tcW w:w="720" w:type="dxa"/>
            <w:vMerge w:val="continue"/>
            <w:noWrap w:val="0"/>
            <w:vAlign w:val="center"/>
          </w:tcPr>
          <w:p w14:paraId="3A0718D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99504A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DDAC2C7">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2BA1191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果酒</w:t>
            </w:r>
          </w:p>
        </w:tc>
        <w:tc>
          <w:tcPr>
            <w:tcW w:w="1856" w:type="dxa"/>
            <w:noWrap w:val="0"/>
            <w:vAlign w:val="center"/>
          </w:tcPr>
          <w:p w14:paraId="3328ED8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果酒</w:t>
            </w:r>
          </w:p>
        </w:tc>
        <w:tc>
          <w:tcPr>
            <w:tcW w:w="1106" w:type="dxa"/>
            <w:noWrap w:val="0"/>
            <w:vAlign w:val="center"/>
          </w:tcPr>
          <w:p w14:paraId="1DDC2BD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9EE3F7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酒精度、展青霉素、糖精钠（以糖精计）、甜蜜素（以环己基氨基磺酸计）、安赛蜜、二氧化硫残留量</w:t>
            </w:r>
          </w:p>
        </w:tc>
        <w:tc>
          <w:tcPr>
            <w:tcW w:w="3435" w:type="dxa"/>
            <w:noWrap w:val="0"/>
            <w:vAlign w:val="center"/>
          </w:tcPr>
          <w:p w14:paraId="727475D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酸性红</w:t>
            </w:r>
          </w:p>
        </w:tc>
      </w:tr>
      <w:tr w14:paraId="10D0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trPr>
        <w:tc>
          <w:tcPr>
            <w:tcW w:w="720" w:type="dxa"/>
            <w:vMerge w:val="continue"/>
            <w:noWrap w:val="0"/>
            <w:vAlign w:val="center"/>
          </w:tcPr>
          <w:p w14:paraId="7D149E9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149A80D">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7F848C54">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其他酒</w:t>
            </w:r>
          </w:p>
        </w:tc>
        <w:tc>
          <w:tcPr>
            <w:tcW w:w="1144" w:type="dxa"/>
            <w:vMerge w:val="restart"/>
            <w:noWrap w:val="0"/>
            <w:vAlign w:val="center"/>
          </w:tcPr>
          <w:p w14:paraId="1750E7F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配制酒</w:t>
            </w:r>
          </w:p>
        </w:tc>
        <w:tc>
          <w:tcPr>
            <w:tcW w:w="1856" w:type="dxa"/>
            <w:noWrap w:val="0"/>
            <w:vAlign w:val="center"/>
          </w:tcPr>
          <w:p w14:paraId="79AAE1C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以蒸馏酒及食用酒精为酒基的配制酒</w:t>
            </w:r>
          </w:p>
        </w:tc>
        <w:tc>
          <w:tcPr>
            <w:tcW w:w="1106" w:type="dxa"/>
            <w:noWrap w:val="0"/>
            <w:vAlign w:val="center"/>
          </w:tcPr>
          <w:p w14:paraId="10774BC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4288A88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酒精度、西地那非、豪莫西地那非、硫代艾地那非、他达拉非、二硫代去甲基卡巴地那非、那非乙酰酸、去甲基卡巴地那非、去甲基他达拉非、羟基豪莫西地那非、伐地那非、育亨宾、甜蜜素（以环己基氨基磺酸计）、安赛蜜、纽甜</w:t>
            </w:r>
          </w:p>
        </w:tc>
        <w:tc>
          <w:tcPr>
            <w:tcW w:w="3435" w:type="dxa"/>
            <w:noWrap w:val="0"/>
            <w:vAlign w:val="center"/>
          </w:tcPr>
          <w:p w14:paraId="2978B97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甲醇、氰化物（以HCN计）</w:t>
            </w:r>
          </w:p>
        </w:tc>
      </w:tr>
      <w:tr w14:paraId="382D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21E18D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37C1CC7">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66E9340">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F9FE03E">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F8D737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以发酵酒为酒基的配制酒</w:t>
            </w:r>
          </w:p>
        </w:tc>
        <w:tc>
          <w:tcPr>
            <w:tcW w:w="1106" w:type="dxa"/>
            <w:noWrap w:val="0"/>
            <w:vAlign w:val="center"/>
          </w:tcPr>
          <w:p w14:paraId="154F2E0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29DDEF5B">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酒精度、苯甲酸及其钠盐（以苯甲酸计）、山梨酸及其钾盐（以山梨酸计）、甜蜜素（以环己基氨基磺酸计）、防腐剂混合使用时各自用量占其最大使用量的比例之和、安赛蜜</w:t>
            </w:r>
          </w:p>
        </w:tc>
        <w:tc>
          <w:tcPr>
            <w:tcW w:w="3435" w:type="dxa"/>
            <w:noWrap w:val="0"/>
            <w:vAlign w:val="center"/>
          </w:tcPr>
          <w:p w14:paraId="1EEEAE9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9FA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7" w:hRule="atLeast"/>
        </w:trPr>
        <w:tc>
          <w:tcPr>
            <w:tcW w:w="720" w:type="dxa"/>
            <w:vMerge w:val="continue"/>
            <w:noWrap w:val="0"/>
            <w:vAlign w:val="center"/>
          </w:tcPr>
          <w:p w14:paraId="0A12070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2EEBCA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2EF1D6D">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6F92994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其他蒸馏酒</w:t>
            </w:r>
          </w:p>
        </w:tc>
        <w:tc>
          <w:tcPr>
            <w:tcW w:w="1856" w:type="dxa"/>
            <w:noWrap w:val="0"/>
            <w:vAlign w:val="center"/>
          </w:tcPr>
          <w:p w14:paraId="2348AC2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其他蒸馏酒</w:t>
            </w:r>
          </w:p>
        </w:tc>
        <w:tc>
          <w:tcPr>
            <w:tcW w:w="1106" w:type="dxa"/>
            <w:noWrap w:val="0"/>
            <w:vAlign w:val="center"/>
          </w:tcPr>
          <w:p w14:paraId="6AA166F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4DA13E6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酒精度、铅（以Pb计）、甲醇、氰化物（以HCN计）、甜蜜素（以环己基氨基磺酸计）、三氯蔗糖</w:t>
            </w:r>
          </w:p>
        </w:tc>
        <w:tc>
          <w:tcPr>
            <w:tcW w:w="3435" w:type="dxa"/>
            <w:noWrap w:val="0"/>
            <w:vAlign w:val="center"/>
          </w:tcPr>
          <w:p w14:paraId="7C47C6D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030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9" w:hRule="atLeast"/>
        </w:trPr>
        <w:tc>
          <w:tcPr>
            <w:tcW w:w="720" w:type="dxa"/>
            <w:vMerge w:val="continue"/>
            <w:noWrap w:val="0"/>
            <w:vAlign w:val="center"/>
          </w:tcPr>
          <w:p w14:paraId="7BCD1ABB">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E11C53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BB3D02F">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061E587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其他发酵酒</w:t>
            </w:r>
          </w:p>
        </w:tc>
        <w:tc>
          <w:tcPr>
            <w:tcW w:w="1856" w:type="dxa"/>
            <w:noWrap w:val="0"/>
            <w:vAlign w:val="center"/>
          </w:tcPr>
          <w:p w14:paraId="7D681F2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其他发酵酒</w:t>
            </w:r>
          </w:p>
        </w:tc>
        <w:tc>
          <w:tcPr>
            <w:tcW w:w="1106" w:type="dxa"/>
            <w:noWrap w:val="0"/>
            <w:vAlign w:val="center"/>
          </w:tcPr>
          <w:p w14:paraId="5C84962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164287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酒精度、苯甲酸及其钠盐（以苯甲酸计）、山梨酸及其钾盐（以山梨酸计）、糖精钠（以糖精计）、甜蜜素（以环己基氨基磺酸计）、安赛蜜</w:t>
            </w:r>
          </w:p>
        </w:tc>
        <w:tc>
          <w:tcPr>
            <w:tcW w:w="3435" w:type="dxa"/>
            <w:noWrap w:val="0"/>
            <w:vAlign w:val="center"/>
          </w:tcPr>
          <w:p w14:paraId="52F8CE6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D5F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63" w:hRule="atLeast"/>
        </w:trPr>
        <w:tc>
          <w:tcPr>
            <w:tcW w:w="720" w:type="dxa"/>
            <w:vMerge w:val="restart"/>
            <w:noWrap w:val="0"/>
            <w:vAlign w:val="center"/>
          </w:tcPr>
          <w:p w14:paraId="5A5241B2">
            <w:pPr>
              <w:widowControl/>
              <w:spacing w:line="300" w:lineRule="exact"/>
              <w:jc w:val="center"/>
              <w:rPr>
                <w:rFonts w:hint="default" w:ascii="Times New Roman" w:hAnsi="Times New Roman" w:eastAsia="仿宋_GB2312" w:cs="Times New Roman"/>
                <w:color w:val="auto"/>
                <w:kern w:val="0"/>
                <w:szCs w:val="21"/>
                <w:highlight w:val="none"/>
              </w:rPr>
            </w:pPr>
          </w:p>
          <w:p w14:paraId="2A88E211">
            <w:pPr>
              <w:widowControl/>
              <w:spacing w:line="300" w:lineRule="exact"/>
              <w:jc w:val="center"/>
              <w:rPr>
                <w:rFonts w:hint="default" w:ascii="Times New Roman" w:hAnsi="Times New Roman" w:eastAsia="仿宋_GB2312" w:cs="Times New Roman"/>
                <w:color w:val="auto"/>
                <w:kern w:val="0"/>
                <w:szCs w:val="21"/>
                <w:highlight w:val="none"/>
              </w:rPr>
            </w:pPr>
          </w:p>
          <w:p w14:paraId="7216AA03">
            <w:pPr>
              <w:widowControl/>
              <w:spacing w:line="300" w:lineRule="exact"/>
              <w:jc w:val="center"/>
              <w:rPr>
                <w:rFonts w:hint="default" w:ascii="Times New Roman" w:hAnsi="Times New Roman" w:eastAsia="仿宋_GB2312" w:cs="Times New Roman"/>
                <w:color w:val="auto"/>
                <w:kern w:val="0"/>
                <w:szCs w:val="21"/>
                <w:highlight w:val="none"/>
              </w:rPr>
            </w:pPr>
          </w:p>
          <w:p w14:paraId="4C6264F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16</w:t>
            </w:r>
          </w:p>
          <w:p w14:paraId="299072C7">
            <w:pPr>
              <w:widowControl/>
              <w:spacing w:line="300" w:lineRule="exact"/>
              <w:jc w:val="center"/>
              <w:rPr>
                <w:rFonts w:hint="default" w:ascii="Times New Roman" w:hAnsi="Times New Roman" w:eastAsia="仿宋_GB2312" w:cs="Times New Roman"/>
                <w:color w:val="auto"/>
                <w:kern w:val="0"/>
                <w:szCs w:val="21"/>
                <w:highlight w:val="none"/>
              </w:rPr>
            </w:pPr>
          </w:p>
          <w:p w14:paraId="67C283AF">
            <w:pPr>
              <w:widowControl/>
              <w:spacing w:line="300" w:lineRule="exact"/>
              <w:jc w:val="center"/>
              <w:rPr>
                <w:rFonts w:hint="default" w:ascii="Times New Roman" w:hAnsi="Times New Roman" w:eastAsia="仿宋_GB2312" w:cs="Times New Roman"/>
                <w:color w:val="auto"/>
                <w:kern w:val="0"/>
                <w:szCs w:val="21"/>
                <w:highlight w:val="none"/>
              </w:rPr>
            </w:pPr>
          </w:p>
          <w:p w14:paraId="0D6EE4D0">
            <w:pPr>
              <w:widowControl/>
              <w:spacing w:line="300" w:lineRule="exact"/>
              <w:jc w:val="center"/>
              <w:rPr>
                <w:rFonts w:hint="default" w:ascii="Times New Roman" w:hAnsi="Times New Roman" w:eastAsia="仿宋_GB2312" w:cs="Times New Roman"/>
                <w:color w:val="auto"/>
                <w:kern w:val="0"/>
                <w:szCs w:val="21"/>
                <w:highlight w:val="none"/>
              </w:rPr>
            </w:pPr>
          </w:p>
          <w:p w14:paraId="3DAE7F70">
            <w:pPr>
              <w:widowControl/>
              <w:spacing w:line="300" w:lineRule="exact"/>
              <w:jc w:val="center"/>
              <w:rPr>
                <w:rFonts w:hint="default" w:ascii="Times New Roman" w:hAnsi="Times New Roman" w:eastAsia="仿宋_GB2312" w:cs="Times New Roman"/>
                <w:color w:val="auto"/>
                <w:kern w:val="0"/>
                <w:szCs w:val="21"/>
                <w:highlight w:val="none"/>
              </w:rPr>
            </w:pPr>
          </w:p>
          <w:p w14:paraId="40020717">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restart"/>
            <w:noWrap w:val="0"/>
            <w:vAlign w:val="center"/>
          </w:tcPr>
          <w:p w14:paraId="32A421DD">
            <w:pPr>
              <w:widowControl/>
              <w:spacing w:line="300" w:lineRule="exact"/>
              <w:jc w:val="center"/>
              <w:rPr>
                <w:rFonts w:hint="default" w:ascii="Times New Roman" w:hAnsi="Times New Roman" w:eastAsia="仿宋_GB2312" w:cs="Times New Roman"/>
                <w:color w:val="auto"/>
                <w:kern w:val="0"/>
                <w:szCs w:val="21"/>
                <w:highlight w:val="none"/>
              </w:rPr>
            </w:pPr>
          </w:p>
          <w:p w14:paraId="2FB4C592">
            <w:pPr>
              <w:widowControl/>
              <w:spacing w:line="300" w:lineRule="exact"/>
              <w:jc w:val="center"/>
              <w:rPr>
                <w:rFonts w:hint="default" w:ascii="Times New Roman" w:hAnsi="Times New Roman" w:eastAsia="仿宋_GB2312" w:cs="Times New Roman"/>
                <w:color w:val="auto"/>
                <w:kern w:val="0"/>
                <w:szCs w:val="21"/>
                <w:highlight w:val="none"/>
              </w:rPr>
            </w:pPr>
          </w:p>
          <w:p w14:paraId="71C3DF70">
            <w:pPr>
              <w:widowControl/>
              <w:spacing w:line="300" w:lineRule="exact"/>
              <w:jc w:val="center"/>
              <w:rPr>
                <w:rFonts w:hint="default" w:ascii="Times New Roman" w:hAnsi="Times New Roman" w:eastAsia="仿宋_GB2312" w:cs="Times New Roman"/>
                <w:color w:val="auto"/>
                <w:kern w:val="0"/>
                <w:szCs w:val="21"/>
                <w:highlight w:val="none"/>
              </w:rPr>
            </w:pPr>
          </w:p>
          <w:p w14:paraId="7AD0417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蔬菜制品</w:t>
            </w:r>
          </w:p>
          <w:p w14:paraId="1F27C811">
            <w:pPr>
              <w:widowControl/>
              <w:spacing w:line="300" w:lineRule="exact"/>
              <w:jc w:val="center"/>
              <w:rPr>
                <w:rFonts w:hint="default" w:ascii="Times New Roman" w:hAnsi="Times New Roman" w:eastAsia="仿宋_GB2312" w:cs="Times New Roman"/>
                <w:color w:val="auto"/>
                <w:kern w:val="0"/>
                <w:szCs w:val="21"/>
                <w:highlight w:val="none"/>
              </w:rPr>
            </w:pPr>
          </w:p>
          <w:p w14:paraId="0387FD0D">
            <w:pPr>
              <w:widowControl/>
              <w:spacing w:line="300" w:lineRule="exact"/>
              <w:jc w:val="center"/>
              <w:rPr>
                <w:rFonts w:hint="default" w:ascii="Times New Roman" w:hAnsi="Times New Roman" w:eastAsia="仿宋_GB2312" w:cs="Times New Roman"/>
                <w:color w:val="auto"/>
                <w:kern w:val="0"/>
                <w:szCs w:val="21"/>
                <w:highlight w:val="none"/>
              </w:rPr>
            </w:pPr>
          </w:p>
          <w:p w14:paraId="48960B5D">
            <w:pPr>
              <w:widowControl/>
              <w:spacing w:line="300" w:lineRule="exact"/>
              <w:jc w:val="center"/>
              <w:rPr>
                <w:rFonts w:hint="default" w:ascii="Times New Roman" w:hAnsi="Times New Roman" w:eastAsia="仿宋_GB2312" w:cs="Times New Roman"/>
                <w:color w:val="auto"/>
                <w:kern w:val="0"/>
                <w:szCs w:val="21"/>
                <w:highlight w:val="none"/>
              </w:rPr>
            </w:pPr>
          </w:p>
          <w:p w14:paraId="4E34BD50">
            <w:pPr>
              <w:widowControl/>
              <w:spacing w:line="300" w:lineRule="exact"/>
              <w:jc w:val="center"/>
              <w:rPr>
                <w:rFonts w:hint="default" w:ascii="Times New Roman" w:hAnsi="Times New Roman" w:eastAsia="仿宋_GB2312" w:cs="Times New Roman"/>
                <w:color w:val="auto"/>
                <w:kern w:val="0"/>
                <w:szCs w:val="21"/>
                <w:highlight w:val="none"/>
              </w:rPr>
            </w:pPr>
          </w:p>
          <w:p w14:paraId="5F894AFD">
            <w:pPr>
              <w:widowControl/>
              <w:spacing w:line="300" w:lineRule="exact"/>
              <w:jc w:val="center"/>
              <w:rPr>
                <w:rFonts w:hint="eastAsia" w:ascii="Times New Roman" w:hAnsi="Times New Roman" w:eastAsia="仿宋_GB2312" w:cs="Times New Roman"/>
                <w:color w:val="auto"/>
                <w:kern w:val="0"/>
                <w:szCs w:val="21"/>
                <w:highlight w:val="none"/>
                <w:lang w:eastAsia="zh-CN"/>
              </w:rPr>
            </w:pPr>
          </w:p>
        </w:tc>
        <w:tc>
          <w:tcPr>
            <w:tcW w:w="1256" w:type="dxa"/>
            <w:vMerge w:val="restart"/>
            <w:noWrap w:val="0"/>
            <w:vAlign w:val="center"/>
          </w:tcPr>
          <w:p w14:paraId="08D08E9E">
            <w:pPr>
              <w:widowControl/>
              <w:spacing w:line="300" w:lineRule="exact"/>
              <w:jc w:val="center"/>
              <w:rPr>
                <w:rFonts w:hint="default" w:ascii="Times New Roman" w:hAnsi="Times New Roman" w:eastAsia="仿宋_GB2312" w:cs="Times New Roman"/>
                <w:color w:val="auto"/>
                <w:kern w:val="0"/>
                <w:szCs w:val="21"/>
                <w:highlight w:val="none"/>
              </w:rPr>
            </w:pPr>
          </w:p>
          <w:p w14:paraId="5071486E">
            <w:pPr>
              <w:widowControl/>
              <w:spacing w:line="300" w:lineRule="exact"/>
              <w:jc w:val="center"/>
              <w:rPr>
                <w:rFonts w:hint="default" w:ascii="Times New Roman" w:hAnsi="Times New Roman" w:eastAsia="仿宋_GB2312" w:cs="Times New Roman"/>
                <w:color w:val="auto"/>
                <w:kern w:val="0"/>
                <w:szCs w:val="21"/>
                <w:highlight w:val="none"/>
              </w:rPr>
            </w:pPr>
          </w:p>
          <w:p w14:paraId="77ED9884">
            <w:pPr>
              <w:widowControl/>
              <w:spacing w:line="300" w:lineRule="exact"/>
              <w:jc w:val="center"/>
              <w:rPr>
                <w:rFonts w:hint="default" w:ascii="Times New Roman" w:hAnsi="Times New Roman" w:eastAsia="仿宋_GB2312" w:cs="Times New Roman"/>
                <w:color w:val="auto"/>
                <w:kern w:val="0"/>
                <w:szCs w:val="21"/>
                <w:highlight w:val="none"/>
              </w:rPr>
            </w:pPr>
          </w:p>
          <w:p w14:paraId="049B368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蔬菜制品</w:t>
            </w:r>
          </w:p>
          <w:p w14:paraId="04F2CB78">
            <w:pPr>
              <w:widowControl/>
              <w:spacing w:line="300" w:lineRule="exact"/>
              <w:jc w:val="center"/>
              <w:rPr>
                <w:rFonts w:hint="default" w:ascii="Times New Roman" w:hAnsi="Times New Roman" w:eastAsia="仿宋_GB2312" w:cs="Times New Roman"/>
                <w:color w:val="auto"/>
                <w:kern w:val="0"/>
                <w:szCs w:val="21"/>
                <w:highlight w:val="none"/>
              </w:rPr>
            </w:pPr>
          </w:p>
          <w:p w14:paraId="4CCFFF7E">
            <w:pPr>
              <w:widowControl/>
              <w:spacing w:line="300" w:lineRule="exact"/>
              <w:jc w:val="center"/>
              <w:rPr>
                <w:rFonts w:hint="default" w:ascii="Times New Roman" w:hAnsi="Times New Roman" w:eastAsia="仿宋_GB2312" w:cs="Times New Roman"/>
                <w:color w:val="auto"/>
                <w:kern w:val="0"/>
                <w:szCs w:val="21"/>
                <w:highlight w:val="none"/>
              </w:rPr>
            </w:pPr>
          </w:p>
          <w:p w14:paraId="0D653922">
            <w:pPr>
              <w:widowControl/>
              <w:spacing w:line="300" w:lineRule="exact"/>
              <w:jc w:val="center"/>
              <w:rPr>
                <w:rFonts w:hint="default" w:ascii="Times New Roman" w:hAnsi="Times New Roman" w:eastAsia="仿宋_GB2312" w:cs="Times New Roman"/>
                <w:color w:val="auto"/>
                <w:kern w:val="0"/>
                <w:szCs w:val="21"/>
                <w:highlight w:val="none"/>
              </w:rPr>
            </w:pPr>
          </w:p>
          <w:p w14:paraId="086ED0D0">
            <w:pPr>
              <w:widowControl/>
              <w:spacing w:line="300" w:lineRule="exact"/>
              <w:jc w:val="center"/>
              <w:rPr>
                <w:rFonts w:hint="default" w:ascii="Times New Roman" w:hAnsi="Times New Roman" w:eastAsia="仿宋_GB2312" w:cs="Times New Roman"/>
                <w:color w:val="auto"/>
                <w:kern w:val="0"/>
                <w:szCs w:val="21"/>
                <w:highlight w:val="none"/>
              </w:rPr>
            </w:pPr>
          </w:p>
          <w:p w14:paraId="45951CA5">
            <w:pPr>
              <w:widowControl/>
              <w:spacing w:line="300" w:lineRule="exact"/>
              <w:jc w:val="both"/>
              <w:rPr>
                <w:rFonts w:hint="eastAsia" w:ascii="Times New Roman" w:hAnsi="Times New Roman" w:eastAsia="仿宋_GB2312" w:cs="Times New Roman"/>
                <w:color w:val="auto"/>
                <w:kern w:val="0"/>
                <w:szCs w:val="21"/>
                <w:highlight w:val="none"/>
                <w:lang w:eastAsia="zh-CN"/>
              </w:rPr>
            </w:pPr>
          </w:p>
        </w:tc>
        <w:tc>
          <w:tcPr>
            <w:tcW w:w="1144" w:type="dxa"/>
            <w:noWrap w:val="0"/>
            <w:vAlign w:val="center"/>
          </w:tcPr>
          <w:p w14:paraId="71AFE77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酱腌菜</w:t>
            </w:r>
          </w:p>
        </w:tc>
        <w:tc>
          <w:tcPr>
            <w:tcW w:w="1856" w:type="dxa"/>
            <w:noWrap w:val="0"/>
            <w:vAlign w:val="center"/>
          </w:tcPr>
          <w:p w14:paraId="41491D5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酱腌菜</w:t>
            </w:r>
          </w:p>
        </w:tc>
        <w:tc>
          <w:tcPr>
            <w:tcW w:w="1106" w:type="dxa"/>
            <w:noWrap w:val="0"/>
            <w:vAlign w:val="center"/>
          </w:tcPr>
          <w:p w14:paraId="244F9D9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B43075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脱氢乙酸及其钠盐（以脱氢乙酸计）、糖精钠（以糖精计）、甜蜜素（以环己基氨基磺酸计）、安赛蜜、阿斯巴甜、纽甜、三氯蔗糖、二氧化硫残留量、防腐剂混合使用时各自用量占其最大使用量的比例之和、合成着色剂（柠檬黄、日落黄、胭脂红、诱惑红）、大肠菌群</w:t>
            </w:r>
          </w:p>
        </w:tc>
        <w:tc>
          <w:tcPr>
            <w:tcW w:w="3435" w:type="dxa"/>
            <w:noWrap w:val="0"/>
            <w:vAlign w:val="center"/>
          </w:tcPr>
          <w:p w14:paraId="28662C5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w:t>
            </w:r>
          </w:p>
        </w:tc>
      </w:tr>
      <w:tr w14:paraId="2DC0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5E7214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10FD09E">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D763318">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43A1DD8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蔬菜干制品</w:t>
            </w:r>
          </w:p>
        </w:tc>
        <w:tc>
          <w:tcPr>
            <w:tcW w:w="1856" w:type="dxa"/>
            <w:noWrap w:val="0"/>
            <w:vAlign w:val="center"/>
          </w:tcPr>
          <w:p w14:paraId="77F5507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蔬菜干制品</w:t>
            </w:r>
          </w:p>
        </w:tc>
        <w:tc>
          <w:tcPr>
            <w:tcW w:w="1106" w:type="dxa"/>
            <w:noWrap w:val="0"/>
            <w:vAlign w:val="center"/>
          </w:tcPr>
          <w:p w14:paraId="6FEE93B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0A67A0F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铅（以Pb计）、苯甲酸及其钠盐（以苯甲酸计）、山梨酸及其钾盐（以山梨酸计）、二氧化硫残留量、合成着色剂（柠檬黄、日落黄、胭脂红、苋菜红、亮蓝）</w:t>
            </w:r>
          </w:p>
        </w:tc>
        <w:tc>
          <w:tcPr>
            <w:tcW w:w="3435" w:type="dxa"/>
            <w:noWrap w:val="0"/>
            <w:vAlign w:val="center"/>
          </w:tcPr>
          <w:p w14:paraId="31E5D8F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酸价（以脂肪计）、过氧化值（以脂肪计）、阿斯巴甜、糖精钠（以糖精计）、三氯蔗糖</w:t>
            </w:r>
          </w:p>
        </w:tc>
      </w:tr>
      <w:tr w14:paraId="52C8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377208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8EED0A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18A8A88">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46BA21E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其他蔬菜制品</w:t>
            </w:r>
          </w:p>
        </w:tc>
        <w:tc>
          <w:tcPr>
            <w:tcW w:w="1856" w:type="dxa"/>
            <w:noWrap w:val="0"/>
            <w:vAlign w:val="center"/>
          </w:tcPr>
          <w:p w14:paraId="08F8E00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其他蔬菜制品</w:t>
            </w:r>
          </w:p>
        </w:tc>
        <w:tc>
          <w:tcPr>
            <w:tcW w:w="1106" w:type="dxa"/>
            <w:noWrap w:val="0"/>
            <w:vAlign w:val="center"/>
          </w:tcPr>
          <w:p w14:paraId="79FBEDA2">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一般</w:t>
            </w:r>
          </w:p>
        </w:tc>
        <w:tc>
          <w:tcPr>
            <w:tcW w:w="4376" w:type="dxa"/>
            <w:noWrap w:val="0"/>
            <w:vAlign w:val="center"/>
          </w:tcPr>
          <w:p w14:paraId="6C52279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铅（以Pb计）、苯甲酸及其钠盐（以苯甲酸计）、山梨酸及其钾盐（以山梨酸计）、脱氢乙酸及其钠盐（以脱氢乙酸计）、二氧化硫残留量</w:t>
            </w:r>
          </w:p>
        </w:tc>
        <w:tc>
          <w:tcPr>
            <w:tcW w:w="3435" w:type="dxa"/>
            <w:noWrap w:val="0"/>
            <w:vAlign w:val="center"/>
          </w:tcPr>
          <w:p w14:paraId="5A18232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酸价（以脂肪计）、过氧化值（以脂肪计）</w:t>
            </w:r>
          </w:p>
        </w:tc>
      </w:tr>
      <w:tr w14:paraId="7B895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1049A30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99E340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C3196AE">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2AC6113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食用菌制品</w:t>
            </w:r>
          </w:p>
        </w:tc>
        <w:tc>
          <w:tcPr>
            <w:tcW w:w="1856" w:type="dxa"/>
            <w:noWrap w:val="0"/>
            <w:vAlign w:val="center"/>
          </w:tcPr>
          <w:p w14:paraId="1BD3B4D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干制食用菌</w:t>
            </w:r>
          </w:p>
        </w:tc>
        <w:tc>
          <w:tcPr>
            <w:tcW w:w="1106" w:type="dxa"/>
            <w:noWrap w:val="0"/>
            <w:vAlign w:val="center"/>
          </w:tcPr>
          <w:p w14:paraId="4446E7B0">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一般</w:t>
            </w:r>
          </w:p>
        </w:tc>
        <w:tc>
          <w:tcPr>
            <w:tcW w:w="4376" w:type="dxa"/>
            <w:noWrap w:val="0"/>
            <w:vAlign w:val="center"/>
          </w:tcPr>
          <w:p w14:paraId="34B54D2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铅（以Pb计）、镉（以Cd计）、甲基汞（以Hg计）、无机砷（以As计）</w:t>
            </w:r>
          </w:p>
        </w:tc>
        <w:tc>
          <w:tcPr>
            <w:tcW w:w="3435" w:type="dxa"/>
            <w:noWrap w:val="0"/>
            <w:vAlign w:val="center"/>
          </w:tcPr>
          <w:p w14:paraId="28C1781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21CD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623B142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32F4550">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ABD7FFF">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134C5F5">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1B0E672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腌渍食用菌</w:t>
            </w:r>
          </w:p>
        </w:tc>
        <w:tc>
          <w:tcPr>
            <w:tcW w:w="1106" w:type="dxa"/>
            <w:noWrap w:val="0"/>
            <w:vAlign w:val="center"/>
          </w:tcPr>
          <w:p w14:paraId="79958986">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一般</w:t>
            </w:r>
          </w:p>
        </w:tc>
        <w:tc>
          <w:tcPr>
            <w:tcW w:w="4376" w:type="dxa"/>
            <w:noWrap w:val="0"/>
            <w:vAlign w:val="center"/>
          </w:tcPr>
          <w:p w14:paraId="04BB2DB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w:t>
            </w:r>
          </w:p>
        </w:tc>
        <w:tc>
          <w:tcPr>
            <w:tcW w:w="3435" w:type="dxa"/>
            <w:noWrap w:val="0"/>
            <w:vAlign w:val="center"/>
          </w:tcPr>
          <w:p w14:paraId="3348D28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C20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5" w:hRule="atLeast"/>
        </w:trPr>
        <w:tc>
          <w:tcPr>
            <w:tcW w:w="720" w:type="dxa"/>
            <w:vMerge w:val="restart"/>
            <w:noWrap w:val="0"/>
            <w:vAlign w:val="center"/>
          </w:tcPr>
          <w:p w14:paraId="76811616">
            <w:pPr>
              <w:widowControl/>
              <w:spacing w:line="300" w:lineRule="exact"/>
              <w:jc w:val="center"/>
              <w:rPr>
                <w:rFonts w:hint="default" w:ascii="Times New Roman" w:hAnsi="Times New Roman" w:eastAsia="仿宋_GB2312" w:cs="Times New Roman"/>
                <w:color w:val="auto"/>
                <w:kern w:val="0"/>
                <w:szCs w:val="21"/>
                <w:highlight w:val="none"/>
              </w:rPr>
            </w:pPr>
          </w:p>
          <w:p w14:paraId="63FCBFAA">
            <w:pPr>
              <w:widowControl/>
              <w:spacing w:line="300" w:lineRule="exact"/>
              <w:jc w:val="center"/>
              <w:rPr>
                <w:rFonts w:hint="default" w:ascii="Times New Roman" w:hAnsi="Times New Roman" w:eastAsia="仿宋_GB2312" w:cs="Times New Roman"/>
                <w:color w:val="auto"/>
                <w:kern w:val="0"/>
                <w:szCs w:val="21"/>
                <w:highlight w:val="none"/>
              </w:rPr>
            </w:pPr>
          </w:p>
          <w:p w14:paraId="27EAC26C">
            <w:pPr>
              <w:widowControl/>
              <w:spacing w:line="300" w:lineRule="exact"/>
              <w:jc w:val="center"/>
              <w:rPr>
                <w:rFonts w:hint="default" w:ascii="Times New Roman" w:hAnsi="Times New Roman" w:eastAsia="仿宋_GB2312" w:cs="Times New Roman"/>
                <w:color w:val="auto"/>
                <w:kern w:val="0"/>
                <w:szCs w:val="21"/>
                <w:highlight w:val="none"/>
              </w:rPr>
            </w:pPr>
          </w:p>
          <w:p w14:paraId="2671FE75">
            <w:pPr>
              <w:widowControl/>
              <w:spacing w:line="300" w:lineRule="exact"/>
              <w:jc w:val="center"/>
              <w:rPr>
                <w:rFonts w:hint="default" w:ascii="Times New Roman" w:hAnsi="Times New Roman" w:eastAsia="仿宋_GB2312" w:cs="Times New Roman"/>
                <w:color w:val="auto"/>
                <w:kern w:val="0"/>
                <w:szCs w:val="21"/>
                <w:highlight w:val="none"/>
              </w:rPr>
            </w:pPr>
          </w:p>
          <w:p w14:paraId="1AC62E4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17</w:t>
            </w:r>
          </w:p>
          <w:p w14:paraId="0D52B0F5">
            <w:pPr>
              <w:widowControl/>
              <w:spacing w:line="300" w:lineRule="exact"/>
              <w:jc w:val="center"/>
              <w:rPr>
                <w:rFonts w:hint="default" w:ascii="Times New Roman" w:hAnsi="Times New Roman" w:eastAsia="仿宋_GB2312" w:cs="Times New Roman"/>
                <w:color w:val="auto"/>
                <w:kern w:val="0"/>
                <w:szCs w:val="21"/>
                <w:highlight w:val="none"/>
              </w:rPr>
            </w:pPr>
          </w:p>
          <w:p w14:paraId="796E5B98">
            <w:pPr>
              <w:widowControl/>
              <w:spacing w:line="300" w:lineRule="exact"/>
              <w:jc w:val="center"/>
              <w:rPr>
                <w:rFonts w:hint="default" w:ascii="Times New Roman" w:hAnsi="Times New Roman" w:eastAsia="仿宋_GB2312" w:cs="Times New Roman"/>
                <w:color w:val="auto"/>
                <w:kern w:val="0"/>
                <w:szCs w:val="21"/>
                <w:highlight w:val="none"/>
              </w:rPr>
            </w:pPr>
          </w:p>
          <w:p w14:paraId="7F3100D3">
            <w:pPr>
              <w:widowControl/>
              <w:spacing w:line="300" w:lineRule="exact"/>
              <w:jc w:val="center"/>
              <w:rPr>
                <w:rFonts w:hint="default" w:ascii="Times New Roman" w:hAnsi="Times New Roman" w:eastAsia="仿宋_GB2312" w:cs="Times New Roman"/>
                <w:color w:val="auto"/>
                <w:kern w:val="0"/>
                <w:szCs w:val="21"/>
                <w:highlight w:val="none"/>
              </w:rPr>
            </w:pPr>
          </w:p>
          <w:p w14:paraId="13AB4A7D">
            <w:pPr>
              <w:widowControl/>
              <w:spacing w:line="300" w:lineRule="exact"/>
              <w:jc w:val="center"/>
              <w:rPr>
                <w:rFonts w:hint="default" w:ascii="Times New Roman" w:hAnsi="Times New Roman" w:eastAsia="仿宋_GB2312" w:cs="Times New Roman"/>
                <w:color w:val="auto"/>
                <w:kern w:val="0"/>
                <w:szCs w:val="21"/>
                <w:highlight w:val="none"/>
              </w:rPr>
            </w:pPr>
          </w:p>
          <w:p w14:paraId="448DEB9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0C13AF96">
            <w:pPr>
              <w:widowControl/>
              <w:spacing w:line="300" w:lineRule="exact"/>
              <w:jc w:val="center"/>
              <w:rPr>
                <w:rFonts w:hint="default" w:ascii="Times New Roman" w:hAnsi="Times New Roman" w:eastAsia="仿宋_GB2312" w:cs="Times New Roman"/>
                <w:color w:val="auto"/>
                <w:kern w:val="0"/>
                <w:szCs w:val="21"/>
                <w:highlight w:val="none"/>
              </w:rPr>
            </w:pPr>
          </w:p>
          <w:p w14:paraId="5F8039A6">
            <w:pPr>
              <w:widowControl/>
              <w:spacing w:line="300" w:lineRule="exact"/>
              <w:jc w:val="center"/>
              <w:rPr>
                <w:rFonts w:hint="default" w:ascii="Times New Roman" w:hAnsi="Times New Roman" w:eastAsia="仿宋_GB2312" w:cs="Times New Roman"/>
                <w:color w:val="auto"/>
                <w:kern w:val="0"/>
                <w:szCs w:val="21"/>
                <w:highlight w:val="none"/>
              </w:rPr>
            </w:pPr>
          </w:p>
          <w:p w14:paraId="799DC4ED">
            <w:pPr>
              <w:widowControl/>
              <w:spacing w:line="300" w:lineRule="exact"/>
              <w:jc w:val="center"/>
              <w:rPr>
                <w:rFonts w:hint="default" w:ascii="Times New Roman" w:hAnsi="Times New Roman" w:eastAsia="仿宋_GB2312" w:cs="Times New Roman"/>
                <w:color w:val="auto"/>
                <w:kern w:val="0"/>
                <w:szCs w:val="21"/>
                <w:highlight w:val="none"/>
              </w:rPr>
            </w:pPr>
          </w:p>
          <w:p w14:paraId="1A69B9A3">
            <w:pPr>
              <w:widowControl/>
              <w:spacing w:line="300" w:lineRule="exact"/>
              <w:jc w:val="center"/>
              <w:rPr>
                <w:rFonts w:hint="default" w:ascii="Times New Roman" w:hAnsi="Times New Roman" w:eastAsia="仿宋_GB2312" w:cs="Times New Roman"/>
                <w:color w:val="auto"/>
                <w:kern w:val="0"/>
                <w:szCs w:val="21"/>
                <w:highlight w:val="none"/>
              </w:rPr>
            </w:pPr>
          </w:p>
          <w:p w14:paraId="1A9FE59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水果制品</w:t>
            </w:r>
          </w:p>
          <w:p w14:paraId="578C202D">
            <w:pPr>
              <w:widowControl/>
              <w:spacing w:line="300" w:lineRule="exact"/>
              <w:jc w:val="center"/>
              <w:rPr>
                <w:rFonts w:hint="default" w:ascii="Times New Roman" w:hAnsi="Times New Roman" w:eastAsia="仿宋_GB2312" w:cs="Times New Roman"/>
                <w:color w:val="auto"/>
                <w:kern w:val="0"/>
                <w:szCs w:val="21"/>
                <w:highlight w:val="none"/>
              </w:rPr>
            </w:pPr>
          </w:p>
          <w:p w14:paraId="455CCC72">
            <w:pPr>
              <w:widowControl/>
              <w:spacing w:line="300" w:lineRule="exact"/>
              <w:jc w:val="center"/>
              <w:rPr>
                <w:rFonts w:hint="default" w:ascii="Times New Roman" w:hAnsi="Times New Roman" w:eastAsia="仿宋_GB2312" w:cs="Times New Roman"/>
                <w:color w:val="auto"/>
                <w:kern w:val="0"/>
                <w:szCs w:val="21"/>
                <w:highlight w:val="none"/>
              </w:rPr>
            </w:pPr>
          </w:p>
          <w:p w14:paraId="63AFBD49">
            <w:pPr>
              <w:widowControl/>
              <w:spacing w:line="300" w:lineRule="exact"/>
              <w:jc w:val="center"/>
              <w:rPr>
                <w:rFonts w:hint="default" w:ascii="Times New Roman" w:hAnsi="Times New Roman" w:eastAsia="仿宋_GB2312" w:cs="Times New Roman"/>
                <w:color w:val="auto"/>
                <w:kern w:val="0"/>
                <w:szCs w:val="21"/>
                <w:highlight w:val="none"/>
              </w:rPr>
            </w:pPr>
          </w:p>
          <w:p w14:paraId="6B7A5837">
            <w:pPr>
              <w:widowControl/>
              <w:spacing w:line="300" w:lineRule="exact"/>
              <w:jc w:val="center"/>
              <w:rPr>
                <w:rFonts w:hint="default" w:ascii="Times New Roman" w:hAnsi="Times New Roman" w:eastAsia="仿宋_GB2312" w:cs="Times New Roman"/>
                <w:color w:val="auto"/>
                <w:kern w:val="0"/>
                <w:szCs w:val="21"/>
                <w:highlight w:val="none"/>
              </w:rPr>
            </w:pPr>
          </w:p>
          <w:p w14:paraId="7D741563">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7D0AFFF4">
            <w:pPr>
              <w:widowControl/>
              <w:spacing w:line="300" w:lineRule="exact"/>
              <w:jc w:val="center"/>
              <w:rPr>
                <w:rFonts w:hint="default" w:ascii="Times New Roman" w:hAnsi="Times New Roman" w:eastAsia="仿宋_GB2312" w:cs="Times New Roman"/>
                <w:color w:val="auto"/>
                <w:kern w:val="0"/>
                <w:szCs w:val="21"/>
                <w:highlight w:val="none"/>
              </w:rPr>
            </w:pPr>
          </w:p>
          <w:p w14:paraId="4FC39A1E">
            <w:pPr>
              <w:widowControl/>
              <w:spacing w:line="300" w:lineRule="exact"/>
              <w:jc w:val="center"/>
              <w:rPr>
                <w:rFonts w:hint="default" w:ascii="Times New Roman" w:hAnsi="Times New Roman" w:eastAsia="仿宋_GB2312" w:cs="Times New Roman"/>
                <w:color w:val="auto"/>
                <w:kern w:val="0"/>
                <w:szCs w:val="21"/>
                <w:highlight w:val="none"/>
              </w:rPr>
            </w:pPr>
          </w:p>
          <w:p w14:paraId="17F67226">
            <w:pPr>
              <w:widowControl/>
              <w:spacing w:line="300" w:lineRule="exact"/>
              <w:jc w:val="center"/>
              <w:rPr>
                <w:rFonts w:hint="default" w:ascii="Times New Roman" w:hAnsi="Times New Roman" w:eastAsia="仿宋_GB2312" w:cs="Times New Roman"/>
                <w:color w:val="auto"/>
                <w:kern w:val="0"/>
                <w:szCs w:val="21"/>
                <w:highlight w:val="none"/>
              </w:rPr>
            </w:pPr>
          </w:p>
          <w:p w14:paraId="180EEE75">
            <w:pPr>
              <w:widowControl/>
              <w:spacing w:line="300" w:lineRule="exact"/>
              <w:jc w:val="center"/>
              <w:rPr>
                <w:rFonts w:hint="default" w:ascii="Times New Roman" w:hAnsi="Times New Roman" w:eastAsia="仿宋_GB2312" w:cs="Times New Roman"/>
                <w:color w:val="auto"/>
                <w:kern w:val="0"/>
                <w:szCs w:val="21"/>
                <w:highlight w:val="none"/>
              </w:rPr>
            </w:pPr>
          </w:p>
          <w:p w14:paraId="6E50286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水果制品</w:t>
            </w:r>
          </w:p>
          <w:p w14:paraId="7AD94FC0">
            <w:pPr>
              <w:widowControl/>
              <w:spacing w:line="300" w:lineRule="exact"/>
              <w:jc w:val="center"/>
              <w:rPr>
                <w:rFonts w:hint="default" w:ascii="Times New Roman" w:hAnsi="Times New Roman" w:eastAsia="仿宋_GB2312" w:cs="Times New Roman"/>
                <w:color w:val="auto"/>
                <w:kern w:val="0"/>
                <w:szCs w:val="21"/>
                <w:highlight w:val="none"/>
              </w:rPr>
            </w:pPr>
          </w:p>
          <w:p w14:paraId="7B8CA19F">
            <w:pPr>
              <w:widowControl/>
              <w:spacing w:line="300" w:lineRule="exact"/>
              <w:jc w:val="center"/>
              <w:rPr>
                <w:rFonts w:hint="default" w:ascii="Times New Roman" w:hAnsi="Times New Roman" w:eastAsia="仿宋_GB2312" w:cs="Times New Roman"/>
                <w:color w:val="auto"/>
                <w:kern w:val="0"/>
                <w:szCs w:val="21"/>
                <w:highlight w:val="none"/>
              </w:rPr>
            </w:pPr>
          </w:p>
          <w:p w14:paraId="18AB96A0">
            <w:pPr>
              <w:widowControl/>
              <w:spacing w:line="300" w:lineRule="exact"/>
              <w:jc w:val="center"/>
              <w:rPr>
                <w:rFonts w:hint="default" w:ascii="Times New Roman" w:hAnsi="Times New Roman" w:eastAsia="仿宋_GB2312" w:cs="Times New Roman"/>
                <w:color w:val="auto"/>
                <w:kern w:val="0"/>
                <w:szCs w:val="21"/>
                <w:highlight w:val="none"/>
              </w:rPr>
            </w:pPr>
          </w:p>
          <w:p w14:paraId="698A46D7">
            <w:pPr>
              <w:widowControl/>
              <w:spacing w:line="300" w:lineRule="exact"/>
              <w:jc w:val="center"/>
              <w:rPr>
                <w:rFonts w:hint="default" w:ascii="Times New Roman" w:hAnsi="Times New Roman" w:eastAsia="仿宋_GB2312" w:cs="Times New Roman"/>
                <w:color w:val="auto"/>
                <w:kern w:val="0"/>
                <w:szCs w:val="21"/>
                <w:highlight w:val="none"/>
              </w:rPr>
            </w:pPr>
          </w:p>
          <w:p w14:paraId="1F79C86C">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7C7D0DE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蜜饯</w:t>
            </w:r>
          </w:p>
        </w:tc>
        <w:tc>
          <w:tcPr>
            <w:tcW w:w="1856" w:type="dxa"/>
            <w:noWrap w:val="0"/>
            <w:vAlign w:val="center"/>
          </w:tcPr>
          <w:p w14:paraId="21B7A32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蜜饯类、凉果类、果脯类、话化类、果糕类</w:t>
            </w:r>
          </w:p>
        </w:tc>
        <w:tc>
          <w:tcPr>
            <w:tcW w:w="1106" w:type="dxa"/>
            <w:noWrap w:val="0"/>
            <w:vAlign w:val="center"/>
          </w:tcPr>
          <w:p w14:paraId="29B8CBC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0E53C66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脱氢乙酸及其钠盐（以脱氢乙酸计）、防腐剂混合使用时各自用量占其最大使用量的比例之和、糖精钠（以糖精计）、甜蜜素（以环己基氨基磺酸计）、安赛蜜、二氧化硫残留量、合成着色剂（亮蓝、柠檬黄、日落黄、苋菜红、胭脂红、诱惑红、喹啉黄、赤藓红）、相同色泽着色剂混合使用时各自用量占其最大使用量的比例之和、乙二胺四乙酸二钠、菌落总数、大肠菌群、霉菌</w:t>
            </w:r>
          </w:p>
        </w:tc>
        <w:tc>
          <w:tcPr>
            <w:tcW w:w="3435" w:type="dxa"/>
            <w:noWrap w:val="0"/>
            <w:vAlign w:val="center"/>
          </w:tcPr>
          <w:p w14:paraId="1DC4B83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二氧化钛</w:t>
            </w:r>
          </w:p>
        </w:tc>
      </w:tr>
      <w:tr w14:paraId="768D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8" w:hRule="atLeast"/>
        </w:trPr>
        <w:tc>
          <w:tcPr>
            <w:tcW w:w="720" w:type="dxa"/>
            <w:vMerge w:val="continue"/>
            <w:noWrap w:val="0"/>
            <w:vAlign w:val="center"/>
          </w:tcPr>
          <w:p w14:paraId="7E1F9EC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1DBCB6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367F38A">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41D849C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水果干制品</w:t>
            </w:r>
          </w:p>
        </w:tc>
        <w:tc>
          <w:tcPr>
            <w:tcW w:w="1856" w:type="dxa"/>
            <w:noWrap w:val="0"/>
            <w:vAlign w:val="center"/>
          </w:tcPr>
          <w:p w14:paraId="210CC22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水果干制品（含干枸杞）</w:t>
            </w:r>
          </w:p>
        </w:tc>
        <w:tc>
          <w:tcPr>
            <w:tcW w:w="1106" w:type="dxa"/>
            <w:noWrap w:val="0"/>
            <w:vAlign w:val="center"/>
          </w:tcPr>
          <w:p w14:paraId="3E55E5B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7168E8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啶虫脒、吡虫啉、克百威、氯氟氰菊酯和高效氯氟氰菊酯、氯氰菊酯和高效氯氰菊酯、苯甲酸及其钠盐（以苯甲酸计）、山梨酸及其钾盐（以山梨酸计）、脱氢乙酸及其钠盐（以脱氢乙酸计）、糖精钠（以糖精计）、二氧化硫残留量、合成着色剂（亮蓝、柠檬黄、日落黄、苋菜红、胭脂红、诱惑红、喹啉黄、赤藓红）、相同色泽着色剂混合使用时各自用量占其最大使用量的比例之和、菌落总数、大肠菌群</w:t>
            </w:r>
          </w:p>
        </w:tc>
        <w:tc>
          <w:tcPr>
            <w:tcW w:w="3435" w:type="dxa"/>
            <w:noWrap w:val="0"/>
            <w:vAlign w:val="center"/>
          </w:tcPr>
          <w:p w14:paraId="41A1FE9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霉菌、展青霉素</w:t>
            </w:r>
          </w:p>
        </w:tc>
      </w:tr>
      <w:tr w14:paraId="186F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683790B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8A805D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C1B47A1">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0712B1D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果酱</w:t>
            </w:r>
          </w:p>
        </w:tc>
        <w:tc>
          <w:tcPr>
            <w:tcW w:w="1856" w:type="dxa"/>
            <w:noWrap w:val="0"/>
            <w:vAlign w:val="center"/>
          </w:tcPr>
          <w:p w14:paraId="2C93DFA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果酱</w:t>
            </w:r>
          </w:p>
        </w:tc>
        <w:tc>
          <w:tcPr>
            <w:tcW w:w="1106" w:type="dxa"/>
            <w:noWrap w:val="0"/>
            <w:vAlign w:val="center"/>
          </w:tcPr>
          <w:p w14:paraId="646938F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51C485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脱氢乙酸及其钠盐（以脱氢乙酸计）、二氧化硫残留量、菌落总数、大肠菌群、霉菌、商业无菌</w:t>
            </w:r>
          </w:p>
        </w:tc>
        <w:tc>
          <w:tcPr>
            <w:tcW w:w="3435" w:type="dxa"/>
            <w:noWrap w:val="0"/>
            <w:vAlign w:val="center"/>
          </w:tcPr>
          <w:p w14:paraId="5B7FE5F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山梨酸及其钾盐（以山梨酸计）、三氯蔗糖、合成着色剂（亮蓝、柠檬黄、日落黄、苋菜红、胭脂红、诱惑红、喹啉黄、赤藓红）</w:t>
            </w:r>
          </w:p>
        </w:tc>
      </w:tr>
      <w:tr w14:paraId="777E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6" w:hRule="atLeast"/>
        </w:trPr>
        <w:tc>
          <w:tcPr>
            <w:tcW w:w="720" w:type="dxa"/>
            <w:vMerge w:val="restart"/>
            <w:noWrap w:val="0"/>
            <w:vAlign w:val="center"/>
          </w:tcPr>
          <w:p w14:paraId="1FDE9C6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18</w:t>
            </w:r>
          </w:p>
        </w:tc>
        <w:tc>
          <w:tcPr>
            <w:tcW w:w="1107" w:type="dxa"/>
            <w:vMerge w:val="restart"/>
            <w:noWrap w:val="0"/>
            <w:vAlign w:val="center"/>
          </w:tcPr>
          <w:p w14:paraId="186F3A1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炒货食品及坚果制品</w:t>
            </w:r>
          </w:p>
        </w:tc>
        <w:tc>
          <w:tcPr>
            <w:tcW w:w="1256" w:type="dxa"/>
            <w:vMerge w:val="restart"/>
            <w:noWrap w:val="0"/>
            <w:vAlign w:val="center"/>
          </w:tcPr>
          <w:p w14:paraId="4601B34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炒货食品及坚果制品</w:t>
            </w:r>
          </w:p>
        </w:tc>
        <w:tc>
          <w:tcPr>
            <w:tcW w:w="1144" w:type="dxa"/>
            <w:vMerge w:val="restart"/>
            <w:noWrap w:val="0"/>
            <w:vAlign w:val="center"/>
          </w:tcPr>
          <w:p w14:paraId="5B19B4C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炒货食品及坚果制品（ 烘炒类、油炸类、其他类）</w:t>
            </w:r>
          </w:p>
        </w:tc>
        <w:tc>
          <w:tcPr>
            <w:tcW w:w="1856" w:type="dxa"/>
            <w:noWrap w:val="0"/>
            <w:vAlign w:val="center"/>
          </w:tcPr>
          <w:p w14:paraId="5355893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瓜子</w:t>
            </w:r>
          </w:p>
        </w:tc>
        <w:tc>
          <w:tcPr>
            <w:tcW w:w="1106" w:type="dxa"/>
            <w:noWrap w:val="0"/>
            <w:vAlign w:val="center"/>
          </w:tcPr>
          <w:p w14:paraId="10F2CED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8F6D71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酸价（以脂肪计）（KOH）、过氧化值（以脂肪计）、黄曲霉毒素B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、苯甲酸及其钠盐（以苯甲酸计）、山梨酸及其钾盐（以山梨酸计）、二氧化硫残留量、大肠菌群、霉菌</w:t>
            </w:r>
          </w:p>
        </w:tc>
        <w:tc>
          <w:tcPr>
            <w:tcW w:w="3435" w:type="dxa"/>
            <w:noWrap w:val="0"/>
            <w:vAlign w:val="center"/>
          </w:tcPr>
          <w:p w14:paraId="79C9E6A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铅（以Pb计）、脱氢乙酸及其钠盐 </w:t>
            </w:r>
          </w:p>
          <w:p w14:paraId="69E4B4D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（以脱氢乙酸计）、糖精钠（以糖 </w:t>
            </w:r>
          </w:p>
          <w:p w14:paraId="5574529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精计）、甜蜜素（以环己基氨基磺 </w:t>
            </w:r>
          </w:p>
          <w:p w14:paraId="2261E3B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酸计）、安赛蜜</w:t>
            </w:r>
          </w:p>
        </w:tc>
      </w:tr>
      <w:tr w14:paraId="08EB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6B12419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7FE6010">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46E5ED8">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2B9C0DD">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C5A627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花生制品</w:t>
            </w:r>
          </w:p>
        </w:tc>
        <w:tc>
          <w:tcPr>
            <w:tcW w:w="1106" w:type="dxa"/>
            <w:noWrap w:val="0"/>
            <w:vAlign w:val="center"/>
          </w:tcPr>
          <w:p w14:paraId="1131A0F3">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一般</w:t>
            </w:r>
          </w:p>
        </w:tc>
        <w:tc>
          <w:tcPr>
            <w:tcW w:w="4376" w:type="dxa"/>
            <w:noWrap w:val="0"/>
            <w:vAlign w:val="center"/>
          </w:tcPr>
          <w:p w14:paraId="32C825E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酸价（以脂肪计）（KOH）、过氧化值（以脂肪计）、黄曲霉毒素B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、苯甲酸及其钠盐（以苯甲酸计）、山梨酸及其钾盐（以山梨酸计）、二氧化硫残留量、大肠菌群、霉菌</w:t>
            </w:r>
          </w:p>
        </w:tc>
        <w:tc>
          <w:tcPr>
            <w:tcW w:w="3435" w:type="dxa"/>
            <w:noWrap w:val="0"/>
            <w:vAlign w:val="center"/>
          </w:tcPr>
          <w:p w14:paraId="36A9579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铅（以Pb计）、脱氢乙酸及其钠盐 </w:t>
            </w:r>
          </w:p>
          <w:p w14:paraId="79B6F69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（以脱氢乙酸计）、糖精钠（以糖 </w:t>
            </w:r>
          </w:p>
          <w:p w14:paraId="184CD96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精计）、甜蜜素（以环己基氨基磺 </w:t>
            </w:r>
          </w:p>
          <w:p w14:paraId="70047B8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酸计）、安赛蜜</w:t>
            </w:r>
          </w:p>
        </w:tc>
      </w:tr>
      <w:tr w14:paraId="642D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4B880A4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9AF37E9">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94EF851">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2506F75">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4B4022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其他炒货食品及坚果制品</w:t>
            </w:r>
          </w:p>
        </w:tc>
        <w:tc>
          <w:tcPr>
            <w:tcW w:w="1106" w:type="dxa"/>
            <w:noWrap w:val="0"/>
            <w:vAlign w:val="center"/>
          </w:tcPr>
          <w:p w14:paraId="44FA0FE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29745CA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酸价（以脂肪计）（KOH）、过氧化值（以脂肪计）、黄曲霉毒素B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、二氧化硫残留量、大肠菌群、霉菌</w:t>
            </w:r>
          </w:p>
        </w:tc>
        <w:tc>
          <w:tcPr>
            <w:tcW w:w="3435" w:type="dxa"/>
            <w:noWrap w:val="0"/>
            <w:vAlign w:val="center"/>
          </w:tcPr>
          <w:p w14:paraId="1C3FD3C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铅（以Pb计）、脱氢乙酸及其钠盐 </w:t>
            </w:r>
          </w:p>
          <w:p w14:paraId="7B6D89A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（以脱氢乙酸计）、糖精钠（以糖 </w:t>
            </w:r>
          </w:p>
          <w:p w14:paraId="182F793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精计）、甜蜜素（以环己基氨基磺 </w:t>
            </w:r>
          </w:p>
          <w:p w14:paraId="332988B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酸计）、安赛蜜</w:t>
            </w:r>
          </w:p>
        </w:tc>
      </w:tr>
      <w:tr w14:paraId="784BF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3A271785">
            <w:pPr>
              <w:widowControl/>
              <w:spacing w:line="300" w:lineRule="exact"/>
              <w:jc w:val="center"/>
              <w:rPr>
                <w:rFonts w:hint="default" w:ascii="Times New Roman" w:hAnsi="Times New Roman" w:eastAsia="仿宋_GB2312" w:cs="Times New Roman"/>
                <w:color w:val="auto"/>
                <w:kern w:val="0"/>
                <w:szCs w:val="21"/>
                <w:highlight w:val="none"/>
              </w:rPr>
            </w:pPr>
          </w:p>
          <w:p w14:paraId="0BF8720E">
            <w:pPr>
              <w:widowControl/>
              <w:spacing w:line="300" w:lineRule="exact"/>
              <w:jc w:val="center"/>
              <w:rPr>
                <w:rFonts w:hint="default" w:ascii="Times New Roman" w:hAnsi="Times New Roman" w:eastAsia="仿宋_GB2312" w:cs="Times New Roman"/>
                <w:color w:val="auto"/>
                <w:kern w:val="0"/>
                <w:szCs w:val="21"/>
                <w:highlight w:val="none"/>
              </w:rPr>
            </w:pPr>
          </w:p>
          <w:p w14:paraId="21705FF7">
            <w:pPr>
              <w:widowControl/>
              <w:spacing w:line="300" w:lineRule="exact"/>
              <w:jc w:val="center"/>
              <w:rPr>
                <w:rFonts w:hint="default" w:ascii="Times New Roman" w:hAnsi="Times New Roman" w:eastAsia="仿宋_GB2312" w:cs="Times New Roman"/>
                <w:color w:val="auto"/>
                <w:kern w:val="0"/>
                <w:szCs w:val="21"/>
                <w:highlight w:val="none"/>
              </w:rPr>
            </w:pPr>
          </w:p>
          <w:p w14:paraId="4ACC37F8">
            <w:pPr>
              <w:widowControl/>
              <w:spacing w:line="300" w:lineRule="exact"/>
              <w:jc w:val="center"/>
              <w:rPr>
                <w:rFonts w:hint="default" w:ascii="Times New Roman" w:hAnsi="Times New Roman" w:eastAsia="仿宋_GB2312" w:cs="Times New Roman"/>
                <w:color w:val="auto"/>
                <w:kern w:val="0"/>
                <w:szCs w:val="21"/>
                <w:highlight w:val="none"/>
              </w:rPr>
            </w:pPr>
          </w:p>
          <w:p w14:paraId="674A3384">
            <w:pPr>
              <w:widowControl/>
              <w:spacing w:line="300" w:lineRule="exact"/>
              <w:jc w:val="center"/>
              <w:rPr>
                <w:rFonts w:hint="default" w:ascii="Times New Roman" w:hAnsi="Times New Roman" w:eastAsia="仿宋_GB2312" w:cs="Times New Roman"/>
                <w:color w:val="auto"/>
                <w:kern w:val="0"/>
                <w:szCs w:val="21"/>
                <w:highlight w:val="none"/>
              </w:rPr>
            </w:pPr>
          </w:p>
          <w:p w14:paraId="007A51BE">
            <w:pPr>
              <w:widowControl/>
              <w:spacing w:line="300" w:lineRule="exact"/>
              <w:jc w:val="center"/>
              <w:rPr>
                <w:rFonts w:hint="default" w:ascii="Times New Roman" w:hAnsi="Times New Roman" w:eastAsia="仿宋_GB2312" w:cs="Times New Roman"/>
                <w:color w:val="auto"/>
                <w:kern w:val="0"/>
                <w:szCs w:val="21"/>
                <w:highlight w:val="none"/>
              </w:rPr>
            </w:pPr>
          </w:p>
          <w:p w14:paraId="1FCC2B6A">
            <w:pPr>
              <w:widowControl/>
              <w:spacing w:line="300" w:lineRule="exact"/>
              <w:jc w:val="center"/>
              <w:rPr>
                <w:rFonts w:hint="default" w:ascii="Times New Roman" w:hAnsi="Times New Roman" w:eastAsia="仿宋_GB2312" w:cs="Times New Roman"/>
                <w:color w:val="auto"/>
                <w:kern w:val="0"/>
                <w:szCs w:val="21"/>
                <w:highlight w:val="none"/>
              </w:rPr>
            </w:pPr>
          </w:p>
          <w:p w14:paraId="1068BE1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19</w:t>
            </w:r>
          </w:p>
          <w:p w14:paraId="79253B67">
            <w:pPr>
              <w:widowControl/>
              <w:spacing w:line="300" w:lineRule="exact"/>
              <w:jc w:val="center"/>
              <w:rPr>
                <w:rFonts w:hint="default" w:ascii="Times New Roman" w:hAnsi="Times New Roman" w:eastAsia="仿宋_GB2312" w:cs="Times New Roman"/>
                <w:color w:val="auto"/>
                <w:kern w:val="0"/>
                <w:szCs w:val="21"/>
                <w:highlight w:val="none"/>
              </w:rPr>
            </w:pPr>
          </w:p>
          <w:p w14:paraId="350C26CD">
            <w:pPr>
              <w:widowControl/>
              <w:spacing w:line="300" w:lineRule="exact"/>
              <w:jc w:val="center"/>
              <w:rPr>
                <w:rFonts w:hint="default" w:ascii="Times New Roman" w:hAnsi="Times New Roman" w:eastAsia="仿宋_GB2312" w:cs="Times New Roman"/>
                <w:color w:val="auto"/>
                <w:kern w:val="0"/>
                <w:szCs w:val="21"/>
                <w:highlight w:val="none"/>
              </w:rPr>
            </w:pPr>
          </w:p>
          <w:p w14:paraId="21DB223D">
            <w:pPr>
              <w:widowControl/>
              <w:spacing w:line="300" w:lineRule="exact"/>
              <w:jc w:val="center"/>
              <w:rPr>
                <w:rFonts w:hint="default" w:ascii="Times New Roman" w:hAnsi="Times New Roman" w:eastAsia="仿宋_GB2312" w:cs="Times New Roman"/>
                <w:color w:val="auto"/>
                <w:kern w:val="0"/>
                <w:szCs w:val="21"/>
                <w:highlight w:val="none"/>
              </w:rPr>
            </w:pPr>
          </w:p>
          <w:p w14:paraId="029900E9">
            <w:pPr>
              <w:widowControl/>
              <w:spacing w:line="300" w:lineRule="exact"/>
              <w:jc w:val="center"/>
              <w:rPr>
                <w:rFonts w:hint="default" w:ascii="Times New Roman" w:hAnsi="Times New Roman" w:eastAsia="仿宋_GB2312" w:cs="Times New Roman"/>
                <w:color w:val="auto"/>
                <w:kern w:val="0"/>
                <w:szCs w:val="21"/>
                <w:highlight w:val="none"/>
              </w:rPr>
            </w:pPr>
          </w:p>
          <w:p w14:paraId="52214AF4">
            <w:pPr>
              <w:widowControl/>
              <w:spacing w:line="300" w:lineRule="exact"/>
              <w:jc w:val="center"/>
              <w:rPr>
                <w:rFonts w:hint="default" w:ascii="Times New Roman" w:hAnsi="Times New Roman" w:eastAsia="仿宋_GB2312" w:cs="Times New Roman"/>
                <w:color w:val="auto"/>
                <w:kern w:val="0"/>
                <w:szCs w:val="21"/>
                <w:highlight w:val="none"/>
              </w:rPr>
            </w:pPr>
          </w:p>
          <w:p w14:paraId="2FDE879B">
            <w:pPr>
              <w:widowControl/>
              <w:spacing w:line="300" w:lineRule="exact"/>
              <w:jc w:val="center"/>
              <w:rPr>
                <w:rFonts w:hint="default" w:ascii="Times New Roman" w:hAnsi="Times New Roman" w:eastAsia="仿宋_GB2312" w:cs="Times New Roman"/>
                <w:color w:val="auto"/>
                <w:kern w:val="0"/>
                <w:szCs w:val="21"/>
                <w:highlight w:val="none"/>
              </w:rPr>
            </w:pPr>
          </w:p>
          <w:p w14:paraId="58D8A873">
            <w:pPr>
              <w:widowControl/>
              <w:spacing w:line="300" w:lineRule="exact"/>
              <w:jc w:val="center"/>
              <w:rPr>
                <w:rFonts w:hint="default" w:ascii="Times New Roman" w:hAnsi="Times New Roman" w:eastAsia="仿宋_GB2312" w:cs="Times New Roman"/>
                <w:color w:val="auto"/>
                <w:kern w:val="0"/>
                <w:szCs w:val="21"/>
                <w:highlight w:val="none"/>
              </w:rPr>
            </w:pPr>
          </w:p>
          <w:p w14:paraId="7DEFB5D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19</w:t>
            </w:r>
          </w:p>
        </w:tc>
        <w:tc>
          <w:tcPr>
            <w:tcW w:w="1107" w:type="dxa"/>
            <w:vMerge w:val="restart"/>
            <w:noWrap w:val="0"/>
            <w:vAlign w:val="center"/>
          </w:tcPr>
          <w:p w14:paraId="1D0EE6C5">
            <w:pPr>
              <w:widowControl/>
              <w:spacing w:line="300" w:lineRule="exact"/>
              <w:jc w:val="center"/>
              <w:rPr>
                <w:rFonts w:hint="default" w:ascii="Times New Roman" w:hAnsi="Times New Roman" w:eastAsia="仿宋_GB2312" w:cs="Times New Roman"/>
                <w:color w:val="auto"/>
                <w:kern w:val="0"/>
                <w:szCs w:val="21"/>
                <w:highlight w:val="none"/>
              </w:rPr>
            </w:pPr>
          </w:p>
          <w:p w14:paraId="4009A572">
            <w:pPr>
              <w:widowControl/>
              <w:spacing w:line="300" w:lineRule="exact"/>
              <w:jc w:val="center"/>
              <w:rPr>
                <w:rFonts w:hint="default" w:ascii="Times New Roman" w:hAnsi="Times New Roman" w:eastAsia="仿宋_GB2312" w:cs="Times New Roman"/>
                <w:color w:val="auto"/>
                <w:kern w:val="0"/>
                <w:szCs w:val="21"/>
                <w:highlight w:val="none"/>
              </w:rPr>
            </w:pPr>
          </w:p>
          <w:p w14:paraId="2A788DB0">
            <w:pPr>
              <w:widowControl/>
              <w:spacing w:line="300" w:lineRule="exact"/>
              <w:jc w:val="center"/>
              <w:rPr>
                <w:rFonts w:hint="default" w:ascii="Times New Roman" w:hAnsi="Times New Roman" w:eastAsia="仿宋_GB2312" w:cs="Times New Roman"/>
                <w:color w:val="auto"/>
                <w:kern w:val="0"/>
                <w:szCs w:val="21"/>
                <w:highlight w:val="none"/>
              </w:rPr>
            </w:pPr>
          </w:p>
          <w:p w14:paraId="1C55A043">
            <w:pPr>
              <w:widowControl/>
              <w:spacing w:line="300" w:lineRule="exact"/>
              <w:jc w:val="center"/>
              <w:rPr>
                <w:rFonts w:hint="default" w:ascii="Times New Roman" w:hAnsi="Times New Roman" w:eastAsia="仿宋_GB2312" w:cs="Times New Roman"/>
                <w:color w:val="auto"/>
                <w:kern w:val="0"/>
                <w:szCs w:val="21"/>
                <w:highlight w:val="none"/>
              </w:rPr>
            </w:pPr>
          </w:p>
          <w:p w14:paraId="3C5DD45C">
            <w:pPr>
              <w:widowControl/>
              <w:spacing w:line="300" w:lineRule="exact"/>
              <w:jc w:val="center"/>
              <w:rPr>
                <w:rFonts w:hint="default" w:ascii="Times New Roman" w:hAnsi="Times New Roman" w:eastAsia="仿宋_GB2312" w:cs="Times New Roman"/>
                <w:color w:val="auto"/>
                <w:kern w:val="0"/>
                <w:szCs w:val="21"/>
                <w:highlight w:val="none"/>
              </w:rPr>
            </w:pPr>
          </w:p>
          <w:p w14:paraId="23730A4A">
            <w:pPr>
              <w:widowControl/>
              <w:spacing w:line="300" w:lineRule="exact"/>
              <w:jc w:val="center"/>
              <w:rPr>
                <w:rFonts w:hint="default" w:ascii="Times New Roman" w:hAnsi="Times New Roman" w:eastAsia="仿宋_GB2312" w:cs="Times New Roman"/>
                <w:color w:val="auto"/>
                <w:kern w:val="0"/>
                <w:szCs w:val="21"/>
                <w:highlight w:val="none"/>
              </w:rPr>
            </w:pPr>
          </w:p>
          <w:p w14:paraId="23F2BBFE">
            <w:pPr>
              <w:widowControl/>
              <w:spacing w:line="300" w:lineRule="exact"/>
              <w:jc w:val="center"/>
              <w:rPr>
                <w:rFonts w:hint="default" w:ascii="Times New Roman" w:hAnsi="Times New Roman" w:eastAsia="仿宋_GB2312" w:cs="Times New Roman"/>
                <w:color w:val="auto"/>
                <w:kern w:val="0"/>
                <w:szCs w:val="21"/>
                <w:highlight w:val="none"/>
              </w:rPr>
            </w:pPr>
          </w:p>
          <w:p w14:paraId="5208105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蛋制品</w:t>
            </w:r>
          </w:p>
          <w:p w14:paraId="59EBDEDB">
            <w:pPr>
              <w:widowControl/>
              <w:spacing w:line="300" w:lineRule="exact"/>
              <w:jc w:val="center"/>
              <w:rPr>
                <w:rFonts w:hint="default" w:ascii="Times New Roman" w:hAnsi="Times New Roman" w:eastAsia="仿宋_GB2312" w:cs="Times New Roman"/>
                <w:color w:val="auto"/>
                <w:kern w:val="0"/>
                <w:szCs w:val="21"/>
                <w:highlight w:val="none"/>
              </w:rPr>
            </w:pPr>
          </w:p>
          <w:p w14:paraId="618B9129">
            <w:pPr>
              <w:widowControl/>
              <w:spacing w:line="300" w:lineRule="exact"/>
              <w:jc w:val="center"/>
              <w:rPr>
                <w:rFonts w:hint="default" w:ascii="Times New Roman" w:hAnsi="Times New Roman" w:eastAsia="仿宋_GB2312" w:cs="Times New Roman"/>
                <w:color w:val="auto"/>
                <w:kern w:val="0"/>
                <w:szCs w:val="21"/>
                <w:highlight w:val="none"/>
              </w:rPr>
            </w:pPr>
          </w:p>
          <w:p w14:paraId="059CE361">
            <w:pPr>
              <w:widowControl/>
              <w:spacing w:line="300" w:lineRule="exact"/>
              <w:jc w:val="center"/>
              <w:rPr>
                <w:rFonts w:hint="default" w:ascii="Times New Roman" w:hAnsi="Times New Roman" w:eastAsia="仿宋_GB2312" w:cs="Times New Roman"/>
                <w:color w:val="auto"/>
                <w:kern w:val="0"/>
                <w:szCs w:val="21"/>
                <w:highlight w:val="none"/>
              </w:rPr>
            </w:pPr>
          </w:p>
          <w:p w14:paraId="5446E4C2">
            <w:pPr>
              <w:widowControl/>
              <w:spacing w:line="300" w:lineRule="exact"/>
              <w:jc w:val="center"/>
              <w:rPr>
                <w:rFonts w:hint="default" w:ascii="Times New Roman" w:hAnsi="Times New Roman" w:eastAsia="仿宋_GB2312" w:cs="Times New Roman"/>
                <w:color w:val="auto"/>
                <w:kern w:val="0"/>
                <w:szCs w:val="21"/>
                <w:highlight w:val="none"/>
              </w:rPr>
            </w:pPr>
          </w:p>
          <w:p w14:paraId="4461E436">
            <w:pPr>
              <w:widowControl/>
              <w:spacing w:line="300" w:lineRule="exact"/>
              <w:jc w:val="center"/>
              <w:rPr>
                <w:rFonts w:hint="default" w:ascii="Times New Roman" w:hAnsi="Times New Roman" w:eastAsia="仿宋_GB2312" w:cs="Times New Roman"/>
                <w:color w:val="auto"/>
                <w:kern w:val="0"/>
                <w:szCs w:val="21"/>
                <w:highlight w:val="none"/>
              </w:rPr>
            </w:pPr>
          </w:p>
          <w:p w14:paraId="0FC817CA">
            <w:pPr>
              <w:widowControl/>
              <w:spacing w:line="300" w:lineRule="exact"/>
              <w:jc w:val="center"/>
              <w:rPr>
                <w:rFonts w:hint="default" w:ascii="Times New Roman" w:hAnsi="Times New Roman" w:eastAsia="仿宋_GB2312" w:cs="Times New Roman"/>
                <w:color w:val="auto"/>
                <w:kern w:val="0"/>
                <w:szCs w:val="21"/>
                <w:highlight w:val="none"/>
              </w:rPr>
            </w:pPr>
          </w:p>
          <w:p w14:paraId="2EC74D37">
            <w:pPr>
              <w:widowControl/>
              <w:spacing w:line="300" w:lineRule="exact"/>
              <w:jc w:val="both"/>
              <w:rPr>
                <w:rFonts w:hint="default" w:ascii="Times New Roman" w:hAnsi="Times New Roman" w:eastAsia="仿宋_GB2312" w:cs="Times New Roman"/>
                <w:color w:val="auto"/>
                <w:kern w:val="0"/>
                <w:szCs w:val="21"/>
                <w:highlight w:val="none"/>
              </w:rPr>
            </w:pPr>
          </w:p>
          <w:p w14:paraId="7EDCDD7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蛋制品</w:t>
            </w:r>
          </w:p>
        </w:tc>
        <w:tc>
          <w:tcPr>
            <w:tcW w:w="1256" w:type="dxa"/>
            <w:vMerge w:val="restart"/>
            <w:noWrap w:val="0"/>
            <w:vAlign w:val="center"/>
          </w:tcPr>
          <w:p w14:paraId="62EFF864">
            <w:pPr>
              <w:widowControl/>
              <w:spacing w:line="300" w:lineRule="exact"/>
              <w:jc w:val="center"/>
              <w:rPr>
                <w:rFonts w:hint="default" w:ascii="Times New Roman" w:hAnsi="Times New Roman" w:eastAsia="仿宋_GB2312" w:cs="Times New Roman"/>
                <w:color w:val="auto"/>
                <w:kern w:val="0"/>
                <w:szCs w:val="21"/>
                <w:highlight w:val="none"/>
              </w:rPr>
            </w:pPr>
          </w:p>
          <w:p w14:paraId="3E4A26CC">
            <w:pPr>
              <w:widowControl/>
              <w:spacing w:line="300" w:lineRule="exact"/>
              <w:jc w:val="center"/>
              <w:rPr>
                <w:rFonts w:hint="default" w:ascii="Times New Roman" w:hAnsi="Times New Roman" w:eastAsia="仿宋_GB2312" w:cs="Times New Roman"/>
                <w:color w:val="auto"/>
                <w:kern w:val="0"/>
                <w:szCs w:val="21"/>
                <w:highlight w:val="none"/>
              </w:rPr>
            </w:pPr>
          </w:p>
          <w:p w14:paraId="48A5DC12">
            <w:pPr>
              <w:widowControl/>
              <w:spacing w:line="300" w:lineRule="exact"/>
              <w:jc w:val="center"/>
              <w:rPr>
                <w:rFonts w:hint="default" w:ascii="Times New Roman" w:hAnsi="Times New Roman" w:eastAsia="仿宋_GB2312" w:cs="Times New Roman"/>
                <w:color w:val="auto"/>
                <w:kern w:val="0"/>
                <w:szCs w:val="21"/>
                <w:highlight w:val="none"/>
              </w:rPr>
            </w:pPr>
          </w:p>
          <w:p w14:paraId="416B9465">
            <w:pPr>
              <w:widowControl/>
              <w:spacing w:line="300" w:lineRule="exact"/>
              <w:jc w:val="center"/>
              <w:rPr>
                <w:rFonts w:hint="default" w:ascii="Times New Roman" w:hAnsi="Times New Roman" w:eastAsia="仿宋_GB2312" w:cs="Times New Roman"/>
                <w:color w:val="auto"/>
                <w:kern w:val="0"/>
                <w:szCs w:val="21"/>
                <w:highlight w:val="none"/>
              </w:rPr>
            </w:pPr>
          </w:p>
          <w:p w14:paraId="4258458B">
            <w:pPr>
              <w:widowControl/>
              <w:spacing w:line="300" w:lineRule="exact"/>
              <w:jc w:val="center"/>
              <w:rPr>
                <w:rFonts w:hint="default" w:ascii="Times New Roman" w:hAnsi="Times New Roman" w:eastAsia="仿宋_GB2312" w:cs="Times New Roman"/>
                <w:color w:val="auto"/>
                <w:kern w:val="0"/>
                <w:szCs w:val="21"/>
                <w:highlight w:val="none"/>
              </w:rPr>
            </w:pPr>
          </w:p>
          <w:p w14:paraId="7914292A">
            <w:pPr>
              <w:widowControl/>
              <w:spacing w:line="300" w:lineRule="exact"/>
              <w:jc w:val="center"/>
              <w:rPr>
                <w:rFonts w:hint="default" w:ascii="Times New Roman" w:hAnsi="Times New Roman" w:eastAsia="仿宋_GB2312" w:cs="Times New Roman"/>
                <w:color w:val="auto"/>
                <w:kern w:val="0"/>
                <w:szCs w:val="21"/>
                <w:highlight w:val="none"/>
              </w:rPr>
            </w:pPr>
          </w:p>
          <w:p w14:paraId="1D127323">
            <w:pPr>
              <w:widowControl/>
              <w:spacing w:line="300" w:lineRule="exact"/>
              <w:jc w:val="center"/>
              <w:rPr>
                <w:rFonts w:hint="default" w:ascii="Times New Roman" w:hAnsi="Times New Roman" w:eastAsia="仿宋_GB2312" w:cs="Times New Roman"/>
                <w:color w:val="auto"/>
                <w:kern w:val="0"/>
                <w:szCs w:val="21"/>
                <w:highlight w:val="none"/>
              </w:rPr>
            </w:pPr>
          </w:p>
          <w:p w14:paraId="4889D04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蛋制品</w:t>
            </w:r>
          </w:p>
          <w:p w14:paraId="3D64ABF6">
            <w:pPr>
              <w:widowControl/>
              <w:spacing w:line="300" w:lineRule="exact"/>
              <w:jc w:val="center"/>
              <w:rPr>
                <w:rFonts w:hint="default" w:ascii="Times New Roman" w:hAnsi="Times New Roman" w:eastAsia="仿宋_GB2312" w:cs="Times New Roman"/>
                <w:color w:val="auto"/>
                <w:kern w:val="0"/>
                <w:szCs w:val="21"/>
                <w:highlight w:val="none"/>
              </w:rPr>
            </w:pPr>
          </w:p>
          <w:p w14:paraId="1747435B">
            <w:pPr>
              <w:widowControl/>
              <w:spacing w:line="300" w:lineRule="exact"/>
              <w:jc w:val="center"/>
              <w:rPr>
                <w:rFonts w:hint="default" w:ascii="Times New Roman" w:hAnsi="Times New Roman" w:eastAsia="仿宋_GB2312" w:cs="Times New Roman"/>
                <w:color w:val="auto"/>
                <w:kern w:val="0"/>
                <w:szCs w:val="21"/>
                <w:highlight w:val="none"/>
              </w:rPr>
            </w:pPr>
          </w:p>
          <w:p w14:paraId="1CCC97AC">
            <w:pPr>
              <w:widowControl/>
              <w:spacing w:line="300" w:lineRule="exact"/>
              <w:jc w:val="center"/>
              <w:rPr>
                <w:rFonts w:hint="default" w:ascii="Times New Roman" w:hAnsi="Times New Roman" w:eastAsia="仿宋_GB2312" w:cs="Times New Roman"/>
                <w:color w:val="auto"/>
                <w:kern w:val="0"/>
                <w:szCs w:val="21"/>
                <w:highlight w:val="none"/>
              </w:rPr>
            </w:pPr>
          </w:p>
          <w:p w14:paraId="0AC264FC">
            <w:pPr>
              <w:widowControl/>
              <w:spacing w:line="300" w:lineRule="exact"/>
              <w:jc w:val="center"/>
              <w:rPr>
                <w:rFonts w:hint="default" w:ascii="Times New Roman" w:hAnsi="Times New Roman" w:eastAsia="仿宋_GB2312" w:cs="Times New Roman"/>
                <w:color w:val="auto"/>
                <w:kern w:val="0"/>
                <w:szCs w:val="21"/>
                <w:highlight w:val="none"/>
              </w:rPr>
            </w:pPr>
          </w:p>
          <w:p w14:paraId="125C8450">
            <w:pPr>
              <w:widowControl/>
              <w:spacing w:line="300" w:lineRule="exact"/>
              <w:jc w:val="center"/>
              <w:rPr>
                <w:rFonts w:hint="default" w:ascii="Times New Roman" w:hAnsi="Times New Roman" w:eastAsia="仿宋_GB2312" w:cs="Times New Roman"/>
                <w:color w:val="auto"/>
                <w:kern w:val="0"/>
                <w:szCs w:val="21"/>
                <w:highlight w:val="none"/>
              </w:rPr>
            </w:pPr>
          </w:p>
          <w:p w14:paraId="2E290BD0">
            <w:pPr>
              <w:widowControl/>
              <w:spacing w:line="300" w:lineRule="exact"/>
              <w:jc w:val="center"/>
              <w:rPr>
                <w:rFonts w:hint="default" w:ascii="Times New Roman" w:hAnsi="Times New Roman" w:eastAsia="仿宋_GB2312" w:cs="Times New Roman"/>
                <w:color w:val="auto"/>
                <w:kern w:val="0"/>
                <w:szCs w:val="21"/>
                <w:highlight w:val="none"/>
              </w:rPr>
            </w:pPr>
          </w:p>
          <w:p w14:paraId="4E2C5E1C">
            <w:pPr>
              <w:widowControl/>
              <w:spacing w:line="300" w:lineRule="exact"/>
              <w:jc w:val="both"/>
              <w:rPr>
                <w:rFonts w:hint="default" w:ascii="Times New Roman" w:hAnsi="Times New Roman" w:eastAsia="仿宋_GB2312" w:cs="Times New Roman"/>
                <w:color w:val="auto"/>
                <w:kern w:val="0"/>
                <w:szCs w:val="21"/>
                <w:highlight w:val="none"/>
              </w:rPr>
            </w:pPr>
          </w:p>
          <w:p w14:paraId="5F783D7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蛋制品</w:t>
            </w:r>
          </w:p>
        </w:tc>
        <w:tc>
          <w:tcPr>
            <w:tcW w:w="1144" w:type="dxa"/>
            <w:noWrap w:val="0"/>
            <w:vAlign w:val="center"/>
          </w:tcPr>
          <w:p w14:paraId="099967C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再制蛋</w:t>
            </w:r>
          </w:p>
        </w:tc>
        <w:tc>
          <w:tcPr>
            <w:tcW w:w="1856" w:type="dxa"/>
            <w:noWrap w:val="0"/>
            <w:vAlign w:val="center"/>
          </w:tcPr>
          <w:p w14:paraId="7433055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再制蛋</w:t>
            </w:r>
          </w:p>
        </w:tc>
        <w:tc>
          <w:tcPr>
            <w:tcW w:w="1106" w:type="dxa"/>
            <w:noWrap w:val="0"/>
            <w:vAlign w:val="center"/>
          </w:tcPr>
          <w:p w14:paraId="6802354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95062D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铅（以Pb计）、苯甲酸及其钠盐（以苯甲酸计）、山梨酸及其钾盐（以山梨酸计）、菌落总数、大肠菌群、沙门氏菌</w:t>
            </w:r>
          </w:p>
        </w:tc>
        <w:tc>
          <w:tcPr>
            <w:tcW w:w="3435" w:type="dxa"/>
            <w:noWrap w:val="0"/>
            <w:vAlign w:val="center"/>
          </w:tcPr>
          <w:p w14:paraId="48ACA8E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520B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720" w:type="dxa"/>
            <w:vMerge w:val="continue"/>
            <w:noWrap w:val="0"/>
            <w:vAlign w:val="center"/>
          </w:tcPr>
          <w:p w14:paraId="29A53EBE">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812745F">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3F38821">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48F6421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干蛋类</w:t>
            </w:r>
          </w:p>
        </w:tc>
        <w:tc>
          <w:tcPr>
            <w:tcW w:w="1856" w:type="dxa"/>
            <w:noWrap w:val="0"/>
            <w:vAlign w:val="center"/>
          </w:tcPr>
          <w:p w14:paraId="5BF4DB4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干蛋类</w:t>
            </w:r>
          </w:p>
        </w:tc>
        <w:tc>
          <w:tcPr>
            <w:tcW w:w="1106" w:type="dxa"/>
            <w:noWrap w:val="0"/>
            <w:vAlign w:val="center"/>
          </w:tcPr>
          <w:p w14:paraId="3FD2CED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20BB260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菌落总数、大肠菌群、沙门氏菌</w:t>
            </w:r>
          </w:p>
        </w:tc>
        <w:tc>
          <w:tcPr>
            <w:tcW w:w="3435" w:type="dxa"/>
            <w:noWrap w:val="0"/>
            <w:vAlign w:val="center"/>
          </w:tcPr>
          <w:p w14:paraId="6C86EED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2170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720" w:type="dxa"/>
            <w:vMerge w:val="continue"/>
            <w:noWrap w:val="0"/>
            <w:vAlign w:val="center"/>
          </w:tcPr>
          <w:p w14:paraId="735A82A1">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5F83E0F">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704AF64">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76F826E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冰蛋类</w:t>
            </w:r>
          </w:p>
        </w:tc>
        <w:tc>
          <w:tcPr>
            <w:tcW w:w="1856" w:type="dxa"/>
            <w:noWrap w:val="0"/>
            <w:vAlign w:val="center"/>
          </w:tcPr>
          <w:p w14:paraId="5FE3B87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冰蛋类</w:t>
            </w:r>
          </w:p>
        </w:tc>
        <w:tc>
          <w:tcPr>
            <w:tcW w:w="1106" w:type="dxa"/>
            <w:noWrap w:val="0"/>
            <w:vAlign w:val="center"/>
          </w:tcPr>
          <w:p w14:paraId="45D2EC1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032E09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菌落总数、大肠菌群、沙门氏菌</w:t>
            </w:r>
          </w:p>
        </w:tc>
        <w:tc>
          <w:tcPr>
            <w:tcW w:w="3435" w:type="dxa"/>
            <w:noWrap w:val="0"/>
            <w:vAlign w:val="center"/>
          </w:tcPr>
          <w:p w14:paraId="0DAFBDD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44A5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15F7B506">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92C084F">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0E73511">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5CBCFF9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液蛋制品</w:t>
            </w:r>
          </w:p>
        </w:tc>
        <w:tc>
          <w:tcPr>
            <w:tcW w:w="1856" w:type="dxa"/>
            <w:noWrap w:val="0"/>
            <w:vAlign w:val="center"/>
          </w:tcPr>
          <w:p w14:paraId="65BD9E5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液蛋制品</w:t>
            </w:r>
          </w:p>
        </w:tc>
        <w:tc>
          <w:tcPr>
            <w:tcW w:w="1106" w:type="dxa"/>
            <w:noWrap w:val="0"/>
            <w:vAlign w:val="center"/>
          </w:tcPr>
          <w:p w14:paraId="0190523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5DE3489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铅（以Pb计）、苯甲酸及其钠盐（以苯甲酸计）、山梨酸及其钾盐（以山梨酸计）、脱氢乙酸及其钠盐（以脱氢乙酸计）、菌落总数、大肠菌群</w:t>
            </w:r>
          </w:p>
        </w:tc>
        <w:tc>
          <w:tcPr>
            <w:tcW w:w="3435" w:type="dxa"/>
            <w:noWrap w:val="0"/>
            <w:vAlign w:val="center"/>
          </w:tcPr>
          <w:p w14:paraId="09378E4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沙门氏菌</w:t>
            </w:r>
          </w:p>
        </w:tc>
      </w:tr>
      <w:tr w14:paraId="2990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494113E9">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81CF323">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5F43129">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5838F6A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热凝固蛋制品</w:t>
            </w:r>
          </w:p>
        </w:tc>
        <w:tc>
          <w:tcPr>
            <w:tcW w:w="1856" w:type="dxa"/>
            <w:noWrap w:val="0"/>
            <w:vAlign w:val="center"/>
          </w:tcPr>
          <w:p w14:paraId="6F9A8A8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热凝固蛋制品</w:t>
            </w:r>
          </w:p>
        </w:tc>
        <w:tc>
          <w:tcPr>
            <w:tcW w:w="1106" w:type="dxa"/>
            <w:noWrap w:val="0"/>
            <w:vAlign w:val="center"/>
          </w:tcPr>
          <w:p w14:paraId="7951221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0065E69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铅（以Pb计）、苯甲酸及其钠盐（以苯甲酸计）、山梨酸及其钾盐（以山梨酸计）、脱氢乙酸及其钠盐（以脱氢乙酸计）、菌落总数、大肠菌群</w:t>
            </w:r>
          </w:p>
        </w:tc>
        <w:tc>
          <w:tcPr>
            <w:tcW w:w="3435" w:type="dxa"/>
            <w:noWrap w:val="0"/>
            <w:vAlign w:val="center"/>
          </w:tcPr>
          <w:p w14:paraId="4353EC5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沙门氏菌</w:t>
            </w:r>
          </w:p>
        </w:tc>
      </w:tr>
      <w:tr w14:paraId="3AAD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92F4186">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8DEE61A">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DF2BC26">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117875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其他类</w:t>
            </w:r>
          </w:p>
        </w:tc>
        <w:tc>
          <w:tcPr>
            <w:tcW w:w="1856" w:type="dxa"/>
            <w:noWrap w:val="0"/>
            <w:vAlign w:val="center"/>
          </w:tcPr>
          <w:p w14:paraId="2097FEB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其他类</w:t>
            </w:r>
          </w:p>
        </w:tc>
        <w:tc>
          <w:tcPr>
            <w:tcW w:w="1106" w:type="dxa"/>
            <w:noWrap w:val="0"/>
            <w:vAlign w:val="center"/>
          </w:tcPr>
          <w:p w14:paraId="35D7501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0B9263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铅（以Pb计）、苯甲酸及其钠盐（以苯甲酸计）、山梨酸及其钾盐（以山梨酸计）、脱氢乙酸及其钠盐（以脱氢乙酸计）、菌落总数、大肠菌群</w:t>
            </w:r>
          </w:p>
        </w:tc>
        <w:tc>
          <w:tcPr>
            <w:tcW w:w="3435" w:type="dxa"/>
            <w:noWrap w:val="0"/>
            <w:vAlign w:val="center"/>
          </w:tcPr>
          <w:p w14:paraId="26063D7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沙门氏菌</w:t>
            </w:r>
          </w:p>
        </w:tc>
      </w:tr>
      <w:tr w14:paraId="6C75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720" w:type="dxa"/>
            <w:vMerge w:val="restart"/>
            <w:noWrap w:val="0"/>
            <w:vAlign w:val="center"/>
          </w:tcPr>
          <w:p w14:paraId="4B15800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20</w:t>
            </w:r>
          </w:p>
        </w:tc>
        <w:tc>
          <w:tcPr>
            <w:tcW w:w="1107" w:type="dxa"/>
            <w:vMerge w:val="restart"/>
            <w:noWrap w:val="0"/>
            <w:vAlign w:val="center"/>
          </w:tcPr>
          <w:p w14:paraId="37482D2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可可及焙烤咖啡产品</w:t>
            </w:r>
          </w:p>
        </w:tc>
        <w:tc>
          <w:tcPr>
            <w:tcW w:w="1256" w:type="dxa"/>
            <w:noWrap w:val="0"/>
            <w:vAlign w:val="center"/>
          </w:tcPr>
          <w:p w14:paraId="7975E2A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焙炒咖啡</w:t>
            </w:r>
          </w:p>
        </w:tc>
        <w:tc>
          <w:tcPr>
            <w:tcW w:w="1144" w:type="dxa"/>
            <w:noWrap w:val="0"/>
            <w:vAlign w:val="center"/>
          </w:tcPr>
          <w:p w14:paraId="57C2F6E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焙炒咖啡</w:t>
            </w:r>
          </w:p>
        </w:tc>
        <w:tc>
          <w:tcPr>
            <w:tcW w:w="1856" w:type="dxa"/>
            <w:noWrap w:val="0"/>
            <w:vAlign w:val="center"/>
          </w:tcPr>
          <w:p w14:paraId="249CD1F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焙炒咖啡</w:t>
            </w:r>
          </w:p>
        </w:tc>
        <w:tc>
          <w:tcPr>
            <w:tcW w:w="1106" w:type="dxa"/>
            <w:noWrap w:val="0"/>
            <w:vAlign w:val="center"/>
          </w:tcPr>
          <w:p w14:paraId="7FA2206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4E01ED1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咖啡因、铅（以Pb计）、赭曲霉毒素A</w:t>
            </w:r>
          </w:p>
        </w:tc>
        <w:tc>
          <w:tcPr>
            <w:tcW w:w="3435" w:type="dxa"/>
            <w:noWrap w:val="0"/>
            <w:vAlign w:val="center"/>
          </w:tcPr>
          <w:p w14:paraId="12E23B3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55C0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720" w:type="dxa"/>
            <w:vMerge w:val="continue"/>
            <w:noWrap w:val="0"/>
            <w:vAlign w:val="center"/>
          </w:tcPr>
          <w:p w14:paraId="1D392AC6">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D01100D">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noWrap w:val="0"/>
            <w:vAlign w:val="center"/>
          </w:tcPr>
          <w:p w14:paraId="636D93E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可可制品</w:t>
            </w:r>
          </w:p>
        </w:tc>
        <w:tc>
          <w:tcPr>
            <w:tcW w:w="1144" w:type="dxa"/>
            <w:noWrap w:val="0"/>
            <w:vAlign w:val="center"/>
          </w:tcPr>
          <w:p w14:paraId="4FFE066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可可制品</w:t>
            </w:r>
          </w:p>
        </w:tc>
        <w:tc>
          <w:tcPr>
            <w:tcW w:w="1856" w:type="dxa"/>
            <w:noWrap w:val="0"/>
            <w:vAlign w:val="center"/>
          </w:tcPr>
          <w:p w14:paraId="1BF35ED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可可制品</w:t>
            </w:r>
          </w:p>
        </w:tc>
        <w:tc>
          <w:tcPr>
            <w:tcW w:w="1106" w:type="dxa"/>
            <w:noWrap w:val="0"/>
            <w:vAlign w:val="center"/>
          </w:tcPr>
          <w:p w14:paraId="30C6203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1E74D3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铅（以Pb计）、沙门氏菌</w:t>
            </w:r>
          </w:p>
        </w:tc>
        <w:tc>
          <w:tcPr>
            <w:tcW w:w="3435" w:type="dxa"/>
            <w:noWrap w:val="0"/>
            <w:vAlign w:val="center"/>
          </w:tcPr>
          <w:p w14:paraId="1CE192B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2A57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07225F29">
            <w:pPr>
              <w:widowControl/>
              <w:spacing w:line="300" w:lineRule="exact"/>
              <w:jc w:val="center"/>
              <w:rPr>
                <w:rFonts w:hint="default" w:ascii="Times New Roman" w:hAnsi="Times New Roman" w:eastAsia="仿宋_GB2312" w:cs="Times New Roman"/>
                <w:color w:val="auto"/>
                <w:kern w:val="0"/>
                <w:szCs w:val="21"/>
                <w:highlight w:val="none"/>
              </w:rPr>
            </w:pPr>
          </w:p>
          <w:p w14:paraId="612A5D48">
            <w:pPr>
              <w:widowControl/>
              <w:spacing w:line="300" w:lineRule="exact"/>
              <w:jc w:val="center"/>
              <w:rPr>
                <w:rFonts w:hint="default" w:ascii="Times New Roman" w:hAnsi="Times New Roman" w:eastAsia="仿宋_GB2312" w:cs="Times New Roman"/>
                <w:color w:val="auto"/>
                <w:kern w:val="0"/>
                <w:szCs w:val="21"/>
                <w:highlight w:val="none"/>
              </w:rPr>
            </w:pPr>
          </w:p>
          <w:p w14:paraId="21276E8E">
            <w:pPr>
              <w:widowControl/>
              <w:spacing w:line="300" w:lineRule="exact"/>
              <w:jc w:val="center"/>
              <w:rPr>
                <w:rFonts w:hint="default" w:ascii="Times New Roman" w:hAnsi="Times New Roman" w:eastAsia="仿宋_GB2312" w:cs="Times New Roman"/>
                <w:color w:val="auto"/>
                <w:kern w:val="0"/>
                <w:szCs w:val="21"/>
                <w:highlight w:val="none"/>
              </w:rPr>
            </w:pPr>
          </w:p>
          <w:p w14:paraId="62D72755">
            <w:pPr>
              <w:widowControl/>
              <w:spacing w:line="300" w:lineRule="exact"/>
              <w:jc w:val="center"/>
              <w:rPr>
                <w:rFonts w:hint="default" w:ascii="Times New Roman" w:hAnsi="Times New Roman" w:eastAsia="仿宋_GB2312" w:cs="Times New Roman"/>
                <w:color w:val="auto"/>
                <w:kern w:val="0"/>
                <w:szCs w:val="21"/>
                <w:highlight w:val="none"/>
              </w:rPr>
            </w:pPr>
          </w:p>
          <w:p w14:paraId="5C7D1D9D">
            <w:pPr>
              <w:widowControl/>
              <w:spacing w:line="300" w:lineRule="exact"/>
              <w:jc w:val="center"/>
              <w:rPr>
                <w:rFonts w:hint="default" w:ascii="Times New Roman" w:hAnsi="Times New Roman" w:eastAsia="仿宋_GB2312" w:cs="Times New Roman"/>
                <w:color w:val="auto"/>
                <w:kern w:val="0"/>
                <w:szCs w:val="21"/>
                <w:highlight w:val="none"/>
              </w:rPr>
            </w:pPr>
          </w:p>
          <w:p w14:paraId="665D7D98">
            <w:pPr>
              <w:widowControl/>
              <w:spacing w:line="300" w:lineRule="exact"/>
              <w:jc w:val="center"/>
              <w:rPr>
                <w:rFonts w:hint="default" w:ascii="Times New Roman" w:hAnsi="Times New Roman" w:eastAsia="仿宋_GB2312" w:cs="Times New Roman"/>
                <w:color w:val="auto"/>
                <w:kern w:val="0"/>
                <w:szCs w:val="21"/>
                <w:highlight w:val="none"/>
              </w:rPr>
            </w:pPr>
          </w:p>
          <w:p w14:paraId="5658A425">
            <w:pPr>
              <w:widowControl/>
              <w:spacing w:line="300" w:lineRule="exact"/>
              <w:jc w:val="center"/>
              <w:rPr>
                <w:rFonts w:hint="default" w:ascii="Times New Roman" w:hAnsi="Times New Roman" w:eastAsia="仿宋_GB2312" w:cs="Times New Roman"/>
                <w:color w:val="auto"/>
                <w:kern w:val="0"/>
                <w:szCs w:val="21"/>
                <w:highlight w:val="none"/>
              </w:rPr>
            </w:pPr>
          </w:p>
          <w:p w14:paraId="55A42027">
            <w:pPr>
              <w:widowControl/>
              <w:spacing w:line="300" w:lineRule="exact"/>
              <w:jc w:val="center"/>
              <w:rPr>
                <w:rFonts w:hint="default" w:ascii="Times New Roman" w:hAnsi="Times New Roman" w:eastAsia="仿宋_GB2312" w:cs="Times New Roman"/>
                <w:color w:val="auto"/>
                <w:kern w:val="0"/>
                <w:szCs w:val="21"/>
                <w:highlight w:val="none"/>
              </w:rPr>
            </w:pPr>
          </w:p>
          <w:p w14:paraId="2160405B">
            <w:pPr>
              <w:widowControl/>
              <w:spacing w:line="300" w:lineRule="exact"/>
              <w:jc w:val="center"/>
              <w:rPr>
                <w:rFonts w:hint="default" w:ascii="Times New Roman" w:hAnsi="Times New Roman" w:eastAsia="仿宋_GB2312" w:cs="Times New Roman"/>
                <w:color w:val="auto"/>
                <w:kern w:val="0"/>
                <w:szCs w:val="21"/>
                <w:highlight w:val="none"/>
              </w:rPr>
            </w:pPr>
          </w:p>
          <w:p w14:paraId="3BA9D5B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21</w:t>
            </w:r>
          </w:p>
          <w:p w14:paraId="0DFCFCAF">
            <w:pPr>
              <w:widowControl/>
              <w:spacing w:line="300" w:lineRule="exact"/>
              <w:jc w:val="center"/>
              <w:rPr>
                <w:rFonts w:hint="default" w:ascii="Times New Roman" w:hAnsi="Times New Roman" w:eastAsia="仿宋_GB2312" w:cs="Times New Roman"/>
                <w:color w:val="auto"/>
                <w:kern w:val="0"/>
                <w:szCs w:val="21"/>
                <w:highlight w:val="none"/>
              </w:rPr>
            </w:pPr>
          </w:p>
          <w:p w14:paraId="77339F36">
            <w:pPr>
              <w:widowControl/>
              <w:spacing w:line="300" w:lineRule="exact"/>
              <w:jc w:val="center"/>
              <w:rPr>
                <w:rFonts w:hint="default" w:ascii="Times New Roman" w:hAnsi="Times New Roman" w:eastAsia="仿宋_GB2312" w:cs="Times New Roman"/>
                <w:color w:val="auto"/>
                <w:kern w:val="0"/>
                <w:szCs w:val="21"/>
                <w:highlight w:val="none"/>
              </w:rPr>
            </w:pPr>
          </w:p>
          <w:p w14:paraId="1A037AD0">
            <w:pPr>
              <w:widowControl/>
              <w:spacing w:line="300" w:lineRule="exact"/>
              <w:jc w:val="center"/>
              <w:rPr>
                <w:rFonts w:hint="default" w:ascii="Times New Roman" w:hAnsi="Times New Roman" w:eastAsia="仿宋_GB2312" w:cs="Times New Roman"/>
                <w:color w:val="auto"/>
                <w:kern w:val="0"/>
                <w:szCs w:val="21"/>
                <w:highlight w:val="none"/>
              </w:rPr>
            </w:pPr>
          </w:p>
          <w:p w14:paraId="3CDB7527">
            <w:pPr>
              <w:widowControl/>
              <w:spacing w:line="300" w:lineRule="exact"/>
              <w:jc w:val="center"/>
              <w:rPr>
                <w:rFonts w:hint="default" w:ascii="Times New Roman" w:hAnsi="Times New Roman" w:eastAsia="仿宋_GB2312" w:cs="Times New Roman"/>
                <w:color w:val="auto"/>
                <w:kern w:val="0"/>
                <w:szCs w:val="21"/>
                <w:highlight w:val="none"/>
              </w:rPr>
            </w:pPr>
          </w:p>
          <w:p w14:paraId="2BFC5255">
            <w:pPr>
              <w:widowControl/>
              <w:spacing w:line="300" w:lineRule="exact"/>
              <w:jc w:val="center"/>
              <w:rPr>
                <w:rFonts w:hint="default" w:ascii="Times New Roman" w:hAnsi="Times New Roman" w:eastAsia="仿宋_GB2312" w:cs="Times New Roman"/>
                <w:color w:val="auto"/>
                <w:kern w:val="0"/>
                <w:szCs w:val="21"/>
                <w:highlight w:val="none"/>
              </w:rPr>
            </w:pPr>
          </w:p>
          <w:p w14:paraId="44025F29">
            <w:pPr>
              <w:widowControl/>
              <w:spacing w:line="300" w:lineRule="exact"/>
              <w:jc w:val="center"/>
              <w:rPr>
                <w:rFonts w:hint="default" w:ascii="Times New Roman" w:hAnsi="Times New Roman" w:eastAsia="仿宋_GB2312" w:cs="Times New Roman"/>
                <w:color w:val="auto"/>
                <w:kern w:val="0"/>
                <w:szCs w:val="21"/>
                <w:highlight w:val="none"/>
              </w:rPr>
            </w:pPr>
          </w:p>
          <w:p w14:paraId="41BDA572">
            <w:pPr>
              <w:widowControl/>
              <w:spacing w:line="300" w:lineRule="exact"/>
              <w:jc w:val="center"/>
              <w:rPr>
                <w:rFonts w:hint="default" w:ascii="Times New Roman" w:hAnsi="Times New Roman" w:eastAsia="仿宋_GB2312" w:cs="Times New Roman"/>
                <w:color w:val="auto"/>
                <w:kern w:val="0"/>
                <w:szCs w:val="21"/>
                <w:highlight w:val="none"/>
              </w:rPr>
            </w:pPr>
          </w:p>
          <w:p w14:paraId="444FAC51">
            <w:pPr>
              <w:widowControl/>
              <w:spacing w:line="300" w:lineRule="exact"/>
              <w:jc w:val="center"/>
              <w:rPr>
                <w:rFonts w:hint="default" w:ascii="Times New Roman" w:hAnsi="Times New Roman" w:eastAsia="仿宋_GB2312" w:cs="Times New Roman"/>
                <w:color w:val="auto"/>
                <w:kern w:val="0"/>
                <w:szCs w:val="21"/>
                <w:highlight w:val="none"/>
              </w:rPr>
            </w:pPr>
          </w:p>
          <w:p w14:paraId="2B81D34B">
            <w:pPr>
              <w:widowControl/>
              <w:spacing w:line="300" w:lineRule="exact"/>
              <w:jc w:val="center"/>
              <w:rPr>
                <w:rFonts w:hint="default" w:ascii="Times New Roman" w:hAnsi="Times New Roman" w:eastAsia="仿宋_GB2312" w:cs="Times New Roman"/>
                <w:color w:val="auto"/>
                <w:kern w:val="0"/>
                <w:szCs w:val="21"/>
                <w:highlight w:val="none"/>
              </w:rPr>
            </w:pPr>
          </w:p>
          <w:p w14:paraId="554E832E">
            <w:pPr>
              <w:widowControl/>
              <w:spacing w:line="300" w:lineRule="exact"/>
              <w:jc w:val="center"/>
              <w:rPr>
                <w:rFonts w:hint="default" w:ascii="Times New Roman" w:hAnsi="Times New Roman" w:eastAsia="仿宋_GB2312" w:cs="Times New Roman"/>
                <w:color w:val="auto"/>
                <w:kern w:val="0"/>
                <w:szCs w:val="21"/>
                <w:highlight w:val="none"/>
              </w:rPr>
            </w:pPr>
          </w:p>
          <w:p w14:paraId="38268672">
            <w:pPr>
              <w:widowControl/>
              <w:spacing w:line="300" w:lineRule="exact"/>
              <w:jc w:val="center"/>
              <w:rPr>
                <w:rFonts w:hint="default" w:ascii="Times New Roman" w:hAnsi="Times New Roman" w:eastAsia="仿宋_GB2312" w:cs="Times New Roman"/>
                <w:color w:val="auto"/>
                <w:kern w:val="0"/>
                <w:szCs w:val="21"/>
                <w:highlight w:val="none"/>
              </w:rPr>
            </w:pPr>
          </w:p>
          <w:p w14:paraId="0F1ACC1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21</w:t>
            </w:r>
          </w:p>
          <w:p w14:paraId="395214A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0CB37E96">
            <w:pPr>
              <w:widowControl/>
              <w:spacing w:line="300" w:lineRule="exact"/>
              <w:jc w:val="center"/>
              <w:rPr>
                <w:rFonts w:hint="default" w:ascii="Times New Roman" w:hAnsi="Times New Roman" w:eastAsia="仿宋_GB2312" w:cs="Times New Roman"/>
                <w:color w:val="auto"/>
                <w:kern w:val="0"/>
                <w:szCs w:val="21"/>
                <w:highlight w:val="none"/>
              </w:rPr>
            </w:pPr>
          </w:p>
          <w:p w14:paraId="6D57C167">
            <w:pPr>
              <w:widowControl/>
              <w:spacing w:line="300" w:lineRule="exact"/>
              <w:jc w:val="center"/>
              <w:rPr>
                <w:rFonts w:hint="default" w:ascii="Times New Roman" w:hAnsi="Times New Roman" w:eastAsia="仿宋_GB2312" w:cs="Times New Roman"/>
                <w:color w:val="auto"/>
                <w:kern w:val="0"/>
                <w:szCs w:val="21"/>
                <w:highlight w:val="none"/>
              </w:rPr>
            </w:pPr>
          </w:p>
          <w:p w14:paraId="17B1364E">
            <w:pPr>
              <w:widowControl/>
              <w:spacing w:line="300" w:lineRule="exact"/>
              <w:jc w:val="center"/>
              <w:rPr>
                <w:rFonts w:hint="default" w:ascii="Times New Roman" w:hAnsi="Times New Roman" w:eastAsia="仿宋_GB2312" w:cs="Times New Roman"/>
                <w:color w:val="auto"/>
                <w:kern w:val="0"/>
                <w:szCs w:val="21"/>
                <w:highlight w:val="none"/>
              </w:rPr>
            </w:pPr>
          </w:p>
          <w:p w14:paraId="6303FBC1">
            <w:pPr>
              <w:widowControl/>
              <w:spacing w:line="300" w:lineRule="exact"/>
              <w:jc w:val="center"/>
              <w:rPr>
                <w:rFonts w:hint="default" w:ascii="Times New Roman" w:hAnsi="Times New Roman" w:eastAsia="仿宋_GB2312" w:cs="Times New Roman"/>
                <w:color w:val="auto"/>
                <w:kern w:val="0"/>
                <w:szCs w:val="21"/>
                <w:highlight w:val="none"/>
              </w:rPr>
            </w:pPr>
          </w:p>
          <w:p w14:paraId="290833B0">
            <w:pPr>
              <w:widowControl/>
              <w:spacing w:line="300" w:lineRule="exact"/>
              <w:jc w:val="center"/>
              <w:rPr>
                <w:rFonts w:hint="default" w:ascii="Times New Roman" w:hAnsi="Times New Roman" w:eastAsia="仿宋_GB2312" w:cs="Times New Roman"/>
                <w:color w:val="auto"/>
                <w:kern w:val="0"/>
                <w:szCs w:val="21"/>
                <w:highlight w:val="none"/>
              </w:rPr>
            </w:pPr>
          </w:p>
          <w:p w14:paraId="28AF4B37">
            <w:pPr>
              <w:widowControl/>
              <w:spacing w:line="300" w:lineRule="exact"/>
              <w:jc w:val="center"/>
              <w:rPr>
                <w:rFonts w:hint="default" w:ascii="Times New Roman" w:hAnsi="Times New Roman" w:eastAsia="仿宋_GB2312" w:cs="Times New Roman"/>
                <w:color w:val="auto"/>
                <w:kern w:val="0"/>
                <w:szCs w:val="21"/>
                <w:highlight w:val="none"/>
              </w:rPr>
            </w:pPr>
          </w:p>
          <w:p w14:paraId="171C4A0A">
            <w:pPr>
              <w:widowControl/>
              <w:spacing w:line="300" w:lineRule="exact"/>
              <w:jc w:val="center"/>
              <w:rPr>
                <w:rFonts w:hint="default" w:ascii="Times New Roman" w:hAnsi="Times New Roman" w:eastAsia="仿宋_GB2312" w:cs="Times New Roman"/>
                <w:color w:val="auto"/>
                <w:kern w:val="0"/>
                <w:szCs w:val="21"/>
                <w:highlight w:val="none"/>
              </w:rPr>
            </w:pPr>
          </w:p>
          <w:p w14:paraId="7EDBD90E">
            <w:pPr>
              <w:widowControl/>
              <w:spacing w:line="300" w:lineRule="exact"/>
              <w:jc w:val="center"/>
              <w:rPr>
                <w:rFonts w:hint="default" w:ascii="Times New Roman" w:hAnsi="Times New Roman" w:eastAsia="仿宋_GB2312" w:cs="Times New Roman"/>
                <w:color w:val="auto"/>
                <w:kern w:val="0"/>
                <w:szCs w:val="21"/>
                <w:highlight w:val="none"/>
              </w:rPr>
            </w:pPr>
          </w:p>
          <w:p w14:paraId="211E469F">
            <w:pPr>
              <w:widowControl/>
              <w:spacing w:line="300" w:lineRule="exact"/>
              <w:jc w:val="center"/>
              <w:rPr>
                <w:rFonts w:hint="default" w:ascii="Times New Roman" w:hAnsi="Times New Roman" w:eastAsia="仿宋_GB2312" w:cs="Times New Roman"/>
                <w:color w:val="auto"/>
                <w:kern w:val="0"/>
                <w:szCs w:val="21"/>
                <w:highlight w:val="none"/>
              </w:rPr>
            </w:pPr>
          </w:p>
          <w:p w14:paraId="774E232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食糖</w:t>
            </w:r>
          </w:p>
          <w:p w14:paraId="4F01D5B3">
            <w:pPr>
              <w:widowControl/>
              <w:spacing w:line="300" w:lineRule="exact"/>
              <w:jc w:val="center"/>
              <w:rPr>
                <w:rFonts w:hint="default" w:ascii="Times New Roman" w:hAnsi="Times New Roman" w:eastAsia="仿宋_GB2312" w:cs="Times New Roman"/>
                <w:color w:val="auto"/>
                <w:kern w:val="0"/>
                <w:szCs w:val="21"/>
                <w:highlight w:val="none"/>
              </w:rPr>
            </w:pPr>
          </w:p>
          <w:p w14:paraId="2346650A">
            <w:pPr>
              <w:widowControl/>
              <w:spacing w:line="300" w:lineRule="exact"/>
              <w:jc w:val="center"/>
              <w:rPr>
                <w:rFonts w:hint="default" w:ascii="Times New Roman" w:hAnsi="Times New Roman" w:eastAsia="仿宋_GB2312" w:cs="Times New Roman"/>
                <w:color w:val="auto"/>
                <w:kern w:val="0"/>
                <w:szCs w:val="21"/>
                <w:highlight w:val="none"/>
              </w:rPr>
            </w:pPr>
          </w:p>
          <w:p w14:paraId="0412F132">
            <w:pPr>
              <w:widowControl/>
              <w:spacing w:line="300" w:lineRule="exact"/>
              <w:jc w:val="center"/>
              <w:rPr>
                <w:rFonts w:hint="default" w:ascii="Times New Roman" w:hAnsi="Times New Roman" w:eastAsia="仿宋_GB2312" w:cs="Times New Roman"/>
                <w:color w:val="auto"/>
                <w:kern w:val="0"/>
                <w:szCs w:val="21"/>
                <w:highlight w:val="none"/>
              </w:rPr>
            </w:pPr>
          </w:p>
          <w:p w14:paraId="49161B58">
            <w:pPr>
              <w:widowControl/>
              <w:spacing w:line="300" w:lineRule="exact"/>
              <w:jc w:val="center"/>
              <w:rPr>
                <w:rFonts w:hint="default" w:ascii="Times New Roman" w:hAnsi="Times New Roman" w:eastAsia="仿宋_GB2312" w:cs="Times New Roman"/>
                <w:color w:val="auto"/>
                <w:kern w:val="0"/>
                <w:szCs w:val="21"/>
                <w:highlight w:val="none"/>
              </w:rPr>
            </w:pPr>
          </w:p>
          <w:p w14:paraId="3FC45222">
            <w:pPr>
              <w:widowControl/>
              <w:spacing w:line="300" w:lineRule="exact"/>
              <w:jc w:val="center"/>
              <w:rPr>
                <w:rFonts w:hint="default" w:ascii="Times New Roman" w:hAnsi="Times New Roman" w:eastAsia="仿宋_GB2312" w:cs="Times New Roman"/>
                <w:color w:val="auto"/>
                <w:kern w:val="0"/>
                <w:szCs w:val="21"/>
                <w:highlight w:val="none"/>
              </w:rPr>
            </w:pPr>
          </w:p>
          <w:p w14:paraId="10223ADF">
            <w:pPr>
              <w:widowControl/>
              <w:spacing w:line="300" w:lineRule="exact"/>
              <w:jc w:val="center"/>
              <w:rPr>
                <w:rFonts w:hint="default" w:ascii="Times New Roman" w:hAnsi="Times New Roman" w:eastAsia="仿宋_GB2312" w:cs="Times New Roman"/>
                <w:color w:val="auto"/>
                <w:kern w:val="0"/>
                <w:szCs w:val="21"/>
                <w:highlight w:val="none"/>
              </w:rPr>
            </w:pPr>
          </w:p>
          <w:p w14:paraId="775A551F">
            <w:pPr>
              <w:widowControl/>
              <w:spacing w:line="300" w:lineRule="exact"/>
              <w:jc w:val="center"/>
              <w:rPr>
                <w:rFonts w:hint="default" w:ascii="Times New Roman" w:hAnsi="Times New Roman" w:eastAsia="仿宋_GB2312" w:cs="Times New Roman"/>
                <w:color w:val="auto"/>
                <w:kern w:val="0"/>
                <w:szCs w:val="21"/>
                <w:highlight w:val="none"/>
              </w:rPr>
            </w:pPr>
          </w:p>
          <w:p w14:paraId="346B910C">
            <w:pPr>
              <w:widowControl/>
              <w:spacing w:line="300" w:lineRule="exact"/>
              <w:jc w:val="center"/>
              <w:rPr>
                <w:rFonts w:hint="default" w:ascii="Times New Roman" w:hAnsi="Times New Roman" w:eastAsia="仿宋_GB2312" w:cs="Times New Roman"/>
                <w:color w:val="auto"/>
                <w:kern w:val="0"/>
                <w:szCs w:val="21"/>
                <w:highlight w:val="none"/>
              </w:rPr>
            </w:pPr>
          </w:p>
          <w:p w14:paraId="04A6A782">
            <w:pPr>
              <w:widowControl/>
              <w:spacing w:line="300" w:lineRule="exact"/>
              <w:jc w:val="center"/>
              <w:rPr>
                <w:rFonts w:hint="default" w:ascii="Times New Roman" w:hAnsi="Times New Roman" w:eastAsia="仿宋_GB2312" w:cs="Times New Roman"/>
                <w:color w:val="auto"/>
                <w:kern w:val="0"/>
                <w:szCs w:val="21"/>
                <w:highlight w:val="none"/>
              </w:rPr>
            </w:pPr>
          </w:p>
          <w:p w14:paraId="7F440FCA">
            <w:pPr>
              <w:widowControl/>
              <w:spacing w:line="300" w:lineRule="exact"/>
              <w:jc w:val="center"/>
              <w:rPr>
                <w:rFonts w:hint="default" w:ascii="Times New Roman" w:hAnsi="Times New Roman" w:eastAsia="仿宋_GB2312" w:cs="Times New Roman"/>
                <w:color w:val="auto"/>
                <w:kern w:val="0"/>
                <w:szCs w:val="21"/>
                <w:highlight w:val="none"/>
              </w:rPr>
            </w:pPr>
          </w:p>
          <w:p w14:paraId="76C52240">
            <w:pPr>
              <w:widowControl/>
              <w:spacing w:line="300" w:lineRule="exact"/>
              <w:jc w:val="center"/>
              <w:rPr>
                <w:rFonts w:hint="default" w:ascii="Times New Roman" w:hAnsi="Times New Roman" w:eastAsia="仿宋_GB2312" w:cs="Times New Roman"/>
                <w:color w:val="auto"/>
                <w:kern w:val="0"/>
                <w:szCs w:val="21"/>
                <w:highlight w:val="none"/>
              </w:rPr>
            </w:pPr>
          </w:p>
          <w:p w14:paraId="65E9992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食糖</w:t>
            </w:r>
          </w:p>
          <w:p w14:paraId="743165FB">
            <w:pPr>
              <w:pStyle w:val="180"/>
              <w:rPr>
                <w:rFonts w:hint="default"/>
                <w:color w:val="auto"/>
                <w:highlight w:val="none"/>
              </w:rPr>
            </w:pPr>
          </w:p>
        </w:tc>
        <w:tc>
          <w:tcPr>
            <w:tcW w:w="1256" w:type="dxa"/>
            <w:vMerge w:val="restart"/>
            <w:noWrap w:val="0"/>
            <w:vAlign w:val="center"/>
          </w:tcPr>
          <w:p w14:paraId="3B26B197">
            <w:pPr>
              <w:widowControl/>
              <w:spacing w:line="300" w:lineRule="exact"/>
              <w:jc w:val="center"/>
              <w:rPr>
                <w:rFonts w:hint="default" w:ascii="Times New Roman" w:hAnsi="Times New Roman" w:eastAsia="仿宋_GB2312" w:cs="Times New Roman"/>
                <w:color w:val="auto"/>
                <w:kern w:val="0"/>
                <w:szCs w:val="21"/>
                <w:highlight w:val="none"/>
              </w:rPr>
            </w:pPr>
          </w:p>
          <w:p w14:paraId="5DC205CD">
            <w:pPr>
              <w:widowControl/>
              <w:spacing w:line="300" w:lineRule="exact"/>
              <w:jc w:val="center"/>
              <w:rPr>
                <w:rFonts w:hint="default" w:ascii="Times New Roman" w:hAnsi="Times New Roman" w:eastAsia="仿宋_GB2312" w:cs="Times New Roman"/>
                <w:color w:val="auto"/>
                <w:kern w:val="0"/>
                <w:szCs w:val="21"/>
                <w:highlight w:val="none"/>
              </w:rPr>
            </w:pPr>
          </w:p>
          <w:p w14:paraId="4A652682">
            <w:pPr>
              <w:widowControl/>
              <w:spacing w:line="300" w:lineRule="exact"/>
              <w:jc w:val="center"/>
              <w:rPr>
                <w:rFonts w:hint="default" w:ascii="Times New Roman" w:hAnsi="Times New Roman" w:eastAsia="仿宋_GB2312" w:cs="Times New Roman"/>
                <w:color w:val="auto"/>
                <w:kern w:val="0"/>
                <w:szCs w:val="21"/>
                <w:highlight w:val="none"/>
              </w:rPr>
            </w:pPr>
          </w:p>
          <w:p w14:paraId="3152DE46">
            <w:pPr>
              <w:widowControl/>
              <w:spacing w:line="300" w:lineRule="exact"/>
              <w:jc w:val="center"/>
              <w:rPr>
                <w:rFonts w:hint="default" w:ascii="Times New Roman" w:hAnsi="Times New Roman" w:eastAsia="仿宋_GB2312" w:cs="Times New Roman"/>
                <w:color w:val="auto"/>
                <w:kern w:val="0"/>
                <w:szCs w:val="21"/>
                <w:highlight w:val="none"/>
              </w:rPr>
            </w:pPr>
          </w:p>
          <w:p w14:paraId="7E438507">
            <w:pPr>
              <w:widowControl/>
              <w:spacing w:line="300" w:lineRule="exact"/>
              <w:jc w:val="center"/>
              <w:rPr>
                <w:rFonts w:hint="default" w:ascii="Times New Roman" w:hAnsi="Times New Roman" w:eastAsia="仿宋_GB2312" w:cs="Times New Roman"/>
                <w:color w:val="auto"/>
                <w:kern w:val="0"/>
                <w:szCs w:val="21"/>
                <w:highlight w:val="none"/>
              </w:rPr>
            </w:pPr>
          </w:p>
          <w:p w14:paraId="763E5CA7">
            <w:pPr>
              <w:widowControl/>
              <w:spacing w:line="300" w:lineRule="exact"/>
              <w:jc w:val="center"/>
              <w:rPr>
                <w:rFonts w:hint="default" w:ascii="Times New Roman" w:hAnsi="Times New Roman" w:eastAsia="仿宋_GB2312" w:cs="Times New Roman"/>
                <w:color w:val="auto"/>
                <w:kern w:val="0"/>
                <w:szCs w:val="21"/>
                <w:highlight w:val="none"/>
              </w:rPr>
            </w:pPr>
          </w:p>
          <w:p w14:paraId="7F58A985">
            <w:pPr>
              <w:widowControl/>
              <w:spacing w:line="300" w:lineRule="exact"/>
              <w:jc w:val="center"/>
              <w:rPr>
                <w:rFonts w:hint="default" w:ascii="Times New Roman" w:hAnsi="Times New Roman" w:eastAsia="仿宋_GB2312" w:cs="Times New Roman"/>
                <w:color w:val="auto"/>
                <w:kern w:val="0"/>
                <w:szCs w:val="21"/>
                <w:highlight w:val="none"/>
              </w:rPr>
            </w:pPr>
          </w:p>
          <w:p w14:paraId="3C0F1E31">
            <w:pPr>
              <w:widowControl/>
              <w:spacing w:line="300" w:lineRule="exact"/>
              <w:jc w:val="center"/>
              <w:rPr>
                <w:rFonts w:hint="default" w:ascii="Times New Roman" w:hAnsi="Times New Roman" w:eastAsia="仿宋_GB2312" w:cs="Times New Roman"/>
                <w:color w:val="auto"/>
                <w:kern w:val="0"/>
                <w:szCs w:val="21"/>
                <w:highlight w:val="none"/>
              </w:rPr>
            </w:pPr>
          </w:p>
          <w:p w14:paraId="4687D13B">
            <w:pPr>
              <w:widowControl/>
              <w:spacing w:line="300" w:lineRule="exact"/>
              <w:jc w:val="center"/>
              <w:rPr>
                <w:rFonts w:hint="default" w:ascii="Times New Roman" w:hAnsi="Times New Roman" w:eastAsia="仿宋_GB2312" w:cs="Times New Roman"/>
                <w:color w:val="auto"/>
                <w:kern w:val="0"/>
                <w:szCs w:val="21"/>
                <w:highlight w:val="none"/>
              </w:rPr>
            </w:pPr>
          </w:p>
          <w:p w14:paraId="79480F3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食糖</w:t>
            </w:r>
          </w:p>
          <w:p w14:paraId="2A355104">
            <w:pPr>
              <w:widowControl/>
              <w:spacing w:line="300" w:lineRule="exact"/>
              <w:jc w:val="center"/>
              <w:rPr>
                <w:rFonts w:hint="default" w:ascii="Times New Roman" w:hAnsi="Times New Roman" w:eastAsia="仿宋_GB2312" w:cs="Times New Roman"/>
                <w:color w:val="auto"/>
                <w:kern w:val="0"/>
                <w:szCs w:val="21"/>
                <w:highlight w:val="none"/>
              </w:rPr>
            </w:pPr>
          </w:p>
          <w:p w14:paraId="3F33FEDC">
            <w:pPr>
              <w:widowControl/>
              <w:spacing w:line="300" w:lineRule="exact"/>
              <w:jc w:val="center"/>
              <w:rPr>
                <w:rFonts w:hint="default" w:ascii="Times New Roman" w:hAnsi="Times New Roman" w:eastAsia="仿宋_GB2312" w:cs="Times New Roman"/>
                <w:color w:val="auto"/>
                <w:kern w:val="0"/>
                <w:szCs w:val="21"/>
                <w:highlight w:val="none"/>
              </w:rPr>
            </w:pPr>
          </w:p>
          <w:p w14:paraId="3645A09D">
            <w:pPr>
              <w:widowControl/>
              <w:spacing w:line="300" w:lineRule="exact"/>
              <w:jc w:val="center"/>
              <w:rPr>
                <w:rFonts w:hint="default" w:ascii="Times New Roman" w:hAnsi="Times New Roman" w:eastAsia="仿宋_GB2312" w:cs="Times New Roman"/>
                <w:color w:val="auto"/>
                <w:kern w:val="0"/>
                <w:szCs w:val="21"/>
                <w:highlight w:val="none"/>
              </w:rPr>
            </w:pPr>
          </w:p>
          <w:p w14:paraId="7771CD17">
            <w:pPr>
              <w:widowControl/>
              <w:spacing w:line="300" w:lineRule="exact"/>
              <w:jc w:val="center"/>
              <w:rPr>
                <w:rFonts w:hint="default" w:ascii="Times New Roman" w:hAnsi="Times New Roman" w:eastAsia="仿宋_GB2312" w:cs="Times New Roman"/>
                <w:color w:val="auto"/>
                <w:kern w:val="0"/>
                <w:szCs w:val="21"/>
                <w:highlight w:val="none"/>
              </w:rPr>
            </w:pPr>
          </w:p>
          <w:p w14:paraId="290E532A">
            <w:pPr>
              <w:widowControl/>
              <w:spacing w:line="300" w:lineRule="exact"/>
              <w:jc w:val="center"/>
              <w:rPr>
                <w:rFonts w:hint="default" w:ascii="Times New Roman" w:hAnsi="Times New Roman" w:eastAsia="仿宋_GB2312" w:cs="Times New Roman"/>
                <w:color w:val="auto"/>
                <w:kern w:val="0"/>
                <w:szCs w:val="21"/>
                <w:highlight w:val="none"/>
              </w:rPr>
            </w:pPr>
          </w:p>
          <w:p w14:paraId="01A7BAE8">
            <w:pPr>
              <w:widowControl/>
              <w:spacing w:line="300" w:lineRule="exact"/>
              <w:jc w:val="center"/>
              <w:rPr>
                <w:rFonts w:hint="default" w:ascii="Times New Roman" w:hAnsi="Times New Roman" w:eastAsia="仿宋_GB2312" w:cs="Times New Roman"/>
                <w:color w:val="auto"/>
                <w:kern w:val="0"/>
                <w:szCs w:val="21"/>
                <w:highlight w:val="none"/>
              </w:rPr>
            </w:pPr>
          </w:p>
          <w:p w14:paraId="3719DB50">
            <w:pPr>
              <w:widowControl/>
              <w:spacing w:line="300" w:lineRule="exact"/>
              <w:jc w:val="center"/>
              <w:rPr>
                <w:rFonts w:hint="default" w:ascii="Times New Roman" w:hAnsi="Times New Roman" w:eastAsia="仿宋_GB2312" w:cs="Times New Roman"/>
                <w:color w:val="auto"/>
                <w:kern w:val="0"/>
                <w:szCs w:val="21"/>
                <w:highlight w:val="none"/>
              </w:rPr>
            </w:pPr>
          </w:p>
          <w:p w14:paraId="3BC6CC8D">
            <w:pPr>
              <w:widowControl/>
              <w:spacing w:line="300" w:lineRule="exact"/>
              <w:jc w:val="center"/>
              <w:rPr>
                <w:rFonts w:hint="default" w:ascii="Times New Roman" w:hAnsi="Times New Roman" w:eastAsia="仿宋_GB2312" w:cs="Times New Roman"/>
                <w:color w:val="auto"/>
                <w:kern w:val="0"/>
                <w:szCs w:val="21"/>
                <w:highlight w:val="none"/>
              </w:rPr>
            </w:pPr>
          </w:p>
          <w:p w14:paraId="11F2CAA8">
            <w:pPr>
              <w:widowControl/>
              <w:spacing w:line="300" w:lineRule="exact"/>
              <w:jc w:val="center"/>
              <w:rPr>
                <w:rFonts w:hint="default" w:ascii="Times New Roman" w:hAnsi="Times New Roman" w:eastAsia="仿宋_GB2312" w:cs="Times New Roman"/>
                <w:color w:val="auto"/>
                <w:kern w:val="0"/>
                <w:szCs w:val="21"/>
                <w:highlight w:val="none"/>
              </w:rPr>
            </w:pPr>
          </w:p>
          <w:p w14:paraId="50E49798">
            <w:pPr>
              <w:widowControl/>
              <w:spacing w:line="300" w:lineRule="exact"/>
              <w:jc w:val="center"/>
              <w:rPr>
                <w:rFonts w:hint="default" w:ascii="Times New Roman" w:hAnsi="Times New Roman" w:eastAsia="仿宋_GB2312" w:cs="Times New Roman"/>
                <w:color w:val="auto"/>
                <w:kern w:val="0"/>
                <w:szCs w:val="21"/>
                <w:highlight w:val="none"/>
              </w:rPr>
            </w:pPr>
          </w:p>
          <w:p w14:paraId="36B43820">
            <w:pPr>
              <w:widowControl/>
              <w:spacing w:line="300" w:lineRule="exact"/>
              <w:jc w:val="center"/>
              <w:rPr>
                <w:rFonts w:hint="default" w:ascii="Times New Roman" w:hAnsi="Times New Roman" w:eastAsia="仿宋_GB2312" w:cs="Times New Roman"/>
                <w:color w:val="auto"/>
                <w:kern w:val="0"/>
                <w:szCs w:val="21"/>
                <w:highlight w:val="none"/>
              </w:rPr>
            </w:pPr>
          </w:p>
          <w:p w14:paraId="51458C0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食糖</w:t>
            </w:r>
          </w:p>
          <w:p w14:paraId="77B2CFE7">
            <w:pPr>
              <w:widowControl/>
              <w:spacing w:line="300" w:lineRule="exact"/>
              <w:jc w:val="center"/>
              <w:rPr>
                <w:rFonts w:hint="default" w:ascii="Times New Roman" w:hAnsi="Times New Roman" w:eastAsia="仿宋_GB2312" w:cs="Times New Roman"/>
                <w:color w:val="auto"/>
                <w:kern w:val="0"/>
                <w:szCs w:val="21"/>
                <w:highlight w:val="none"/>
              </w:rPr>
            </w:pPr>
          </w:p>
          <w:p w14:paraId="281304F0">
            <w:pPr>
              <w:widowControl/>
              <w:spacing w:line="300" w:lineRule="exact"/>
              <w:jc w:val="both"/>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5F34E39F">
            <w:pPr>
              <w:widowControl/>
              <w:spacing w:line="300" w:lineRule="exact"/>
              <w:jc w:val="center"/>
              <w:rPr>
                <w:rFonts w:hint="default" w:ascii="Times New Roman" w:hAnsi="Times New Roman" w:eastAsia="仿宋_GB2312" w:cs="Times New Roman"/>
                <w:color w:val="auto"/>
                <w:kern w:val="0"/>
                <w:szCs w:val="21"/>
                <w:highlight w:val="none"/>
              </w:rPr>
            </w:pPr>
          </w:p>
          <w:p w14:paraId="1EF0E705">
            <w:pPr>
              <w:widowControl/>
              <w:spacing w:line="300" w:lineRule="exact"/>
              <w:jc w:val="center"/>
              <w:rPr>
                <w:rFonts w:hint="default" w:ascii="Times New Roman" w:hAnsi="Times New Roman" w:eastAsia="仿宋_GB2312" w:cs="Times New Roman"/>
                <w:color w:val="auto"/>
                <w:kern w:val="0"/>
                <w:szCs w:val="21"/>
                <w:highlight w:val="none"/>
              </w:rPr>
            </w:pPr>
          </w:p>
          <w:p w14:paraId="5C5A96A7">
            <w:pPr>
              <w:widowControl/>
              <w:spacing w:line="300" w:lineRule="exact"/>
              <w:jc w:val="center"/>
              <w:rPr>
                <w:rFonts w:hint="default" w:ascii="Times New Roman" w:hAnsi="Times New Roman" w:eastAsia="仿宋_GB2312" w:cs="Times New Roman"/>
                <w:color w:val="auto"/>
                <w:kern w:val="0"/>
                <w:szCs w:val="21"/>
                <w:highlight w:val="none"/>
              </w:rPr>
            </w:pPr>
          </w:p>
          <w:p w14:paraId="77782789">
            <w:pPr>
              <w:widowControl/>
              <w:spacing w:line="300" w:lineRule="exact"/>
              <w:jc w:val="center"/>
              <w:rPr>
                <w:rFonts w:hint="default" w:ascii="Times New Roman" w:hAnsi="Times New Roman" w:eastAsia="仿宋_GB2312" w:cs="Times New Roman"/>
                <w:color w:val="auto"/>
                <w:kern w:val="0"/>
                <w:szCs w:val="21"/>
                <w:highlight w:val="none"/>
              </w:rPr>
            </w:pPr>
          </w:p>
          <w:p w14:paraId="08C215DE">
            <w:pPr>
              <w:widowControl/>
              <w:spacing w:line="300" w:lineRule="exact"/>
              <w:jc w:val="center"/>
              <w:rPr>
                <w:rFonts w:hint="default" w:ascii="Times New Roman" w:hAnsi="Times New Roman" w:eastAsia="仿宋_GB2312" w:cs="Times New Roman"/>
                <w:color w:val="auto"/>
                <w:kern w:val="0"/>
                <w:szCs w:val="21"/>
                <w:highlight w:val="none"/>
              </w:rPr>
            </w:pPr>
          </w:p>
          <w:p w14:paraId="26C33C4C">
            <w:pPr>
              <w:widowControl/>
              <w:spacing w:line="300" w:lineRule="exact"/>
              <w:jc w:val="center"/>
              <w:rPr>
                <w:rFonts w:hint="default" w:ascii="Times New Roman" w:hAnsi="Times New Roman" w:eastAsia="仿宋_GB2312" w:cs="Times New Roman"/>
                <w:color w:val="auto"/>
                <w:kern w:val="0"/>
                <w:szCs w:val="21"/>
                <w:highlight w:val="none"/>
              </w:rPr>
            </w:pPr>
          </w:p>
          <w:p w14:paraId="7DD0AB38">
            <w:pPr>
              <w:widowControl/>
              <w:spacing w:line="300" w:lineRule="exact"/>
              <w:jc w:val="center"/>
              <w:rPr>
                <w:rFonts w:hint="default" w:ascii="Times New Roman" w:hAnsi="Times New Roman" w:eastAsia="仿宋_GB2312" w:cs="Times New Roman"/>
                <w:color w:val="auto"/>
                <w:kern w:val="0"/>
                <w:szCs w:val="21"/>
                <w:highlight w:val="none"/>
              </w:rPr>
            </w:pPr>
          </w:p>
          <w:p w14:paraId="506050FD">
            <w:pPr>
              <w:widowControl/>
              <w:spacing w:line="300" w:lineRule="exact"/>
              <w:jc w:val="center"/>
              <w:rPr>
                <w:rFonts w:hint="default" w:ascii="Times New Roman" w:hAnsi="Times New Roman" w:eastAsia="仿宋_GB2312" w:cs="Times New Roman"/>
                <w:color w:val="auto"/>
                <w:kern w:val="0"/>
                <w:szCs w:val="21"/>
                <w:highlight w:val="none"/>
              </w:rPr>
            </w:pPr>
          </w:p>
          <w:p w14:paraId="2C1AEBB0">
            <w:pPr>
              <w:widowControl/>
              <w:spacing w:line="300" w:lineRule="exact"/>
              <w:jc w:val="center"/>
              <w:rPr>
                <w:rFonts w:hint="default" w:ascii="Times New Roman" w:hAnsi="Times New Roman" w:eastAsia="仿宋_GB2312" w:cs="Times New Roman"/>
                <w:color w:val="auto"/>
                <w:kern w:val="0"/>
                <w:szCs w:val="21"/>
                <w:highlight w:val="none"/>
              </w:rPr>
            </w:pPr>
          </w:p>
          <w:p w14:paraId="798BAEB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食糖</w:t>
            </w:r>
          </w:p>
          <w:p w14:paraId="44C9860C">
            <w:pPr>
              <w:widowControl/>
              <w:spacing w:line="300" w:lineRule="exact"/>
              <w:jc w:val="center"/>
              <w:rPr>
                <w:rFonts w:hint="default" w:ascii="Times New Roman" w:hAnsi="Times New Roman" w:eastAsia="仿宋_GB2312" w:cs="Times New Roman"/>
                <w:color w:val="auto"/>
                <w:kern w:val="0"/>
                <w:szCs w:val="21"/>
                <w:highlight w:val="none"/>
              </w:rPr>
            </w:pPr>
          </w:p>
          <w:p w14:paraId="3794F0AC">
            <w:pPr>
              <w:widowControl/>
              <w:spacing w:line="300" w:lineRule="exact"/>
              <w:jc w:val="center"/>
              <w:rPr>
                <w:rFonts w:hint="default" w:ascii="Times New Roman" w:hAnsi="Times New Roman" w:eastAsia="仿宋_GB2312" w:cs="Times New Roman"/>
                <w:color w:val="auto"/>
                <w:kern w:val="0"/>
                <w:szCs w:val="21"/>
                <w:highlight w:val="none"/>
              </w:rPr>
            </w:pPr>
          </w:p>
          <w:p w14:paraId="3474289B">
            <w:pPr>
              <w:widowControl/>
              <w:spacing w:line="300" w:lineRule="exact"/>
              <w:jc w:val="center"/>
              <w:rPr>
                <w:rFonts w:hint="default" w:ascii="Times New Roman" w:hAnsi="Times New Roman" w:eastAsia="仿宋_GB2312" w:cs="Times New Roman"/>
                <w:color w:val="auto"/>
                <w:kern w:val="0"/>
                <w:szCs w:val="21"/>
                <w:highlight w:val="none"/>
              </w:rPr>
            </w:pPr>
          </w:p>
          <w:p w14:paraId="33953FCB">
            <w:pPr>
              <w:widowControl/>
              <w:spacing w:line="300" w:lineRule="exact"/>
              <w:jc w:val="center"/>
              <w:rPr>
                <w:rFonts w:hint="default" w:ascii="Times New Roman" w:hAnsi="Times New Roman" w:eastAsia="仿宋_GB2312" w:cs="Times New Roman"/>
                <w:color w:val="auto"/>
                <w:kern w:val="0"/>
                <w:szCs w:val="21"/>
                <w:highlight w:val="none"/>
              </w:rPr>
            </w:pPr>
          </w:p>
          <w:p w14:paraId="76BC8D9D">
            <w:pPr>
              <w:widowControl/>
              <w:spacing w:line="300" w:lineRule="exact"/>
              <w:jc w:val="center"/>
              <w:rPr>
                <w:rFonts w:hint="default" w:ascii="Times New Roman" w:hAnsi="Times New Roman" w:eastAsia="仿宋_GB2312" w:cs="Times New Roman"/>
                <w:color w:val="auto"/>
                <w:kern w:val="0"/>
                <w:szCs w:val="21"/>
                <w:highlight w:val="none"/>
              </w:rPr>
            </w:pPr>
          </w:p>
          <w:p w14:paraId="0637F7BB">
            <w:pPr>
              <w:widowControl/>
              <w:spacing w:line="300" w:lineRule="exact"/>
              <w:jc w:val="center"/>
              <w:rPr>
                <w:rFonts w:hint="default" w:ascii="Times New Roman" w:hAnsi="Times New Roman" w:eastAsia="仿宋_GB2312" w:cs="Times New Roman"/>
                <w:color w:val="auto"/>
                <w:kern w:val="0"/>
                <w:szCs w:val="21"/>
                <w:highlight w:val="none"/>
              </w:rPr>
            </w:pPr>
          </w:p>
          <w:p w14:paraId="10135A61">
            <w:pPr>
              <w:widowControl/>
              <w:spacing w:line="300" w:lineRule="exact"/>
              <w:jc w:val="center"/>
              <w:rPr>
                <w:rFonts w:hint="default" w:ascii="Times New Roman" w:hAnsi="Times New Roman" w:eastAsia="仿宋_GB2312" w:cs="Times New Roman"/>
                <w:color w:val="auto"/>
                <w:kern w:val="0"/>
                <w:szCs w:val="21"/>
                <w:highlight w:val="none"/>
              </w:rPr>
            </w:pPr>
          </w:p>
          <w:p w14:paraId="69D0A70D">
            <w:pPr>
              <w:widowControl/>
              <w:spacing w:line="300" w:lineRule="exact"/>
              <w:jc w:val="center"/>
              <w:rPr>
                <w:rFonts w:hint="default" w:ascii="Times New Roman" w:hAnsi="Times New Roman" w:eastAsia="仿宋_GB2312" w:cs="Times New Roman"/>
                <w:color w:val="auto"/>
                <w:kern w:val="0"/>
                <w:szCs w:val="21"/>
                <w:highlight w:val="none"/>
              </w:rPr>
            </w:pPr>
          </w:p>
          <w:p w14:paraId="010C068D">
            <w:pPr>
              <w:widowControl/>
              <w:spacing w:line="300" w:lineRule="exact"/>
              <w:jc w:val="center"/>
              <w:rPr>
                <w:rFonts w:hint="default" w:ascii="Times New Roman" w:hAnsi="Times New Roman" w:eastAsia="仿宋_GB2312" w:cs="Times New Roman"/>
                <w:color w:val="auto"/>
                <w:kern w:val="0"/>
                <w:szCs w:val="21"/>
                <w:highlight w:val="none"/>
              </w:rPr>
            </w:pPr>
          </w:p>
          <w:p w14:paraId="258833D6">
            <w:pPr>
              <w:widowControl/>
              <w:spacing w:line="300" w:lineRule="exact"/>
              <w:jc w:val="center"/>
              <w:rPr>
                <w:rFonts w:hint="default" w:ascii="Times New Roman" w:hAnsi="Times New Roman" w:eastAsia="仿宋_GB2312" w:cs="Times New Roman"/>
                <w:color w:val="auto"/>
                <w:kern w:val="0"/>
                <w:szCs w:val="21"/>
                <w:highlight w:val="none"/>
              </w:rPr>
            </w:pPr>
          </w:p>
          <w:p w14:paraId="3EE2249E">
            <w:pPr>
              <w:widowControl/>
              <w:spacing w:line="300" w:lineRule="exact"/>
              <w:jc w:val="center"/>
              <w:rPr>
                <w:rFonts w:hint="default" w:ascii="Times New Roman" w:hAnsi="Times New Roman" w:eastAsia="仿宋_GB2312" w:cs="Times New Roman"/>
                <w:color w:val="auto"/>
                <w:kern w:val="0"/>
                <w:szCs w:val="21"/>
                <w:highlight w:val="none"/>
              </w:rPr>
            </w:pPr>
          </w:p>
          <w:p w14:paraId="5A45C6C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食糖</w:t>
            </w:r>
          </w:p>
          <w:p w14:paraId="7731BB62">
            <w:pPr>
              <w:widowControl/>
              <w:spacing w:line="300" w:lineRule="exact"/>
              <w:jc w:val="both"/>
              <w:rPr>
                <w:rFonts w:hint="default" w:ascii="Times New Roman" w:hAnsi="Times New Roman" w:eastAsia="仿宋_GB2312" w:cs="Times New Roman"/>
                <w:color w:val="auto"/>
                <w:kern w:val="0"/>
                <w:szCs w:val="21"/>
                <w:highlight w:val="none"/>
              </w:rPr>
            </w:pPr>
          </w:p>
        </w:tc>
        <w:tc>
          <w:tcPr>
            <w:tcW w:w="1856" w:type="dxa"/>
            <w:noWrap w:val="0"/>
            <w:vAlign w:val="center"/>
          </w:tcPr>
          <w:p w14:paraId="5B46619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白砂糖</w:t>
            </w:r>
          </w:p>
        </w:tc>
        <w:tc>
          <w:tcPr>
            <w:tcW w:w="1106" w:type="dxa"/>
            <w:noWrap w:val="0"/>
            <w:vAlign w:val="center"/>
          </w:tcPr>
          <w:p w14:paraId="09D0812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8EA27C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蔗糖分、还原糖分、色值、干燥失重</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二氧化硫残留量、螨</w:t>
            </w:r>
          </w:p>
        </w:tc>
        <w:tc>
          <w:tcPr>
            <w:tcW w:w="3435" w:type="dxa"/>
            <w:noWrap w:val="0"/>
            <w:vAlign w:val="center"/>
          </w:tcPr>
          <w:p w14:paraId="692220E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F44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C43DCD6">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27E328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8BD171D">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97EC25C">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1175D42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绵白糖</w:t>
            </w:r>
          </w:p>
        </w:tc>
        <w:tc>
          <w:tcPr>
            <w:tcW w:w="1106" w:type="dxa"/>
            <w:noWrap w:val="0"/>
            <w:vAlign w:val="center"/>
          </w:tcPr>
          <w:p w14:paraId="2B4973E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4C3315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总糖分、还原糖分、色值、干燥失重</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二氧化硫残留量、螨</w:t>
            </w:r>
          </w:p>
        </w:tc>
        <w:tc>
          <w:tcPr>
            <w:tcW w:w="3435" w:type="dxa"/>
            <w:noWrap w:val="0"/>
            <w:vAlign w:val="center"/>
          </w:tcPr>
          <w:p w14:paraId="1C6E8AE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A3FD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4D3E23A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485532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BD8F32D">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E99C8D1">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2C5D5A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赤砂糖</w:t>
            </w:r>
          </w:p>
        </w:tc>
        <w:tc>
          <w:tcPr>
            <w:tcW w:w="1106" w:type="dxa"/>
            <w:noWrap w:val="0"/>
            <w:vAlign w:val="center"/>
          </w:tcPr>
          <w:p w14:paraId="297E0EF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44716D4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总糖分、不溶于水杂质、干燥失重、二氧化硫残留量、螨、合成着色剂（柠檬黄、新红、苋菜红、胭脂红、日落黄、诱惑红、酸性红、喹啉黄、赤藓红）</w:t>
            </w:r>
          </w:p>
        </w:tc>
        <w:tc>
          <w:tcPr>
            <w:tcW w:w="3435" w:type="dxa"/>
            <w:noWrap w:val="0"/>
            <w:vAlign w:val="center"/>
          </w:tcPr>
          <w:p w14:paraId="4393E2A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5279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98F23C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BBB930E">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4D5C3A5">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4183463">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39CAD8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红糖</w:t>
            </w:r>
          </w:p>
        </w:tc>
        <w:tc>
          <w:tcPr>
            <w:tcW w:w="1106" w:type="dxa"/>
            <w:noWrap w:val="0"/>
            <w:vAlign w:val="center"/>
          </w:tcPr>
          <w:p w14:paraId="73C54F2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907DA1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总糖分、不溶于水杂质、干燥失重、二氧化硫残留量、螨、合成着色剂（柠檬黄、新红、苋菜红、胭脂红、日落黄、诱惑红、酸性红、喹啉黄、赤藓红）</w:t>
            </w:r>
          </w:p>
        </w:tc>
        <w:tc>
          <w:tcPr>
            <w:tcW w:w="3435" w:type="dxa"/>
            <w:noWrap w:val="0"/>
            <w:vAlign w:val="center"/>
          </w:tcPr>
          <w:p w14:paraId="26719A3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C58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BAF20D9">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692A93E">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F44BD1A">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4E80F646">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69F307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冰糖</w:t>
            </w:r>
          </w:p>
        </w:tc>
        <w:tc>
          <w:tcPr>
            <w:tcW w:w="1106" w:type="dxa"/>
            <w:noWrap w:val="0"/>
            <w:vAlign w:val="center"/>
          </w:tcPr>
          <w:p w14:paraId="584A6B6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9AB356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蔗糖分、还原糖分、色值、干燥失重、二氧化硫残留量、螨</w:t>
            </w:r>
          </w:p>
        </w:tc>
        <w:tc>
          <w:tcPr>
            <w:tcW w:w="3435" w:type="dxa"/>
            <w:noWrap w:val="0"/>
            <w:vAlign w:val="center"/>
          </w:tcPr>
          <w:p w14:paraId="1EC2E6F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合成着色剂（柠檬黄、新红、苋菜 </w:t>
            </w:r>
          </w:p>
          <w:p w14:paraId="3C17EC8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红、胭脂红、日落黄、诱惑红、酸 </w:t>
            </w:r>
          </w:p>
          <w:p w14:paraId="4D2DD88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性红、喹啉黄、赤藓红）</w:t>
            </w:r>
          </w:p>
        </w:tc>
      </w:tr>
      <w:tr w14:paraId="036BC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44ABF369">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8BE8B49">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3B7E7E6">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438E28E">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7F23706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冰片糖</w:t>
            </w:r>
          </w:p>
        </w:tc>
        <w:tc>
          <w:tcPr>
            <w:tcW w:w="1106" w:type="dxa"/>
            <w:noWrap w:val="0"/>
            <w:vAlign w:val="center"/>
          </w:tcPr>
          <w:p w14:paraId="102AC72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5AA1ADB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总糖分、还原糖分、干燥失重、二氧化硫残留量、螨、合成着色剂（柠檬黄、新红、苋菜红、胭脂红、日落黄、诱惑红、酸性红、喹啉黄、赤藓红）</w:t>
            </w:r>
          </w:p>
        </w:tc>
        <w:tc>
          <w:tcPr>
            <w:tcW w:w="3435" w:type="dxa"/>
            <w:noWrap w:val="0"/>
            <w:vAlign w:val="center"/>
          </w:tcPr>
          <w:p w14:paraId="727A2A8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2D0B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832763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DA7D655">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41BD0F8">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E4ED67D">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6168F56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方糖</w:t>
            </w:r>
          </w:p>
        </w:tc>
        <w:tc>
          <w:tcPr>
            <w:tcW w:w="1106" w:type="dxa"/>
            <w:noWrap w:val="0"/>
            <w:vAlign w:val="center"/>
          </w:tcPr>
          <w:p w14:paraId="2F828D4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DA6CBC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蔗糖分、还原糖分、色值、干燥失重、二氧化硫残留量、螨</w:t>
            </w:r>
          </w:p>
        </w:tc>
        <w:tc>
          <w:tcPr>
            <w:tcW w:w="3435" w:type="dxa"/>
            <w:noWrap w:val="0"/>
            <w:vAlign w:val="center"/>
          </w:tcPr>
          <w:p w14:paraId="3493D8A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1CC8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69087D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53FB34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8188E48">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77342AE">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0B8A79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其他糖</w:t>
            </w:r>
          </w:p>
        </w:tc>
        <w:tc>
          <w:tcPr>
            <w:tcW w:w="1106" w:type="dxa"/>
            <w:noWrap w:val="0"/>
            <w:vAlign w:val="center"/>
          </w:tcPr>
          <w:p w14:paraId="4694EE2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24D1768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蔗糖分、总糖分、色值、还原糖分、干燥失重、二氧化硫残留量、螨、合成着色剂（柠檬黄、新红、苋菜红、胭脂红、日落黄、诱惑红、酸性红、喹啉黄、赤藓红）、菌落总数、大肠菌群、霉菌、酵母菌</w:t>
            </w:r>
          </w:p>
        </w:tc>
        <w:tc>
          <w:tcPr>
            <w:tcW w:w="3435" w:type="dxa"/>
            <w:noWrap w:val="0"/>
            <w:vAlign w:val="center"/>
          </w:tcPr>
          <w:p w14:paraId="08C6AC4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B17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061B0559">
            <w:pPr>
              <w:widowControl/>
              <w:spacing w:line="300" w:lineRule="exact"/>
              <w:jc w:val="center"/>
              <w:rPr>
                <w:rFonts w:hint="default" w:ascii="Times New Roman" w:hAnsi="Times New Roman" w:eastAsia="仿宋_GB2312" w:cs="Times New Roman"/>
                <w:color w:val="auto"/>
                <w:kern w:val="0"/>
                <w:szCs w:val="21"/>
                <w:highlight w:val="none"/>
              </w:rPr>
            </w:pPr>
          </w:p>
          <w:p w14:paraId="35692A14">
            <w:pPr>
              <w:widowControl/>
              <w:spacing w:line="300" w:lineRule="exact"/>
              <w:jc w:val="center"/>
              <w:rPr>
                <w:rFonts w:hint="default" w:ascii="Times New Roman" w:hAnsi="Times New Roman" w:eastAsia="仿宋_GB2312" w:cs="Times New Roman"/>
                <w:color w:val="auto"/>
                <w:kern w:val="0"/>
                <w:szCs w:val="21"/>
                <w:highlight w:val="none"/>
              </w:rPr>
            </w:pPr>
          </w:p>
          <w:p w14:paraId="2BC77D8C">
            <w:pPr>
              <w:widowControl/>
              <w:spacing w:line="300" w:lineRule="exact"/>
              <w:jc w:val="center"/>
              <w:rPr>
                <w:rFonts w:hint="default" w:ascii="Times New Roman" w:hAnsi="Times New Roman" w:eastAsia="仿宋_GB2312" w:cs="Times New Roman"/>
                <w:color w:val="auto"/>
                <w:kern w:val="0"/>
                <w:szCs w:val="21"/>
                <w:highlight w:val="none"/>
              </w:rPr>
            </w:pPr>
          </w:p>
          <w:p w14:paraId="63060656">
            <w:pPr>
              <w:widowControl/>
              <w:spacing w:line="300" w:lineRule="exact"/>
              <w:jc w:val="center"/>
              <w:rPr>
                <w:rFonts w:hint="default" w:ascii="Times New Roman" w:hAnsi="Times New Roman" w:eastAsia="仿宋_GB2312" w:cs="Times New Roman"/>
                <w:color w:val="auto"/>
                <w:kern w:val="0"/>
                <w:szCs w:val="21"/>
                <w:highlight w:val="none"/>
              </w:rPr>
            </w:pPr>
          </w:p>
          <w:p w14:paraId="6F0B51D4">
            <w:pPr>
              <w:widowControl/>
              <w:spacing w:line="300" w:lineRule="exact"/>
              <w:jc w:val="center"/>
              <w:rPr>
                <w:rFonts w:hint="default" w:ascii="Times New Roman" w:hAnsi="Times New Roman" w:eastAsia="仿宋_GB2312" w:cs="Times New Roman"/>
                <w:color w:val="auto"/>
                <w:kern w:val="0"/>
                <w:szCs w:val="21"/>
                <w:highlight w:val="none"/>
              </w:rPr>
            </w:pPr>
          </w:p>
          <w:p w14:paraId="1220367D">
            <w:pPr>
              <w:widowControl/>
              <w:spacing w:line="300" w:lineRule="exact"/>
              <w:jc w:val="center"/>
              <w:rPr>
                <w:rFonts w:hint="default" w:ascii="Times New Roman" w:hAnsi="Times New Roman" w:eastAsia="仿宋_GB2312" w:cs="Times New Roman"/>
                <w:color w:val="auto"/>
                <w:kern w:val="0"/>
                <w:szCs w:val="21"/>
                <w:highlight w:val="none"/>
              </w:rPr>
            </w:pPr>
          </w:p>
          <w:p w14:paraId="034F2263">
            <w:pPr>
              <w:widowControl/>
              <w:spacing w:line="300" w:lineRule="exact"/>
              <w:jc w:val="center"/>
              <w:rPr>
                <w:rFonts w:hint="default" w:ascii="Times New Roman" w:hAnsi="Times New Roman" w:eastAsia="仿宋_GB2312" w:cs="Times New Roman"/>
                <w:color w:val="auto"/>
                <w:kern w:val="0"/>
                <w:szCs w:val="21"/>
                <w:highlight w:val="none"/>
              </w:rPr>
            </w:pPr>
          </w:p>
          <w:p w14:paraId="1E381045">
            <w:pPr>
              <w:widowControl/>
              <w:spacing w:line="300" w:lineRule="exact"/>
              <w:jc w:val="center"/>
              <w:rPr>
                <w:rFonts w:hint="default" w:ascii="Times New Roman" w:hAnsi="Times New Roman" w:eastAsia="仿宋_GB2312" w:cs="Times New Roman"/>
                <w:color w:val="auto"/>
                <w:kern w:val="0"/>
                <w:szCs w:val="21"/>
                <w:highlight w:val="none"/>
              </w:rPr>
            </w:pPr>
          </w:p>
          <w:p w14:paraId="619B804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22</w:t>
            </w:r>
          </w:p>
          <w:p w14:paraId="78867F1F">
            <w:pPr>
              <w:widowControl/>
              <w:spacing w:line="300" w:lineRule="exact"/>
              <w:jc w:val="center"/>
              <w:rPr>
                <w:rFonts w:hint="default" w:ascii="Times New Roman" w:hAnsi="Times New Roman" w:eastAsia="仿宋_GB2312" w:cs="Times New Roman"/>
                <w:color w:val="auto"/>
                <w:kern w:val="0"/>
                <w:szCs w:val="21"/>
                <w:highlight w:val="none"/>
              </w:rPr>
            </w:pPr>
          </w:p>
          <w:p w14:paraId="4771F934">
            <w:pPr>
              <w:widowControl/>
              <w:spacing w:line="300" w:lineRule="exact"/>
              <w:jc w:val="center"/>
              <w:rPr>
                <w:rFonts w:hint="default" w:ascii="Times New Roman" w:hAnsi="Times New Roman" w:eastAsia="仿宋_GB2312" w:cs="Times New Roman"/>
                <w:color w:val="auto"/>
                <w:kern w:val="0"/>
                <w:szCs w:val="21"/>
                <w:highlight w:val="none"/>
              </w:rPr>
            </w:pPr>
          </w:p>
          <w:p w14:paraId="30D3DBBC">
            <w:pPr>
              <w:widowControl/>
              <w:spacing w:line="300" w:lineRule="exact"/>
              <w:jc w:val="center"/>
              <w:rPr>
                <w:rFonts w:hint="default" w:ascii="Times New Roman" w:hAnsi="Times New Roman" w:eastAsia="仿宋_GB2312" w:cs="Times New Roman"/>
                <w:color w:val="auto"/>
                <w:kern w:val="0"/>
                <w:szCs w:val="21"/>
                <w:highlight w:val="none"/>
              </w:rPr>
            </w:pPr>
          </w:p>
          <w:p w14:paraId="4FAC3E73">
            <w:pPr>
              <w:widowControl/>
              <w:spacing w:line="300" w:lineRule="exact"/>
              <w:jc w:val="center"/>
              <w:rPr>
                <w:rFonts w:hint="default" w:ascii="Times New Roman" w:hAnsi="Times New Roman" w:eastAsia="仿宋_GB2312" w:cs="Times New Roman"/>
                <w:color w:val="auto"/>
                <w:kern w:val="0"/>
                <w:szCs w:val="21"/>
                <w:highlight w:val="none"/>
              </w:rPr>
            </w:pPr>
          </w:p>
          <w:p w14:paraId="40FB7DC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EC7416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F216C0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A951CC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41F7CA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382992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78FC63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CAA2DE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661D45B">
            <w:pPr>
              <w:widowControl/>
              <w:spacing w:line="300" w:lineRule="exact"/>
              <w:jc w:val="both"/>
              <w:rPr>
                <w:rFonts w:hint="eastAsia" w:ascii="Times New Roman" w:hAnsi="Times New Roman" w:eastAsia="仿宋_GB2312" w:cs="Times New Roman"/>
                <w:color w:val="auto"/>
                <w:kern w:val="0"/>
                <w:szCs w:val="21"/>
                <w:highlight w:val="none"/>
                <w:lang w:val="en-US" w:eastAsia="zh-CN"/>
              </w:rPr>
            </w:pPr>
          </w:p>
          <w:p w14:paraId="214D6AC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55F923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22</w:t>
            </w:r>
          </w:p>
        </w:tc>
        <w:tc>
          <w:tcPr>
            <w:tcW w:w="1107" w:type="dxa"/>
            <w:vMerge w:val="restart"/>
            <w:noWrap w:val="0"/>
            <w:vAlign w:val="center"/>
          </w:tcPr>
          <w:p w14:paraId="1F0C4E26">
            <w:pPr>
              <w:widowControl/>
              <w:spacing w:line="300" w:lineRule="exact"/>
              <w:jc w:val="center"/>
              <w:rPr>
                <w:rFonts w:hint="default" w:ascii="Times New Roman" w:hAnsi="Times New Roman" w:eastAsia="仿宋_GB2312" w:cs="Times New Roman"/>
                <w:color w:val="auto"/>
                <w:kern w:val="0"/>
                <w:szCs w:val="21"/>
                <w:highlight w:val="none"/>
              </w:rPr>
            </w:pPr>
          </w:p>
          <w:p w14:paraId="667ACB14">
            <w:pPr>
              <w:widowControl/>
              <w:spacing w:line="300" w:lineRule="exact"/>
              <w:jc w:val="center"/>
              <w:rPr>
                <w:rFonts w:hint="default" w:ascii="Times New Roman" w:hAnsi="Times New Roman" w:eastAsia="仿宋_GB2312" w:cs="Times New Roman"/>
                <w:color w:val="auto"/>
                <w:kern w:val="0"/>
                <w:szCs w:val="21"/>
                <w:highlight w:val="none"/>
              </w:rPr>
            </w:pPr>
          </w:p>
          <w:p w14:paraId="0FBC6FFD">
            <w:pPr>
              <w:widowControl/>
              <w:spacing w:line="300" w:lineRule="exact"/>
              <w:jc w:val="center"/>
              <w:rPr>
                <w:rFonts w:hint="default" w:ascii="Times New Roman" w:hAnsi="Times New Roman" w:eastAsia="仿宋_GB2312" w:cs="Times New Roman"/>
                <w:color w:val="auto"/>
                <w:kern w:val="0"/>
                <w:szCs w:val="21"/>
                <w:highlight w:val="none"/>
              </w:rPr>
            </w:pPr>
          </w:p>
          <w:p w14:paraId="2C88E593">
            <w:pPr>
              <w:widowControl/>
              <w:spacing w:line="300" w:lineRule="exact"/>
              <w:jc w:val="center"/>
              <w:rPr>
                <w:rFonts w:hint="default" w:ascii="Times New Roman" w:hAnsi="Times New Roman" w:eastAsia="仿宋_GB2312" w:cs="Times New Roman"/>
                <w:color w:val="auto"/>
                <w:kern w:val="0"/>
                <w:szCs w:val="21"/>
                <w:highlight w:val="none"/>
              </w:rPr>
            </w:pPr>
          </w:p>
          <w:p w14:paraId="16833E5C">
            <w:pPr>
              <w:widowControl/>
              <w:spacing w:line="300" w:lineRule="exact"/>
              <w:jc w:val="center"/>
              <w:rPr>
                <w:rFonts w:hint="default" w:ascii="Times New Roman" w:hAnsi="Times New Roman" w:eastAsia="仿宋_GB2312" w:cs="Times New Roman"/>
                <w:color w:val="auto"/>
                <w:kern w:val="0"/>
                <w:szCs w:val="21"/>
                <w:highlight w:val="none"/>
              </w:rPr>
            </w:pPr>
          </w:p>
          <w:p w14:paraId="20FB8C5B">
            <w:pPr>
              <w:widowControl/>
              <w:spacing w:line="300" w:lineRule="exact"/>
              <w:jc w:val="center"/>
              <w:rPr>
                <w:rFonts w:hint="default" w:ascii="Times New Roman" w:hAnsi="Times New Roman" w:eastAsia="仿宋_GB2312" w:cs="Times New Roman"/>
                <w:color w:val="auto"/>
                <w:kern w:val="0"/>
                <w:szCs w:val="21"/>
                <w:highlight w:val="none"/>
              </w:rPr>
            </w:pPr>
          </w:p>
          <w:p w14:paraId="0A6BB1EC">
            <w:pPr>
              <w:widowControl/>
              <w:spacing w:line="300" w:lineRule="exact"/>
              <w:jc w:val="center"/>
              <w:rPr>
                <w:rFonts w:hint="default" w:ascii="Times New Roman" w:hAnsi="Times New Roman" w:eastAsia="仿宋_GB2312" w:cs="Times New Roman"/>
                <w:color w:val="auto"/>
                <w:kern w:val="0"/>
                <w:szCs w:val="21"/>
                <w:highlight w:val="none"/>
              </w:rPr>
            </w:pPr>
          </w:p>
          <w:p w14:paraId="3E0B5C24">
            <w:pPr>
              <w:widowControl/>
              <w:spacing w:line="300" w:lineRule="exact"/>
              <w:jc w:val="center"/>
              <w:rPr>
                <w:rFonts w:hint="default" w:ascii="Times New Roman" w:hAnsi="Times New Roman" w:eastAsia="仿宋_GB2312" w:cs="Times New Roman"/>
                <w:color w:val="auto"/>
                <w:kern w:val="0"/>
                <w:szCs w:val="21"/>
                <w:highlight w:val="none"/>
              </w:rPr>
            </w:pPr>
          </w:p>
          <w:p w14:paraId="20CBAD2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水产制品</w:t>
            </w:r>
          </w:p>
          <w:p w14:paraId="5D77D20E">
            <w:pPr>
              <w:widowControl/>
              <w:spacing w:line="300" w:lineRule="exact"/>
              <w:jc w:val="center"/>
              <w:rPr>
                <w:rFonts w:hint="default" w:ascii="Times New Roman" w:hAnsi="Times New Roman" w:eastAsia="仿宋_GB2312" w:cs="Times New Roman"/>
                <w:color w:val="auto"/>
                <w:kern w:val="0"/>
                <w:szCs w:val="21"/>
                <w:highlight w:val="none"/>
              </w:rPr>
            </w:pPr>
          </w:p>
          <w:p w14:paraId="1A7DA7DA">
            <w:pPr>
              <w:widowControl/>
              <w:spacing w:line="300" w:lineRule="exact"/>
              <w:jc w:val="center"/>
              <w:rPr>
                <w:rFonts w:hint="default" w:ascii="Times New Roman" w:hAnsi="Times New Roman" w:eastAsia="仿宋_GB2312" w:cs="Times New Roman"/>
                <w:color w:val="auto"/>
                <w:kern w:val="0"/>
                <w:szCs w:val="21"/>
                <w:highlight w:val="none"/>
              </w:rPr>
            </w:pPr>
          </w:p>
          <w:p w14:paraId="029EE37D">
            <w:pPr>
              <w:widowControl/>
              <w:spacing w:line="300" w:lineRule="exact"/>
              <w:jc w:val="center"/>
              <w:rPr>
                <w:rFonts w:hint="default" w:ascii="Times New Roman" w:hAnsi="Times New Roman" w:eastAsia="仿宋_GB2312" w:cs="Times New Roman"/>
                <w:color w:val="auto"/>
                <w:kern w:val="0"/>
                <w:szCs w:val="21"/>
                <w:highlight w:val="none"/>
              </w:rPr>
            </w:pPr>
          </w:p>
          <w:p w14:paraId="5DEEF1B1">
            <w:pPr>
              <w:widowControl/>
              <w:spacing w:line="300" w:lineRule="exact"/>
              <w:jc w:val="center"/>
              <w:rPr>
                <w:rFonts w:hint="default" w:ascii="Times New Roman" w:hAnsi="Times New Roman" w:eastAsia="仿宋_GB2312" w:cs="Times New Roman"/>
                <w:color w:val="auto"/>
                <w:kern w:val="0"/>
                <w:szCs w:val="21"/>
                <w:highlight w:val="none"/>
              </w:rPr>
            </w:pPr>
          </w:p>
          <w:p w14:paraId="3E7E93D0">
            <w:pPr>
              <w:widowControl/>
              <w:spacing w:line="300" w:lineRule="exact"/>
              <w:jc w:val="center"/>
              <w:rPr>
                <w:rFonts w:hint="default" w:ascii="Times New Roman" w:hAnsi="Times New Roman" w:eastAsia="仿宋_GB2312" w:cs="Times New Roman"/>
                <w:color w:val="auto"/>
                <w:kern w:val="0"/>
                <w:szCs w:val="21"/>
                <w:highlight w:val="none"/>
              </w:rPr>
            </w:pPr>
          </w:p>
          <w:p w14:paraId="29C61B5A">
            <w:pPr>
              <w:widowControl/>
              <w:spacing w:line="300" w:lineRule="exact"/>
              <w:jc w:val="center"/>
              <w:rPr>
                <w:rFonts w:hint="default" w:ascii="Times New Roman" w:hAnsi="Times New Roman" w:eastAsia="仿宋_GB2312" w:cs="Times New Roman"/>
                <w:color w:val="auto"/>
                <w:kern w:val="0"/>
                <w:szCs w:val="21"/>
                <w:highlight w:val="none"/>
              </w:rPr>
            </w:pPr>
          </w:p>
          <w:p w14:paraId="57554056">
            <w:pPr>
              <w:widowControl/>
              <w:spacing w:line="300" w:lineRule="exact"/>
              <w:jc w:val="center"/>
              <w:rPr>
                <w:rFonts w:hint="default" w:ascii="Times New Roman" w:hAnsi="Times New Roman" w:eastAsia="仿宋_GB2312" w:cs="Times New Roman"/>
                <w:color w:val="auto"/>
                <w:kern w:val="0"/>
                <w:szCs w:val="21"/>
                <w:highlight w:val="none"/>
              </w:rPr>
            </w:pPr>
          </w:p>
          <w:p w14:paraId="0357EBB3">
            <w:pPr>
              <w:widowControl/>
              <w:spacing w:line="300" w:lineRule="exact"/>
              <w:jc w:val="center"/>
              <w:rPr>
                <w:rFonts w:hint="default" w:ascii="Times New Roman" w:hAnsi="Times New Roman" w:eastAsia="仿宋_GB2312" w:cs="Times New Roman"/>
                <w:color w:val="auto"/>
                <w:kern w:val="0"/>
                <w:szCs w:val="21"/>
                <w:highlight w:val="none"/>
              </w:rPr>
            </w:pPr>
          </w:p>
          <w:p w14:paraId="147DAE9C">
            <w:pPr>
              <w:widowControl/>
              <w:spacing w:line="300" w:lineRule="exact"/>
              <w:jc w:val="center"/>
              <w:rPr>
                <w:rFonts w:hint="default" w:ascii="Times New Roman" w:hAnsi="Times New Roman" w:eastAsia="仿宋_GB2312" w:cs="Times New Roman"/>
                <w:color w:val="auto"/>
                <w:kern w:val="0"/>
                <w:szCs w:val="21"/>
                <w:highlight w:val="none"/>
              </w:rPr>
            </w:pPr>
          </w:p>
          <w:p w14:paraId="314268A8">
            <w:pPr>
              <w:widowControl/>
              <w:spacing w:line="300" w:lineRule="exact"/>
              <w:jc w:val="center"/>
              <w:rPr>
                <w:rFonts w:hint="default" w:ascii="Times New Roman" w:hAnsi="Times New Roman" w:eastAsia="仿宋_GB2312" w:cs="Times New Roman"/>
                <w:color w:val="auto"/>
                <w:kern w:val="0"/>
                <w:szCs w:val="21"/>
                <w:highlight w:val="none"/>
              </w:rPr>
            </w:pPr>
          </w:p>
          <w:p w14:paraId="5CEB07C1">
            <w:pPr>
              <w:widowControl/>
              <w:spacing w:line="300" w:lineRule="exact"/>
              <w:jc w:val="center"/>
              <w:rPr>
                <w:rFonts w:hint="default" w:ascii="Times New Roman" w:hAnsi="Times New Roman" w:eastAsia="仿宋_GB2312" w:cs="Times New Roman"/>
                <w:color w:val="auto"/>
                <w:kern w:val="0"/>
                <w:szCs w:val="21"/>
                <w:highlight w:val="none"/>
              </w:rPr>
            </w:pPr>
          </w:p>
          <w:p w14:paraId="2BBA0185">
            <w:pPr>
              <w:widowControl/>
              <w:spacing w:line="300" w:lineRule="exact"/>
              <w:jc w:val="center"/>
              <w:rPr>
                <w:rFonts w:hint="default" w:ascii="Times New Roman" w:hAnsi="Times New Roman" w:eastAsia="仿宋_GB2312" w:cs="Times New Roman"/>
                <w:color w:val="auto"/>
                <w:kern w:val="0"/>
                <w:szCs w:val="21"/>
                <w:highlight w:val="none"/>
              </w:rPr>
            </w:pPr>
          </w:p>
          <w:p w14:paraId="53964A7B">
            <w:pPr>
              <w:widowControl/>
              <w:spacing w:line="300" w:lineRule="exact"/>
              <w:jc w:val="center"/>
              <w:rPr>
                <w:rFonts w:hint="default" w:ascii="Times New Roman" w:hAnsi="Times New Roman" w:eastAsia="仿宋_GB2312" w:cs="Times New Roman"/>
                <w:color w:val="auto"/>
                <w:kern w:val="0"/>
                <w:szCs w:val="21"/>
                <w:highlight w:val="none"/>
              </w:rPr>
            </w:pPr>
          </w:p>
          <w:p w14:paraId="4D7E9E2F">
            <w:pPr>
              <w:widowControl/>
              <w:spacing w:line="300" w:lineRule="exact"/>
              <w:jc w:val="both"/>
              <w:rPr>
                <w:rFonts w:hint="default" w:ascii="Times New Roman" w:hAnsi="Times New Roman" w:eastAsia="仿宋_GB2312" w:cs="Times New Roman"/>
                <w:color w:val="auto"/>
                <w:kern w:val="0"/>
                <w:szCs w:val="21"/>
                <w:highlight w:val="none"/>
              </w:rPr>
            </w:pPr>
          </w:p>
          <w:p w14:paraId="4EFC840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水产制品</w:t>
            </w:r>
          </w:p>
        </w:tc>
        <w:tc>
          <w:tcPr>
            <w:tcW w:w="1256" w:type="dxa"/>
            <w:vMerge w:val="restart"/>
            <w:noWrap w:val="0"/>
            <w:vAlign w:val="center"/>
          </w:tcPr>
          <w:p w14:paraId="3C424801">
            <w:pPr>
              <w:widowControl/>
              <w:spacing w:line="300" w:lineRule="exact"/>
              <w:jc w:val="center"/>
              <w:rPr>
                <w:rFonts w:hint="default" w:ascii="Times New Roman" w:hAnsi="Times New Roman" w:eastAsia="仿宋_GB2312" w:cs="Times New Roman"/>
                <w:color w:val="auto"/>
                <w:kern w:val="0"/>
                <w:szCs w:val="21"/>
                <w:highlight w:val="none"/>
              </w:rPr>
            </w:pPr>
          </w:p>
          <w:p w14:paraId="38C60D31">
            <w:pPr>
              <w:widowControl/>
              <w:spacing w:line="300" w:lineRule="exact"/>
              <w:jc w:val="center"/>
              <w:rPr>
                <w:rFonts w:hint="default" w:ascii="Times New Roman" w:hAnsi="Times New Roman" w:eastAsia="仿宋_GB2312" w:cs="Times New Roman"/>
                <w:color w:val="auto"/>
                <w:kern w:val="0"/>
                <w:szCs w:val="21"/>
                <w:highlight w:val="none"/>
              </w:rPr>
            </w:pPr>
          </w:p>
          <w:p w14:paraId="375BBB97">
            <w:pPr>
              <w:widowControl/>
              <w:spacing w:line="300" w:lineRule="exact"/>
              <w:jc w:val="center"/>
              <w:rPr>
                <w:rFonts w:hint="default" w:ascii="Times New Roman" w:hAnsi="Times New Roman" w:eastAsia="仿宋_GB2312" w:cs="Times New Roman"/>
                <w:color w:val="auto"/>
                <w:kern w:val="0"/>
                <w:szCs w:val="21"/>
                <w:highlight w:val="none"/>
              </w:rPr>
            </w:pPr>
          </w:p>
          <w:p w14:paraId="570FCF8E">
            <w:pPr>
              <w:widowControl/>
              <w:spacing w:line="300" w:lineRule="exact"/>
              <w:jc w:val="center"/>
              <w:rPr>
                <w:rFonts w:hint="default" w:ascii="Times New Roman" w:hAnsi="Times New Roman" w:eastAsia="仿宋_GB2312" w:cs="Times New Roman"/>
                <w:color w:val="auto"/>
                <w:kern w:val="0"/>
                <w:szCs w:val="21"/>
                <w:highlight w:val="none"/>
              </w:rPr>
            </w:pPr>
          </w:p>
          <w:p w14:paraId="5A7A29CE">
            <w:pPr>
              <w:widowControl/>
              <w:spacing w:line="300" w:lineRule="exact"/>
              <w:jc w:val="center"/>
              <w:rPr>
                <w:rFonts w:hint="default" w:ascii="Times New Roman" w:hAnsi="Times New Roman" w:eastAsia="仿宋_GB2312" w:cs="Times New Roman"/>
                <w:color w:val="auto"/>
                <w:kern w:val="0"/>
                <w:szCs w:val="21"/>
                <w:highlight w:val="none"/>
              </w:rPr>
            </w:pPr>
          </w:p>
          <w:p w14:paraId="0D180394">
            <w:pPr>
              <w:widowControl/>
              <w:spacing w:line="300" w:lineRule="exact"/>
              <w:jc w:val="center"/>
              <w:rPr>
                <w:rFonts w:hint="default" w:ascii="Times New Roman" w:hAnsi="Times New Roman" w:eastAsia="仿宋_GB2312" w:cs="Times New Roman"/>
                <w:color w:val="auto"/>
                <w:kern w:val="0"/>
                <w:szCs w:val="21"/>
                <w:highlight w:val="none"/>
              </w:rPr>
            </w:pPr>
          </w:p>
          <w:p w14:paraId="55E3536F">
            <w:pPr>
              <w:widowControl/>
              <w:spacing w:line="300" w:lineRule="exact"/>
              <w:jc w:val="center"/>
              <w:rPr>
                <w:rFonts w:hint="default" w:ascii="Times New Roman" w:hAnsi="Times New Roman" w:eastAsia="仿宋_GB2312" w:cs="Times New Roman"/>
                <w:color w:val="auto"/>
                <w:kern w:val="0"/>
                <w:szCs w:val="21"/>
                <w:highlight w:val="none"/>
              </w:rPr>
            </w:pPr>
          </w:p>
          <w:p w14:paraId="0CC9D946">
            <w:pPr>
              <w:widowControl/>
              <w:spacing w:line="300" w:lineRule="exact"/>
              <w:jc w:val="center"/>
              <w:rPr>
                <w:rFonts w:hint="default" w:ascii="Times New Roman" w:hAnsi="Times New Roman" w:eastAsia="仿宋_GB2312" w:cs="Times New Roman"/>
                <w:color w:val="auto"/>
                <w:kern w:val="0"/>
                <w:szCs w:val="21"/>
                <w:highlight w:val="none"/>
              </w:rPr>
            </w:pPr>
          </w:p>
          <w:p w14:paraId="5768A75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水产制品</w:t>
            </w:r>
          </w:p>
          <w:p w14:paraId="02277FB6">
            <w:pPr>
              <w:widowControl/>
              <w:spacing w:line="300" w:lineRule="exact"/>
              <w:jc w:val="center"/>
              <w:rPr>
                <w:rFonts w:hint="default" w:ascii="Times New Roman" w:hAnsi="Times New Roman" w:eastAsia="仿宋_GB2312" w:cs="Times New Roman"/>
                <w:color w:val="auto"/>
                <w:kern w:val="0"/>
                <w:szCs w:val="21"/>
                <w:highlight w:val="none"/>
              </w:rPr>
            </w:pPr>
          </w:p>
          <w:p w14:paraId="00E564F8">
            <w:pPr>
              <w:widowControl/>
              <w:spacing w:line="300" w:lineRule="exact"/>
              <w:jc w:val="center"/>
              <w:rPr>
                <w:rFonts w:hint="default" w:ascii="Times New Roman" w:hAnsi="Times New Roman" w:eastAsia="仿宋_GB2312" w:cs="Times New Roman"/>
                <w:color w:val="auto"/>
                <w:kern w:val="0"/>
                <w:szCs w:val="21"/>
                <w:highlight w:val="none"/>
              </w:rPr>
            </w:pPr>
          </w:p>
          <w:p w14:paraId="37174469">
            <w:pPr>
              <w:widowControl/>
              <w:spacing w:line="300" w:lineRule="exact"/>
              <w:jc w:val="center"/>
              <w:rPr>
                <w:rFonts w:hint="default" w:ascii="Times New Roman" w:hAnsi="Times New Roman" w:eastAsia="仿宋_GB2312" w:cs="Times New Roman"/>
                <w:color w:val="auto"/>
                <w:kern w:val="0"/>
                <w:szCs w:val="21"/>
                <w:highlight w:val="none"/>
              </w:rPr>
            </w:pPr>
          </w:p>
          <w:p w14:paraId="06508434">
            <w:pPr>
              <w:widowControl/>
              <w:spacing w:line="300" w:lineRule="exact"/>
              <w:jc w:val="center"/>
              <w:rPr>
                <w:rFonts w:hint="default" w:ascii="Times New Roman" w:hAnsi="Times New Roman" w:eastAsia="仿宋_GB2312" w:cs="Times New Roman"/>
                <w:color w:val="auto"/>
                <w:kern w:val="0"/>
                <w:szCs w:val="21"/>
                <w:highlight w:val="none"/>
              </w:rPr>
            </w:pPr>
          </w:p>
          <w:p w14:paraId="7A999361">
            <w:pPr>
              <w:widowControl/>
              <w:spacing w:line="300" w:lineRule="exact"/>
              <w:jc w:val="center"/>
              <w:rPr>
                <w:rFonts w:hint="default" w:ascii="Times New Roman" w:hAnsi="Times New Roman" w:eastAsia="仿宋_GB2312" w:cs="Times New Roman"/>
                <w:color w:val="auto"/>
                <w:kern w:val="0"/>
                <w:szCs w:val="21"/>
                <w:highlight w:val="none"/>
              </w:rPr>
            </w:pPr>
          </w:p>
          <w:p w14:paraId="1EF199B8">
            <w:pPr>
              <w:widowControl/>
              <w:spacing w:line="300" w:lineRule="exact"/>
              <w:jc w:val="center"/>
              <w:rPr>
                <w:rFonts w:hint="default" w:ascii="Times New Roman" w:hAnsi="Times New Roman" w:eastAsia="仿宋_GB2312" w:cs="Times New Roman"/>
                <w:color w:val="auto"/>
                <w:kern w:val="0"/>
                <w:szCs w:val="21"/>
                <w:highlight w:val="none"/>
              </w:rPr>
            </w:pPr>
          </w:p>
          <w:p w14:paraId="146B4148">
            <w:pPr>
              <w:widowControl/>
              <w:spacing w:line="300" w:lineRule="exact"/>
              <w:jc w:val="center"/>
              <w:rPr>
                <w:rFonts w:hint="default" w:ascii="Times New Roman" w:hAnsi="Times New Roman" w:eastAsia="仿宋_GB2312" w:cs="Times New Roman"/>
                <w:color w:val="auto"/>
                <w:kern w:val="0"/>
                <w:szCs w:val="21"/>
                <w:highlight w:val="none"/>
              </w:rPr>
            </w:pPr>
          </w:p>
          <w:p w14:paraId="5FC72669">
            <w:pPr>
              <w:widowControl/>
              <w:spacing w:line="300" w:lineRule="exact"/>
              <w:jc w:val="center"/>
              <w:rPr>
                <w:rFonts w:hint="default" w:ascii="Times New Roman" w:hAnsi="Times New Roman" w:eastAsia="仿宋_GB2312" w:cs="Times New Roman"/>
                <w:color w:val="auto"/>
                <w:kern w:val="0"/>
                <w:szCs w:val="21"/>
                <w:highlight w:val="none"/>
              </w:rPr>
            </w:pPr>
          </w:p>
          <w:p w14:paraId="1542D90E">
            <w:pPr>
              <w:widowControl/>
              <w:spacing w:line="300" w:lineRule="exact"/>
              <w:jc w:val="center"/>
              <w:rPr>
                <w:rFonts w:hint="default" w:ascii="Times New Roman" w:hAnsi="Times New Roman" w:eastAsia="仿宋_GB2312" w:cs="Times New Roman"/>
                <w:color w:val="auto"/>
                <w:kern w:val="0"/>
                <w:szCs w:val="21"/>
                <w:highlight w:val="none"/>
              </w:rPr>
            </w:pPr>
          </w:p>
          <w:p w14:paraId="2A5EE271">
            <w:pPr>
              <w:widowControl/>
              <w:spacing w:line="300" w:lineRule="exact"/>
              <w:jc w:val="center"/>
              <w:rPr>
                <w:rFonts w:hint="default" w:ascii="Times New Roman" w:hAnsi="Times New Roman" w:eastAsia="仿宋_GB2312" w:cs="Times New Roman"/>
                <w:color w:val="auto"/>
                <w:kern w:val="0"/>
                <w:szCs w:val="21"/>
                <w:highlight w:val="none"/>
              </w:rPr>
            </w:pPr>
          </w:p>
          <w:p w14:paraId="133FB1CB">
            <w:pPr>
              <w:widowControl/>
              <w:spacing w:line="300" w:lineRule="exact"/>
              <w:jc w:val="center"/>
              <w:rPr>
                <w:rFonts w:hint="default" w:ascii="Times New Roman" w:hAnsi="Times New Roman" w:eastAsia="仿宋_GB2312" w:cs="Times New Roman"/>
                <w:color w:val="auto"/>
                <w:kern w:val="0"/>
                <w:szCs w:val="21"/>
                <w:highlight w:val="none"/>
              </w:rPr>
            </w:pPr>
          </w:p>
          <w:p w14:paraId="7DE4A1A5">
            <w:pPr>
              <w:widowControl/>
              <w:spacing w:line="300" w:lineRule="exact"/>
              <w:jc w:val="center"/>
              <w:rPr>
                <w:rFonts w:hint="default" w:ascii="Times New Roman" w:hAnsi="Times New Roman" w:eastAsia="仿宋_GB2312" w:cs="Times New Roman"/>
                <w:color w:val="auto"/>
                <w:kern w:val="0"/>
                <w:szCs w:val="21"/>
                <w:highlight w:val="none"/>
              </w:rPr>
            </w:pPr>
          </w:p>
          <w:p w14:paraId="0A6CECA7">
            <w:pPr>
              <w:widowControl/>
              <w:spacing w:line="300" w:lineRule="exact"/>
              <w:jc w:val="center"/>
              <w:rPr>
                <w:rFonts w:hint="default" w:ascii="Times New Roman" w:hAnsi="Times New Roman" w:eastAsia="仿宋_GB2312" w:cs="Times New Roman"/>
                <w:color w:val="auto"/>
                <w:kern w:val="0"/>
                <w:szCs w:val="21"/>
                <w:highlight w:val="none"/>
              </w:rPr>
            </w:pPr>
          </w:p>
          <w:p w14:paraId="7F51C538">
            <w:pPr>
              <w:widowControl/>
              <w:spacing w:line="300" w:lineRule="exact"/>
              <w:jc w:val="both"/>
              <w:rPr>
                <w:rFonts w:hint="default" w:ascii="Times New Roman" w:hAnsi="Times New Roman" w:eastAsia="仿宋_GB2312" w:cs="Times New Roman"/>
                <w:color w:val="auto"/>
                <w:kern w:val="0"/>
                <w:szCs w:val="21"/>
                <w:highlight w:val="none"/>
              </w:rPr>
            </w:pPr>
          </w:p>
          <w:p w14:paraId="2C4BC00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水产制品</w:t>
            </w:r>
          </w:p>
        </w:tc>
        <w:tc>
          <w:tcPr>
            <w:tcW w:w="1144" w:type="dxa"/>
            <w:vMerge w:val="restart"/>
            <w:noWrap w:val="0"/>
            <w:vAlign w:val="center"/>
          </w:tcPr>
          <w:p w14:paraId="4144AC7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干制水产品</w:t>
            </w:r>
          </w:p>
        </w:tc>
        <w:tc>
          <w:tcPr>
            <w:tcW w:w="1856" w:type="dxa"/>
            <w:noWrap w:val="0"/>
            <w:vAlign w:val="center"/>
          </w:tcPr>
          <w:p w14:paraId="6118D3E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藻类干制品</w:t>
            </w:r>
          </w:p>
        </w:tc>
        <w:tc>
          <w:tcPr>
            <w:tcW w:w="1106" w:type="dxa"/>
            <w:noWrap w:val="0"/>
            <w:vAlign w:val="center"/>
          </w:tcPr>
          <w:p w14:paraId="3BB53E6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2170BF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铅（以Pb计）、菌落总数、大肠菌群</w:t>
            </w:r>
          </w:p>
        </w:tc>
        <w:tc>
          <w:tcPr>
            <w:tcW w:w="3435" w:type="dxa"/>
            <w:noWrap w:val="0"/>
            <w:vAlign w:val="center"/>
          </w:tcPr>
          <w:p w14:paraId="793D0E2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BA3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549462F">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57DB3A2">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2F59841">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681E275">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1BA651C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预制动物性水产干制品</w:t>
            </w:r>
          </w:p>
        </w:tc>
        <w:tc>
          <w:tcPr>
            <w:tcW w:w="1106" w:type="dxa"/>
            <w:noWrap w:val="0"/>
            <w:vAlign w:val="center"/>
          </w:tcPr>
          <w:p w14:paraId="1E2E6E9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0322971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过氧化值（以脂肪计）、铅（以Pb计）、镉（以Cd计）、苯甲酸及其钠盐（以苯甲酸计）、山梨酸及其钾盐（以山梨酸计）、合成着色剂（柠檬黄、胭脂红、日落黄、诱惑红）</w:t>
            </w:r>
          </w:p>
        </w:tc>
        <w:tc>
          <w:tcPr>
            <w:tcW w:w="3435" w:type="dxa"/>
            <w:noWrap w:val="0"/>
            <w:vAlign w:val="center"/>
          </w:tcPr>
          <w:p w14:paraId="5B06BE1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A21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0483870">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E9DC3D4">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5B6D795">
            <w:pPr>
              <w:widowControl/>
              <w:jc w:val="center"/>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546D17C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盐渍水产品</w:t>
            </w:r>
          </w:p>
        </w:tc>
        <w:tc>
          <w:tcPr>
            <w:tcW w:w="1856" w:type="dxa"/>
            <w:noWrap w:val="0"/>
            <w:vAlign w:val="center"/>
          </w:tcPr>
          <w:p w14:paraId="15DE58B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盐渍鱼</w:t>
            </w:r>
          </w:p>
        </w:tc>
        <w:tc>
          <w:tcPr>
            <w:tcW w:w="1106" w:type="dxa"/>
            <w:noWrap w:val="0"/>
            <w:vAlign w:val="center"/>
          </w:tcPr>
          <w:p w14:paraId="3B38C30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AC8089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过氧化值（以脂肪计）、组胺、镉（以Cd计）、苯甲酸及其钠盐（以苯甲酸计）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山梨酸及其钾盐（以山梨酸计）</w:t>
            </w:r>
          </w:p>
        </w:tc>
        <w:tc>
          <w:tcPr>
            <w:tcW w:w="3435" w:type="dxa"/>
            <w:noWrap w:val="0"/>
            <w:vAlign w:val="center"/>
          </w:tcPr>
          <w:p w14:paraId="4FDB38C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2EE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1279BF23">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5ACF2E6">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675E571">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5D889AC">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7A53962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盐渍藻</w:t>
            </w:r>
          </w:p>
        </w:tc>
        <w:tc>
          <w:tcPr>
            <w:tcW w:w="1106" w:type="dxa"/>
            <w:noWrap w:val="0"/>
            <w:vAlign w:val="center"/>
          </w:tcPr>
          <w:p w14:paraId="246438E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4BCEE9A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w:t>
            </w:r>
          </w:p>
        </w:tc>
        <w:tc>
          <w:tcPr>
            <w:tcW w:w="3435" w:type="dxa"/>
            <w:noWrap w:val="0"/>
            <w:vAlign w:val="center"/>
          </w:tcPr>
          <w:p w14:paraId="6FBE255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2F78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2158F53D">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E2E9CE3">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D02EDEF">
            <w:pPr>
              <w:widowControl/>
              <w:jc w:val="center"/>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67759B6">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4CD0D1C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其他盐渍水产品</w:t>
            </w:r>
          </w:p>
        </w:tc>
        <w:tc>
          <w:tcPr>
            <w:tcW w:w="1106" w:type="dxa"/>
            <w:noWrap w:val="0"/>
            <w:vAlign w:val="center"/>
          </w:tcPr>
          <w:p w14:paraId="3CA110A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21AC1EE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w:t>
            </w:r>
          </w:p>
        </w:tc>
        <w:tc>
          <w:tcPr>
            <w:tcW w:w="3435" w:type="dxa"/>
            <w:noWrap w:val="0"/>
            <w:vAlign w:val="center"/>
          </w:tcPr>
          <w:p w14:paraId="1618EE4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1F63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60341BB8">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B65F96E">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89CB10F">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0502F40A">
            <w:pPr>
              <w:widowControl/>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鱼糜制品</w:t>
            </w:r>
          </w:p>
        </w:tc>
        <w:tc>
          <w:tcPr>
            <w:tcW w:w="1856" w:type="dxa"/>
            <w:noWrap w:val="0"/>
            <w:vAlign w:val="center"/>
          </w:tcPr>
          <w:p w14:paraId="3638D7C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预制鱼糜制品</w:t>
            </w:r>
          </w:p>
        </w:tc>
        <w:tc>
          <w:tcPr>
            <w:tcW w:w="1106" w:type="dxa"/>
            <w:noWrap w:val="0"/>
            <w:vAlign w:val="center"/>
          </w:tcPr>
          <w:p w14:paraId="470754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7AE395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铅（以Pb计）、苯甲酸及其钠盐（以苯甲酸计）、山梨酸及其钾盐（以山梨酸计）、脱氢乙酸及其钠盐（以脱氢乙酸计）、合成着色剂（诱惑红、柠檬黄、日落黄）</w:t>
            </w:r>
          </w:p>
        </w:tc>
        <w:tc>
          <w:tcPr>
            <w:tcW w:w="3435" w:type="dxa"/>
            <w:noWrap w:val="0"/>
            <w:vAlign w:val="center"/>
          </w:tcPr>
          <w:p w14:paraId="58D8D49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75C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5BC475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7415AA9">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686657D">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569E1FC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熟制动物性水产制品</w:t>
            </w:r>
          </w:p>
        </w:tc>
        <w:tc>
          <w:tcPr>
            <w:tcW w:w="1856" w:type="dxa"/>
            <w:noWrap w:val="0"/>
            <w:vAlign w:val="center"/>
          </w:tcPr>
          <w:p w14:paraId="1DC6C2E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熟制动物性水产制品</w:t>
            </w:r>
          </w:p>
        </w:tc>
        <w:tc>
          <w:tcPr>
            <w:tcW w:w="1106" w:type="dxa"/>
            <w:noWrap w:val="0"/>
            <w:vAlign w:val="center"/>
          </w:tcPr>
          <w:p w14:paraId="1662E31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24779C7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铅（以Pb计）、镉（以Cd计） 、苯甲酸及其钠盐（以苯甲酸计）、山梨酸及其钾盐 （以山梨酸计）、甜蜜素（以环己基氨基磺酸计）、 脱氢乙酸及其钠盐（以脱氢乙酸计）</w:t>
            </w:r>
          </w:p>
        </w:tc>
        <w:tc>
          <w:tcPr>
            <w:tcW w:w="3435" w:type="dxa"/>
            <w:noWrap w:val="0"/>
            <w:vAlign w:val="center"/>
          </w:tcPr>
          <w:p w14:paraId="54FD5E5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26FD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7A58F0E8">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831DB8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33AAF3B">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37E0808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生食水产品</w:t>
            </w:r>
          </w:p>
        </w:tc>
        <w:tc>
          <w:tcPr>
            <w:tcW w:w="1856" w:type="dxa"/>
            <w:noWrap w:val="0"/>
            <w:vAlign w:val="center"/>
          </w:tcPr>
          <w:p w14:paraId="41E4AE7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生食动物性水产品</w:t>
            </w:r>
          </w:p>
        </w:tc>
        <w:tc>
          <w:tcPr>
            <w:tcW w:w="1106" w:type="dxa"/>
            <w:noWrap w:val="0"/>
            <w:vAlign w:val="center"/>
          </w:tcPr>
          <w:p w14:paraId="6E91CCB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04CE231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挥发性盐基氮、苯甲酸及其钠盐（以苯甲酸计）、 山梨酸及其钾盐 （以山梨酸计）、铝的残留量（以即食海蜇中Al计）、菌落总数、大肠菌群、沙门氏菌、副溶血性弧菌、单核细胞增生李斯特氏菌</w:t>
            </w:r>
          </w:p>
        </w:tc>
        <w:tc>
          <w:tcPr>
            <w:tcW w:w="3435" w:type="dxa"/>
            <w:noWrap w:val="0"/>
            <w:vAlign w:val="center"/>
          </w:tcPr>
          <w:p w14:paraId="20F8F35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FCD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5FACCD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65E4104">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D4A15E9">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3FB8A72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其他水产制品</w:t>
            </w:r>
          </w:p>
        </w:tc>
        <w:tc>
          <w:tcPr>
            <w:tcW w:w="1856" w:type="dxa"/>
            <w:noWrap w:val="0"/>
            <w:vAlign w:val="center"/>
          </w:tcPr>
          <w:p w14:paraId="208063E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其他水产制品</w:t>
            </w:r>
          </w:p>
        </w:tc>
        <w:tc>
          <w:tcPr>
            <w:tcW w:w="1106" w:type="dxa"/>
            <w:noWrap w:val="0"/>
            <w:vAlign w:val="center"/>
          </w:tcPr>
          <w:p w14:paraId="14A3D17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5F0FFD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苯甲酸及其钠盐（以苯甲酸计）、山梨酸及其钾盐（以山梨酸计）、糖精钠（以糖精计）、脱氢乙酸及其钠盐（以脱氢乙酸计）、甜蜜素（以环己基氨基磺酸计）、防腐剂混合使用时各自用量占其最大使用量的比例之和、菌落总数</w:t>
            </w:r>
          </w:p>
        </w:tc>
        <w:tc>
          <w:tcPr>
            <w:tcW w:w="3435" w:type="dxa"/>
            <w:noWrap w:val="0"/>
            <w:vAlign w:val="center"/>
          </w:tcPr>
          <w:p w14:paraId="6601F79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合成着色剂（柠檬黄）</w:t>
            </w:r>
          </w:p>
        </w:tc>
      </w:tr>
      <w:tr w14:paraId="15151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35AF8851">
            <w:pPr>
              <w:widowControl/>
              <w:spacing w:line="300" w:lineRule="exact"/>
              <w:jc w:val="center"/>
              <w:rPr>
                <w:rFonts w:hint="default" w:ascii="Times New Roman" w:hAnsi="Times New Roman" w:eastAsia="仿宋_GB2312" w:cs="Times New Roman"/>
                <w:color w:val="auto"/>
                <w:kern w:val="0"/>
                <w:szCs w:val="21"/>
                <w:highlight w:val="none"/>
              </w:rPr>
            </w:pPr>
          </w:p>
          <w:p w14:paraId="25B9EDB2">
            <w:pPr>
              <w:widowControl/>
              <w:spacing w:line="300" w:lineRule="exact"/>
              <w:jc w:val="center"/>
              <w:rPr>
                <w:rFonts w:hint="default" w:ascii="Times New Roman" w:hAnsi="Times New Roman" w:eastAsia="仿宋_GB2312" w:cs="Times New Roman"/>
                <w:color w:val="auto"/>
                <w:kern w:val="0"/>
                <w:szCs w:val="21"/>
                <w:highlight w:val="none"/>
              </w:rPr>
            </w:pPr>
          </w:p>
          <w:p w14:paraId="506D8AE2">
            <w:pPr>
              <w:widowControl/>
              <w:spacing w:line="300" w:lineRule="exact"/>
              <w:jc w:val="center"/>
              <w:rPr>
                <w:rFonts w:hint="default" w:ascii="Times New Roman" w:hAnsi="Times New Roman" w:eastAsia="仿宋_GB2312" w:cs="Times New Roman"/>
                <w:color w:val="auto"/>
                <w:kern w:val="0"/>
                <w:szCs w:val="21"/>
                <w:highlight w:val="none"/>
              </w:rPr>
            </w:pPr>
          </w:p>
          <w:p w14:paraId="1EA30F92">
            <w:pPr>
              <w:widowControl/>
              <w:spacing w:line="300" w:lineRule="exact"/>
              <w:jc w:val="center"/>
              <w:rPr>
                <w:rFonts w:hint="default" w:ascii="Times New Roman" w:hAnsi="Times New Roman" w:eastAsia="仿宋_GB2312" w:cs="Times New Roman"/>
                <w:color w:val="auto"/>
                <w:kern w:val="0"/>
                <w:szCs w:val="21"/>
                <w:highlight w:val="none"/>
              </w:rPr>
            </w:pPr>
          </w:p>
          <w:p w14:paraId="0AFAF409">
            <w:pPr>
              <w:widowControl/>
              <w:spacing w:line="300" w:lineRule="exact"/>
              <w:jc w:val="center"/>
              <w:rPr>
                <w:rFonts w:hint="default" w:ascii="Times New Roman" w:hAnsi="Times New Roman" w:eastAsia="仿宋_GB2312" w:cs="Times New Roman"/>
                <w:color w:val="auto"/>
                <w:kern w:val="0"/>
                <w:szCs w:val="21"/>
                <w:highlight w:val="none"/>
              </w:rPr>
            </w:pPr>
          </w:p>
          <w:p w14:paraId="22969A9F">
            <w:pPr>
              <w:widowControl/>
              <w:spacing w:line="300" w:lineRule="exact"/>
              <w:jc w:val="both"/>
              <w:rPr>
                <w:rFonts w:hint="default" w:ascii="Times New Roman" w:hAnsi="Times New Roman" w:eastAsia="仿宋_GB2312" w:cs="Times New Roman"/>
                <w:color w:val="auto"/>
                <w:kern w:val="0"/>
                <w:szCs w:val="21"/>
                <w:highlight w:val="none"/>
              </w:rPr>
            </w:pPr>
          </w:p>
          <w:p w14:paraId="5905929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23</w:t>
            </w:r>
          </w:p>
          <w:p w14:paraId="5794C9E8">
            <w:pPr>
              <w:widowControl/>
              <w:spacing w:line="300" w:lineRule="exact"/>
              <w:jc w:val="center"/>
              <w:rPr>
                <w:rFonts w:hint="default" w:ascii="Times New Roman" w:hAnsi="Times New Roman" w:eastAsia="仿宋_GB2312" w:cs="Times New Roman"/>
                <w:color w:val="auto"/>
                <w:kern w:val="0"/>
                <w:szCs w:val="21"/>
                <w:highlight w:val="none"/>
              </w:rPr>
            </w:pPr>
          </w:p>
          <w:p w14:paraId="064C3EDA">
            <w:pPr>
              <w:widowControl/>
              <w:spacing w:line="300" w:lineRule="exact"/>
              <w:jc w:val="center"/>
              <w:rPr>
                <w:rFonts w:hint="default" w:ascii="Times New Roman" w:hAnsi="Times New Roman" w:eastAsia="仿宋_GB2312" w:cs="Times New Roman"/>
                <w:color w:val="auto"/>
                <w:kern w:val="0"/>
                <w:szCs w:val="21"/>
                <w:highlight w:val="none"/>
              </w:rPr>
            </w:pPr>
          </w:p>
          <w:p w14:paraId="744C8B72">
            <w:pPr>
              <w:widowControl/>
              <w:spacing w:line="300" w:lineRule="exact"/>
              <w:jc w:val="center"/>
              <w:rPr>
                <w:rFonts w:hint="default" w:ascii="Times New Roman" w:hAnsi="Times New Roman" w:eastAsia="仿宋_GB2312" w:cs="Times New Roman"/>
                <w:color w:val="auto"/>
                <w:kern w:val="0"/>
                <w:szCs w:val="21"/>
                <w:highlight w:val="none"/>
              </w:rPr>
            </w:pPr>
          </w:p>
          <w:p w14:paraId="6CABB9F1">
            <w:pPr>
              <w:widowControl/>
              <w:spacing w:line="300" w:lineRule="exact"/>
              <w:jc w:val="center"/>
              <w:rPr>
                <w:rFonts w:hint="default" w:ascii="Times New Roman" w:hAnsi="Times New Roman" w:eastAsia="仿宋_GB2312" w:cs="Times New Roman"/>
                <w:color w:val="auto"/>
                <w:kern w:val="0"/>
                <w:szCs w:val="21"/>
                <w:highlight w:val="none"/>
              </w:rPr>
            </w:pPr>
          </w:p>
          <w:p w14:paraId="65BA0EA3">
            <w:pPr>
              <w:widowControl/>
              <w:spacing w:line="300" w:lineRule="exact"/>
              <w:jc w:val="center"/>
              <w:rPr>
                <w:rFonts w:hint="default" w:ascii="Times New Roman" w:hAnsi="Times New Roman" w:eastAsia="仿宋_GB2312" w:cs="Times New Roman"/>
                <w:color w:val="auto"/>
                <w:kern w:val="0"/>
                <w:szCs w:val="21"/>
                <w:highlight w:val="none"/>
              </w:rPr>
            </w:pPr>
          </w:p>
          <w:p w14:paraId="17E27C0B">
            <w:pPr>
              <w:widowControl/>
              <w:spacing w:line="300" w:lineRule="exact"/>
              <w:jc w:val="center"/>
              <w:rPr>
                <w:rFonts w:hint="default" w:ascii="Times New Roman" w:hAnsi="Times New Roman" w:eastAsia="仿宋_GB2312" w:cs="Times New Roman"/>
                <w:color w:val="auto"/>
                <w:kern w:val="0"/>
                <w:szCs w:val="21"/>
                <w:highlight w:val="none"/>
              </w:rPr>
            </w:pPr>
          </w:p>
          <w:p w14:paraId="5D53497A">
            <w:pPr>
              <w:widowControl/>
              <w:spacing w:line="300" w:lineRule="exact"/>
              <w:jc w:val="center"/>
              <w:rPr>
                <w:rFonts w:hint="default" w:ascii="Times New Roman" w:hAnsi="Times New Roman" w:eastAsia="仿宋_GB2312" w:cs="Times New Roman"/>
                <w:color w:val="auto"/>
                <w:kern w:val="0"/>
                <w:szCs w:val="21"/>
                <w:highlight w:val="none"/>
              </w:rPr>
            </w:pPr>
          </w:p>
          <w:p w14:paraId="37D93E37">
            <w:pPr>
              <w:widowControl/>
              <w:spacing w:line="300" w:lineRule="exact"/>
              <w:jc w:val="center"/>
              <w:rPr>
                <w:rFonts w:hint="default" w:ascii="Times New Roman" w:hAnsi="Times New Roman" w:eastAsia="仿宋_GB2312" w:cs="Times New Roman"/>
                <w:color w:val="auto"/>
                <w:kern w:val="0"/>
                <w:szCs w:val="21"/>
                <w:highlight w:val="none"/>
              </w:rPr>
            </w:pPr>
          </w:p>
          <w:p w14:paraId="730EA71F">
            <w:pPr>
              <w:widowControl/>
              <w:spacing w:line="300" w:lineRule="exact"/>
              <w:jc w:val="center"/>
              <w:rPr>
                <w:rFonts w:hint="default" w:ascii="Times New Roman" w:hAnsi="Times New Roman" w:eastAsia="仿宋_GB2312" w:cs="Times New Roman"/>
                <w:color w:val="auto"/>
                <w:kern w:val="0"/>
                <w:szCs w:val="21"/>
                <w:highlight w:val="none"/>
              </w:rPr>
            </w:pPr>
          </w:p>
          <w:p w14:paraId="06B9C987">
            <w:pPr>
              <w:widowControl/>
              <w:spacing w:line="300" w:lineRule="exact"/>
              <w:jc w:val="both"/>
              <w:rPr>
                <w:rFonts w:hint="default" w:ascii="Times New Roman" w:hAnsi="Times New Roman" w:eastAsia="仿宋_GB2312" w:cs="Times New Roman"/>
                <w:color w:val="auto"/>
                <w:kern w:val="0"/>
                <w:szCs w:val="21"/>
                <w:highlight w:val="none"/>
              </w:rPr>
            </w:pPr>
          </w:p>
          <w:p w14:paraId="5C49E91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23</w:t>
            </w:r>
          </w:p>
        </w:tc>
        <w:tc>
          <w:tcPr>
            <w:tcW w:w="1107" w:type="dxa"/>
            <w:vMerge w:val="restart"/>
            <w:noWrap w:val="0"/>
            <w:vAlign w:val="center"/>
          </w:tcPr>
          <w:p w14:paraId="493C6D25">
            <w:pPr>
              <w:widowControl/>
              <w:spacing w:line="300" w:lineRule="exact"/>
              <w:jc w:val="center"/>
              <w:rPr>
                <w:rFonts w:hint="default" w:ascii="Times New Roman" w:hAnsi="Times New Roman" w:eastAsia="仿宋_GB2312" w:cs="Times New Roman"/>
                <w:color w:val="auto"/>
                <w:kern w:val="0"/>
                <w:szCs w:val="21"/>
                <w:highlight w:val="none"/>
              </w:rPr>
            </w:pPr>
          </w:p>
          <w:p w14:paraId="508F52FB">
            <w:pPr>
              <w:widowControl/>
              <w:spacing w:line="300" w:lineRule="exact"/>
              <w:jc w:val="center"/>
              <w:rPr>
                <w:rFonts w:hint="default" w:ascii="Times New Roman" w:hAnsi="Times New Roman" w:eastAsia="仿宋_GB2312" w:cs="Times New Roman"/>
                <w:color w:val="auto"/>
                <w:kern w:val="0"/>
                <w:szCs w:val="21"/>
                <w:highlight w:val="none"/>
              </w:rPr>
            </w:pPr>
          </w:p>
          <w:p w14:paraId="178F8247">
            <w:pPr>
              <w:widowControl/>
              <w:spacing w:line="300" w:lineRule="exact"/>
              <w:jc w:val="center"/>
              <w:rPr>
                <w:rFonts w:hint="default" w:ascii="Times New Roman" w:hAnsi="Times New Roman" w:eastAsia="仿宋_GB2312" w:cs="Times New Roman"/>
                <w:color w:val="auto"/>
                <w:kern w:val="0"/>
                <w:szCs w:val="21"/>
                <w:highlight w:val="none"/>
              </w:rPr>
            </w:pPr>
          </w:p>
          <w:p w14:paraId="144C81AB">
            <w:pPr>
              <w:widowControl/>
              <w:spacing w:line="300" w:lineRule="exact"/>
              <w:jc w:val="center"/>
              <w:rPr>
                <w:rFonts w:hint="default" w:ascii="Times New Roman" w:hAnsi="Times New Roman" w:eastAsia="仿宋_GB2312" w:cs="Times New Roman"/>
                <w:color w:val="auto"/>
                <w:kern w:val="0"/>
                <w:szCs w:val="21"/>
                <w:highlight w:val="none"/>
              </w:rPr>
            </w:pPr>
          </w:p>
          <w:p w14:paraId="7C429E0B">
            <w:pPr>
              <w:widowControl/>
              <w:spacing w:line="300" w:lineRule="exact"/>
              <w:jc w:val="both"/>
              <w:rPr>
                <w:rFonts w:hint="default" w:ascii="Times New Roman" w:hAnsi="Times New Roman" w:eastAsia="仿宋_GB2312" w:cs="Times New Roman"/>
                <w:color w:val="auto"/>
                <w:kern w:val="0"/>
                <w:szCs w:val="21"/>
                <w:highlight w:val="none"/>
              </w:rPr>
            </w:pPr>
          </w:p>
          <w:p w14:paraId="3BF21B1A">
            <w:pPr>
              <w:widowControl/>
              <w:spacing w:line="300" w:lineRule="exact"/>
              <w:jc w:val="center"/>
              <w:rPr>
                <w:rFonts w:hint="default" w:ascii="Times New Roman" w:hAnsi="Times New Roman" w:eastAsia="仿宋_GB2312" w:cs="Times New Roman"/>
                <w:color w:val="auto"/>
                <w:kern w:val="0"/>
                <w:szCs w:val="21"/>
                <w:highlight w:val="none"/>
              </w:rPr>
            </w:pPr>
          </w:p>
          <w:p w14:paraId="5FD58D3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淀粉及淀粉制品</w:t>
            </w:r>
          </w:p>
          <w:p w14:paraId="4A8208D1">
            <w:pPr>
              <w:widowControl/>
              <w:spacing w:line="300" w:lineRule="exact"/>
              <w:jc w:val="center"/>
              <w:rPr>
                <w:rFonts w:hint="default" w:ascii="Times New Roman" w:hAnsi="Times New Roman" w:eastAsia="仿宋_GB2312" w:cs="Times New Roman"/>
                <w:color w:val="auto"/>
                <w:kern w:val="0"/>
                <w:szCs w:val="21"/>
                <w:highlight w:val="none"/>
              </w:rPr>
            </w:pPr>
          </w:p>
          <w:p w14:paraId="0D3EA767">
            <w:pPr>
              <w:widowControl/>
              <w:spacing w:line="300" w:lineRule="exact"/>
              <w:jc w:val="center"/>
              <w:rPr>
                <w:rFonts w:hint="default" w:ascii="Times New Roman" w:hAnsi="Times New Roman" w:eastAsia="仿宋_GB2312" w:cs="Times New Roman"/>
                <w:color w:val="auto"/>
                <w:kern w:val="0"/>
                <w:szCs w:val="21"/>
                <w:highlight w:val="none"/>
              </w:rPr>
            </w:pPr>
          </w:p>
          <w:p w14:paraId="12F54509">
            <w:pPr>
              <w:widowControl/>
              <w:spacing w:line="300" w:lineRule="exact"/>
              <w:jc w:val="center"/>
              <w:rPr>
                <w:rFonts w:hint="default" w:ascii="Times New Roman" w:hAnsi="Times New Roman" w:eastAsia="仿宋_GB2312" w:cs="Times New Roman"/>
                <w:color w:val="auto"/>
                <w:kern w:val="0"/>
                <w:szCs w:val="21"/>
                <w:highlight w:val="none"/>
              </w:rPr>
            </w:pPr>
          </w:p>
          <w:p w14:paraId="5A2D757D">
            <w:pPr>
              <w:widowControl/>
              <w:spacing w:line="300" w:lineRule="exact"/>
              <w:jc w:val="center"/>
              <w:rPr>
                <w:rFonts w:hint="default" w:ascii="Times New Roman" w:hAnsi="Times New Roman" w:eastAsia="仿宋_GB2312" w:cs="Times New Roman"/>
                <w:color w:val="auto"/>
                <w:kern w:val="0"/>
                <w:szCs w:val="21"/>
                <w:highlight w:val="none"/>
              </w:rPr>
            </w:pPr>
          </w:p>
          <w:p w14:paraId="5424BEB2">
            <w:pPr>
              <w:widowControl/>
              <w:spacing w:line="300" w:lineRule="exact"/>
              <w:jc w:val="center"/>
              <w:rPr>
                <w:rFonts w:hint="default" w:ascii="Times New Roman" w:hAnsi="Times New Roman" w:eastAsia="仿宋_GB2312" w:cs="Times New Roman"/>
                <w:color w:val="auto"/>
                <w:kern w:val="0"/>
                <w:szCs w:val="21"/>
                <w:highlight w:val="none"/>
              </w:rPr>
            </w:pPr>
          </w:p>
          <w:p w14:paraId="3E0D75BC">
            <w:pPr>
              <w:widowControl/>
              <w:spacing w:line="300" w:lineRule="exact"/>
              <w:jc w:val="center"/>
              <w:rPr>
                <w:rFonts w:hint="default" w:ascii="Times New Roman" w:hAnsi="Times New Roman" w:eastAsia="仿宋_GB2312" w:cs="Times New Roman"/>
                <w:color w:val="auto"/>
                <w:kern w:val="0"/>
                <w:szCs w:val="21"/>
                <w:highlight w:val="none"/>
              </w:rPr>
            </w:pPr>
          </w:p>
          <w:p w14:paraId="64CAC9DC">
            <w:pPr>
              <w:widowControl/>
              <w:spacing w:line="300" w:lineRule="exact"/>
              <w:jc w:val="center"/>
              <w:rPr>
                <w:rFonts w:hint="default" w:ascii="Times New Roman" w:hAnsi="Times New Roman" w:eastAsia="仿宋_GB2312" w:cs="Times New Roman"/>
                <w:color w:val="auto"/>
                <w:kern w:val="0"/>
                <w:szCs w:val="21"/>
                <w:highlight w:val="none"/>
              </w:rPr>
            </w:pPr>
          </w:p>
          <w:p w14:paraId="4924338C">
            <w:pPr>
              <w:widowControl/>
              <w:spacing w:line="300" w:lineRule="exact"/>
              <w:jc w:val="center"/>
              <w:rPr>
                <w:rFonts w:hint="default" w:ascii="Times New Roman" w:hAnsi="Times New Roman" w:eastAsia="仿宋_GB2312" w:cs="Times New Roman"/>
                <w:color w:val="auto"/>
                <w:kern w:val="0"/>
                <w:szCs w:val="21"/>
                <w:highlight w:val="none"/>
              </w:rPr>
            </w:pPr>
          </w:p>
          <w:p w14:paraId="5ED27BBE">
            <w:pPr>
              <w:widowControl/>
              <w:spacing w:line="300" w:lineRule="exact"/>
              <w:jc w:val="both"/>
              <w:rPr>
                <w:rFonts w:hint="default" w:ascii="Times New Roman" w:hAnsi="Times New Roman" w:eastAsia="仿宋_GB2312" w:cs="Times New Roman"/>
                <w:color w:val="auto"/>
                <w:kern w:val="0"/>
                <w:szCs w:val="21"/>
                <w:highlight w:val="none"/>
              </w:rPr>
            </w:pPr>
          </w:p>
          <w:p w14:paraId="4537939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淀粉及淀粉制品</w:t>
            </w:r>
          </w:p>
        </w:tc>
        <w:tc>
          <w:tcPr>
            <w:tcW w:w="1256" w:type="dxa"/>
            <w:vMerge w:val="restart"/>
            <w:noWrap w:val="0"/>
            <w:vAlign w:val="center"/>
          </w:tcPr>
          <w:p w14:paraId="16F24B27">
            <w:pPr>
              <w:widowControl/>
              <w:spacing w:line="300" w:lineRule="exact"/>
              <w:jc w:val="center"/>
              <w:rPr>
                <w:rFonts w:hint="default" w:ascii="Times New Roman" w:hAnsi="Times New Roman" w:eastAsia="仿宋_GB2312" w:cs="Times New Roman"/>
                <w:color w:val="auto"/>
                <w:kern w:val="0"/>
                <w:szCs w:val="21"/>
                <w:highlight w:val="none"/>
              </w:rPr>
            </w:pPr>
          </w:p>
          <w:p w14:paraId="35561146">
            <w:pPr>
              <w:widowControl/>
              <w:spacing w:line="300" w:lineRule="exact"/>
              <w:jc w:val="center"/>
              <w:rPr>
                <w:rFonts w:hint="default" w:ascii="Times New Roman" w:hAnsi="Times New Roman" w:eastAsia="仿宋_GB2312" w:cs="Times New Roman"/>
                <w:color w:val="auto"/>
                <w:kern w:val="0"/>
                <w:szCs w:val="21"/>
                <w:highlight w:val="none"/>
              </w:rPr>
            </w:pPr>
          </w:p>
          <w:p w14:paraId="5914F5E8">
            <w:pPr>
              <w:widowControl/>
              <w:spacing w:line="300" w:lineRule="exact"/>
              <w:jc w:val="center"/>
              <w:rPr>
                <w:rFonts w:hint="default" w:ascii="Times New Roman" w:hAnsi="Times New Roman" w:eastAsia="仿宋_GB2312" w:cs="Times New Roman"/>
                <w:color w:val="auto"/>
                <w:kern w:val="0"/>
                <w:szCs w:val="21"/>
                <w:highlight w:val="none"/>
              </w:rPr>
            </w:pPr>
          </w:p>
          <w:p w14:paraId="235C47CA">
            <w:pPr>
              <w:widowControl/>
              <w:spacing w:line="300" w:lineRule="exact"/>
              <w:jc w:val="center"/>
              <w:rPr>
                <w:rFonts w:hint="default" w:ascii="Times New Roman" w:hAnsi="Times New Roman" w:eastAsia="仿宋_GB2312" w:cs="Times New Roman"/>
                <w:color w:val="auto"/>
                <w:kern w:val="0"/>
                <w:szCs w:val="21"/>
                <w:highlight w:val="none"/>
              </w:rPr>
            </w:pPr>
          </w:p>
          <w:p w14:paraId="17577A05">
            <w:pPr>
              <w:widowControl/>
              <w:spacing w:line="300" w:lineRule="exact"/>
              <w:jc w:val="center"/>
              <w:rPr>
                <w:rFonts w:hint="default" w:ascii="Times New Roman" w:hAnsi="Times New Roman" w:eastAsia="仿宋_GB2312" w:cs="Times New Roman"/>
                <w:color w:val="auto"/>
                <w:kern w:val="0"/>
                <w:szCs w:val="21"/>
                <w:highlight w:val="none"/>
              </w:rPr>
            </w:pPr>
          </w:p>
          <w:p w14:paraId="36F08E66">
            <w:pPr>
              <w:widowControl/>
              <w:spacing w:line="300" w:lineRule="exact"/>
              <w:jc w:val="both"/>
              <w:rPr>
                <w:rFonts w:hint="default" w:ascii="Times New Roman" w:hAnsi="Times New Roman" w:eastAsia="仿宋_GB2312" w:cs="Times New Roman"/>
                <w:color w:val="auto"/>
                <w:kern w:val="0"/>
                <w:szCs w:val="21"/>
                <w:highlight w:val="none"/>
              </w:rPr>
            </w:pPr>
          </w:p>
          <w:p w14:paraId="208A49E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淀粉及淀粉制品</w:t>
            </w:r>
          </w:p>
          <w:p w14:paraId="42B03485">
            <w:pPr>
              <w:widowControl/>
              <w:spacing w:line="300" w:lineRule="exact"/>
              <w:jc w:val="center"/>
              <w:rPr>
                <w:rFonts w:hint="default" w:ascii="Times New Roman" w:hAnsi="Times New Roman" w:eastAsia="仿宋_GB2312" w:cs="Times New Roman"/>
                <w:color w:val="auto"/>
                <w:kern w:val="0"/>
                <w:szCs w:val="21"/>
                <w:highlight w:val="none"/>
              </w:rPr>
            </w:pPr>
          </w:p>
          <w:p w14:paraId="27DDA8CB">
            <w:pPr>
              <w:widowControl/>
              <w:spacing w:line="300" w:lineRule="exact"/>
              <w:jc w:val="center"/>
              <w:rPr>
                <w:rFonts w:hint="default" w:ascii="Times New Roman" w:hAnsi="Times New Roman" w:eastAsia="仿宋_GB2312" w:cs="Times New Roman"/>
                <w:color w:val="auto"/>
                <w:kern w:val="0"/>
                <w:szCs w:val="21"/>
                <w:highlight w:val="none"/>
              </w:rPr>
            </w:pPr>
          </w:p>
          <w:p w14:paraId="279C23A7">
            <w:pPr>
              <w:widowControl/>
              <w:spacing w:line="300" w:lineRule="exact"/>
              <w:jc w:val="center"/>
              <w:rPr>
                <w:rFonts w:hint="default" w:ascii="Times New Roman" w:hAnsi="Times New Roman" w:eastAsia="仿宋_GB2312" w:cs="Times New Roman"/>
                <w:color w:val="auto"/>
                <w:kern w:val="0"/>
                <w:szCs w:val="21"/>
                <w:highlight w:val="none"/>
              </w:rPr>
            </w:pPr>
          </w:p>
          <w:p w14:paraId="740E41E5">
            <w:pPr>
              <w:widowControl/>
              <w:spacing w:line="300" w:lineRule="exact"/>
              <w:jc w:val="center"/>
              <w:rPr>
                <w:rFonts w:hint="default" w:ascii="Times New Roman" w:hAnsi="Times New Roman" w:eastAsia="仿宋_GB2312" w:cs="Times New Roman"/>
                <w:color w:val="auto"/>
                <w:kern w:val="0"/>
                <w:szCs w:val="21"/>
                <w:highlight w:val="none"/>
              </w:rPr>
            </w:pPr>
          </w:p>
          <w:p w14:paraId="0D993471">
            <w:pPr>
              <w:widowControl/>
              <w:spacing w:line="300" w:lineRule="exact"/>
              <w:jc w:val="center"/>
              <w:rPr>
                <w:rFonts w:hint="default" w:ascii="Times New Roman" w:hAnsi="Times New Roman" w:eastAsia="仿宋_GB2312" w:cs="Times New Roman"/>
                <w:color w:val="auto"/>
                <w:kern w:val="0"/>
                <w:szCs w:val="21"/>
                <w:highlight w:val="none"/>
              </w:rPr>
            </w:pPr>
          </w:p>
          <w:p w14:paraId="1785EC59">
            <w:pPr>
              <w:widowControl/>
              <w:spacing w:line="300" w:lineRule="exact"/>
              <w:jc w:val="center"/>
              <w:rPr>
                <w:rFonts w:hint="default" w:ascii="Times New Roman" w:hAnsi="Times New Roman" w:eastAsia="仿宋_GB2312" w:cs="Times New Roman"/>
                <w:color w:val="auto"/>
                <w:kern w:val="0"/>
                <w:szCs w:val="21"/>
                <w:highlight w:val="none"/>
              </w:rPr>
            </w:pPr>
          </w:p>
          <w:p w14:paraId="17A3B544">
            <w:pPr>
              <w:widowControl/>
              <w:spacing w:line="300" w:lineRule="exact"/>
              <w:jc w:val="center"/>
              <w:rPr>
                <w:rFonts w:hint="default" w:ascii="Times New Roman" w:hAnsi="Times New Roman" w:eastAsia="仿宋_GB2312" w:cs="Times New Roman"/>
                <w:color w:val="auto"/>
                <w:kern w:val="0"/>
                <w:szCs w:val="21"/>
                <w:highlight w:val="none"/>
              </w:rPr>
            </w:pPr>
          </w:p>
          <w:p w14:paraId="2AE983F0">
            <w:pPr>
              <w:widowControl/>
              <w:spacing w:line="300" w:lineRule="exact"/>
              <w:jc w:val="center"/>
              <w:rPr>
                <w:rFonts w:hint="default" w:ascii="Times New Roman" w:hAnsi="Times New Roman" w:eastAsia="仿宋_GB2312" w:cs="Times New Roman"/>
                <w:color w:val="auto"/>
                <w:kern w:val="0"/>
                <w:szCs w:val="21"/>
                <w:highlight w:val="none"/>
              </w:rPr>
            </w:pPr>
          </w:p>
          <w:p w14:paraId="76B23FF0">
            <w:pPr>
              <w:widowControl/>
              <w:spacing w:line="300" w:lineRule="exact"/>
              <w:jc w:val="both"/>
              <w:rPr>
                <w:rFonts w:hint="default" w:ascii="Times New Roman" w:hAnsi="Times New Roman" w:eastAsia="仿宋_GB2312" w:cs="Times New Roman"/>
                <w:color w:val="auto"/>
                <w:kern w:val="0"/>
                <w:szCs w:val="21"/>
                <w:highlight w:val="none"/>
              </w:rPr>
            </w:pPr>
          </w:p>
          <w:p w14:paraId="6282C33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淀粉及淀粉制品</w:t>
            </w:r>
          </w:p>
        </w:tc>
        <w:tc>
          <w:tcPr>
            <w:tcW w:w="1144" w:type="dxa"/>
            <w:noWrap w:val="0"/>
            <w:vAlign w:val="center"/>
          </w:tcPr>
          <w:p w14:paraId="1B4C874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w:t>
            </w:r>
          </w:p>
        </w:tc>
        <w:tc>
          <w:tcPr>
            <w:tcW w:w="1856" w:type="dxa"/>
            <w:noWrap w:val="0"/>
            <w:vAlign w:val="center"/>
          </w:tcPr>
          <w:p w14:paraId="0709EB9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w:t>
            </w:r>
          </w:p>
        </w:tc>
        <w:tc>
          <w:tcPr>
            <w:tcW w:w="1106" w:type="dxa"/>
            <w:noWrap w:val="0"/>
            <w:vAlign w:val="center"/>
          </w:tcPr>
          <w:p w14:paraId="500FD66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3D637BF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铅（以Pb计）、霉菌和酵母、二氧化硫残留量、脱氢乙酸及其钠盐（以脱氢乙酸计）、葛根素、氢氰酸、水分</w:t>
            </w:r>
          </w:p>
        </w:tc>
        <w:tc>
          <w:tcPr>
            <w:tcW w:w="3435" w:type="dxa"/>
            <w:noWrap w:val="0"/>
            <w:vAlign w:val="center"/>
          </w:tcPr>
          <w:p w14:paraId="4CEDBCD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B7C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5D16F39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775E97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C64301F">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04D6B0D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淀粉制品</w:t>
            </w:r>
          </w:p>
        </w:tc>
        <w:tc>
          <w:tcPr>
            <w:tcW w:w="1856" w:type="dxa"/>
            <w:noWrap w:val="0"/>
            <w:vAlign w:val="center"/>
          </w:tcPr>
          <w:p w14:paraId="3D156B0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粉丝粉条</w:t>
            </w:r>
          </w:p>
        </w:tc>
        <w:tc>
          <w:tcPr>
            <w:tcW w:w="1106" w:type="dxa"/>
            <w:noWrap w:val="0"/>
            <w:vAlign w:val="center"/>
          </w:tcPr>
          <w:p w14:paraId="0E07CF7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ADF70E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铝的残留量（干样品，以Al计）、二氧化硫残留量、合成着色剂（柠檬黄、新红、苋菜红、靛蓝、胭脂红、日落黄、诱惑红、亮蓝、酸性红、喹啉黄、赤藓红）</w:t>
            </w:r>
          </w:p>
        </w:tc>
        <w:tc>
          <w:tcPr>
            <w:tcW w:w="3435" w:type="dxa"/>
            <w:noWrap w:val="0"/>
            <w:vAlign w:val="center"/>
          </w:tcPr>
          <w:p w14:paraId="40BDBCD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w:t>
            </w:r>
          </w:p>
        </w:tc>
      </w:tr>
      <w:tr w14:paraId="0933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6BD01F6">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6D2F20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7EBA918">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6EAD163">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5941A65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其他淀粉制品</w:t>
            </w:r>
          </w:p>
        </w:tc>
        <w:tc>
          <w:tcPr>
            <w:tcW w:w="1106" w:type="dxa"/>
            <w:noWrap w:val="0"/>
            <w:vAlign w:val="center"/>
          </w:tcPr>
          <w:p w14:paraId="29BE225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0CE6D0F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铝的残留量（干样品，以Al计）、二氧化硫残留量、合成着色剂（柠檬黄、新红、苋菜红、靛蓝、胭脂红、日落黄、诱惑红、亮蓝、酸性红、喹啉黄、赤藓红）、相同色泽着色剂混合使用时各自用量占其最大使用量的比例之和</w:t>
            </w:r>
          </w:p>
        </w:tc>
        <w:tc>
          <w:tcPr>
            <w:tcW w:w="3435" w:type="dxa"/>
            <w:noWrap w:val="0"/>
            <w:vAlign w:val="center"/>
          </w:tcPr>
          <w:p w14:paraId="409B89B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2381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0428047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2A64B4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BA1D6E0">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27BA4B40">
            <w:pPr>
              <w:widowControl/>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淀粉糖</w:t>
            </w:r>
          </w:p>
        </w:tc>
        <w:tc>
          <w:tcPr>
            <w:tcW w:w="1856" w:type="dxa"/>
            <w:noWrap w:val="0"/>
            <w:vAlign w:val="center"/>
          </w:tcPr>
          <w:p w14:paraId="4993C3D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淀粉糖</w:t>
            </w:r>
          </w:p>
        </w:tc>
        <w:tc>
          <w:tcPr>
            <w:tcW w:w="1106" w:type="dxa"/>
            <w:noWrap w:val="0"/>
            <w:vAlign w:val="center"/>
          </w:tcPr>
          <w:p w14:paraId="39E92A3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0530432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葡萄糖含量（以干基计，质量分数）、IMO 含量（占干物质，质量分数）、IG</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+P+IG</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含量（占干物质，质量分数）、果糖（占干基比）、果糖+葡萄糖 （占干基比）、5-羟甲基糠醛 （以吸光度计）、果糖+葡萄糖含量（以干物质计）、果糖含量（以干物质计）、麦芽糖含量（以干物质计，质量分数）、干物质（固形物）、硫酸灰分</w:t>
            </w:r>
          </w:p>
        </w:tc>
        <w:tc>
          <w:tcPr>
            <w:tcW w:w="3435" w:type="dxa"/>
            <w:noWrap w:val="0"/>
            <w:vAlign w:val="center"/>
          </w:tcPr>
          <w:p w14:paraId="76CBF7A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铅（以Pb计）、总砷（以As计）</w:t>
            </w:r>
          </w:p>
        </w:tc>
      </w:tr>
      <w:tr w14:paraId="013A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restart"/>
            <w:noWrap w:val="0"/>
            <w:vAlign w:val="center"/>
          </w:tcPr>
          <w:p w14:paraId="4E8E9DE4">
            <w:pPr>
              <w:widowControl/>
              <w:spacing w:line="300" w:lineRule="exact"/>
              <w:jc w:val="center"/>
              <w:rPr>
                <w:rFonts w:hint="default" w:ascii="Times New Roman" w:hAnsi="Times New Roman" w:eastAsia="仿宋_GB2312" w:cs="Times New Roman"/>
                <w:color w:val="auto"/>
                <w:kern w:val="0"/>
                <w:szCs w:val="21"/>
                <w:highlight w:val="none"/>
              </w:rPr>
            </w:pPr>
          </w:p>
          <w:p w14:paraId="385CBDE1">
            <w:pPr>
              <w:widowControl/>
              <w:spacing w:line="300" w:lineRule="exact"/>
              <w:jc w:val="center"/>
              <w:rPr>
                <w:rFonts w:hint="default" w:ascii="Times New Roman" w:hAnsi="Times New Roman" w:eastAsia="仿宋_GB2312" w:cs="Times New Roman"/>
                <w:color w:val="auto"/>
                <w:kern w:val="0"/>
                <w:szCs w:val="21"/>
                <w:highlight w:val="none"/>
              </w:rPr>
            </w:pPr>
          </w:p>
          <w:p w14:paraId="04FE0233">
            <w:pPr>
              <w:widowControl/>
              <w:spacing w:line="300" w:lineRule="exact"/>
              <w:jc w:val="center"/>
              <w:rPr>
                <w:rFonts w:hint="default" w:ascii="Times New Roman" w:hAnsi="Times New Roman" w:eastAsia="仿宋_GB2312" w:cs="Times New Roman"/>
                <w:color w:val="auto"/>
                <w:kern w:val="0"/>
                <w:szCs w:val="21"/>
                <w:highlight w:val="none"/>
              </w:rPr>
            </w:pPr>
          </w:p>
          <w:p w14:paraId="00DBE3E9">
            <w:pPr>
              <w:widowControl/>
              <w:spacing w:line="300" w:lineRule="exact"/>
              <w:jc w:val="center"/>
              <w:rPr>
                <w:rFonts w:hint="default" w:ascii="Times New Roman" w:hAnsi="Times New Roman" w:eastAsia="仿宋_GB2312" w:cs="Times New Roman"/>
                <w:color w:val="auto"/>
                <w:kern w:val="0"/>
                <w:szCs w:val="21"/>
                <w:highlight w:val="none"/>
              </w:rPr>
            </w:pPr>
          </w:p>
          <w:p w14:paraId="4595A3B3">
            <w:pPr>
              <w:widowControl/>
              <w:spacing w:line="300" w:lineRule="exact"/>
              <w:jc w:val="center"/>
              <w:rPr>
                <w:rFonts w:hint="default" w:ascii="Times New Roman" w:hAnsi="Times New Roman" w:eastAsia="仿宋_GB2312" w:cs="Times New Roman"/>
                <w:color w:val="auto"/>
                <w:kern w:val="0"/>
                <w:szCs w:val="21"/>
                <w:highlight w:val="none"/>
              </w:rPr>
            </w:pPr>
          </w:p>
          <w:p w14:paraId="6B4BC375">
            <w:pPr>
              <w:widowControl/>
              <w:spacing w:line="300" w:lineRule="exact"/>
              <w:jc w:val="center"/>
              <w:rPr>
                <w:rFonts w:hint="default" w:ascii="Times New Roman" w:hAnsi="Times New Roman" w:eastAsia="仿宋_GB2312" w:cs="Times New Roman"/>
                <w:color w:val="auto"/>
                <w:kern w:val="0"/>
                <w:szCs w:val="21"/>
                <w:highlight w:val="none"/>
              </w:rPr>
            </w:pPr>
          </w:p>
          <w:p w14:paraId="00F511F9">
            <w:pPr>
              <w:widowControl/>
              <w:spacing w:line="300" w:lineRule="exact"/>
              <w:jc w:val="center"/>
              <w:rPr>
                <w:rFonts w:hint="default" w:ascii="Times New Roman" w:hAnsi="Times New Roman" w:eastAsia="仿宋_GB2312" w:cs="Times New Roman"/>
                <w:color w:val="auto"/>
                <w:kern w:val="0"/>
                <w:szCs w:val="21"/>
                <w:highlight w:val="none"/>
              </w:rPr>
            </w:pPr>
          </w:p>
          <w:p w14:paraId="07C95AF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24</w:t>
            </w:r>
          </w:p>
          <w:p w14:paraId="53ACC6DE">
            <w:pPr>
              <w:widowControl/>
              <w:spacing w:line="300" w:lineRule="exact"/>
              <w:jc w:val="center"/>
              <w:rPr>
                <w:rFonts w:hint="default" w:ascii="Times New Roman" w:hAnsi="Times New Roman" w:eastAsia="仿宋_GB2312" w:cs="Times New Roman"/>
                <w:color w:val="auto"/>
                <w:kern w:val="0"/>
                <w:szCs w:val="21"/>
                <w:highlight w:val="none"/>
              </w:rPr>
            </w:pPr>
          </w:p>
          <w:p w14:paraId="27F4DE39">
            <w:pPr>
              <w:widowControl/>
              <w:spacing w:line="300" w:lineRule="exact"/>
              <w:jc w:val="center"/>
              <w:rPr>
                <w:rFonts w:hint="default" w:ascii="Times New Roman" w:hAnsi="Times New Roman" w:eastAsia="仿宋_GB2312" w:cs="Times New Roman"/>
                <w:color w:val="auto"/>
                <w:kern w:val="0"/>
                <w:szCs w:val="21"/>
                <w:highlight w:val="none"/>
              </w:rPr>
            </w:pPr>
          </w:p>
          <w:p w14:paraId="33B9402C">
            <w:pPr>
              <w:widowControl/>
              <w:spacing w:line="300" w:lineRule="exact"/>
              <w:jc w:val="center"/>
              <w:rPr>
                <w:rFonts w:hint="default" w:ascii="Times New Roman" w:hAnsi="Times New Roman" w:eastAsia="仿宋_GB2312" w:cs="Times New Roman"/>
                <w:color w:val="auto"/>
                <w:kern w:val="0"/>
                <w:szCs w:val="21"/>
                <w:highlight w:val="none"/>
              </w:rPr>
            </w:pPr>
          </w:p>
          <w:p w14:paraId="4AA0BFEF">
            <w:pPr>
              <w:widowControl/>
              <w:spacing w:line="300" w:lineRule="exact"/>
              <w:jc w:val="center"/>
              <w:rPr>
                <w:rFonts w:hint="default" w:ascii="Times New Roman" w:hAnsi="Times New Roman" w:eastAsia="仿宋_GB2312" w:cs="Times New Roman"/>
                <w:color w:val="auto"/>
                <w:kern w:val="0"/>
                <w:szCs w:val="21"/>
                <w:highlight w:val="none"/>
              </w:rPr>
            </w:pPr>
          </w:p>
          <w:p w14:paraId="4B54C51C">
            <w:pPr>
              <w:widowControl/>
              <w:spacing w:line="300" w:lineRule="exact"/>
              <w:jc w:val="center"/>
              <w:rPr>
                <w:rFonts w:hint="default" w:ascii="Times New Roman" w:hAnsi="Times New Roman" w:eastAsia="仿宋_GB2312" w:cs="Times New Roman"/>
                <w:color w:val="auto"/>
                <w:kern w:val="0"/>
                <w:szCs w:val="21"/>
                <w:highlight w:val="none"/>
              </w:rPr>
            </w:pPr>
          </w:p>
          <w:p w14:paraId="1BCC20BF">
            <w:pPr>
              <w:widowControl/>
              <w:spacing w:line="300" w:lineRule="exact"/>
              <w:jc w:val="center"/>
              <w:rPr>
                <w:rFonts w:hint="default" w:ascii="Times New Roman" w:hAnsi="Times New Roman" w:eastAsia="仿宋_GB2312" w:cs="Times New Roman"/>
                <w:color w:val="auto"/>
                <w:kern w:val="0"/>
                <w:szCs w:val="21"/>
                <w:highlight w:val="none"/>
              </w:rPr>
            </w:pPr>
          </w:p>
          <w:p w14:paraId="1B8F934A">
            <w:pPr>
              <w:widowControl/>
              <w:spacing w:line="300" w:lineRule="exact"/>
              <w:jc w:val="center"/>
              <w:rPr>
                <w:rFonts w:hint="default" w:ascii="Times New Roman" w:hAnsi="Times New Roman" w:eastAsia="仿宋_GB2312" w:cs="Times New Roman"/>
                <w:color w:val="auto"/>
                <w:kern w:val="0"/>
                <w:szCs w:val="21"/>
                <w:highlight w:val="none"/>
              </w:rPr>
            </w:pPr>
          </w:p>
          <w:p w14:paraId="0D6C4CE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778944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315538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50EBFC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497CC2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99A4DB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74AAC5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C7E979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9BC250E">
            <w:pPr>
              <w:widowControl/>
              <w:spacing w:line="300" w:lineRule="exact"/>
              <w:jc w:val="both"/>
              <w:rPr>
                <w:rFonts w:hint="eastAsia" w:ascii="Times New Roman" w:hAnsi="Times New Roman" w:eastAsia="仿宋_GB2312" w:cs="Times New Roman"/>
                <w:color w:val="auto"/>
                <w:kern w:val="0"/>
                <w:szCs w:val="21"/>
                <w:highlight w:val="none"/>
                <w:lang w:val="en-US" w:eastAsia="zh-CN"/>
              </w:rPr>
            </w:pPr>
          </w:p>
          <w:p w14:paraId="31241DB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24</w:t>
            </w:r>
          </w:p>
        </w:tc>
        <w:tc>
          <w:tcPr>
            <w:tcW w:w="1107" w:type="dxa"/>
            <w:vMerge w:val="restart"/>
            <w:noWrap w:val="0"/>
            <w:vAlign w:val="center"/>
          </w:tcPr>
          <w:p w14:paraId="6D1123F8">
            <w:pPr>
              <w:widowControl/>
              <w:spacing w:line="300" w:lineRule="exact"/>
              <w:jc w:val="center"/>
              <w:rPr>
                <w:rFonts w:hint="default" w:ascii="Times New Roman" w:hAnsi="Times New Roman" w:eastAsia="仿宋_GB2312" w:cs="Times New Roman"/>
                <w:color w:val="auto"/>
                <w:kern w:val="0"/>
                <w:szCs w:val="21"/>
                <w:highlight w:val="none"/>
              </w:rPr>
            </w:pPr>
          </w:p>
          <w:p w14:paraId="3F829C06">
            <w:pPr>
              <w:widowControl/>
              <w:spacing w:line="300" w:lineRule="exact"/>
              <w:jc w:val="center"/>
              <w:rPr>
                <w:rFonts w:hint="default" w:ascii="Times New Roman" w:hAnsi="Times New Roman" w:eastAsia="仿宋_GB2312" w:cs="Times New Roman"/>
                <w:color w:val="auto"/>
                <w:kern w:val="0"/>
                <w:szCs w:val="21"/>
                <w:highlight w:val="none"/>
              </w:rPr>
            </w:pPr>
          </w:p>
          <w:p w14:paraId="5EC6C1C6">
            <w:pPr>
              <w:widowControl/>
              <w:spacing w:line="300" w:lineRule="exact"/>
              <w:jc w:val="center"/>
              <w:rPr>
                <w:rFonts w:hint="default" w:ascii="Times New Roman" w:hAnsi="Times New Roman" w:eastAsia="仿宋_GB2312" w:cs="Times New Roman"/>
                <w:color w:val="auto"/>
                <w:kern w:val="0"/>
                <w:szCs w:val="21"/>
                <w:highlight w:val="none"/>
              </w:rPr>
            </w:pPr>
          </w:p>
          <w:p w14:paraId="63D580BE">
            <w:pPr>
              <w:widowControl/>
              <w:spacing w:line="300" w:lineRule="exact"/>
              <w:jc w:val="center"/>
              <w:rPr>
                <w:rFonts w:hint="default" w:ascii="Times New Roman" w:hAnsi="Times New Roman" w:eastAsia="仿宋_GB2312" w:cs="Times New Roman"/>
                <w:color w:val="auto"/>
                <w:kern w:val="0"/>
                <w:szCs w:val="21"/>
                <w:highlight w:val="none"/>
              </w:rPr>
            </w:pPr>
          </w:p>
          <w:p w14:paraId="7CB01C8E">
            <w:pPr>
              <w:widowControl/>
              <w:spacing w:line="300" w:lineRule="exact"/>
              <w:jc w:val="center"/>
              <w:rPr>
                <w:rFonts w:hint="default" w:ascii="Times New Roman" w:hAnsi="Times New Roman" w:eastAsia="仿宋_GB2312" w:cs="Times New Roman"/>
                <w:color w:val="auto"/>
                <w:kern w:val="0"/>
                <w:szCs w:val="21"/>
                <w:highlight w:val="none"/>
              </w:rPr>
            </w:pPr>
          </w:p>
          <w:p w14:paraId="2D9A3367">
            <w:pPr>
              <w:widowControl/>
              <w:spacing w:line="300" w:lineRule="exact"/>
              <w:jc w:val="center"/>
              <w:rPr>
                <w:rFonts w:hint="default" w:ascii="Times New Roman" w:hAnsi="Times New Roman" w:eastAsia="仿宋_GB2312" w:cs="Times New Roman"/>
                <w:color w:val="auto"/>
                <w:kern w:val="0"/>
                <w:szCs w:val="21"/>
                <w:highlight w:val="none"/>
              </w:rPr>
            </w:pPr>
          </w:p>
          <w:p w14:paraId="71C507F9">
            <w:pPr>
              <w:widowControl/>
              <w:spacing w:line="300" w:lineRule="exact"/>
              <w:jc w:val="center"/>
              <w:rPr>
                <w:rFonts w:hint="default" w:ascii="Times New Roman" w:hAnsi="Times New Roman" w:eastAsia="仿宋_GB2312" w:cs="Times New Roman"/>
                <w:color w:val="auto"/>
                <w:kern w:val="0"/>
                <w:szCs w:val="21"/>
                <w:highlight w:val="none"/>
              </w:rPr>
            </w:pPr>
          </w:p>
          <w:p w14:paraId="683383F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糕点</w:t>
            </w:r>
          </w:p>
          <w:p w14:paraId="5D2876C5">
            <w:pPr>
              <w:widowControl/>
              <w:spacing w:line="300" w:lineRule="exact"/>
              <w:jc w:val="center"/>
              <w:rPr>
                <w:rFonts w:hint="default" w:ascii="Times New Roman" w:hAnsi="Times New Roman" w:eastAsia="仿宋_GB2312" w:cs="Times New Roman"/>
                <w:color w:val="auto"/>
                <w:kern w:val="0"/>
                <w:szCs w:val="21"/>
                <w:highlight w:val="none"/>
              </w:rPr>
            </w:pPr>
          </w:p>
          <w:p w14:paraId="6798ECB0">
            <w:pPr>
              <w:widowControl/>
              <w:spacing w:line="300" w:lineRule="exact"/>
              <w:jc w:val="center"/>
              <w:rPr>
                <w:rFonts w:hint="default" w:ascii="Times New Roman" w:hAnsi="Times New Roman" w:eastAsia="仿宋_GB2312" w:cs="Times New Roman"/>
                <w:color w:val="auto"/>
                <w:kern w:val="0"/>
                <w:szCs w:val="21"/>
                <w:highlight w:val="none"/>
              </w:rPr>
            </w:pPr>
          </w:p>
          <w:p w14:paraId="22327406">
            <w:pPr>
              <w:widowControl/>
              <w:spacing w:line="300" w:lineRule="exact"/>
              <w:jc w:val="center"/>
              <w:rPr>
                <w:rFonts w:hint="default" w:ascii="Times New Roman" w:hAnsi="Times New Roman" w:eastAsia="仿宋_GB2312" w:cs="Times New Roman"/>
                <w:color w:val="auto"/>
                <w:kern w:val="0"/>
                <w:szCs w:val="21"/>
                <w:highlight w:val="none"/>
              </w:rPr>
            </w:pPr>
          </w:p>
          <w:p w14:paraId="5F5B66D5">
            <w:pPr>
              <w:widowControl/>
              <w:spacing w:line="300" w:lineRule="exact"/>
              <w:jc w:val="center"/>
              <w:rPr>
                <w:rFonts w:hint="default" w:ascii="Times New Roman" w:hAnsi="Times New Roman" w:eastAsia="仿宋_GB2312" w:cs="Times New Roman"/>
                <w:color w:val="auto"/>
                <w:kern w:val="0"/>
                <w:szCs w:val="21"/>
                <w:highlight w:val="none"/>
              </w:rPr>
            </w:pPr>
          </w:p>
          <w:p w14:paraId="06A758E6">
            <w:pPr>
              <w:widowControl/>
              <w:spacing w:line="300" w:lineRule="exact"/>
              <w:jc w:val="center"/>
              <w:rPr>
                <w:rFonts w:hint="default" w:ascii="Times New Roman" w:hAnsi="Times New Roman" w:eastAsia="仿宋_GB2312" w:cs="Times New Roman"/>
                <w:color w:val="auto"/>
                <w:kern w:val="0"/>
                <w:szCs w:val="21"/>
                <w:highlight w:val="none"/>
              </w:rPr>
            </w:pPr>
          </w:p>
          <w:p w14:paraId="5B3ADD5E">
            <w:pPr>
              <w:widowControl/>
              <w:spacing w:line="300" w:lineRule="exact"/>
              <w:jc w:val="center"/>
              <w:rPr>
                <w:rFonts w:hint="default" w:ascii="Times New Roman" w:hAnsi="Times New Roman" w:eastAsia="仿宋_GB2312" w:cs="Times New Roman"/>
                <w:color w:val="auto"/>
                <w:kern w:val="0"/>
                <w:szCs w:val="21"/>
                <w:highlight w:val="none"/>
              </w:rPr>
            </w:pPr>
          </w:p>
          <w:p w14:paraId="06E5AA5D">
            <w:pPr>
              <w:widowControl/>
              <w:spacing w:line="300" w:lineRule="exact"/>
              <w:jc w:val="center"/>
              <w:rPr>
                <w:rFonts w:hint="default" w:ascii="Times New Roman" w:hAnsi="Times New Roman" w:eastAsia="仿宋_GB2312" w:cs="Times New Roman"/>
                <w:color w:val="auto"/>
                <w:kern w:val="0"/>
                <w:szCs w:val="21"/>
                <w:highlight w:val="none"/>
              </w:rPr>
            </w:pPr>
          </w:p>
          <w:p w14:paraId="1A37969E">
            <w:pPr>
              <w:widowControl/>
              <w:spacing w:line="300" w:lineRule="exact"/>
              <w:jc w:val="center"/>
              <w:rPr>
                <w:rFonts w:hint="default" w:ascii="Times New Roman" w:hAnsi="Times New Roman" w:eastAsia="仿宋_GB2312" w:cs="Times New Roman"/>
                <w:color w:val="auto"/>
                <w:kern w:val="0"/>
                <w:szCs w:val="21"/>
                <w:highlight w:val="none"/>
              </w:rPr>
            </w:pPr>
          </w:p>
          <w:p w14:paraId="00AA131A">
            <w:pPr>
              <w:widowControl/>
              <w:spacing w:line="300" w:lineRule="exact"/>
              <w:jc w:val="center"/>
              <w:rPr>
                <w:rFonts w:hint="default" w:ascii="Times New Roman" w:hAnsi="Times New Roman" w:eastAsia="仿宋_GB2312" w:cs="Times New Roman"/>
                <w:color w:val="auto"/>
                <w:kern w:val="0"/>
                <w:szCs w:val="21"/>
                <w:highlight w:val="none"/>
              </w:rPr>
            </w:pPr>
          </w:p>
          <w:p w14:paraId="49D4C49E">
            <w:pPr>
              <w:widowControl/>
              <w:spacing w:line="300" w:lineRule="exact"/>
              <w:jc w:val="center"/>
              <w:rPr>
                <w:rFonts w:hint="default" w:ascii="Times New Roman" w:hAnsi="Times New Roman" w:eastAsia="仿宋_GB2312" w:cs="Times New Roman"/>
                <w:color w:val="auto"/>
                <w:kern w:val="0"/>
                <w:szCs w:val="21"/>
                <w:highlight w:val="none"/>
              </w:rPr>
            </w:pPr>
          </w:p>
          <w:p w14:paraId="179DF9B7">
            <w:pPr>
              <w:widowControl/>
              <w:spacing w:line="300" w:lineRule="exact"/>
              <w:jc w:val="center"/>
              <w:rPr>
                <w:rFonts w:hint="default" w:ascii="Times New Roman" w:hAnsi="Times New Roman" w:eastAsia="仿宋_GB2312" w:cs="Times New Roman"/>
                <w:color w:val="auto"/>
                <w:kern w:val="0"/>
                <w:szCs w:val="21"/>
                <w:highlight w:val="none"/>
              </w:rPr>
            </w:pPr>
          </w:p>
          <w:p w14:paraId="2E4AA0DA">
            <w:pPr>
              <w:widowControl/>
              <w:spacing w:line="300" w:lineRule="exact"/>
              <w:jc w:val="center"/>
              <w:rPr>
                <w:rFonts w:hint="default" w:ascii="Times New Roman" w:hAnsi="Times New Roman" w:eastAsia="仿宋_GB2312" w:cs="Times New Roman"/>
                <w:color w:val="auto"/>
                <w:kern w:val="0"/>
                <w:szCs w:val="21"/>
                <w:highlight w:val="none"/>
              </w:rPr>
            </w:pPr>
          </w:p>
          <w:p w14:paraId="2CB64936">
            <w:pPr>
              <w:widowControl/>
              <w:spacing w:line="300" w:lineRule="exact"/>
              <w:jc w:val="center"/>
              <w:rPr>
                <w:rFonts w:hint="default" w:ascii="Times New Roman" w:hAnsi="Times New Roman" w:eastAsia="仿宋_GB2312" w:cs="Times New Roman"/>
                <w:color w:val="auto"/>
                <w:kern w:val="0"/>
                <w:szCs w:val="21"/>
                <w:highlight w:val="none"/>
              </w:rPr>
            </w:pPr>
          </w:p>
          <w:p w14:paraId="584921FD">
            <w:pPr>
              <w:widowControl/>
              <w:spacing w:line="300" w:lineRule="exact"/>
              <w:jc w:val="center"/>
              <w:rPr>
                <w:rFonts w:hint="default" w:ascii="Times New Roman" w:hAnsi="Times New Roman" w:eastAsia="仿宋_GB2312" w:cs="Times New Roman"/>
                <w:color w:val="auto"/>
                <w:kern w:val="0"/>
                <w:szCs w:val="21"/>
                <w:highlight w:val="none"/>
              </w:rPr>
            </w:pPr>
          </w:p>
          <w:p w14:paraId="1FBCB803">
            <w:pPr>
              <w:widowControl/>
              <w:spacing w:line="300" w:lineRule="exact"/>
              <w:jc w:val="both"/>
              <w:rPr>
                <w:rFonts w:hint="default" w:ascii="Times New Roman" w:hAnsi="Times New Roman" w:eastAsia="仿宋_GB2312" w:cs="Times New Roman"/>
                <w:color w:val="auto"/>
                <w:kern w:val="0"/>
                <w:szCs w:val="21"/>
                <w:highlight w:val="none"/>
              </w:rPr>
            </w:pPr>
          </w:p>
          <w:p w14:paraId="0F5F9C54">
            <w:pPr>
              <w:widowControl/>
              <w:spacing w:line="300" w:lineRule="exact"/>
              <w:jc w:val="center"/>
              <w:rPr>
                <w:rFonts w:hint="default" w:ascii="Times New Roman" w:hAnsi="Times New Roman" w:eastAsia="仿宋_GB2312" w:cs="Times New Roman"/>
                <w:color w:val="auto"/>
                <w:kern w:val="0"/>
                <w:szCs w:val="21"/>
                <w:highlight w:val="none"/>
              </w:rPr>
            </w:pPr>
          </w:p>
          <w:p w14:paraId="06BBDFB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糕点</w:t>
            </w:r>
          </w:p>
        </w:tc>
        <w:tc>
          <w:tcPr>
            <w:tcW w:w="1256" w:type="dxa"/>
            <w:vMerge w:val="restart"/>
            <w:noWrap w:val="0"/>
            <w:vAlign w:val="center"/>
          </w:tcPr>
          <w:p w14:paraId="5AA6CCD7">
            <w:pPr>
              <w:widowControl/>
              <w:spacing w:line="300" w:lineRule="exact"/>
              <w:jc w:val="center"/>
              <w:rPr>
                <w:rFonts w:hint="default" w:ascii="Times New Roman" w:hAnsi="Times New Roman" w:eastAsia="仿宋_GB2312" w:cs="Times New Roman"/>
                <w:color w:val="auto"/>
                <w:kern w:val="0"/>
                <w:szCs w:val="21"/>
                <w:highlight w:val="none"/>
              </w:rPr>
            </w:pPr>
          </w:p>
          <w:p w14:paraId="43094EDC">
            <w:pPr>
              <w:widowControl/>
              <w:spacing w:line="300" w:lineRule="exact"/>
              <w:jc w:val="center"/>
              <w:rPr>
                <w:rFonts w:hint="default" w:ascii="Times New Roman" w:hAnsi="Times New Roman" w:eastAsia="仿宋_GB2312" w:cs="Times New Roman"/>
                <w:color w:val="auto"/>
                <w:kern w:val="0"/>
                <w:szCs w:val="21"/>
                <w:highlight w:val="none"/>
              </w:rPr>
            </w:pPr>
          </w:p>
          <w:p w14:paraId="6BE61717">
            <w:pPr>
              <w:widowControl/>
              <w:spacing w:line="300" w:lineRule="exact"/>
              <w:jc w:val="center"/>
              <w:rPr>
                <w:rFonts w:hint="default" w:ascii="Times New Roman" w:hAnsi="Times New Roman" w:eastAsia="仿宋_GB2312" w:cs="Times New Roman"/>
                <w:color w:val="auto"/>
                <w:kern w:val="0"/>
                <w:szCs w:val="21"/>
                <w:highlight w:val="none"/>
              </w:rPr>
            </w:pPr>
          </w:p>
          <w:p w14:paraId="0F923F57">
            <w:pPr>
              <w:widowControl/>
              <w:spacing w:line="300" w:lineRule="exact"/>
              <w:jc w:val="center"/>
              <w:rPr>
                <w:rFonts w:hint="default" w:ascii="Times New Roman" w:hAnsi="Times New Roman" w:eastAsia="仿宋_GB2312" w:cs="Times New Roman"/>
                <w:color w:val="auto"/>
                <w:kern w:val="0"/>
                <w:szCs w:val="21"/>
                <w:highlight w:val="none"/>
              </w:rPr>
            </w:pPr>
          </w:p>
          <w:p w14:paraId="33D612B8">
            <w:pPr>
              <w:widowControl/>
              <w:spacing w:line="300" w:lineRule="exact"/>
              <w:jc w:val="center"/>
              <w:rPr>
                <w:rFonts w:hint="default" w:ascii="Times New Roman" w:hAnsi="Times New Roman" w:eastAsia="仿宋_GB2312" w:cs="Times New Roman"/>
                <w:color w:val="auto"/>
                <w:kern w:val="0"/>
                <w:szCs w:val="21"/>
                <w:highlight w:val="none"/>
              </w:rPr>
            </w:pPr>
          </w:p>
          <w:p w14:paraId="0E8AC98B">
            <w:pPr>
              <w:widowControl/>
              <w:spacing w:line="300" w:lineRule="exact"/>
              <w:jc w:val="center"/>
              <w:rPr>
                <w:rFonts w:hint="default" w:ascii="Times New Roman" w:hAnsi="Times New Roman" w:eastAsia="仿宋_GB2312" w:cs="Times New Roman"/>
                <w:color w:val="auto"/>
                <w:kern w:val="0"/>
                <w:szCs w:val="21"/>
                <w:highlight w:val="none"/>
              </w:rPr>
            </w:pPr>
          </w:p>
          <w:p w14:paraId="0F3A85B9">
            <w:pPr>
              <w:widowControl/>
              <w:spacing w:line="300" w:lineRule="exact"/>
              <w:jc w:val="center"/>
              <w:rPr>
                <w:rFonts w:hint="default" w:ascii="Times New Roman" w:hAnsi="Times New Roman" w:eastAsia="仿宋_GB2312" w:cs="Times New Roman"/>
                <w:color w:val="auto"/>
                <w:kern w:val="0"/>
                <w:szCs w:val="21"/>
                <w:highlight w:val="none"/>
              </w:rPr>
            </w:pPr>
          </w:p>
          <w:p w14:paraId="4CBB82A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糕点</w:t>
            </w:r>
          </w:p>
          <w:p w14:paraId="3B65BAC7">
            <w:pPr>
              <w:widowControl/>
              <w:spacing w:line="300" w:lineRule="exact"/>
              <w:jc w:val="center"/>
              <w:rPr>
                <w:rFonts w:hint="default" w:ascii="Times New Roman" w:hAnsi="Times New Roman" w:eastAsia="仿宋_GB2312" w:cs="Times New Roman"/>
                <w:color w:val="auto"/>
                <w:kern w:val="0"/>
                <w:szCs w:val="21"/>
                <w:highlight w:val="none"/>
              </w:rPr>
            </w:pPr>
          </w:p>
          <w:p w14:paraId="5D8190DE">
            <w:pPr>
              <w:widowControl/>
              <w:spacing w:line="300" w:lineRule="exact"/>
              <w:jc w:val="center"/>
              <w:rPr>
                <w:rFonts w:hint="default" w:ascii="Times New Roman" w:hAnsi="Times New Roman" w:eastAsia="仿宋_GB2312" w:cs="Times New Roman"/>
                <w:color w:val="auto"/>
                <w:kern w:val="0"/>
                <w:szCs w:val="21"/>
                <w:highlight w:val="none"/>
              </w:rPr>
            </w:pPr>
          </w:p>
          <w:p w14:paraId="2C8FFC72">
            <w:pPr>
              <w:widowControl/>
              <w:spacing w:line="300" w:lineRule="exact"/>
              <w:jc w:val="center"/>
              <w:rPr>
                <w:rFonts w:hint="default" w:ascii="Times New Roman" w:hAnsi="Times New Roman" w:eastAsia="仿宋_GB2312" w:cs="Times New Roman"/>
                <w:color w:val="auto"/>
                <w:kern w:val="0"/>
                <w:szCs w:val="21"/>
                <w:highlight w:val="none"/>
              </w:rPr>
            </w:pPr>
          </w:p>
          <w:p w14:paraId="7E35D009">
            <w:pPr>
              <w:widowControl/>
              <w:spacing w:line="300" w:lineRule="exact"/>
              <w:jc w:val="center"/>
              <w:rPr>
                <w:rFonts w:hint="default" w:ascii="Times New Roman" w:hAnsi="Times New Roman" w:eastAsia="仿宋_GB2312" w:cs="Times New Roman"/>
                <w:color w:val="auto"/>
                <w:kern w:val="0"/>
                <w:szCs w:val="21"/>
                <w:highlight w:val="none"/>
              </w:rPr>
            </w:pPr>
          </w:p>
          <w:p w14:paraId="697E30F5">
            <w:pPr>
              <w:widowControl/>
              <w:spacing w:line="300" w:lineRule="exact"/>
              <w:jc w:val="center"/>
              <w:rPr>
                <w:rFonts w:hint="default" w:ascii="Times New Roman" w:hAnsi="Times New Roman" w:eastAsia="仿宋_GB2312" w:cs="Times New Roman"/>
                <w:color w:val="auto"/>
                <w:kern w:val="0"/>
                <w:szCs w:val="21"/>
                <w:highlight w:val="none"/>
              </w:rPr>
            </w:pPr>
          </w:p>
          <w:p w14:paraId="349D0D96">
            <w:pPr>
              <w:widowControl/>
              <w:spacing w:line="300" w:lineRule="exact"/>
              <w:jc w:val="center"/>
              <w:rPr>
                <w:rFonts w:hint="default" w:ascii="Times New Roman" w:hAnsi="Times New Roman" w:eastAsia="仿宋_GB2312" w:cs="Times New Roman"/>
                <w:color w:val="auto"/>
                <w:kern w:val="0"/>
                <w:szCs w:val="21"/>
                <w:highlight w:val="none"/>
              </w:rPr>
            </w:pPr>
          </w:p>
          <w:p w14:paraId="591E8C92">
            <w:pPr>
              <w:widowControl/>
              <w:spacing w:line="300" w:lineRule="exact"/>
              <w:jc w:val="center"/>
              <w:rPr>
                <w:rFonts w:hint="default" w:ascii="Times New Roman" w:hAnsi="Times New Roman" w:eastAsia="仿宋_GB2312" w:cs="Times New Roman"/>
                <w:color w:val="auto"/>
                <w:kern w:val="0"/>
                <w:szCs w:val="21"/>
                <w:highlight w:val="none"/>
              </w:rPr>
            </w:pPr>
          </w:p>
          <w:p w14:paraId="6869192B">
            <w:pPr>
              <w:widowControl/>
              <w:spacing w:line="300" w:lineRule="exact"/>
              <w:jc w:val="center"/>
              <w:rPr>
                <w:rFonts w:hint="default" w:ascii="Times New Roman" w:hAnsi="Times New Roman" w:eastAsia="仿宋_GB2312" w:cs="Times New Roman"/>
                <w:color w:val="auto"/>
                <w:kern w:val="0"/>
                <w:szCs w:val="21"/>
                <w:highlight w:val="none"/>
              </w:rPr>
            </w:pPr>
          </w:p>
          <w:p w14:paraId="0DEA7425">
            <w:pPr>
              <w:widowControl/>
              <w:spacing w:line="300" w:lineRule="exact"/>
              <w:jc w:val="center"/>
              <w:rPr>
                <w:rFonts w:hint="default" w:ascii="Times New Roman" w:hAnsi="Times New Roman" w:eastAsia="仿宋_GB2312" w:cs="Times New Roman"/>
                <w:color w:val="auto"/>
                <w:kern w:val="0"/>
                <w:szCs w:val="21"/>
                <w:highlight w:val="none"/>
              </w:rPr>
            </w:pPr>
          </w:p>
          <w:p w14:paraId="2B7E977E">
            <w:pPr>
              <w:widowControl/>
              <w:spacing w:line="300" w:lineRule="exact"/>
              <w:jc w:val="center"/>
              <w:rPr>
                <w:rFonts w:hint="default" w:ascii="Times New Roman" w:hAnsi="Times New Roman" w:eastAsia="仿宋_GB2312" w:cs="Times New Roman"/>
                <w:color w:val="auto"/>
                <w:kern w:val="0"/>
                <w:szCs w:val="21"/>
                <w:highlight w:val="none"/>
              </w:rPr>
            </w:pPr>
          </w:p>
          <w:p w14:paraId="08C6CC38">
            <w:pPr>
              <w:widowControl/>
              <w:spacing w:line="300" w:lineRule="exact"/>
              <w:jc w:val="center"/>
              <w:rPr>
                <w:rFonts w:hint="default" w:ascii="Times New Roman" w:hAnsi="Times New Roman" w:eastAsia="仿宋_GB2312" w:cs="Times New Roman"/>
                <w:color w:val="auto"/>
                <w:kern w:val="0"/>
                <w:szCs w:val="21"/>
                <w:highlight w:val="none"/>
              </w:rPr>
            </w:pPr>
          </w:p>
          <w:p w14:paraId="52CC0FBE">
            <w:pPr>
              <w:widowControl/>
              <w:spacing w:line="300" w:lineRule="exact"/>
              <w:jc w:val="center"/>
              <w:rPr>
                <w:rFonts w:hint="default" w:ascii="Times New Roman" w:hAnsi="Times New Roman" w:eastAsia="仿宋_GB2312" w:cs="Times New Roman"/>
                <w:color w:val="auto"/>
                <w:kern w:val="0"/>
                <w:szCs w:val="21"/>
                <w:highlight w:val="none"/>
              </w:rPr>
            </w:pPr>
          </w:p>
          <w:p w14:paraId="5A1AE65D">
            <w:pPr>
              <w:widowControl/>
              <w:spacing w:line="300" w:lineRule="exact"/>
              <w:jc w:val="center"/>
              <w:rPr>
                <w:rFonts w:hint="default" w:ascii="Times New Roman" w:hAnsi="Times New Roman" w:eastAsia="仿宋_GB2312" w:cs="Times New Roman"/>
                <w:color w:val="auto"/>
                <w:kern w:val="0"/>
                <w:szCs w:val="21"/>
                <w:highlight w:val="none"/>
              </w:rPr>
            </w:pPr>
          </w:p>
          <w:p w14:paraId="6A502FA2">
            <w:pPr>
              <w:widowControl/>
              <w:spacing w:line="300" w:lineRule="exact"/>
              <w:jc w:val="center"/>
              <w:rPr>
                <w:rFonts w:hint="default" w:ascii="Times New Roman" w:hAnsi="Times New Roman" w:eastAsia="仿宋_GB2312" w:cs="Times New Roman"/>
                <w:color w:val="auto"/>
                <w:kern w:val="0"/>
                <w:szCs w:val="21"/>
                <w:highlight w:val="none"/>
              </w:rPr>
            </w:pPr>
          </w:p>
          <w:p w14:paraId="366AF19E">
            <w:pPr>
              <w:widowControl/>
              <w:spacing w:line="300" w:lineRule="exact"/>
              <w:jc w:val="both"/>
              <w:rPr>
                <w:rFonts w:hint="default" w:ascii="Times New Roman" w:hAnsi="Times New Roman" w:eastAsia="仿宋_GB2312" w:cs="Times New Roman"/>
                <w:color w:val="auto"/>
                <w:kern w:val="0"/>
                <w:szCs w:val="21"/>
                <w:highlight w:val="none"/>
              </w:rPr>
            </w:pPr>
          </w:p>
          <w:p w14:paraId="7DEA9E17">
            <w:pPr>
              <w:widowControl/>
              <w:spacing w:line="300" w:lineRule="exact"/>
              <w:jc w:val="center"/>
              <w:rPr>
                <w:rFonts w:hint="default" w:ascii="Times New Roman" w:hAnsi="Times New Roman" w:eastAsia="仿宋_GB2312" w:cs="Times New Roman"/>
                <w:color w:val="auto"/>
                <w:kern w:val="0"/>
                <w:szCs w:val="21"/>
                <w:highlight w:val="none"/>
              </w:rPr>
            </w:pPr>
          </w:p>
          <w:p w14:paraId="66A5E44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糕点</w:t>
            </w:r>
          </w:p>
        </w:tc>
        <w:tc>
          <w:tcPr>
            <w:tcW w:w="1144" w:type="dxa"/>
            <w:noWrap w:val="0"/>
            <w:vAlign w:val="center"/>
          </w:tcPr>
          <w:p w14:paraId="3C4D595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面包</w:t>
            </w:r>
          </w:p>
        </w:tc>
        <w:tc>
          <w:tcPr>
            <w:tcW w:w="1856" w:type="dxa"/>
            <w:noWrap w:val="0"/>
            <w:vAlign w:val="center"/>
          </w:tcPr>
          <w:p w14:paraId="73756481">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面包</w:t>
            </w:r>
          </w:p>
        </w:tc>
        <w:tc>
          <w:tcPr>
            <w:tcW w:w="1106" w:type="dxa"/>
            <w:noWrap w:val="0"/>
            <w:vAlign w:val="center"/>
          </w:tcPr>
          <w:p w14:paraId="4AA9C70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CCC77C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酸价（以脂肪计）（KOH） 、过氧化值（以脂肪计）、富马酸二甲酯、脱氢乙酸及其钠盐（以脱氢乙酸计）、合成着色剂（柠檬黄、日落黄、胭脂红、苋菜红、亮蓝、诱惑红、酸性红）、菌落总数、霉菌、大肠菌群、金黄色葡萄球菌、沙门氏菌</w:t>
            </w:r>
          </w:p>
        </w:tc>
        <w:tc>
          <w:tcPr>
            <w:tcW w:w="3435" w:type="dxa"/>
            <w:noWrap w:val="0"/>
            <w:vAlign w:val="center"/>
          </w:tcPr>
          <w:p w14:paraId="316B508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 糖精钠（以糖精计）</w:t>
            </w:r>
          </w:p>
        </w:tc>
      </w:tr>
      <w:tr w14:paraId="51E9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4ADEBE8">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AE79120">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5B5FAB6">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1EBFF09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月饼</w:t>
            </w:r>
          </w:p>
        </w:tc>
        <w:tc>
          <w:tcPr>
            <w:tcW w:w="1856" w:type="dxa"/>
            <w:noWrap w:val="0"/>
            <w:vAlign w:val="center"/>
          </w:tcPr>
          <w:p w14:paraId="2B22F69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月饼</w:t>
            </w:r>
          </w:p>
        </w:tc>
        <w:tc>
          <w:tcPr>
            <w:tcW w:w="1106" w:type="dxa"/>
            <w:noWrap w:val="0"/>
            <w:vAlign w:val="center"/>
          </w:tcPr>
          <w:p w14:paraId="39DDF09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5139A4E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KOH）、过氧化值（以脂肪计）、富马酸二甲酯、苯甲酸及其钠盐（以苯甲酸计）、山梨酸及其钾盐（以山梨酸计）、脱氢乙酸及其钠盐（以脱氢乙酸计）、丙酸及其钠盐、钙盐（以丙酸计）、纳他霉素、合成着色剂（柠檬黄、日落黄、胭脂红、苋菜红、亮蓝、赤藓红、诱惑红）、防腐剂混合使用时各自用量占其最大使用量的比例之和、菌落总数、大肠菌群、霉菌、金黄色葡萄球菌、沙门氏菌</w:t>
            </w:r>
          </w:p>
        </w:tc>
        <w:tc>
          <w:tcPr>
            <w:tcW w:w="3435" w:type="dxa"/>
            <w:noWrap w:val="0"/>
            <w:vAlign w:val="center"/>
          </w:tcPr>
          <w:p w14:paraId="796C808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糖精钠（以糖精计）、铝的残留量 </w:t>
            </w:r>
          </w:p>
          <w:p w14:paraId="2A44CB8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（干样品，以Al计）</w:t>
            </w:r>
          </w:p>
        </w:tc>
      </w:tr>
      <w:tr w14:paraId="72D6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20" w:type="dxa"/>
            <w:vMerge w:val="continue"/>
            <w:noWrap w:val="0"/>
            <w:vAlign w:val="center"/>
          </w:tcPr>
          <w:p w14:paraId="3F86078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FF9AF13">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0C156FE">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79484DC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粽子</w:t>
            </w:r>
          </w:p>
        </w:tc>
        <w:tc>
          <w:tcPr>
            <w:tcW w:w="1856" w:type="dxa"/>
            <w:noWrap w:val="0"/>
            <w:vAlign w:val="center"/>
          </w:tcPr>
          <w:p w14:paraId="2E857C2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粽子</w:t>
            </w:r>
          </w:p>
        </w:tc>
        <w:tc>
          <w:tcPr>
            <w:tcW w:w="1106" w:type="dxa"/>
            <w:noWrap w:val="0"/>
            <w:vAlign w:val="center"/>
          </w:tcPr>
          <w:p w14:paraId="488C6E2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65C9C8D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甜蜜素（以环己基氨基磺酸计）、山梨酸及其钾盐（以山梨酸计）、脱氢乙酸及其钠盐（以脱氢乙酸计）、糖精钠（以糖精计）、安赛蜜、菌落总数、大肠菌群、金黄色葡萄球菌、沙门氏菌、霉菌、商业无菌</w:t>
            </w:r>
          </w:p>
        </w:tc>
        <w:tc>
          <w:tcPr>
            <w:tcW w:w="3435" w:type="dxa"/>
            <w:noWrap w:val="0"/>
            <w:vAlign w:val="center"/>
          </w:tcPr>
          <w:p w14:paraId="0EEB958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过氧化值（以脂肪计）</w:t>
            </w:r>
          </w:p>
        </w:tc>
      </w:tr>
      <w:tr w14:paraId="4FF2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3" w:hRule="atLeast"/>
        </w:trPr>
        <w:tc>
          <w:tcPr>
            <w:tcW w:w="720" w:type="dxa"/>
            <w:vMerge w:val="continue"/>
            <w:noWrap w:val="0"/>
            <w:vAlign w:val="center"/>
          </w:tcPr>
          <w:p w14:paraId="0E5F83A1">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5AC575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8CC9C85">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5E5932C0">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糕点</w:t>
            </w:r>
          </w:p>
        </w:tc>
        <w:tc>
          <w:tcPr>
            <w:tcW w:w="1856" w:type="dxa"/>
            <w:noWrap w:val="0"/>
            <w:vAlign w:val="center"/>
          </w:tcPr>
          <w:p w14:paraId="246A3A34">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糕点</w:t>
            </w:r>
          </w:p>
        </w:tc>
        <w:tc>
          <w:tcPr>
            <w:tcW w:w="1106" w:type="dxa"/>
            <w:noWrap w:val="0"/>
            <w:vAlign w:val="center"/>
          </w:tcPr>
          <w:p w14:paraId="4373BCC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59424B3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酸价（以脂肪计）（KOH）、过氧化值（以脂肪计）、富马酸二甲酯、苯甲酸及其钠盐（以苯甲酸计）、山梨酸及其钾盐（以山梨酸计）、糖精钠（以糖精计）、甜蜜素（以环己基氨基磺酸计）、铝的残留量（干样品，以Al 计）、脱氢乙酸及其钠盐（以脱氢乙酸计）、丙酸及其钠盐、钙盐（以丙酸计）、纳他霉素、三氯蔗糖、合成着色剂（柠檬黄、日落黄、胭脂红、苋菜红、亮蓝、赤藓红、诱惑红）、防腐剂混合使用时各自用量占其最大使用量的比例之和、菌落总数</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大肠菌群、霉菌、金黄色葡萄球菌、沙门氏菌</w:t>
            </w:r>
          </w:p>
        </w:tc>
        <w:tc>
          <w:tcPr>
            <w:tcW w:w="3435" w:type="dxa"/>
            <w:noWrap w:val="0"/>
            <w:vAlign w:val="center"/>
          </w:tcPr>
          <w:p w14:paraId="4639789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丙二醇、安赛蜜</w:t>
            </w:r>
          </w:p>
        </w:tc>
      </w:tr>
      <w:tr w14:paraId="17C3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6" w:hRule="atLeast"/>
        </w:trPr>
        <w:tc>
          <w:tcPr>
            <w:tcW w:w="720" w:type="dxa"/>
            <w:vMerge w:val="restart"/>
            <w:noWrap w:val="0"/>
            <w:vAlign w:val="center"/>
          </w:tcPr>
          <w:p w14:paraId="090EA0F2">
            <w:pPr>
              <w:widowControl/>
              <w:spacing w:line="300" w:lineRule="exact"/>
              <w:jc w:val="center"/>
              <w:rPr>
                <w:rFonts w:hint="default" w:ascii="Times New Roman" w:hAnsi="Times New Roman" w:eastAsia="仿宋_GB2312" w:cs="Times New Roman"/>
                <w:color w:val="auto"/>
                <w:kern w:val="0"/>
                <w:szCs w:val="21"/>
                <w:highlight w:val="none"/>
              </w:rPr>
            </w:pPr>
          </w:p>
          <w:p w14:paraId="4B1C8F75">
            <w:pPr>
              <w:widowControl/>
              <w:spacing w:line="300" w:lineRule="exact"/>
              <w:jc w:val="center"/>
              <w:rPr>
                <w:rFonts w:hint="default" w:ascii="Times New Roman" w:hAnsi="Times New Roman" w:eastAsia="仿宋_GB2312" w:cs="Times New Roman"/>
                <w:color w:val="auto"/>
                <w:kern w:val="0"/>
                <w:szCs w:val="21"/>
                <w:highlight w:val="none"/>
              </w:rPr>
            </w:pPr>
          </w:p>
          <w:p w14:paraId="7646CDB5">
            <w:pPr>
              <w:widowControl/>
              <w:spacing w:line="300" w:lineRule="exact"/>
              <w:jc w:val="center"/>
              <w:rPr>
                <w:rFonts w:hint="default" w:ascii="Times New Roman" w:hAnsi="Times New Roman" w:eastAsia="仿宋_GB2312" w:cs="Times New Roman"/>
                <w:color w:val="auto"/>
                <w:kern w:val="0"/>
                <w:szCs w:val="21"/>
                <w:highlight w:val="none"/>
              </w:rPr>
            </w:pPr>
          </w:p>
          <w:p w14:paraId="6756D7AB">
            <w:pPr>
              <w:widowControl/>
              <w:spacing w:line="300" w:lineRule="exact"/>
              <w:jc w:val="both"/>
              <w:rPr>
                <w:rFonts w:hint="default" w:ascii="Times New Roman" w:hAnsi="Times New Roman" w:eastAsia="仿宋_GB2312" w:cs="Times New Roman"/>
                <w:color w:val="auto"/>
                <w:kern w:val="0"/>
                <w:szCs w:val="21"/>
                <w:highlight w:val="none"/>
              </w:rPr>
            </w:pPr>
          </w:p>
          <w:p w14:paraId="399F708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25</w:t>
            </w:r>
          </w:p>
          <w:p w14:paraId="686ADA40">
            <w:pPr>
              <w:widowControl/>
              <w:spacing w:line="300" w:lineRule="exact"/>
              <w:jc w:val="center"/>
              <w:rPr>
                <w:rFonts w:hint="default" w:ascii="Times New Roman" w:hAnsi="Times New Roman" w:eastAsia="仿宋_GB2312" w:cs="Times New Roman"/>
                <w:color w:val="auto"/>
                <w:kern w:val="0"/>
                <w:szCs w:val="21"/>
                <w:highlight w:val="none"/>
              </w:rPr>
            </w:pPr>
          </w:p>
          <w:p w14:paraId="4523DE96">
            <w:pPr>
              <w:widowControl/>
              <w:spacing w:line="300" w:lineRule="exact"/>
              <w:jc w:val="center"/>
              <w:rPr>
                <w:rFonts w:hint="default" w:ascii="Times New Roman" w:hAnsi="Times New Roman" w:eastAsia="仿宋_GB2312" w:cs="Times New Roman"/>
                <w:color w:val="auto"/>
                <w:kern w:val="0"/>
                <w:szCs w:val="21"/>
                <w:highlight w:val="none"/>
              </w:rPr>
            </w:pPr>
          </w:p>
          <w:p w14:paraId="1074CBF0">
            <w:pPr>
              <w:widowControl/>
              <w:spacing w:line="300" w:lineRule="exact"/>
              <w:jc w:val="center"/>
              <w:rPr>
                <w:rFonts w:hint="default" w:ascii="Times New Roman" w:hAnsi="Times New Roman" w:eastAsia="仿宋_GB2312" w:cs="Times New Roman"/>
                <w:color w:val="auto"/>
                <w:kern w:val="0"/>
                <w:szCs w:val="21"/>
                <w:highlight w:val="none"/>
              </w:rPr>
            </w:pPr>
          </w:p>
          <w:p w14:paraId="67F203CA">
            <w:pPr>
              <w:widowControl/>
              <w:spacing w:line="300" w:lineRule="exact"/>
              <w:jc w:val="center"/>
              <w:rPr>
                <w:rFonts w:hint="default" w:ascii="Times New Roman" w:hAnsi="Times New Roman" w:eastAsia="仿宋_GB2312" w:cs="Times New Roman"/>
                <w:color w:val="auto"/>
                <w:kern w:val="0"/>
                <w:szCs w:val="21"/>
                <w:highlight w:val="none"/>
              </w:rPr>
            </w:pPr>
          </w:p>
          <w:p w14:paraId="3D42B08F">
            <w:pPr>
              <w:widowControl/>
              <w:spacing w:line="300" w:lineRule="exact"/>
              <w:jc w:val="center"/>
              <w:rPr>
                <w:rFonts w:hint="default" w:ascii="Times New Roman" w:hAnsi="Times New Roman" w:eastAsia="仿宋_GB2312" w:cs="Times New Roman"/>
                <w:color w:val="auto"/>
                <w:kern w:val="0"/>
                <w:szCs w:val="21"/>
                <w:highlight w:val="none"/>
              </w:rPr>
            </w:pPr>
          </w:p>
          <w:p w14:paraId="6709E4BD">
            <w:pPr>
              <w:widowControl/>
              <w:spacing w:line="300" w:lineRule="exact"/>
              <w:jc w:val="center"/>
              <w:rPr>
                <w:rFonts w:hint="default" w:ascii="Times New Roman" w:hAnsi="Times New Roman" w:eastAsia="仿宋_GB2312" w:cs="Times New Roman"/>
                <w:color w:val="auto"/>
                <w:kern w:val="0"/>
                <w:szCs w:val="21"/>
                <w:highlight w:val="none"/>
              </w:rPr>
            </w:pPr>
          </w:p>
          <w:p w14:paraId="15A32856">
            <w:pPr>
              <w:widowControl/>
              <w:spacing w:line="300" w:lineRule="exact"/>
              <w:jc w:val="center"/>
              <w:rPr>
                <w:rFonts w:hint="default" w:ascii="Times New Roman" w:hAnsi="Times New Roman" w:eastAsia="仿宋_GB2312" w:cs="Times New Roman"/>
                <w:color w:val="auto"/>
                <w:kern w:val="0"/>
                <w:szCs w:val="21"/>
                <w:highlight w:val="none"/>
              </w:rPr>
            </w:pPr>
          </w:p>
          <w:p w14:paraId="162A5721">
            <w:pPr>
              <w:widowControl/>
              <w:spacing w:line="300" w:lineRule="exact"/>
              <w:jc w:val="center"/>
              <w:rPr>
                <w:rFonts w:hint="default" w:ascii="Times New Roman" w:hAnsi="Times New Roman" w:eastAsia="仿宋_GB2312" w:cs="Times New Roman"/>
                <w:color w:val="auto"/>
                <w:kern w:val="0"/>
                <w:szCs w:val="21"/>
                <w:highlight w:val="none"/>
              </w:rPr>
            </w:pPr>
          </w:p>
          <w:p w14:paraId="2C067805">
            <w:pPr>
              <w:widowControl/>
              <w:spacing w:line="300" w:lineRule="exact"/>
              <w:jc w:val="center"/>
              <w:rPr>
                <w:rFonts w:hint="default" w:ascii="Times New Roman" w:hAnsi="Times New Roman" w:eastAsia="仿宋_GB2312" w:cs="Times New Roman"/>
                <w:color w:val="auto"/>
                <w:kern w:val="0"/>
                <w:szCs w:val="21"/>
                <w:highlight w:val="none"/>
              </w:rPr>
            </w:pPr>
          </w:p>
          <w:p w14:paraId="6F1B1235">
            <w:pPr>
              <w:widowControl/>
              <w:spacing w:line="300" w:lineRule="exact"/>
              <w:jc w:val="center"/>
              <w:rPr>
                <w:rFonts w:hint="default" w:ascii="Times New Roman" w:hAnsi="Times New Roman" w:eastAsia="仿宋_GB2312" w:cs="Times New Roman"/>
                <w:color w:val="auto"/>
                <w:kern w:val="0"/>
                <w:szCs w:val="21"/>
                <w:highlight w:val="none"/>
              </w:rPr>
            </w:pPr>
          </w:p>
          <w:p w14:paraId="4294ABC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25</w:t>
            </w:r>
          </w:p>
        </w:tc>
        <w:tc>
          <w:tcPr>
            <w:tcW w:w="1107" w:type="dxa"/>
            <w:vMerge w:val="restart"/>
            <w:noWrap w:val="0"/>
            <w:vAlign w:val="center"/>
          </w:tcPr>
          <w:p w14:paraId="6AD44EF4">
            <w:pPr>
              <w:widowControl/>
              <w:spacing w:line="300" w:lineRule="exact"/>
              <w:jc w:val="center"/>
              <w:rPr>
                <w:rFonts w:hint="default" w:ascii="Times New Roman" w:hAnsi="Times New Roman" w:eastAsia="仿宋_GB2312" w:cs="Times New Roman"/>
                <w:color w:val="auto"/>
                <w:kern w:val="0"/>
                <w:szCs w:val="21"/>
                <w:highlight w:val="none"/>
              </w:rPr>
            </w:pPr>
          </w:p>
          <w:p w14:paraId="5718F0AC">
            <w:pPr>
              <w:widowControl/>
              <w:spacing w:line="300" w:lineRule="exact"/>
              <w:jc w:val="center"/>
              <w:rPr>
                <w:rFonts w:hint="default" w:ascii="Times New Roman" w:hAnsi="Times New Roman" w:eastAsia="仿宋_GB2312" w:cs="Times New Roman"/>
                <w:color w:val="auto"/>
                <w:kern w:val="0"/>
                <w:szCs w:val="21"/>
                <w:highlight w:val="none"/>
              </w:rPr>
            </w:pPr>
          </w:p>
          <w:p w14:paraId="22DE23DB">
            <w:pPr>
              <w:widowControl/>
              <w:spacing w:line="300" w:lineRule="exact"/>
              <w:jc w:val="center"/>
              <w:rPr>
                <w:rFonts w:hint="default" w:ascii="Times New Roman" w:hAnsi="Times New Roman" w:eastAsia="仿宋_GB2312" w:cs="Times New Roman"/>
                <w:color w:val="auto"/>
                <w:kern w:val="0"/>
                <w:szCs w:val="21"/>
                <w:highlight w:val="none"/>
              </w:rPr>
            </w:pPr>
          </w:p>
          <w:p w14:paraId="1F8E7B0A">
            <w:pPr>
              <w:widowControl/>
              <w:spacing w:line="300" w:lineRule="exact"/>
              <w:jc w:val="center"/>
              <w:rPr>
                <w:rFonts w:hint="default" w:ascii="Times New Roman" w:hAnsi="Times New Roman" w:eastAsia="仿宋_GB2312" w:cs="Times New Roman"/>
                <w:color w:val="auto"/>
                <w:kern w:val="0"/>
                <w:szCs w:val="21"/>
                <w:highlight w:val="none"/>
              </w:rPr>
            </w:pPr>
          </w:p>
          <w:p w14:paraId="2229C1B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豆制品</w:t>
            </w:r>
          </w:p>
          <w:p w14:paraId="4414F302">
            <w:pPr>
              <w:widowControl/>
              <w:spacing w:line="300" w:lineRule="exact"/>
              <w:jc w:val="center"/>
              <w:rPr>
                <w:rFonts w:hint="default" w:ascii="Times New Roman" w:hAnsi="Times New Roman" w:eastAsia="仿宋_GB2312" w:cs="Times New Roman"/>
                <w:color w:val="auto"/>
                <w:kern w:val="0"/>
                <w:szCs w:val="21"/>
                <w:highlight w:val="none"/>
              </w:rPr>
            </w:pPr>
          </w:p>
          <w:p w14:paraId="08FACCAA">
            <w:pPr>
              <w:widowControl/>
              <w:spacing w:line="300" w:lineRule="exact"/>
              <w:jc w:val="center"/>
              <w:rPr>
                <w:rFonts w:hint="default" w:ascii="Times New Roman" w:hAnsi="Times New Roman" w:eastAsia="仿宋_GB2312" w:cs="Times New Roman"/>
                <w:color w:val="auto"/>
                <w:kern w:val="0"/>
                <w:szCs w:val="21"/>
                <w:highlight w:val="none"/>
              </w:rPr>
            </w:pPr>
          </w:p>
          <w:p w14:paraId="43703448">
            <w:pPr>
              <w:widowControl/>
              <w:spacing w:line="300" w:lineRule="exact"/>
              <w:jc w:val="center"/>
              <w:rPr>
                <w:rFonts w:hint="default" w:ascii="Times New Roman" w:hAnsi="Times New Roman" w:eastAsia="仿宋_GB2312" w:cs="Times New Roman"/>
                <w:color w:val="auto"/>
                <w:kern w:val="0"/>
                <w:szCs w:val="21"/>
                <w:highlight w:val="none"/>
              </w:rPr>
            </w:pPr>
          </w:p>
          <w:p w14:paraId="2CF63114">
            <w:pPr>
              <w:widowControl/>
              <w:spacing w:line="300" w:lineRule="exact"/>
              <w:jc w:val="center"/>
              <w:rPr>
                <w:rFonts w:hint="default" w:ascii="Times New Roman" w:hAnsi="Times New Roman" w:eastAsia="仿宋_GB2312" w:cs="Times New Roman"/>
                <w:color w:val="auto"/>
                <w:kern w:val="0"/>
                <w:szCs w:val="21"/>
                <w:highlight w:val="none"/>
              </w:rPr>
            </w:pPr>
          </w:p>
          <w:p w14:paraId="2D746633">
            <w:pPr>
              <w:widowControl/>
              <w:spacing w:line="300" w:lineRule="exact"/>
              <w:jc w:val="center"/>
              <w:rPr>
                <w:rFonts w:hint="default" w:ascii="Times New Roman" w:hAnsi="Times New Roman" w:eastAsia="仿宋_GB2312" w:cs="Times New Roman"/>
                <w:color w:val="auto"/>
                <w:kern w:val="0"/>
                <w:szCs w:val="21"/>
                <w:highlight w:val="none"/>
              </w:rPr>
            </w:pPr>
          </w:p>
          <w:p w14:paraId="60BABA49">
            <w:pPr>
              <w:widowControl/>
              <w:spacing w:line="300" w:lineRule="exact"/>
              <w:jc w:val="center"/>
              <w:rPr>
                <w:rFonts w:hint="default" w:ascii="Times New Roman" w:hAnsi="Times New Roman" w:eastAsia="仿宋_GB2312" w:cs="Times New Roman"/>
                <w:color w:val="auto"/>
                <w:kern w:val="0"/>
                <w:szCs w:val="21"/>
                <w:highlight w:val="none"/>
              </w:rPr>
            </w:pPr>
          </w:p>
          <w:p w14:paraId="5D4F012E">
            <w:pPr>
              <w:widowControl/>
              <w:spacing w:line="300" w:lineRule="exact"/>
              <w:jc w:val="center"/>
              <w:rPr>
                <w:rFonts w:hint="default" w:ascii="Times New Roman" w:hAnsi="Times New Roman" w:eastAsia="仿宋_GB2312" w:cs="Times New Roman"/>
                <w:color w:val="auto"/>
                <w:kern w:val="0"/>
                <w:szCs w:val="21"/>
                <w:highlight w:val="none"/>
              </w:rPr>
            </w:pPr>
          </w:p>
          <w:p w14:paraId="62BA546B">
            <w:pPr>
              <w:widowControl/>
              <w:spacing w:line="300" w:lineRule="exact"/>
              <w:jc w:val="center"/>
              <w:rPr>
                <w:rFonts w:hint="default" w:ascii="Times New Roman" w:hAnsi="Times New Roman" w:eastAsia="仿宋_GB2312" w:cs="Times New Roman"/>
                <w:color w:val="auto"/>
                <w:kern w:val="0"/>
                <w:szCs w:val="21"/>
                <w:highlight w:val="none"/>
              </w:rPr>
            </w:pPr>
          </w:p>
          <w:p w14:paraId="7C07CB1F">
            <w:pPr>
              <w:widowControl/>
              <w:spacing w:line="300" w:lineRule="exact"/>
              <w:jc w:val="center"/>
              <w:rPr>
                <w:rFonts w:hint="default" w:ascii="Times New Roman" w:hAnsi="Times New Roman" w:eastAsia="仿宋_GB2312" w:cs="Times New Roman"/>
                <w:color w:val="auto"/>
                <w:kern w:val="0"/>
                <w:szCs w:val="21"/>
                <w:highlight w:val="none"/>
              </w:rPr>
            </w:pPr>
          </w:p>
          <w:p w14:paraId="4EE61A41">
            <w:pPr>
              <w:widowControl/>
              <w:spacing w:line="300" w:lineRule="exact"/>
              <w:jc w:val="center"/>
              <w:rPr>
                <w:rFonts w:hint="default" w:ascii="Times New Roman" w:hAnsi="Times New Roman" w:eastAsia="仿宋_GB2312" w:cs="Times New Roman"/>
                <w:color w:val="auto"/>
                <w:kern w:val="0"/>
                <w:szCs w:val="21"/>
                <w:highlight w:val="none"/>
              </w:rPr>
            </w:pPr>
          </w:p>
          <w:p w14:paraId="6C0CF9E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豆制品</w:t>
            </w:r>
          </w:p>
        </w:tc>
        <w:tc>
          <w:tcPr>
            <w:tcW w:w="1256" w:type="dxa"/>
            <w:vMerge w:val="restart"/>
            <w:noWrap w:val="0"/>
            <w:vAlign w:val="center"/>
          </w:tcPr>
          <w:p w14:paraId="69138439">
            <w:pPr>
              <w:widowControl/>
              <w:spacing w:line="300" w:lineRule="exact"/>
              <w:jc w:val="center"/>
              <w:rPr>
                <w:rFonts w:hint="default" w:ascii="Times New Roman" w:hAnsi="Times New Roman" w:eastAsia="仿宋_GB2312" w:cs="Times New Roman"/>
                <w:color w:val="auto"/>
                <w:kern w:val="0"/>
                <w:szCs w:val="21"/>
                <w:highlight w:val="none"/>
              </w:rPr>
            </w:pPr>
          </w:p>
          <w:p w14:paraId="6F5FC391">
            <w:pPr>
              <w:widowControl/>
              <w:spacing w:line="300" w:lineRule="exact"/>
              <w:jc w:val="center"/>
              <w:rPr>
                <w:rFonts w:hint="default" w:ascii="Times New Roman" w:hAnsi="Times New Roman" w:eastAsia="仿宋_GB2312" w:cs="Times New Roman"/>
                <w:color w:val="auto"/>
                <w:kern w:val="0"/>
                <w:szCs w:val="21"/>
                <w:highlight w:val="none"/>
              </w:rPr>
            </w:pPr>
          </w:p>
          <w:p w14:paraId="0ABB9118">
            <w:pPr>
              <w:widowControl/>
              <w:spacing w:line="300" w:lineRule="exact"/>
              <w:jc w:val="center"/>
              <w:rPr>
                <w:rFonts w:hint="default" w:ascii="Times New Roman" w:hAnsi="Times New Roman" w:eastAsia="仿宋_GB2312" w:cs="Times New Roman"/>
                <w:color w:val="auto"/>
                <w:kern w:val="0"/>
                <w:szCs w:val="21"/>
                <w:highlight w:val="none"/>
              </w:rPr>
            </w:pPr>
          </w:p>
          <w:p w14:paraId="75E726D8">
            <w:pPr>
              <w:widowControl/>
              <w:spacing w:line="300" w:lineRule="exact"/>
              <w:jc w:val="center"/>
              <w:rPr>
                <w:rFonts w:hint="default" w:ascii="Times New Roman" w:hAnsi="Times New Roman" w:eastAsia="仿宋_GB2312" w:cs="Times New Roman"/>
                <w:color w:val="auto"/>
                <w:kern w:val="0"/>
                <w:szCs w:val="21"/>
                <w:highlight w:val="none"/>
              </w:rPr>
            </w:pPr>
          </w:p>
          <w:p w14:paraId="19ACF67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豆制品</w:t>
            </w:r>
          </w:p>
          <w:p w14:paraId="61168AEE">
            <w:pPr>
              <w:widowControl/>
              <w:spacing w:line="300" w:lineRule="exact"/>
              <w:jc w:val="center"/>
              <w:rPr>
                <w:rFonts w:hint="default" w:ascii="Times New Roman" w:hAnsi="Times New Roman" w:eastAsia="仿宋_GB2312" w:cs="Times New Roman"/>
                <w:color w:val="auto"/>
                <w:kern w:val="0"/>
                <w:szCs w:val="21"/>
                <w:highlight w:val="none"/>
              </w:rPr>
            </w:pPr>
          </w:p>
          <w:p w14:paraId="00496C49">
            <w:pPr>
              <w:widowControl/>
              <w:spacing w:line="300" w:lineRule="exact"/>
              <w:jc w:val="center"/>
              <w:rPr>
                <w:rFonts w:hint="default" w:ascii="Times New Roman" w:hAnsi="Times New Roman" w:eastAsia="仿宋_GB2312" w:cs="Times New Roman"/>
                <w:color w:val="auto"/>
                <w:kern w:val="0"/>
                <w:szCs w:val="21"/>
                <w:highlight w:val="none"/>
              </w:rPr>
            </w:pPr>
          </w:p>
          <w:p w14:paraId="2C485625">
            <w:pPr>
              <w:widowControl/>
              <w:spacing w:line="300" w:lineRule="exact"/>
              <w:jc w:val="center"/>
              <w:rPr>
                <w:rFonts w:hint="default" w:ascii="Times New Roman" w:hAnsi="Times New Roman" w:eastAsia="仿宋_GB2312" w:cs="Times New Roman"/>
                <w:color w:val="auto"/>
                <w:kern w:val="0"/>
                <w:szCs w:val="21"/>
                <w:highlight w:val="none"/>
              </w:rPr>
            </w:pPr>
          </w:p>
          <w:p w14:paraId="7FB1C370">
            <w:pPr>
              <w:widowControl/>
              <w:spacing w:line="300" w:lineRule="exact"/>
              <w:jc w:val="center"/>
              <w:rPr>
                <w:rFonts w:hint="default" w:ascii="Times New Roman" w:hAnsi="Times New Roman" w:eastAsia="仿宋_GB2312" w:cs="Times New Roman"/>
                <w:color w:val="auto"/>
                <w:kern w:val="0"/>
                <w:szCs w:val="21"/>
                <w:highlight w:val="none"/>
              </w:rPr>
            </w:pPr>
          </w:p>
          <w:p w14:paraId="509EC534">
            <w:pPr>
              <w:widowControl/>
              <w:spacing w:line="300" w:lineRule="exact"/>
              <w:jc w:val="center"/>
              <w:rPr>
                <w:rFonts w:hint="default" w:ascii="Times New Roman" w:hAnsi="Times New Roman" w:eastAsia="仿宋_GB2312" w:cs="Times New Roman"/>
                <w:color w:val="auto"/>
                <w:kern w:val="0"/>
                <w:szCs w:val="21"/>
                <w:highlight w:val="none"/>
              </w:rPr>
            </w:pPr>
          </w:p>
          <w:p w14:paraId="1B9B480B">
            <w:pPr>
              <w:widowControl/>
              <w:spacing w:line="300" w:lineRule="exact"/>
              <w:jc w:val="center"/>
              <w:rPr>
                <w:rFonts w:hint="default" w:ascii="Times New Roman" w:hAnsi="Times New Roman" w:eastAsia="仿宋_GB2312" w:cs="Times New Roman"/>
                <w:color w:val="auto"/>
                <w:kern w:val="0"/>
                <w:szCs w:val="21"/>
                <w:highlight w:val="none"/>
              </w:rPr>
            </w:pPr>
          </w:p>
          <w:p w14:paraId="7E0CE6A4">
            <w:pPr>
              <w:widowControl/>
              <w:spacing w:line="300" w:lineRule="exact"/>
              <w:jc w:val="center"/>
              <w:rPr>
                <w:rFonts w:hint="default" w:ascii="Times New Roman" w:hAnsi="Times New Roman" w:eastAsia="仿宋_GB2312" w:cs="Times New Roman"/>
                <w:color w:val="auto"/>
                <w:kern w:val="0"/>
                <w:szCs w:val="21"/>
                <w:highlight w:val="none"/>
              </w:rPr>
            </w:pPr>
          </w:p>
          <w:p w14:paraId="009E9F51">
            <w:pPr>
              <w:widowControl/>
              <w:spacing w:line="300" w:lineRule="exact"/>
              <w:jc w:val="center"/>
              <w:rPr>
                <w:rFonts w:hint="default" w:ascii="Times New Roman" w:hAnsi="Times New Roman" w:eastAsia="仿宋_GB2312" w:cs="Times New Roman"/>
                <w:color w:val="auto"/>
                <w:kern w:val="0"/>
                <w:szCs w:val="21"/>
                <w:highlight w:val="none"/>
              </w:rPr>
            </w:pPr>
          </w:p>
          <w:p w14:paraId="72D30465">
            <w:pPr>
              <w:widowControl/>
              <w:spacing w:line="300" w:lineRule="exact"/>
              <w:jc w:val="center"/>
              <w:rPr>
                <w:rFonts w:hint="default" w:ascii="Times New Roman" w:hAnsi="Times New Roman" w:eastAsia="仿宋_GB2312" w:cs="Times New Roman"/>
                <w:color w:val="auto"/>
                <w:kern w:val="0"/>
                <w:szCs w:val="21"/>
                <w:highlight w:val="none"/>
              </w:rPr>
            </w:pPr>
          </w:p>
          <w:p w14:paraId="7CEBA564">
            <w:pPr>
              <w:widowControl/>
              <w:spacing w:line="300" w:lineRule="exact"/>
              <w:jc w:val="center"/>
              <w:rPr>
                <w:rFonts w:hint="default" w:ascii="Times New Roman" w:hAnsi="Times New Roman" w:eastAsia="仿宋_GB2312" w:cs="Times New Roman"/>
                <w:color w:val="auto"/>
                <w:kern w:val="0"/>
                <w:szCs w:val="21"/>
                <w:highlight w:val="none"/>
              </w:rPr>
            </w:pPr>
          </w:p>
          <w:p w14:paraId="396B821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豆制品</w:t>
            </w:r>
          </w:p>
        </w:tc>
        <w:tc>
          <w:tcPr>
            <w:tcW w:w="1144" w:type="dxa"/>
            <w:noWrap w:val="0"/>
            <w:vAlign w:val="center"/>
          </w:tcPr>
          <w:p w14:paraId="2520C37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发酵性豆制品</w:t>
            </w:r>
          </w:p>
        </w:tc>
        <w:tc>
          <w:tcPr>
            <w:tcW w:w="1856" w:type="dxa"/>
            <w:noWrap w:val="0"/>
            <w:vAlign w:val="center"/>
          </w:tcPr>
          <w:p w14:paraId="098D9D6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腐乳、豆豉、纳豆等</w:t>
            </w:r>
          </w:p>
        </w:tc>
        <w:tc>
          <w:tcPr>
            <w:tcW w:w="1106" w:type="dxa"/>
            <w:noWrap w:val="0"/>
            <w:vAlign w:val="center"/>
          </w:tcPr>
          <w:p w14:paraId="6B04FDE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5EB16B5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苯甲酸及其钠盐（以苯甲酸计）、山梨酸及其钾盐（以山梨酸计）、脱氢乙酸及其钠盐（以脱氢乙酸计）、糖精钠（以糖精计）、甜蜜素（以环己基氨基磺酸计）、大肠菌群、铅（以Pb计）</w:t>
            </w:r>
          </w:p>
        </w:tc>
        <w:tc>
          <w:tcPr>
            <w:tcW w:w="3435" w:type="dxa"/>
            <w:noWrap w:val="0"/>
            <w:vAlign w:val="center"/>
          </w:tcPr>
          <w:p w14:paraId="56C90B1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 xml:space="preserve">、铝的残留量（干样 </w:t>
            </w:r>
          </w:p>
          <w:p w14:paraId="07ACE9A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品，以Al计）</w:t>
            </w:r>
          </w:p>
        </w:tc>
      </w:tr>
      <w:tr w14:paraId="7414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9" w:hRule="atLeast"/>
        </w:trPr>
        <w:tc>
          <w:tcPr>
            <w:tcW w:w="720" w:type="dxa"/>
            <w:vMerge w:val="continue"/>
            <w:noWrap w:val="0"/>
            <w:vAlign w:val="center"/>
          </w:tcPr>
          <w:p w14:paraId="4CBA02D9">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5E53E7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527C55A">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3674702B">
            <w:pPr>
              <w:widowControl/>
              <w:spacing w:line="300" w:lineRule="exact"/>
              <w:jc w:val="center"/>
              <w:rPr>
                <w:rFonts w:hint="default" w:ascii="Times New Roman" w:hAnsi="Times New Roman" w:eastAsia="仿宋_GB2312" w:cs="Times New Roman"/>
                <w:color w:val="auto"/>
                <w:kern w:val="0"/>
                <w:szCs w:val="21"/>
                <w:highlight w:val="none"/>
              </w:rPr>
            </w:pPr>
          </w:p>
          <w:p w14:paraId="518C758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非发酵性豆制品</w:t>
            </w:r>
          </w:p>
          <w:p w14:paraId="0CF4C7BB">
            <w:pPr>
              <w:widowControl/>
              <w:spacing w:line="300" w:lineRule="exact"/>
              <w:jc w:val="center"/>
              <w:rPr>
                <w:rFonts w:hint="default" w:ascii="Times New Roman" w:hAnsi="Times New Roman" w:eastAsia="仿宋_GB2312" w:cs="Times New Roman"/>
                <w:color w:val="auto"/>
                <w:kern w:val="0"/>
                <w:szCs w:val="21"/>
                <w:highlight w:val="none"/>
              </w:rPr>
            </w:pPr>
          </w:p>
          <w:p w14:paraId="2715B134">
            <w:pPr>
              <w:widowControl/>
              <w:spacing w:line="300" w:lineRule="exact"/>
              <w:jc w:val="center"/>
              <w:rPr>
                <w:rFonts w:hint="default" w:ascii="Times New Roman" w:hAnsi="Times New Roman" w:eastAsia="仿宋_GB2312" w:cs="Times New Roman"/>
                <w:color w:val="auto"/>
                <w:kern w:val="0"/>
                <w:szCs w:val="21"/>
                <w:highlight w:val="none"/>
              </w:rPr>
            </w:pPr>
          </w:p>
          <w:p w14:paraId="4BEDCC20">
            <w:pPr>
              <w:widowControl/>
              <w:spacing w:line="300" w:lineRule="exact"/>
              <w:jc w:val="center"/>
              <w:rPr>
                <w:rFonts w:hint="default" w:ascii="Times New Roman" w:hAnsi="Times New Roman" w:eastAsia="仿宋_GB2312" w:cs="Times New Roman"/>
                <w:color w:val="auto"/>
                <w:kern w:val="0"/>
                <w:szCs w:val="21"/>
                <w:highlight w:val="none"/>
              </w:rPr>
            </w:pPr>
          </w:p>
          <w:p w14:paraId="1443B13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非发酵性豆制品</w:t>
            </w:r>
          </w:p>
        </w:tc>
        <w:tc>
          <w:tcPr>
            <w:tcW w:w="1856" w:type="dxa"/>
            <w:noWrap w:val="0"/>
            <w:vAlign w:val="center"/>
          </w:tcPr>
          <w:p w14:paraId="3713E3E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腐竹、油皮及其再制品</w:t>
            </w:r>
          </w:p>
        </w:tc>
        <w:tc>
          <w:tcPr>
            <w:tcW w:w="1106" w:type="dxa"/>
            <w:noWrap w:val="0"/>
            <w:vAlign w:val="center"/>
          </w:tcPr>
          <w:p w14:paraId="1E9086B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2DDF9D9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蛋白质、苯甲酸及其钠盐（以苯甲酸计）、山梨酸及其钾盐（以山梨酸计）、脱氢乙酸及其钠盐（以脱氢乙酸计）、二氧化硫残留量、铝的残留量（干样品，以Al计）</w:t>
            </w:r>
          </w:p>
        </w:tc>
        <w:tc>
          <w:tcPr>
            <w:tcW w:w="3435" w:type="dxa"/>
            <w:noWrap w:val="0"/>
            <w:vAlign w:val="center"/>
          </w:tcPr>
          <w:p w14:paraId="5E5E214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铅（以Pb计）、合成着色剂（柠檬黄、日落黄）、二甲基黄、二乙基黄</w:t>
            </w:r>
          </w:p>
        </w:tc>
      </w:tr>
      <w:tr w14:paraId="3BA8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4" w:hRule="atLeast"/>
        </w:trPr>
        <w:tc>
          <w:tcPr>
            <w:tcW w:w="720" w:type="dxa"/>
            <w:vMerge w:val="continue"/>
            <w:noWrap w:val="0"/>
            <w:vAlign w:val="center"/>
          </w:tcPr>
          <w:p w14:paraId="16DB1A8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C637CD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0EACDE8">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B9BCFF5">
            <w:pPr>
              <w:widowControl/>
              <w:jc w:val="left"/>
              <w:rPr>
                <w:rFonts w:hint="default" w:ascii="Times New Roman" w:hAnsi="Times New Roman" w:eastAsia="仿宋_GB2312" w:cs="Times New Roman"/>
                <w:color w:val="auto"/>
                <w:kern w:val="0"/>
                <w:szCs w:val="21"/>
                <w:highlight w:val="none"/>
              </w:rPr>
            </w:pPr>
          </w:p>
        </w:tc>
        <w:tc>
          <w:tcPr>
            <w:tcW w:w="1856" w:type="dxa"/>
            <w:noWrap w:val="0"/>
            <w:vAlign w:val="center"/>
          </w:tcPr>
          <w:p w14:paraId="155F7FB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豆干、豆腐、豆皮等</w:t>
            </w:r>
          </w:p>
        </w:tc>
        <w:tc>
          <w:tcPr>
            <w:tcW w:w="1106" w:type="dxa"/>
            <w:noWrap w:val="0"/>
            <w:vAlign w:val="center"/>
          </w:tcPr>
          <w:p w14:paraId="4F472D3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1EEED67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铝的残留量（干样品，以Al计）、合成着色剂（柠檬黄、日落黄）、大肠菌群</w:t>
            </w:r>
          </w:p>
        </w:tc>
        <w:tc>
          <w:tcPr>
            <w:tcW w:w="3435" w:type="dxa"/>
            <w:noWrap w:val="0"/>
            <w:vAlign w:val="center"/>
          </w:tcPr>
          <w:p w14:paraId="5D2C709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铅（以Pb计）、丙酸及其钠盐、钙盐（以丙酸计）、糖精钠（以糖精计）、三氯蔗糖、甜蜜素（以环己基氨基磺酸计）</w:t>
            </w:r>
          </w:p>
        </w:tc>
      </w:tr>
      <w:tr w14:paraId="5983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6" w:hRule="atLeast"/>
        </w:trPr>
        <w:tc>
          <w:tcPr>
            <w:tcW w:w="720" w:type="dxa"/>
            <w:vMerge w:val="continue"/>
            <w:noWrap w:val="0"/>
            <w:vAlign w:val="center"/>
          </w:tcPr>
          <w:p w14:paraId="5393A9A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D1AABB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C53A52E">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7E7A258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其他豆制品</w:t>
            </w:r>
          </w:p>
        </w:tc>
        <w:tc>
          <w:tcPr>
            <w:tcW w:w="1856" w:type="dxa"/>
            <w:noWrap w:val="0"/>
            <w:vAlign w:val="center"/>
          </w:tcPr>
          <w:p w14:paraId="09C11D5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大豆蛋白类制品等</w:t>
            </w:r>
          </w:p>
        </w:tc>
        <w:tc>
          <w:tcPr>
            <w:tcW w:w="1106" w:type="dxa"/>
            <w:noWrap w:val="0"/>
            <w:vAlign w:val="center"/>
          </w:tcPr>
          <w:p w14:paraId="3AAA177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0F5D386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苯甲酸及其钠盐（以苯甲酸计）、山梨酸及其钾盐（以山梨酸计）、脱氢乙酸及其钠盐（以脱氢乙酸计）、糖精钠（以糖精计）、三氯蔗糖、铝的残留量（干样品，以Al计）、大肠菌群</w:t>
            </w:r>
          </w:p>
        </w:tc>
        <w:tc>
          <w:tcPr>
            <w:tcW w:w="3435" w:type="dxa"/>
            <w:noWrap w:val="0"/>
            <w:vAlign w:val="center"/>
          </w:tcPr>
          <w:p w14:paraId="4CF35FD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铅（以Pb计）、合成着色剂（柠檬 </w:t>
            </w:r>
          </w:p>
          <w:p w14:paraId="20FF6AD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黄、日落黄）</w:t>
            </w:r>
          </w:p>
        </w:tc>
      </w:tr>
      <w:tr w14:paraId="5A5D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2" w:hRule="atLeast"/>
        </w:trPr>
        <w:tc>
          <w:tcPr>
            <w:tcW w:w="720" w:type="dxa"/>
            <w:vMerge w:val="restart"/>
            <w:noWrap w:val="0"/>
            <w:vAlign w:val="center"/>
          </w:tcPr>
          <w:p w14:paraId="0634B1E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26</w:t>
            </w:r>
          </w:p>
        </w:tc>
        <w:tc>
          <w:tcPr>
            <w:tcW w:w="1107" w:type="dxa"/>
            <w:vMerge w:val="restart"/>
            <w:noWrap w:val="0"/>
            <w:vAlign w:val="center"/>
          </w:tcPr>
          <w:p w14:paraId="0B58E5C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蜂产品</w:t>
            </w:r>
          </w:p>
        </w:tc>
        <w:tc>
          <w:tcPr>
            <w:tcW w:w="1256" w:type="dxa"/>
            <w:vMerge w:val="restart"/>
            <w:noWrap w:val="0"/>
            <w:vAlign w:val="center"/>
          </w:tcPr>
          <w:p w14:paraId="2146E74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蜂产品</w:t>
            </w:r>
          </w:p>
        </w:tc>
        <w:tc>
          <w:tcPr>
            <w:tcW w:w="1144" w:type="dxa"/>
            <w:noWrap w:val="0"/>
            <w:vAlign w:val="center"/>
          </w:tcPr>
          <w:p w14:paraId="237F965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蜂蜜</w:t>
            </w:r>
          </w:p>
        </w:tc>
        <w:tc>
          <w:tcPr>
            <w:tcW w:w="1856" w:type="dxa"/>
            <w:noWrap w:val="0"/>
            <w:vAlign w:val="center"/>
          </w:tcPr>
          <w:p w14:paraId="724E58F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蜂蜜</w:t>
            </w:r>
          </w:p>
        </w:tc>
        <w:tc>
          <w:tcPr>
            <w:tcW w:w="1106" w:type="dxa"/>
            <w:noWrap w:val="0"/>
            <w:vAlign w:val="center"/>
          </w:tcPr>
          <w:p w14:paraId="2C3D4AC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高</w:t>
            </w:r>
          </w:p>
        </w:tc>
        <w:tc>
          <w:tcPr>
            <w:tcW w:w="4376" w:type="dxa"/>
            <w:noWrap w:val="0"/>
            <w:vAlign w:val="center"/>
          </w:tcPr>
          <w:p w14:paraId="54CC9C1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果糖和葡萄糖、呋喃西林代谢物、菌落总数、嗜渗酵母计数、蔗糖、呋喃唑酮代谢物、甲硝唑、氟胺氰菊酯</w:t>
            </w:r>
          </w:p>
        </w:tc>
        <w:tc>
          <w:tcPr>
            <w:tcW w:w="3435" w:type="dxa"/>
            <w:noWrap w:val="0"/>
            <w:vAlign w:val="center"/>
          </w:tcPr>
          <w:p w14:paraId="434C814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霉菌计数、氯霉素</w:t>
            </w:r>
          </w:p>
        </w:tc>
      </w:tr>
      <w:tr w14:paraId="1A32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0" w:hRule="atLeast"/>
        </w:trPr>
        <w:tc>
          <w:tcPr>
            <w:tcW w:w="720" w:type="dxa"/>
            <w:vMerge w:val="continue"/>
            <w:noWrap w:val="0"/>
            <w:vAlign w:val="center"/>
          </w:tcPr>
          <w:p w14:paraId="2BD33CA5">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0ACDC3A">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47CBFAF8">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1D1324B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蜂王浆（含蜂王浆冻干</w:t>
            </w:r>
            <w:r>
              <w:rPr>
                <w:rFonts w:hint="eastAsia" w:ascii="Times New Roman" w:hAnsi="Times New Roman" w:eastAsia="仿宋_GB2312" w:cs="Times New Roman"/>
                <w:color w:val="auto"/>
                <w:kern w:val="0"/>
                <w:szCs w:val="21"/>
                <w:highlight w:val="none"/>
                <w:lang w:eastAsia="zh-CN"/>
              </w:rPr>
              <w:t>品</w:t>
            </w:r>
            <w:r>
              <w:rPr>
                <w:rFonts w:hint="default" w:ascii="Times New Roman" w:hAnsi="Times New Roman" w:eastAsia="仿宋_GB2312" w:cs="Times New Roman"/>
                <w:color w:val="auto"/>
                <w:kern w:val="0"/>
                <w:szCs w:val="21"/>
                <w:highlight w:val="none"/>
              </w:rPr>
              <w:t>）</w:t>
            </w:r>
          </w:p>
        </w:tc>
        <w:tc>
          <w:tcPr>
            <w:tcW w:w="1856" w:type="dxa"/>
            <w:noWrap w:val="0"/>
            <w:vAlign w:val="center"/>
          </w:tcPr>
          <w:p w14:paraId="546C346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蜂王浆（含蜂王浆冻干</w:t>
            </w:r>
            <w:r>
              <w:rPr>
                <w:rFonts w:hint="eastAsia" w:ascii="Times New Roman" w:hAnsi="Times New Roman" w:eastAsia="仿宋_GB2312" w:cs="Times New Roman"/>
                <w:color w:val="auto"/>
                <w:kern w:val="0"/>
                <w:szCs w:val="21"/>
                <w:highlight w:val="none"/>
                <w:lang w:eastAsia="zh-CN"/>
              </w:rPr>
              <w:t>品</w:t>
            </w:r>
            <w:r>
              <w:rPr>
                <w:rFonts w:hint="default" w:ascii="Times New Roman" w:hAnsi="Times New Roman" w:eastAsia="仿宋_GB2312" w:cs="Times New Roman"/>
                <w:color w:val="auto"/>
                <w:kern w:val="0"/>
                <w:szCs w:val="21"/>
                <w:highlight w:val="none"/>
              </w:rPr>
              <w:t>）</w:t>
            </w:r>
          </w:p>
        </w:tc>
        <w:tc>
          <w:tcPr>
            <w:tcW w:w="1106" w:type="dxa"/>
            <w:noWrap w:val="0"/>
            <w:vAlign w:val="center"/>
          </w:tcPr>
          <w:p w14:paraId="0B818D5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1CD880E1">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10-羟基-2-癸烯酸、酸度</w:t>
            </w:r>
            <w:r>
              <w:rPr>
                <w:rFonts w:hint="eastAsia" w:ascii="Times New Roman" w:hAnsi="Times New Roman" w:eastAsia="仿宋_GB2312" w:cs="Times New Roman"/>
                <w:color w:val="auto"/>
                <w:kern w:val="0"/>
                <w:szCs w:val="21"/>
                <w:highlight w:val="none"/>
                <w:lang w:val="en-US" w:eastAsia="zh-CN"/>
              </w:rPr>
              <w:t>、蛋白质、呋喃西林代谢物</w:t>
            </w:r>
          </w:p>
        </w:tc>
        <w:tc>
          <w:tcPr>
            <w:tcW w:w="3435" w:type="dxa"/>
            <w:noWrap w:val="0"/>
            <w:vAlign w:val="center"/>
          </w:tcPr>
          <w:p w14:paraId="4C35E8A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3144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720" w:type="dxa"/>
            <w:vMerge w:val="continue"/>
            <w:noWrap w:val="0"/>
            <w:vAlign w:val="center"/>
          </w:tcPr>
          <w:p w14:paraId="3B1EC0DC">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FC063E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5071E69">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43A1C4D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蜂花粉</w:t>
            </w:r>
          </w:p>
        </w:tc>
        <w:tc>
          <w:tcPr>
            <w:tcW w:w="1856" w:type="dxa"/>
            <w:noWrap w:val="0"/>
            <w:vAlign w:val="center"/>
          </w:tcPr>
          <w:p w14:paraId="258A964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蜂花粉</w:t>
            </w:r>
          </w:p>
        </w:tc>
        <w:tc>
          <w:tcPr>
            <w:tcW w:w="1106" w:type="dxa"/>
            <w:noWrap w:val="0"/>
            <w:vAlign w:val="center"/>
          </w:tcPr>
          <w:p w14:paraId="2E2D44B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CFB1F6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菌落总数、大肠菌群、霉菌</w:t>
            </w:r>
            <w:r>
              <w:rPr>
                <w:rFonts w:hint="eastAsia" w:ascii="Times New Roman" w:hAnsi="Times New Roman" w:eastAsia="仿宋_GB2312" w:cs="Times New Roman"/>
                <w:color w:val="auto"/>
                <w:kern w:val="0"/>
                <w:szCs w:val="21"/>
                <w:highlight w:val="none"/>
                <w:lang w:val="en-US" w:eastAsia="zh-CN"/>
              </w:rPr>
              <w:t>、铅（以Pb计）</w:t>
            </w:r>
          </w:p>
        </w:tc>
        <w:tc>
          <w:tcPr>
            <w:tcW w:w="3435" w:type="dxa"/>
            <w:noWrap w:val="0"/>
            <w:vAlign w:val="center"/>
          </w:tcPr>
          <w:p w14:paraId="26901F8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F89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trPr>
        <w:tc>
          <w:tcPr>
            <w:tcW w:w="720" w:type="dxa"/>
            <w:vMerge w:val="continue"/>
            <w:noWrap w:val="0"/>
            <w:vAlign w:val="center"/>
          </w:tcPr>
          <w:p w14:paraId="09B94A3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1B41B1AF">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CA04FE4">
            <w:pPr>
              <w:widowControl/>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5BAD462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蜂产品制品</w:t>
            </w:r>
          </w:p>
        </w:tc>
        <w:tc>
          <w:tcPr>
            <w:tcW w:w="1856" w:type="dxa"/>
            <w:noWrap w:val="0"/>
            <w:vAlign w:val="center"/>
          </w:tcPr>
          <w:p w14:paraId="533E39A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蜂产品制品</w:t>
            </w:r>
          </w:p>
        </w:tc>
        <w:tc>
          <w:tcPr>
            <w:tcW w:w="1106" w:type="dxa"/>
            <w:noWrap w:val="0"/>
            <w:vAlign w:val="center"/>
          </w:tcPr>
          <w:p w14:paraId="2340F09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6" w:type="dxa"/>
            <w:noWrap w:val="0"/>
            <w:vAlign w:val="center"/>
          </w:tcPr>
          <w:p w14:paraId="70132E5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山梨酸及其钾盐（以山梨酸计）、</w:t>
            </w:r>
            <w:r>
              <w:rPr>
                <w:rFonts w:hint="eastAsia" w:ascii="Times New Roman" w:hAnsi="Times New Roman" w:eastAsia="仿宋_GB2312" w:cs="Times New Roman"/>
                <w:color w:val="auto"/>
                <w:kern w:val="0"/>
                <w:szCs w:val="21"/>
                <w:highlight w:val="none"/>
                <w:lang w:val="en-US" w:eastAsia="zh-CN"/>
              </w:rPr>
              <w:t>合成着色剂（柠檬黄、日落黄）、菌落总数</w:t>
            </w:r>
          </w:p>
        </w:tc>
        <w:tc>
          <w:tcPr>
            <w:tcW w:w="3435" w:type="dxa"/>
            <w:noWrap w:val="0"/>
            <w:vAlign w:val="center"/>
          </w:tcPr>
          <w:p w14:paraId="28663AB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EA7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9" w:hRule="atLeast"/>
        </w:trPr>
        <w:tc>
          <w:tcPr>
            <w:tcW w:w="720" w:type="dxa"/>
            <w:noWrap w:val="0"/>
            <w:vAlign w:val="center"/>
          </w:tcPr>
          <w:p w14:paraId="48C1FD1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27</w:t>
            </w:r>
          </w:p>
        </w:tc>
        <w:tc>
          <w:tcPr>
            <w:tcW w:w="1107" w:type="dxa"/>
            <w:noWrap w:val="0"/>
            <w:vAlign w:val="center"/>
          </w:tcPr>
          <w:p w14:paraId="6E7D3D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保健食品</w:t>
            </w:r>
          </w:p>
        </w:tc>
        <w:tc>
          <w:tcPr>
            <w:tcW w:w="1256" w:type="dxa"/>
            <w:noWrap w:val="0"/>
            <w:vAlign w:val="center"/>
          </w:tcPr>
          <w:p w14:paraId="275CEB3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保健食品</w:t>
            </w:r>
          </w:p>
        </w:tc>
        <w:tc>
          <w:tcPr>
            <w:tcW w:w="1144" w:type="dxa"/>
            <w:noWrap w:val="0"/>
            <w:vAlign w:val="center"/>
          </w:tcPr>
          <w:p w14:paraId="1CFF25A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保健食品</w:t>
            </w:r>
          </w:p>
        </w:tc>
        <w:tc>
          <w:tcPr>
            <w:tcW w:w="1856" w:type="dxa"/>
            <w:noWrap w:val="0"/>
            <w:vAlign w:val="center"/>
          </w:tcPr>
          <w:p w14:paraId="095DE64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保健食品</w:t>
            </w:r>
          </w:p>
        </w:tc>
        <w:tc>
          <w:tcPr>
            <w:tcW w:w="1106" w:type="dxa"/>
            <w:noWrap w:val="0"/>
            <w:vAlign w:val="center"/>
          </w:tcPr>
          <w:p w14:paraId="4E2DD57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6" w:type="dxa"/>
            <w:noWrap w:val="0"/>
            <w:vAlign w:val="center"/>
          </w:tcPr>
          <w:p w14:paraId="744FF73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氨基酸、10-羟基-2-癸烯酸、蛋白质、二十二碳六烯酸、二十碳五烯酸、泛酸、钙、还原糖、肌醇、赖氨酸、绿原酸、铁、维生素 A、维生素B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 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、维生素C、维生素D、维生素D</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维生素E、硒、锌、烟酰胺、叶酸、免疫球蛋白IgG、总黄酮、总皂苷、总蒽醒、吡啶甲酸铬、芦荟苷、总三萜、嗜酸乳杆菌、双歧杆菌、水分、可溶性固形物、酸价、过氧化值、崩解时限、灰分、铅（Pb）、总砷（As）、总汞（Hg）、硬胶囊壳中的铬、菌落总数、大肠菌群、霉菌和酵母、金黄色葡萄球菌、沙门氏菌、褪黑素、甘草酸、咖啡因、淫羊藿苷、葛根素、辅酶Q</w:t>
            </w:r>
            <w:r>
              <w:rPr>
                <w:rFonts w:hint="default" w:ascii="Times New Roman" w:hAnsi="Times New Roman" w:eastAsia="仿宋_GB2312" w:cs="Times New Roman"/>
                <w:color w:val="auto"/>
                <w:kern w:val="0"/>
                <w:szCs w:val="21"/>
                <w:highlight w:val="none"/>
                <w:vertAlign w:val="subscript"/>
                <w:lang w:val="en-US" w:eastAsia="zh-CN"/>
              </w:rPr>
              <w:t>10</w:t>
            </w:r>
            <w:r>
              <w:rPr>
                <w:rFonts w:hint="default" w:ascii="Times New Roman" w:hAnsi="Times New Roman" w:eastAsia="仿宋_GB2312" w:cs="Times New Roman"/>
                <w:color w:val="auto"/>
                <w:kern w:val="0"/>
                <w:szCs w:val="21"/>
                <w:highlight w:val="none"/>
                <w:lang w:val="en-US" w:eastAsia="zh-CN"/>
              </w:rPr>
              <w:t>、番茄红素、那红地那非、红地那非、伐地那非、羟基豪莫西地那非、西地那非、豪莫西地那非、氨基他达拉非、他达拉非、硫代艾地那非、伪伐地那非、那莫西地那非、去甲基他达拉非、育亨宾、西布曲明、N</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单去甲基西布曲明、N</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N-双去甲基西布曲明</w:t>
            </w:r>
          </w:p>
        </w:tc>
        <w:tc>
          <w:tcPr>
            <w:tcW w:w="3435" w:type="dxa"/>
            <w:noWrap w:val="0"/>
            <w:vAlign w:val="center"/>
          </w:tcPr>
          <w:p w14:paraId="662A822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bl>
    <w:p w14:paraId="2A8006EE">
      <w:pPr>
        <w:rPr>
          <w:color w:val="auto"/>
          <w:highlight w:val="none"/>
        </w:rPr>
      </w:pPr>
    </w:p>
    <w:tbl>
      <w:tblPr>
        <w:tblStyle w:val="51"/>
        <w:tblW w:w="15069" w:type="dxa"/>
        <w:tblInd w:w="-4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107"/>
        <w:gridCol w:w="1256"/>
        <w:gridCol w:w="1144"/>
        <w:gridCol w:w="1856"/>
        <w:gridCol w:w="1106"/>
        <w:gridCol w:w="4370"/>
        <w:gridCol w:w="3450"/>
      </w:tblGrid>
      <w:tr w14:paraId="703F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9" w:hRule="atLeast"/>
          <w:tblHeader/>
        </w:trPr>
        <w:tc>
          <w:tcPr>
            <w:tcW w:w="780" w:type="dxa"/>
            <w:noWrap w:val="0"/>
            <w:vAlign w:val="center"/>
          </w:tcPr>
          <w:p w14:paraId="75A283A3">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r>
              <w:rPr>
                <w:rFonts w:hint="default" w:ascii="Times New Roman" w:hAnsi="Times New Roman" w:eastAsia="黑体" w:cs="Times New Roman"/>
                <w:b w:val="0"/>
                <w:bCs/>
                <w:color w:val="auto"/>
                <w:kern w:val="0"/>
                <w:szCs w:val="21"/>
                <w:highlight w:val="none"/>
              </w:rPr>
              <w:t>序号</w:t>
            </w:r>
          </w:p>
        </w:tc>
        <w:tc>
          <w:tcPr>
            <w:tcW w:w="1107" w:type="dxa"/>
            <w:noWrap w:val="0"/>
            <w:vAlign w:val="center"/>
          </w:tcPr>
          <w:p w14:paraId="168FAAE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黑体" w:cs="Times New Roman"/>
                <w:b w:val="0"/>
                <w:bCs/>
                <w:color w:val="auto"/>
                <w:kern w:val="0"/>
                <w:szCs w:val="21"/>
                <w:highlight w:val="none"/>
              </w:rPr>
              <w:t>食品大类（一级）</w:t>
            </w:r>
          </w:p>
        </w:tc>
        <w:tc>
          <w:tcPr>
            <w:tcW w:w="1256" w:type="dxa"/>
            <w:noWrap w:val="0"/>
            <w:vAlign w:val="center"/>
          </w:tcPr>
          <w:p w14:paraId="4108FB5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黑体" w:cs="Times New Roman"/>
                <w:b w:val="0"/>
                <w:bCs/>
                <w:color w:val="auto"/>
                <w:kern w:val="0"/>
                <w:szCs w:val="21"/>
                <w:highlight w:val="none"/>
              </w:rPr>
              <w:t>食品亚类（二级）</w:t>
            </w:r>
          </w:p>
        </w:tc>
        <w:tc>
          <w:tcPr>
            <w:tcW w:w="1144" w:type="dxa"/>
            <w:noWrap w:val="0"/>
            <w:vAlign w:val="center"/>
          </w:tcPr>
          <w:p w14:paraId="3728382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黑体" w:cs="Times New Roman"/>
                <w:b w:val="0"/>
                <w:bCs/>
                <w:color w:val="auto"/>
                <w:kern w:val="0"/>
                <w:szCs w:val="21"/>
                <w:highlight w:val="none"/>
              </w:rPr>
              <w:t>食品品种（三级）</w:t>
            </w:r>
          </w:p>
        </w:tc>
        <w:tc>
          <w:tcPr>
            <w:tcW w:w="1856" w:type="dxa"/>
            <w:noWrap w:val="0"/>
            <w:vAlign w:val="center"/>
          </w:tcPr>
          <w:p w14:paraId="4F140A9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黑体" w:cs="Times New Roman"/>
                <w:b w:val="0"/>
                <w:bCs/>
                <w:color w:val="auto"/>
                <w:kern w:val="0"/>
                <w:szCs w:val="21"/>
                <w:highlight w:val="none"/>
              </w:rPr>
              <w:t>食品细类</w:t>
            </w:r>
            <w:r>
              <w:rPr>
                <w:rFonts w:hint="default" w:ascii="Times New Roman" w:hAnsi="Times New Roman" w:eastAsia="黑体" w:cs="Times New Roman"/>
                <w:b w:val="0"/>
                <w:bCs/>
                <w:color w:val="auto"/>
                <w:kern w:val="0"/>
                <w:szCs w:val="21"/>
                <w:highlight w:val="none"/>
              </w:rPr>
              <w:br w:type="textWrapping"/>
            </w:r>
            <w:r>
              <w:rPr>
                <w:rFonts w:hint="default" w:ascii="Times New Roman" w:hAnsi="Times New Roman" w:eastAsia="黑体" w:cs="Times New Roman"/>
                <w:b w:val="0"/>
                <w:bCs/>
                <w:color w:val="auto"/>
                <w:kern w:val="0"/>
                <w:szCs w:val="21"/>
                <w:highlight w:val="none"/>
              </w:rPr>
              <w:t>（四级）</w:t>
            </w:r>
          </w:p>
        </w:tc>
        <w:tc>
          <w:tcPr>
            <w:tcW w:w="1106" w:type="dxa"/>
            <w:noWrap w:val="0"/>
            <w:vAlign w:val="center"/>
          </w:tcPr>
          <w:p w14:paraId="5C12B4CA">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default" w:ascii="Times New Roman" w:hAnsi="Times New Roman" w:eastAsia="黑体" w:cs="Times New Roman"/>
                <w:b w:val="0"/>
                <w:bCs/>
                <w:color w:val="auto"/>
                <w:kern w:val="0"/>
                <w:szCs w:val="21"/>
                <w:highlight w:val="none"/>
              </w:rPr>
              <w:t>风险等级</w:t>
            </w:r>
          </w:p>
        </w:tc>
        <w:tc>
          <w:tcPr>
            <w:tcW w:w="4370" w:type="dxa"/>
            <w:noWrap w:val="0"/>
            <w:vAlign w:val="center"/>
          </w:tcPr>
          <w:p w14:paraId="75C5518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黑体" w:cs="Times New Roman"/>
                <w:b w:val="0"/>
                <w:bCs/>
                <w:color w:val="auto"/>
                <w:kern w:val="0"/>
                <w:szCs w:val="21"/>
                <w:highlight w:val="none"/>
                <w:lang w:eastAsia="zh-CN"/>
              </w:rPr>
              <w:t>必检</w:t>
            </w:r>
            <w:r>
              <w:rPr>
                <w:rFonts w:hint="default" w:ascii="Times New Roman" w:hAnsi="Times New Roman" w:eastAsia="黑体" w:cs="Times New Roman"/>
                <w:b w:val="0"/>
                <w:bCs/>
                <w:color w:val="auto"/>
                <w:kern w:val="0"/>
                <w:szCs w:val="21"/>
                <w:highlight w:val="none"/>
              </w:rPr>
              <w:t>项目</w:t>
            </w:r>
          </w:p>
        </w:tc>
        <w:tc>
          <w:tcPr>
            <w:tcW w:w="3450" w:type="dxa"/>
            <w:noWrap w:val="0"/>
            <w:vAlign w:val="center"/>
          </w:tcPr>
          <w:p w14:paraId="14778E9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ascii="黑体" w:hAnsi="黑体" w:eastAsia="黑体" w:cs="黑体"/>
                <w:color w:val="auto"/>
                <w:spacing w:val="7"/>
                <w:sz w:val="20"/>
                <w:szCs w:val="20"/>
                <w:highlight w:val="none"/>
              </w:rPr>
              <w:t>延伸项目</w:t>
            </w:r>
          </w:p>
        </w:tc>
      </w:tr>
      <w:tr w14:paraId="4D8E0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63" w:hRule="atLeast"/>
        </w:trPr>
        <w:tc>
          <w:tcPr>
            <w:tcW w:w="780" w:type="dxa"/>
            <w:vMerge w:val="restart"/>
            <w:noWrap w:val="0"/>
            <w:vAlign w:val="center"/>
          </w:tcPr>
          <w:p w14:paraId="0FC8046D">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63C2C637">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0C552A30">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0A4F4E54">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78EBC503">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27F8B4FE">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685F41BC">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201975A5">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74063F2D">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0CEC776F">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r>
              <w:rPr>
                <w:rFonts w:hint="eastAsia" w:ascii="Times New Roman" w:hAnsi="Times New Roman" w:eastAsia="仿宋_GB2312" w:cs="Times New Roman"/>
                <w:b w:val="0"/>
                <w:bCs w:val="0"/>
                <w:color w:val="auto"/>
                <w:kern w:val="0"/>
                <w:szCs w:val="21"/>
                <w:highlight w:val="none"/>
                <w:lang w:val="en-US" w:eastAsia="zh-CN"/>
              </w:rPr>
              <w:t>28</w:t>
            </w:r>
          </w:p>
          <w:p w14:paraId="44CB7D8F">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33DCEAB6">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1055BFF7">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2FCAB32C">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340F7728">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2A765E53">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0F283D21">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3D15FEDF">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3EE3C8DB">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03F4C6B5">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6938BCC0">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71D88C2D">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413FB18A">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280C7F2B">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3F4B9F62">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3E865ECF">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49083DFB">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54E68F01">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51894835">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63ACC60C">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783B05D3">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075DB464">
            <w:pPr>
              <w:widowControl/>
              <w:spacing w:line="300" w:lineRule="exact"/>
              <w:jc w:val="center"/>
              <w:rPr>
                <w:rFonts w:hint="eastAsia" w:ascii="Times New Roman" w:hAnsi="Times New Roman" w:eastAsia="仿宋_GB2312" w:cs="Times New Roman"/>
                <w:b w:val="0"/>
                <w:bCs w:val="0"/>
                <w:color w:val="auto"/>
                <w:kern w:val="0"/>
                <w:szCs w:val="21"/>
                <w:highlight w:val="none"/>
                <w:lang w:val="en-US" w:eastAsia="zh-CN"/>
              </w:rPr>
            </w:pPr>
          </w:p>
          <w:p w14:paraId="4348869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b w:val="0"/>
                <w:bCs w:val="0"/>
                <w:color w:val="auto"/>
                <w:kern w:val="0"/>
                <w:szCs w:val="21"/>
                <w:highlight w:val="none"/>
                <w:lang w:val="en-US" w:eastAsia="zh-CN"/>
              </w:rPr>
              <w:t>28</w:t>
            </w:r>
          </w:p>
        </w:tc>
        <w:tc>
          <w:tcPr>
            <w:tcW w:w="1107" w:type="dxa"/>
            <w:vMerge w:val="restart"/>
            <w:noWrap w:val="0"/>
            <w:vAlign w:val="center"/>
          </w:tcPr>
          <w:p w14:paraId="41AAAAB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3B9825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7B8765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41A5F3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F0E98C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66C3BA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2C5D0E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7E24F8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B55C9A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AFAA30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特殊膳食</w:t>
            </w:r>
          </w:p>
          <w:p w14:paraId="0876A13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食品</w:t>
            </w:r>
          </w:p>
          <w:p w14:paraId="70FBBF5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40070A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49426D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409B79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F79643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7C94DB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6058FB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6C4F4C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559E3B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46B1AC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A0AB46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73C347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0D5A1A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97F858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3F52BF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BB6590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B748EC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36150A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20749A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D7D6CD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088AD3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特殊膳食</w:t>
            </w:r>
          </w:p>
          <w:p w14:paraId="41DCCEF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食品</w:t>
            </w:r>
          </w:p>
        </w:tc>
        <w:tc>
          <w:tcPr>
            <w:tcW w:w="1256" w:type="dxa"/>
            <w:vMerge w:val="restart"/>
            <w:noWrap w:val="0"/>
            <w:vAlign w:val="center"/>
          </w:tcPr>
          <w:p w14:paraId="32B604D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婴幼儿辅</w:t>
            </w:r>
          </w:p>
          <w:p w14:paraId="22FEFC1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助食品</w:t>
            </w:r>
          </w:p>
        </w:tc>
        <w:tc>
          <w:tcPr>
            <w:tcW w:w="1144" w:type="dxa"/>
            <w:noWrap w:val="0"/>
            <w:vAlign w:val="center"/>
          </w:tcPr>
          <w:p w14:paraId="5D80720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婴幼儿谷类辅助食品</w:t>
            </w:r>
          </w:p>
        </w:tc>
        <w:tc>
          <w:tcPr>
            <w:tcW w:w="1856" w:type="dxa"/>
            <w:noWrap w:val="0"/>
            <w:vAlign w:val="center"/>
          </w:tcPr>
          <w:p w14:paraId="0737384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婴幼儿谷物辅助 </w:t>
            </w:r>
          </w:p>
          <w:p w14:paraId="616507EE">
            <w:pPr>
              <w:widowControl/>
              <w:spacing w:line="300" w:lineRule="exact"/>
              <w:jc w:val="both"/>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食品、婴幼儿高 蛋白谷物辅助食 品、婴幼儿生制 类谷物辅助食 品、其他婴幼儿 谷物辅助食品</w:t>
            </w:r>
          </w:p>
        </w:tc>
        <w:tc>
          <w:tcPr>
            <w:tcW w:w="1106" w:type="dxa"/>
            <w:noWrap w:val="0"/>
            <w:vAlign w:val="center"/>
          </w:tcPr>
          <w:p w14:paraId="6136933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3F86C40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能量、蛋白质、脂肪、亚油酸、月桂酸占总脂肪的比值、肉豆蔻酸占总脂肪的比值、维生素A、维生素D、维生素B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、钙、铁、锌、钠、维生素E、维生素B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烟酸/烟酰胺、叶酸、泛酸、维生素C、生物素、磷、碘、钾、镁、水分、不溶性膳食纤维、二十二碳六烯酸、花生四烯酸、脲酶活性定性测定、铅（以Pb计）、无机砷（以As计）、锡（以Sn计）、镉（以Cd计）、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 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计）、菌落总数、大肠菌群、商业无菌、沙门氏菌、金黄色葡萄球菌</w:t>
            </w:r>
          </w:p>
        </w:tc>
        <w:tc>
          <w:tcPr>
            <w:tcW w:w="3450" w:type="dxa"/>
            <w:noWrap w:val="0"/>
            <w:vAlign w:val="center"/>
          </w:tcPr>
          <w:p w14:paraId="6CBC1C4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4ADF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0" w:hRule="atLeast"/>
        </w:trPr>
        <w:tc>
          <w:tcPr>
            <w:tcW w:w="780" w:type="dxa"/>
            <w:vMerge w:val="continue"/>
            <w:noWrap w:val="0"/>
            <w:vAlign w:val="center"/>
          </w:tcPr>
          <w:p w14:paraId="03B4309E">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7AA797B">
            <w:pPr>
              <w:widowControl/>
              <w:spacing w:line="300" w:lineRule="exac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3DEA391">
            <w:pPr>
              <w:widowControl/>
              <w:spacing w:line="300" w:lineRule="exact"/>
              <w:rPr>
                <w:rFonts w:hint="default" w:ascii="Times New Roman" w:hAnsi="Times New Roman" w:eastAsia="仿宋_GB2312" w:cs="Times New Roman"/>
                <w:color w:val="auto"/>
                <w:kern w:val="0"/>
                <w:szCs w:val="21"/>
                <w:highlight w:val="none"/>
              </w:rPr>
            </w:pPr>
          </w:p>
        </w:tc>
        <w:tc>
          <w:tcPr>
            <w:tcW w:w="1144" w:type="dxa"/>
            <w:noWrap w:val="0"/>
            <w:vAlign w:val="center"/>
          </w:tcPr>
          <w:p w14:paraId="4FE6884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婴幼儿罐装辅助食品</w:t>
            </w:r>
          </w:p>
        </w:tc>
        <w:tc>
          <w:tcPr>
            <w:tcW w:w="1856" w:type="dxa"/>
            <w:noWrap w:val="0"/>
            <w:vAlign w:val="center"/>
          </w:tcPr>
          <w:p w14:paraId="672008B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婴幼儿泥（糊） 状罐装辅助食品、婴幼儿颗粒、片（块）状罐装辅助食品、婴幼儿汁类罐装辅助食品</w:t>
            </w:r>
          </w:p>
        </w:tc>
        <w:tc>
          <w:tcPr>
            <w:tcW w:w="1106" w:type="dxa"/>
            <w:noWrap w:val="0"/>
            <w:vAlign w:val="center"/>
          </w:tcPr>
          <w:p w14:paraId="01D85753">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18CDE64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蛋白质、脂肪、总钠/钠、组胺、铅（以Pb计）、 无机砷（以As计）、总汞（以Hg计）、锡（以Sn计）、硝酸盐（以NaNO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计）、商业无菌、霉菌</w:t>
            </w:r>
          </w:p>
        </w:tc>
        <w:tc>
          <w:tcPr>
            <w:tcW w:w="3450" w:type="dxa"/>
            <w:noWrap w:val="0"/>
            <w:vAlign w:val="center"/>
          </w:tcPr>
          <w:p w14:paraId="7F581DD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F1A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9" w:hRule="atLeast"/>
        </w:trPr>
        <w:tc>
          <w:tcPr>
            <w:tcW w:w="780" w:type="dxa"/>
            <w:vMerge w:val="continue"/>
            <w:noWrap w:val="0"/>
            <w:vAlign w:val="center"/>
          </w:tcPr>
          <w:p w14:paraId="7325EE72">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ECA54F3">
            <w:pPr>
              <w:widowControl/>
              <w:spacing w:line="300" w:lineRule="exact"/>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3A086BD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A2EF79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F1EE15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营养补充品</w:t>
            </w:r>
          </w:p>
          <w:p w14:paraId="799A2C5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619124B">
            <w:pPr>
              <w:widowControl/>
              <w:spacing w:line="300" w:lineRule="exact"/>
              <w:jc w:val="both"/>
              <w:rPr>
                <w:rFonts w:hint="default" w:ascii="Times New Roman" w:hAnsi="Times New Roman" w:eastAsia="仿宋_GB2312" w:cs="Times New Roman"/>
                <w:color w:val="auto"/>
                <w:kern w:val="0"/>
                <w:szCs w:val="21"/>
                <w:highlight w:val="none"/>
                <w:lang w:val="en-US" w:eastAsia="zh-CN"/>
              </w:rPr>
            </w:pPr>
          </w:p>
          <w:p w14:paraId="34A3379A">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0CA60F4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营养补充品</w:t>
            </w:r>
          </w:p>
        </w:tc>
        <w:tc>
          <w:tcPr>
            <w:tcW w:w="1856" w:type="dxa"/>
            <w:noWrap w:val="0"/>
            <w:vAlign w:val="center"/>
          </w:tcPr>
          <w:p w14:paraId="778E4F1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辅食营养素补充</w:t>
            </w:r>
          </w:p>
          <w:p w14:paraId="0B2014D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食品、辅食营养 素补充片、辅食 营养素撒剂</w:t>
            </w:r>
          </w:p>
        </w:tc>
        <w:tc>
          <w:tcPr>
            <w:tcW w:w="1106" w:type="dxa"/>
            <w:noWrap w:val="0"/>
            <w:vAlign w:val="center"/>
          </w:tcPr>
          <w:p w14:paraId="1392F38E">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382753D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蛋白质、钙、铁、锌、维生素A、维生素D、 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 K</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、烟酸（烟酰胺）、维生素B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、叶酸、维生素B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、泛酸、胆碱、生物素、维生素C、二十二碳六烯酸、脲酶活性定性、铅（以Pb计）、总砷（以As计）、黄曲霉毒素M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计）、菌落总数、大肠菌群、沙门氏菌、金黄色葡萄球菌</w:t>
            </w:r>
          </w:p>
        </w:tc>
        <w:tc>
          <w:tcPr>
            <w:tcW w:w="3450" w:type="dxa"/>
            <w:noWrap w:val="0"/>
            <w:vAlign w:val="center"/>
          </w:tcPr>
          <w:p w14:paraId="424DC2B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30F6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8" w:hRule="atLeast"/>
        </w:trPr>
        <w:tc>
          <w:tcPr>
            <w:tcW w:w="780" w:type="dxa"/>
            <w:vMerge w:val="continue"/>
            <w:noWrap w:val="0"/>
            <w:vAlign w:val="center"/>
          </w:tcPr>
          <w:p w14:paraId="2E4D938E">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6EB3C5E">
            <w:pPr>
              <w:widowControl/>
              <w:spacing w:line="300" w:lineRule="exac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F4F716E">
            <w:pPr>
              <w:widowControl/>
              <w:spacing w:line="300" w:lineRule="exact"/>
              <w:rPr>
                <w:rFonts w:hint="default" w:ascii="Times New Roman" w:hAnsi="Times New Roman" w:eastAsia="仿宋_GB2312" w:cs="Times New Roman"/>
                <w:color w:val="auto"/>
                <w:kern w:val="0"/>
                <w:szCs w:val="21"/>
                <w:highlight w:val="none"/>
              </w:rPr>
            </w:pPr>
          </w:p>
        </w:tc>
        <w:tc>
          <w:tcPr>
            <w:tcW w:w="1144" w:type="dxa"/>
            <w:noWrap w:val="0"/>
            <w:vAlign w:val="center"/>
          </w:tcPr>
          <w:p w14:paraId="44482031">
            <w:pPr>
              <w:widowControl/>
              <w:spacing w:line="300" w:lineRule="exac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孕妇及乳母营养补充食品</w:t>
            </w:r>
          </w:p>
        </w:tc>
        <w:tc>
          <w:tcPr>
            <w:tcW w:w="1856" w:type="dxa"/>
            <w:noWrap w:val="0"/>
            <w:vAlign w:val="center"/>
          </w:tcPr>
          <w:p w14:paraId="6E0CFE6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孕妇及乳母营养 </w:t>
            </w:r>
          </w:p>
          <w:p w14:paraId="49E5A63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补充食品</w:t>
            </w:r>
          </w:p>
        </w:tc>
        <w:tc>
          <w:tcPr>
            <w:tcW w:w="1106" w:type="dxa"/>
            <w:noWrap w:val="0"/>
            <w:vAlign w:val="center"/>
          </w:tcPr>
          <w:p w14:paraId="4FF145D0">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4065F88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ascii="仿宋_GB2312" w:hAnsi="仿宋_GB2312" w:eastAsia="仿宋_GB2312" w:cs="仿宋_GB2312"/>
                <w:color w:val="auto"/>
                <w:kern w:val="0"/>
                <w:sz w:val="21"/>
                <w:szCs w:val="21"/>
                <w:highlight w:val="none"/>
                <w:lang w:val="en-US" w:eastAsia="zh-CN" w:bidi="ar"/>
              </w:rPr>
              <w:t>铁、维生素</w:t>
            </w:r>
            <w:r>
              <w:rPr>
                <w:rFonts w:ascii="Times_New_Roman" w:hAnsi="Times_New_Roman" w:eastAsia="Times_New_Roman" w:cs="Times_New_Roman"/>
                <w:color w:val="auto"/>
                <w:kern w:val="0"/>
                <w:sz w:val="21"/>
                <w:szCs w:val="21"/>
                <w:highlight w:val="none"/>
                <w:lang w:val="en-US" w:eastAsia="zh-CN" w:bidi="ar"/>
              </w:rPr>
              <w:t>A</w:t>
            </w:r>
            <w:r>
              <w:rPr>
                <w:rFonts w:ascii="仿宋_GB2312" w:hAnsi="仿宋_GB2312" w:eastAsia="仿宋_GB2312" w:cs="仿宋_GB2312"/>
                <w:color w:val="auto"/>
                <w:kern w:val="0"/>
                <w:sz w:val="21"/>
                <w:szCs w:val="21"/>
                <w:highlight w:val="none"/>
                <w:lang w:val="en-US" w:eastAsia="zh-CN" w:bidi="ar"/>
              </w:rPr>
              <w:t>、维生素</w:t>
            </w:r>
            <w:r>
              <w:rPr>
                <w:rFonts w:hint="default" w:ascii="Times_New_Roman" w:hAnsi="Times_New_Roman" w:eastAsia="Times_New_Roman" w:cs="Times_New_Roman"/>
                <w:color w:val="auto"/>
                <w:kern w:val="0"/>
                <w:sz w:val="21"/>
                <w:szCs w:val="21"/>
                <w:highlight w:val="none"/>
                <w:lang w:val="en-US" w:eastAsia="zh-CN" w:bidi="ar"/>
              </w:rPr>
              <w:t>D</w:t>
            </w:r>
            <w:r>
              <w:rPr>
                <w:rFonts w:ascii="仿宋_GB2312" w:hAnsi="仿宋_GB2312" w:eastAsia="仿宋_GB2312" w:cs="仿宋_GB2312"/>
                <w:color w:val="auto"/>
                <w:kern w:val="0"/>
                <w:sz w:val="21"/>
                <w:szCs w:val="21"/>
                <w:highlight w:val="none"/>
                <w:lang w:val="en-US" w:eastAsia="zh-CN" w:bidi="ar"/>
              </w:rPr>
              <w:t xml:space="preserve">、叶酸、维生素 </w:t>
            </w:r>
            <w:r>
              <w:rPr>
                <w:rFonts w:hint="default" w:ascii="Times_New_Roman" w:hAnsi="Times_New_Roman" w:eastAsia="Times_New_Roman" w:cs="Times_New_Roman"/>
                <w:color w:val="auto"/>
                <w:kern w:val="0"/>
                <w:sz w:val="21"/>
                <w:szCs w:val="21"/>
                <w:highlight w:val="none"/>
                <w:lang w:val="en-US" w:eastAsia="zh-CN" w:bidi="ar"/>
              </w:rPr>
              <w:t>B</w:t>
            </w:r>
            <w:r>
              <w:rPr>
                <w:rFonts w:hint="default" w:ascii="Times_New_Roman" w:hAnsi="Times_New_Roman" w:eastAsia="Times_New_Roman" w:cs="Times_New_Roman"/>
                <w:color w:val="auto"/>
                <w:kern w:val="0"/>
                <w:sz w:val="21"/>
                <w:szCs w:val="21"/>
                <w:highlight w:val="none"/>
                <w:vertAlign w:val="subscript"/>
                <w:lang w:val="en-US" w:eastAsia="zh-CN" w:bidi="ar"/>
              </w:rPr>
              <w:t>12</w:t>
            </w:r>
            <w:r>
              <w:rPr>
                <w:rFonts w:ascii="仿宋_GB2312" w:hAnsi="仿宋_GB2312" w:eastAsia="仿宋_GB2312" w:cs="仿宋_GB2312"/>
                <w:color w:val="auto"/>
                <w:kern w:val="0"/>
                <w:sz w:val="21"/>
                <w:szCs w:val="21"/>
                <w:highlight w:val="none"/>
                <w:lang w:val="en-US" w:eastAsia="zh-CN" w:bidi="ar"/>
              </w:rPr>
              <w:t>、钙、镁、锌、硒、维生素</w:t>
            </w:r>
            <w:r>
              <w:rPr>
                <w:rFonts w:hint="default" w:ascii="Times_New_Roman" w:hAnsi="Times_New_Roman" w:eastAsia="Times_New_Roman" w:cs="Times_New_Roman"/>
                <w:color w:val="auto"/>
                <w:kern w:val="0"/>
                <w:sz w:val="21"/>
                <w:szCs w:val="21"/>
                <w:highlight w:val="none"/>
                <w:lang w:val="en-US" w:eastAsia="zh-CN" w:bidi="ar"/>
              </w:rPr>
              <w:t>E</w:t>
            </w:r>
            <w:r>
              <w:rPr>
                <w:rFonts w:ascii="仿宋_GB2312" w:hAnsi="仿宋_GB2312" w:eastAsia="仿宋_GB2312" w:cs="仿宋_GB2312"/>
                <w:color w:val="auto"/>
                <w:kern w:val="0"/>
                <w:sz w:val="21"/>
                <w:szCs w:val="21"/>
                <w:highlight w:val="none"/>
                <w:lang w:val="en-US" w:eastAsia="zh-CN" w:bidi="ar"/>
              </w:rPr>
              <w:t>、维生素</w:t>
            </w:r>
            <w:r>
              <w:rPr>
                <w:rFonts w:hint="default" w:ascii="Times_New_Roman" w:hAnsi="Times_New_Roman" w:eastAsia="Times_New_Roman" w:cs="Times_New_Roman"/>
                <w:color w:val="auto"/>
                <w:kern w:val="0"/>
                <w:sz w:val="21"/>
                <w:szCs w:val="21"/>
                <w:highlight w:val="none"/>
                <w:lang w:val="en-US" w:eastAsia="zh-CN" w:bidi="ar"/>
              </w:rPr>
              <w:t>K</w:t>
            </w:r>
            <w:r>
              <w:rPr>
                <w:rFonts w:ascii="仿宋_GB2312" w:hAnsi="仿宋_GB2312" w:eastAsia="仿宋_GB2312" w:cs="仿宋_GB2312"/>
                <w:color w:val="auto"/>
                <w:kern w:val="0"/>
                <w:sz w:val="21"/>
                <w:szCs w:val="21"/>
                <w:highlight w:val="none"/>
                <w:lang w:val="en-US" w:eastAsia="zh-CN" w:bidi="ar"/>
              </w:rPr>
              <w:t>、维生素</w:t>
            </w:r>
            <w:r>
              <w:rPr>
                <w:rFonts w:hint="default" w:ascii="Times_New_Roman" w:hAnsi="Times_New_Roman" w:eastAsia="Times_New_Roman" w:cs="Times_New_Roman"/>
                <w:color w:val="auto"/>
                <w:kern w:val="0"/>
                <w:sz w:val="21"/>
                <w:szCs w:val="21"/>
                <w:highlight w:val="none"/>
                <w:lang w:val="en-US" w:eastAsia="zh-CN" w:bidi="ar"/>
              </w:rPr>
              <w:t>B</w:t>
            </w:r>
            <w:r>
              <w:rPr>
                <w:rFonts w:hint="default" w:ascii="Times_New_Roman" w:hAnsi="Times_New_Roman" w:eastAsia="Times_New_Roman" w:cs="Times_New_Roman"/>
                <w:color w:val="auto"/>
                <w:kern w:val="0"/>
                <w:sz w:val="21"/>
                <w:szCs w:val="21"/>
                <w:highlight w:val="none"/>
                <w:vertAlign w:val="subscript"/>
                <w:lang w:val="en-US" w:eastAsia="zh-CN" w:bidi="ar"/>
              </w:rPr>
              <w:t>1</w:t>
            </w:r>
            <w:r>
              <w:rPr>
                <w:rFonts w:ascii="仿宋_GB2312" w:hAnsi="仿宋_GB2312" w:eastAsia="仿宋_GB2312" w:cs="仿宋_GB2312"/>
                <w:color w:val="auto"/>
                <w:kern w:val="0"/>
                <w:sz w:val="21"/>
                <w:szCs w:val="21"/>
                <w:highlight w:val="none"/>
                <w:lang w:val="en-US" w:eastAsia="zh-CN" w:bidi="ar"/>
              </w:rPr>
              <w:t xml:space="preserve">、维生素 </w:t>
            </w:r>
            <w:r>
              <w:rPr>
                <w:rFonts w:hint="default" w:ascii="Times_New_Roman" w:hAnsi="Times_New_Roman" w:eastAsia="Times_New_Roman" w:cs="Times_New_Roman"/>
                <w:color w:val="auto"/>
                <w:kern w:val="0"/>
                <w:sz w:val="21"/>
                <w:szCs w:val="21"/>
                <w:highlight w:val="none"/>
                <w:lang w:val="en-US" w:eastAsia="zh-CN" w:bidi="ar"/>
              </w:rPr>
              <w:t>B</w:t>
            </w:r>
            <w:r>
              <w:rPr>
                <w:rFonts w:hint="default" w:ascii="Times_New_Roman" w:hAnsi="Times_New_Roman" w:eastAsia="Times_New_Roman" w:cs="Times_New_Roman"/>
                <w:color w:val="auto"/>
                <w:kern w:val="0"/>
                <w:sz w:val="21"/>
                <w:szCs w:val="21"/>
                <w:highlight w:val="none"/>
                <w:vertAlign w:val="subscript"/>
                <w:lang w:val="en-US" w:eastAsia="zh-CN" w:bidi="ar"/>
              </w:rPr>
              <w:t>2</w:t>
            </w:r>
            <w:r>
              <w:rPr>
                <w:rFonts w:ascii="仿宋_GB2312" w:hAnsi="仿宋_GB2312" w:eastAsia="仿宋_GB2312" w:cs="仿宋_GB2312"/>
                <w:color w:val="auto"/>
                <w:kern w:val="0"/>
                <w:sz w:val="21"/>
                <w:szCs w:val="21"/>
                <w:highlight w:val="none"/>
                <w:lang w:val="en-US" w:eastAsia="zh-CN" w:bidi="ar"/>
              </w:rPr>
              <w:t xml:space="preserve">、维生素 </w:t>
            </w:r>
            <w:r>
              <w:rPr>
                <w:rFonts w:hint="default" w:ascii="Times_New_Roman" w:hAnsi="Times_New_Roman" w:eastAsia="Times_New_Roman" w:cs="Times_New_Roman"/>
                <w:color w:val="auto"/>
                <w:kern w:val="0"/>
                <w:sz w:val="21"/>
                <w:szCs w:val="21"/>
                <w:highlight w:val="none"/>
                <w:lang w:val="en-US" w:eastAsia="zh-CN" w:bidi="ar"/>
              </w:rPr>
              <w:t>B</w:t>
            </w:r>
            <w:r>
              <w:rPr>
                <w:rFonts w:hint="default" w:ascii="Times_New_Roman" w:hAnsi="Times_New_Roman" w:eastAsia="Times_New_Roman" w:cs="Times_New_Roman"/>
                <w:color w:val="auto"/>
                <w:kern w:val="0"/>
                <w:sz w:val="21"/>
                <w:szCs w:val="21"/>
                <w:highlight w:val="none"/>
                <w:vertAlign w:val="subscript"/>
                <w:lang w:val="en-US" w:eastAsia="zh-CN" w:bidi="ar"/>
              </w:rPr>
              <w:t>6</w:t>
            </w:r>
            <w:r>
              <w:rPr>
                <w:rFonts w:ascii="仿宋_GB2312" w:hAnsi="仿宋_GB2312" w:eastAsia="仿宋_GB2312" w:cs="仿宋_GB2312"/>
                <w:color w:val="auto"/>
                <w:kern w:val="0"/>
                <w:sz w:val="21"/>
                <w:szCs w:val="21"/>
                <w:highlight w:val="none"/>
                <w:lang w:val="en-US" w:eastAsia="zh-CN" w:bidi="ar"/>
              </w:rPr>
              <w:t xml:space="preserve">、烟酸（烟酰胺）、泛酸、胆碱、生物素、维生素 </w:t>
            </w:r>
            <w:r>
              <w:rPr>
                <w:rFonts w:hint="default" w:ascii="Times_New_Roman" w:hAnsi="Times_New_Roman" w:eastAsia="Times_New_Roman" w:cs="Times_New_Roman"/>
                <w:color w:val="auto"/>
                <w:kern w:val="0"/>
                <w:sz w:val="21"/>
                <w:szCs w:val="21"/>
                <w:highlight w:val="none"/>
                <w:lang w:val="en-US" w:eastAsia="zh-CN" w:bidi="ar"/>
              </w:rPr>
              <w:t>C</w:t>
            </w:r>
            <w:r>
              <w:rPr>
                <w:rFonts w:ascii="仿宋_GB2312" w:hAnsi="仿宋_GB2312" w:eastAsia="仿宋_GB2312" w:cs="仿宋_GB2312"/>
                <w:color w:val="auto"/>
                <w:kern w:val="0"/>
                <w:sz w:val="21"/>
                <w:szCs w:val="21"/>
                <w:highlight w:val="none"/>
                <w:lang w:val="en-US" w:eastAsia="zh-CN" w:bidi="ar"/>
              </w:rPr>
              <w:t>、二十二碳六烯酸、脲酶活性定性、铅（以</w:t>
            </w:r>
            <w:r>
              <w:rPr>
                <w:rFonts w:hint="default" w:ascii="Times_New_Roman" w:hAnsi="Times_New_Roman" w:eastAsia="Times_New_Roman" w:cs="Times_New_Roman"/>
                <w:color w:val="auto"/>
                <w:kern w:val="0"/>
                <w:sz w:val="21"/>
                <w:szCs w:val="21"/>
                <w:highlight w:val="none"/>
                <w:lang w:val="en-US" w:eastAsia="zh-CN" w:bidi="ar"/>
              </w:rPr>
              <w:t xml:space="preserve">Pb </w:t>
            </w:r>
            <w:r>
              <w:rPr>
                <w:rFonts w:ascii="仿宋_GB2312" w:hAnsi="仿宋_GB2312" w:eastAsia="仿宋_GB2312" w:cs="仿宋_GB2312"/>
                <w:color w:val="auto"/>
                <w:kern w:val="0"/>
                <w:sz w:val="21"/>
                <w:szCs w:val="21"/>
                <w:highlight w:val="none"/>
                <w:lang w:val="en-US" w:eastAsia="zh-CN" w:bidi="ar"/>
              </w:rPr>
              <w:t>计）、总砷（以</w:t>
            </w:r>
            <w:r>
              <w:rPr>
                <w:rFonts w:hint="default" w:ascii="Times_New_Roman" w:hAnsi="Times_New_Roman" w:eastAsia="Times_New_Roman" w:cs="Times_New_Roman"/>
                <w:color w:val="auto"/>
                <w:kern w:val="0"/>
                <w:sz w:val="21"/>
                <w:szCs w:val="21"/>
                <w:highlight w:val="none"/>
                <w:lang w:val="en-US" w:eastAsia="zh-CN" w:bidi="ar"/>
              </w:rPr>
              <w:t xml:space="preserve">As </w:t>
            </w:r>
            <w:r>
              <w:rPr>
                <w:rFonts w:ascii="仿宋_GB2312" w:hAnsi="仿宋_GB2312" w:eastAsia="仿宋_GB2312" w:cs="仿宋_GB2312"/>
                <w:color w:val="auto"/>
                <w:kern w:val="0"/>
                <w:sz w:val="21"/>
                <w:szCs w:val="21"/>
                <w:highlight w:val="none"/>
                <w:lang w:val="en-US" w:eastAsia="zh-CN" w:bidi="ar"/>
              </w:rPr>
              <w:t>计）、硝酸盐（以</w:t>
            </w:r>
            <w:r>
              <w:rPr>
                <w:rFonts w:hint="default" w:ascii="Times_New_Roman" w:hAnsi="Times_New_Roman" w:eastAsia="Times_New_Roman" w:cs="Times_New_Roman"/>
                <w:color w:val="auto"/>
                <w:kern w:val="0"/>
                <w:sz w:val="21"/>
                <w:szCs w:val="21"/>
                <w:highlight w:val="none"/>
                <w:lang w:val="en-US" w:eastAsia="zh-CN" w:bidi="ar"/>
              </w:rPr>
              <w:t>NaNO</w:t>
            </w:r>
            <w:r>
              <w:rPr>
                <w:rFonts w:hint="default" w:ascii="Times_New_Roman" w:hAnsi="Times_New_Roman" w:eastAsia="Times_New_Roman" w:cs="Times_New_Roman"/>
                <w:color w:val="auto"/>
                <w:kern w:val="0"/>
                <w:sz w:val="21"/>
                <w:szCs w:val="21"/>
                <w:highlight w:val="none"/>
                <w:vertAlign w:val="subscript"/>
                <w:lang w:val="en-US" w:eastAsia="zh-CN" w:bidi="ar"/>
              </w:rPr>
              <w:t>3</w:t>
            </w:r>
            <w:r>
              <w:rPr>
                <w:rFonts w:ascii="仿宋_GB2312" w:hAnsi="仿宋_GB2312" w:eastAsia="仿宋_GB2312" w:cs="仿宋_GB2312"/>
                <w:color w:val="auto"/>
                <w:kern w:val="0"/>
                <w:sz w:val="21"/>
                <w:szCs w:val="21"/>
                <w:highlight w:val="none"/>
                <w:lang w:val="en-US" w:eastAsia="zh-CN" w:bidi="ar"/>
              </w:rPr>
              <w:t xml:space="preserve">计）、亚硝酸盐（以 </w:t>
            </w:r>
            <w:r>
              <w:rPr>
                <w:rFonts w:hint="default" w:ascii="Times_New_Roman" w:hAnsi="Times_New_Roman" w:eastAsia="Times_New_Roman" w:cs="Times_New_Roman"/>
                <w:color w:val="auto"/>
                <w:kern w:val="0"/>
                <w:sz w:val="21"/>
                <w:szCs w:val="21"/>
                <w:highlight w:val="none"/>
                <w:lang w:val="en-US" w:eastAsia="zh-CN" w:bidi="ar"/>
              </w:rPr>
              <w:t>NaNO</w:t>
            </w:r>
            <w:r>
              <w:rPr>
                <w:rFonts w:hint="eastAsia" w:ascii="Times_New_Roman" w:hAnsi="Times_New_Roman" w:eastAsia="Times_New_Roman" w:cs="Times_New_Roman"/>
                <w:color w:val="auto"/>
                <w:kern w:val="0"/>
                <w:sz w:val="21"/>
                <w:szCs w:val="21"/>
                <w:highlight w:val="none"/>
                <w:vertAlign w:val="subscript"/>
                <w:lang w:val="en-US" w:eastAsia="zh-CN" w:bidi="ar"/>
              </w:rPr>
              <w:t>2</w:t>
            </w:r>
            <w:r>
              <w:rPr>
                <w:rFonts w:ascii="仿宋_GB2312" w:hAnsi="仿宋_GB2312" w:eastAsia="仿宋_GB2312" w:cs="仿宋_GB2312"/>
                <w:color w:val="auto"/>
                <w:kern w:val="0"/>
                <w:sz w:val="21"/>
                <w:szCs w:val="21"/>
                <w:highlight w:val="none"/>
                <w:lang w:val="en-US" w:eastAsia="zh-CN" w:bidi="ar"/>
              </w:rPr>
              <w:t>计）、黄曲霉毒素</w:t>
            </w:r>
            <w:r>
              <w:rPr>
                <w:rFonts w:hint="default" w:ascii="Times_New_Roman" w:hAnsi="Times_New_Roman" w:eastAsia="Times_New_Roman" w:cs="Times_New_Roman"/>
                <w:color w:val="auto"/>
                <w:kern w:val="0"/>
                <w:sz w:val="21"/>
                <w:szCs w:val="21"/>
                <w:highlight w:val="none"/>
                <w:lang w:val="en-US" w:eastAsia="zh-CN" w:bidi="ar"/>
              </w:rPr>
              <w:t>M</w:t>
            </w:r>
            <w:r>
              <w:rPr>
                <w:rFonts w:hint="default" w:ascii="Times_New_Roman" w:hAnsi="Times_New_Roman" w:eastAsia="Times_New_Roman" w:cs="Times_New_Roman"/>
                <w:color w:val="auto"/>
                <w:kern w:val="0"/>
                <w:sz w:val="21"/>
                <w:szCs w:val="21"/>
                <w:highlight w:val="none"/>
                <w:vertAlign w:val="subscript"/>
                <w:lang w:val="en-US" w:eastAsia="zh-CN" w:bidi="ar"/>
              </w:rPr>
              <w:t>1</w:t>
            </w:r>
            <w:r>
              <w:rPr>
                <w:rFonts w:ascii="仿宋_GB2312" w:hAnsi="仿宋_GB2312" w:eastAsia="仿宋_GB2312" w:cs="仿宋_GB2312"/>
                <w:color w:val="auto"/>
                <w:kern w:val="0"/>
                <w:sz w:val="21"/>
                <w:szCs w:val="21"/>
                <w:highlight w:val="none"/>
                <w:lang w:val="en-US" w:eastAsia="zh-CN" w:bidi="ar"/>
              </w:rPr>
              <w:t>、黄曲霉毒素</w:t>
            </w:r>
            <w:r>
              <w:rPr>
                <w:rFonts w:hint="default" w:ascii="Times_New_Roman" w:hAnsi="Times_New_Roman" w:eastAsia="Times_New_Roman" w:cs="Times_New_Roman"/>
                <w:color w:val="auto"/>
                <w:kern w:val="0"/>
                <w:sz w:val="21"/>
                <w:szCs w:val="21"/>
                <w:highlight w:val="none"/>
                <w:lang w:val="en-US" w:eastAsia="zh-CN" w:bidi="ar"/>
              </w:rPr>
              <w:t>B</w:t>
            </w:r>
            <w:r>
              <w:rPr>
                <w:rFonts w:hint="default" w:ascii="Times_New_Roman" w:hAnsi="Times_New_Roman" w:eastAsia="Times_New_Roman" w:cs="Times_New_Roman"/>
                <w:color w:val="auto"/>
                <w:kern w:val="0"/>
                <w:sz w:val="21"/>
                <w:szCs w:val="21"/>
                <w:highlight w:val="none"/>
                <w:vertAlign w:val="subscript"/>
                <w:lang w:val="en-US" w:eastAsia="zh-CN" w:bidi="ar"/>
              </w:rPr>
              <w:t>1</w:t>
            </w:r>
            <w:r>
              <w:rPr>
                <w:rFonts w:ascii="仿宋_GB2312" w:hAnsi="仿宋_GB2312" w:eastAsia="仿宋_GB2312" w:cs="仿宋_GB2312"/>
                <w:color w:val="auto"/>
                <w:kern w:val="0"/>
                <w:sz w:val="21"/>
                <w:szCs w:val="21"/>
                <w:highlight w:val="none"/>
                <w:lang w:val="en-US" w:eastAsia="zh-CN" w:bidi="ar"/>
              </w:rPr>
              <w:t>、大肠菌群、沙门氏菌、金黄色葡萄球菌</w:t>
            </w:r>
          </w:p>
        </w:tc>
        <w:tc>
          <w:tcPr>
            <w:tcW w:w="3450" w:type="dxa"/>
            <w:noWrap w:val="0"/>
            <w:vAlign w:val="center"/>
          </w:tcPr>
          <w:p w14:paraId="5CE9A7A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6BF2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3" w:hRule="atLeast"/>
        </w:trPr>
        <w:tc>
          <w:tcPr>
            <w:tcW w:w="780" w:type="dxa"/>
            <w:vMerge w:val="continue"/>
            <w:noWrap w:val="0"/>
            <w:vAlign w:val="center"/>
          </w:tcPr>
          <w:p w14:paraId="270013EA">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635EF0C">
            <w:pPr>
              <w:widowControl/>
              <w:spacing w:line="300" w:lineRule="exac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57A1616">
            <w:pPr>
              <w:widowControl/>
              <w:spacing w:line="300" w:lineRule="exact"/>
              <w:rPr>
                <w:rFonts w:hint="default" w:ascii="Times New Roman" w:hAnsi="Times New Roman" w:eastAsia="仿宋_GB2312" w:cs="Times New Roman"/>
                <w:color w:val="auto"/>
                <w:kern w:val="0"/>
                <w:szCs w:val="21"/>
                <w:highlight w:val="none"/>
              </w:rPr>
            </w:pPr>
          </w:p>
        </w:tc>
        <w:tc>
          <w:tcPr>
            <w:tcW w:w="1144" w:type="dxa"/>
            <w:noWrap w:val="0"/>
            <w:vAlign w:val="center"/>
          </w:tcPr>
          <w:p w14:paraId="0548C13F">
            <w:pPr>
              <w:widowControl/>
              <w:spacing w:line="300" w:lineRule="exac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运动营养食品</w:t>
            </w:r>
          </w:p>
        </w:tc>
        <w:tc>
          <w:tcPr>
            <w:tcW w:w="1856" w:type="dxa"/>
            <w:noWrap w:val="0"/>
            <w:vAlign w:val="center"/>
          </w:tcPr>
          <w:p w14:paraId="7A73540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运动营养食品</w:t>
            </w:r>
          </w:p>
        </w:tc>
        <w:tc>
          <w:tcPr>
            <w:tcW w:w="1106" w:type="dxa"/>
            <w:noWrap w:val="0"/>
            <w:vAlign w:val="center"/>
          </w:tcPr>
          <w:p w14:paraId="684DE477">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191D9F5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咖啡因、肌酸、肽类、维生素A、维生素D、维生素E、维生素B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、维生素C、叶酸、烟酸、生物素、泛酸、钙、钠、钾、镁、铁、锌、硒、铜、碘、锰、磷、钼、铬、左旋肉碱、牛磺酸、铅（以Pb计）、总砷（以As计）、黄曲霉毒素 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 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、沙门氏菌、金黄色葡萄球菌</w:t>
            </w:r>
          </w:p>
        </w:tc>
        <w:tc>
          <w:tcPr>
            <w:tcW w:w="3450" w:type="dxa"/>
            <w:noWrap w:val="0"/>
            <w:vAlign w:val="center"/>
          </w:tcPr>
          <w:p w14:paraId="4A56F04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2FDC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restart"/>
            <w:noWrap w:val="0"/>
            <w:vAlign w:val="center"/>
          </w:tcPr>
          <w:p w14:paraId="5483FD7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A027D7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F8EB2C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0D9EC1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FB117B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6561DB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5273E0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82FA7E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12F5B5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D7BB28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29</w:t>
            </w:r>
          </w:p>
          <w:p w14:paraId="78D0598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CF57D7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A395DB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B47DC2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C1205C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3152F0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A5D315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F37710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410737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605090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DE1042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AC86E9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CD2F0A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2471EF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667D52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0FEA56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892D9E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DAE987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29</w:t>
            </w:r>
          </w:p>
          <w:p w14:paraId="1B9FFAA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A223F2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3EA1C6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FEA929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AAF7BE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2FBE8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8EF3B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0A147D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4F89A4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3883F5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762DEA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C46576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BDFF26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8E348E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FE7311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069A2A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60D551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556924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C27E8D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29</w:t>
            </w:r>
          </w:p>
        </w:tc>
        <w:tc>
          <w:tcPr>
            <w:tcW w:w="1107" w:type="dxa"/>
            <w:vMerge w:val="restart"/>
            <w:noWrap w:val="0"/>
            <w:vAlign w:val="center"/>
          </w:tcPr>
          <w:p w14:paraId="0A3C786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09E0CC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371170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D617D4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AD00EA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1E24F2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D64318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6B5B12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834B25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DBC6BC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特殊医学</w:t>
            </w:r>
          </w:p>
          <w:p w14:paraId="388D74F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用途配方</w:t>
            </w:r>
          </w:p>
          <w:p w14:paraId="7924AE5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食品</w:t>
            </w:r>
          </w:p>
          <w:p w14:paraId="046B562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949672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6C6DC2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0EE27A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AF4C35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050FB5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D89F78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06E3FA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B97A16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A06874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D52574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D7CAB9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869A68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DB7B7A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2EB99C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C6F434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特殊医学</w:t>
            </w:r>
          </w:p>
          <w:p w14:paraId="6AD5C53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用途配方</w:t>
            </w:r>
          </w:p>
          <w:p w14:paraId="5BCF9A6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食品</w:t>
            </w:r>
          </w:p>
          <w:p w14:paraId="5C69021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54D044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42D6EA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4D0944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5924BC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57F75D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A7C609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FF8FFB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8575C6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69FAFA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8D3D27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60016F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A14249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B7A366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0CEA2D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7F248D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714E6C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特殊医学</w:t>
            </w:r>
          </w:p>
          <w:p w14:paraId="1E02AA3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用途配方</w:t>
            </w:r>
          </w:p>
          <w:p w14:paraId="6330690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食品</w:t>
            </w:r>
          </w:p>
        </w:tc>
        <w:tc>
          <w:tcPr>
            <w:tcW w:w="1256" w:type="dxa"/>
            <w:vMerge w:val="restart"/>
            <w:noWrap w:val="0"/>
            <w:vAlign w:val="center"/>
          </w:tcPr>
          <w:p w14:paraId="669FC56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E902DB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888AAA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486EB7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09E06F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B2234D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530427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758AD7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F51675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162B86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特殊医学</w:t>
            </w:r>
          </w:p>
          <w:p w14:paraId="4ABE88B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用途配方</w:t>
            </w:r>
          </w:p>
          <w:p w14:paraId="769062F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食品</w:t>
            </w:r>
          </w:p>
          <w:p w14:paraId="4DF40FB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6236E3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9365B8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7140DC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335BF9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C0F997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931522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D3350E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113516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B726C6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ECF7AE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BBD120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5BED27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D4BE64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C66015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D31107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特殊医学</w:t>
            </w:r>
          </w:p>
          <w:p w14:paraId="4BB79C8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用途配方</w:t>
            </w:r>
          </w:p>
          <w:p w14:paraId="6C74B32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食品</w:t>
            </w:r>
          </w:p>
          <w:p w14:paraId="0D3B6C0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7DF773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BA41F2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E210F6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D312BB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249967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45BDFC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61C71F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76A559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767096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6CD06B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872DBA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6270B6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EBD449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7D7CA2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40EEAD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B32201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特殊医学</w:t>
            </w:r>
          </w:p>
          <w:p w14:paraId="1DD7CFD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用途配方</w:t>
            </w:r>
          </w:p>
          <w:p w14:paraId="795DAE8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食品</w:t>
            </w:r>
          </w:p>
        </w:tc>
        <w:tc>
          <w:tcPr>
            <w:tcW w:w="1144" w:type="dxa"/>
            <w:noWrap w:val="0"/>
            <w:vAlign w:val="center"/>
          </w:tcPr>
          <w:p w14:paraId="78C7E54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189036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特殊医学用途婴儿配方食品</w:t>
            </w:r>
          </w:p>
        </w:tc>
        <w:tc>
          <w:tcPr>
            <w:tcW w:w="1856" w:type="dxa"/>
            <w:noWrap w:val="0"/>
            <w:vAlign w:val="center"/>
          </w:tcPr>
          <w:p w14:paraId="1410660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特殊医学用途婴 </w:t>
            </w:r>
          </w:p>
          <w:p w14:paraId="71C987E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儿配方食品</w:t>
            </w:r>
          </w:p>
        </w:tc>
        <w:tc>
          <w:tcPr>
            <w:tcW w:w="1106" w:type="dxa"/>
            <w:noWrap w:val="0"/>
            <w:vAlign w:val="center"/>
          </w:tcPr>
          <w:p w14:paraId="38CD2F1D">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4DD3B23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蛋白质、脂肪、亚油酸、α-亚麻酸、亚油酸与α-亚麻酸比值、终产品脂肪中月桂酸和肉豆蔻酸（十四烷酸）总量占总脂肪酸的比值、芥酸与总脂肪酸比值、反式脂肪酸与总脂肪酸比值、碳水化合物、维生</w:t>
            </w:r>
            <w:r>
              <w:rPr>
                <w:rFonts w:hint="eastAsia" w:ascii="Times New Roman" w:hAnsi="Times New Roman" w:eastAsia="仿宋_GB2312" w:cs="Times New Roman"/>
                <w:color w:val="auto"/>
                <w:kern w:val="0"/>
                <w:szCs w:val="21"/>
                <w:highlight w:val="none"/>
                <w:lang w:val="en-US" w:eastAsia="zh-CN"/>
              </w:rPr>
              <w:t>素</w:t>
            </w:r>
            <w:r>
              <w:rPr>
                <w:rFonts w:hint="default" w:ascii="Times New Roman" w:hAnsi="Times New Roman" w:eastAsia="仿宋_GB2312" w:cs="Times New Roman"/>
                <w:color w:val="auto"/>
                <w:kern w:val="0"/>
                <w:szCs w:val="21"/>
                <w:highlight w:val="none"/>
                <w:lang w:val="en-US" w:eastAsia="zh-CN"/>
              </w:rPr>
              <w:t>A、维生素D、维生素E、维生素K</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 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烟酸（烟酰胺）、叶酸、泛酸、维生素C、生物素、钠、钾、铜、镁、铁、锌、锰、钙、磷、钙磷比值、碘、氯、硒、铬、钼、胆碱、肌醇、牛磺酸、左旋肉碱、二十二碳六烯酸与总脂肪酸比、二十碳四烯酸与总脂肪酸比、二十二碳六烯酸（22:6 n-3）与二十碳四烯酸（20:4 n-6）的比、长链不饱和脂肪酸中二十碳五烯酸（20:5 n-3）的量与二十二碳六烯酸的量的比、二十二碳六烯酸、二十碳四烯酸、水分、灰分、杂质度、脲酶活性定性测定、核苷酸、叶黄素、铅（以Pb）、锡（以Sn计）、黄曲霉毒素M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 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计）、三聚氰胺、菌落总数、大肠菌群、沙门氏菌、金黄色葡萄球菌、克罗诺杆菌属（阪崎肠杆菌）、商业无菌、果聚糖、乳铁蛋白</w:t>
            </w:r>
          </w:p>
        </w:tc>
        <w:tc>
          <w:tcPr>
            <w:tcW w:w="3450" w:type="dxa"/>
            <w:noWrap w:val="0"/>
            <w:vAlign w:val="center"/>
          </w:tcPr>
          <w:p w14:paraId="207ED63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1766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0" w:hRule="atLeast"/>
        </w:trPr>
        <w:tc>
          <w:tcPr>
            <w:tcW w:w="780" w:type="dxa"/>
            <w:vMerge w:val="continue"/>
            <w:noWrap w:val="0"/>
            <w:vAlign w:val="center"/>
          </w:tcPr>
          <w:p w14:paraId="4E21116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tc>
        <w:tc>
          <w:tcPr>
            <w:tcW w:w="1107" w:type="dxa"/>
            <w:vMerge w:val="continue"/>
            <w:noWrap w:val="0"/>
            <w:vAlign w:val="center"/>
          </w:tcPr>
          <w:p w14:paraId="24DDDDFF">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67BE38F">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21AAF96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全营养配方食品</w:t>
            </w:r>
          </w:p>
        </w:tc>
        <w:tc>
          <w:tcPr>
            <w:tcW w:w="1856" w:type="dxa"/>
            <w:noWrap w:val="0"/>
            <w:vAlign w:val="center"/>
          </w:tcPr>
          <w:p w14:paraId="2690A1B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全营养配方食品</w:t>
            </w:r>
          </w:p>
        </w:tc>
        <w:tc>
          <w:tcPr>
            <w:tcW w:w="1106" w:type="dxa"/>
            <w:noWrap w:val="0"/>
            <w:vAlign w:val="center"/>
          </w:tcPr>
          <w:p w14:paraId="40E555E5">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51C0A9A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蛋白质、亚油酸供能比、α-亚麻酸供能比、维生素A、维生素D、维生素E、维生素K</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烟酸（烟酰胺）、叶酸、泛酸、维生素C、生物素、钠、钾、铜、镁、铁、锌、锰、钙、磷、碘、氯、硒、铬、钼、氟、胆碱、肌醇、牛磺酸、左旋肉碱、二十二碳六烯酸与总脂肪酸比、二十碳四烯酸与总脂肪酸比、二十二碳六烯酸、二十碳四烯酸、核苷酸、铅（以Pb计）、锡（以Sn计）、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计）、三聚氰胺、菌落总数、大肠菌群、沙门氏菌、金黄色葡萄球菌、商业无菌</w:t>
            </w:r>
          </w:p>
        </w:tc>
        <w:tc>
          <w:tcPr>
            <w:tcW w:w="3450" w:type="dxa"/>
            <w:noWrap w:val="0"/>
            <w:vAlign w:val="center"/>
          </w:tcPr>
          <w:p w14:paraId="4532D84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5F9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9" w:hRule="atLeast"/>
        </w:trPr>
        <w:tc>
          <w:tcPr>
            <w:tcW w:w="780" w:type="dxa"/>
            <w:vMerge w:val="continue"/>
            <w:noWrap w:val="0"/>
            <w:vAlign w:val="center"/>
          </w:tcPr>
          <w:p w14:paraId="6753536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tc>
        <w:tc>
          <w:tcPr>
            <w:tcW w:w="1107" w:type="dxa"/>
            <w:vMerge w:val="continue"/>
            <w:noWrap w:val="0"/>
            <w:vAlign w:val="center"/>
          </w:tcPr>
          <w:p w14:paraId="2064B5B7">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7E65313">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14C7244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非全营养配方食品</w:t>
            </w:r>
          </w:p>
        </w:tc>
        <w:tc>
          <w:tcPr>
            <w:tcW w:w="1856" w:type="dxa"/>
            <w:noWrap w:val="0"/>
            <w:vAlign w:val="center"/>
          </w:tcPr>
          <w:p w14:paraId="1BA63C3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非全营养配方食品</w:t>
            </w:r>
          </w:p>
        </w:tc>
        <w:tc>
          <w:tcPr>
            <w:tcW w:w="1106" w:type="dxa"/>
            <w:noWrap w:val="0"/>
            <w:vAlign w:val="center"/>
          </w:tcPr>
          <w:p w14:paraId="031877FC">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4CFC511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铅（以Pb计）、锡（以Sn计）、黄曲霉毒素M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计）、三聚氰胺、菌落总数、大肠菌群、沙门氏菌、金黄色葡萄球菌、商业无菌、企业标准/注册的产品技术要求中规定的质量指标</w:t>
            </w:r>
          </w:p>
        </w:tc>
        <w:tc>
          <w:tcPr>
            <w:tcW w:w="3450" w:type="dxa"/>
            <w:noWrap w:val="0"/>
            <w:vAlign w:val="center"/>
          </w:tcPr>
          <w:p w14:paraId="63359F1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0FF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2" w:hRule="atLeast"/>
        </w:trPr>
        <w:tc>
          <w:tcPr>
            <w:tcW w:w="780" w:type="dxa"/>
            <w:vMerge w:val="continue"/>
            <w:noWrap w:val="0"/>
            <w:vAlign w:val="center"/>
          </w:tcPr>
          <w:p w14:paraId="547B37D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tc>
        <w:tc>
          <w:tcPr>
            <w:tcW w:w="1107" w:type="dxa"/>
            <w:vMerge w:val="continue"/>
            <w:noWrap w:val="0"/>
            <w:vAlign w:val="center"/>
          </w:tcPr>
          <w:p w14:paraId="7ABDD204">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5417EB6">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041FE4A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特定全营养配方食品</w:t>
            </w:r>
          </w:p>
        </w:tc>
        <w:tc>
          <w:tcPr>
            <w:tcW w:w="1856" w:type="dxa"/>
            <w:noWrap w:val="0"/>
            <w:vAlign w:val="center"/>
          </w:tcPr>
          <w:p w14:paraId="54944B7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特定全营养配方食品</w:t>
            </w:r>
          </w:p>
        </w:tc>
        <w:tc>
          <w:tcPr>
            <w:tcW w:w="1106" w:type="dxa"/>
            <w:noWrap w:val="0"/>
            <w:vAlign w:val="center"/>
          </w:tcPr>
          <w:p w14:paraId="5C4AAA7A">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6FF5414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蛋白质、脂肪供能比、n-3 脂肪酸（以EPA 和DHA计）供能比、二十碳五烯酸（EPA）、亚油酸供能比、α-亚麻酸供能比、维生素A、维生素D、维生素E、维生素K</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烟酸（烟酰胺）、叶酸、泛酸、维生素C、生物素、钠、钾、铜、镁、铁、锌、锰、钙、磷、碘、氯、硒、铬、钼、氟、胆碱、肌醇、牛磺酸、左旋肉碱、核苷酸、精氨酸、亮氨酸、铅（以Pb计）、锡（以Sn计）、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计）、三聚氰胺、菌落总数、大肠菌群、沙门氏菌、金黄色葡萄球菌、商业无菌、企业标准/注册的产品技术要求中规定的质量指标</w:t>
            </w:r>
          </w:p>
        </w:tc>
        <w:tc>
          <w:tcPr>
            <w:tcW w:w="3450" w:type="dxa"/>
            <w:noWrap w:val="0"/>
            <w:vAlign w:val="center"/>
          </w:tcPr>
          <w:p w14:paraId="2840913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2B58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restart"/>
            <w:noWrap w:val="0"/>
            <w:vAlign w:val="center"/>
          </w:tcPr>
          <w:p w14:paraId="629AE2D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A1111E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431DB0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D982CB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CC271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D37AB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63FA35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1B6B59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9F4052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6875E3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30</w:t>
            </w:r>
          </w:p>
          <w:p w14:paraId="1A0E9A5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D58B1C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6DFB1F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E0B495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B40ACA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A2BBAA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C1DFF5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0DBECF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D53070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BE6E2D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BAFAED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B27BA0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9E2632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0A8976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072EEB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70DE77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291239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66E0B6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1D9D49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30</w:t>
            </w:r>
          </w:p>
          <w:p w14:paraId="3654A7D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5FC1F0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E3726E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E8077C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6AFD12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1D5EE6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0A2059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88E4B5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DE7645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2C3068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EF25BA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E40831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25CCB9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AA7F78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282226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BFD76D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D37C5C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385E81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30</w:t>
            </w:r>
          </w:p>
        </w:tc>
        <w:tc>
          <w:tcPr>
            <w:tcW w:w="1107" w:type="dxa"/>
            <w:vMerge w:val="restart"/>
            <w:noWrap w:val="0"/>
            <w:vAlign w:val="center"/>
          </w:tcPr>
          <w:p w14:paraId="0850210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9FED16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774B57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D030BB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C5969F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5255F0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3981A4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6116E4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18EFAF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0A8DDD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婴幼儿配</w:t>
            </w:r>
          </w:p>
          <w:p w14:paraId="0D0AF20F">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方食品</w:t>
            </w:r>
          </w:p>
          <w:p w14:paraId="6BC2F6A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8A9C16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E871B3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598E3C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B5AFD5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0613EB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7CBCDF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9D3AC3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680938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50D810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2EF3BD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A5B9A8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BDDA0B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2A0109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977373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6EC63C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815FB9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468738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婴幼儿配</w:t>
            </w:r>
          </w:p>
          <w:p w14:paraId="772821A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方食品</w:t>
            </w:r>
          </w:p>
          <w:p w14:paraId="6312C0B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6DBB7C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2F56D7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B1F23D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B5E817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08C9E4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01C4FB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F725E9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F104A8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CDD72E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E2637E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510F9E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76EDE5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64E94A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E5151A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3526B0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5AFF65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婴幼儿配</w:t>
            </w:r>
          </w:p>
          <w:p w14:paraId="1B969F2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方食品</w:t>
            </w:r>
          </w:p>
        </w:tc>
        <w:tc>
          <w:tcPr>
            <w:tcW w:w="1256" w:type="dxa"/>
            <w:vMerge w:val="restart"/>
            <w:noWrap w:val="0"/>
            <w:vAlign w:val="center"/>
          </w:tcPr>
          <w:p w14:paraId="1CFB3A5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5D588C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60874B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E41AF4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43E67B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B1F451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C24C65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93755C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4FFDFFC">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EE7F96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婴幼儿配</w:t>
            </w:r>
          </w:p>
          <w:p w14:paraId="3174133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方食品</w:t>
            </w:r>
          </w:p>
          <w:p w14:paraId="6044FF4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（湿法工艺、干法工艺、干湿法混合工艺）</w:t>
            </w:r>
          </w:p>
          <w:p w14:paraId="00FB35A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75B3012">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B051584">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CF5499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74C53E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65EB38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3B93AF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2311EB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247BC00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738E0EB">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0054EC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06F81AB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75BD2C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B2DA1C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婴幼儿配 </w:t>
            </w:r>
          </w:p>
          <w:p w14:paraId="3B22AC0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方食品 </w:t>
            </w:r>
          </w:p>
          <w:p w14:paraId="164FEEF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（湿法工 </w:t>
            </w:r>
          </w:p>
          <w:p w14:paraId="0997F08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艺、干法 </w:t>
            </w:r>
          </w:p>
          <w:p w14:paraId="1544FF0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工艺、干 </w:t>
            </w:r>
          </w:p>
          <w:p w14:paraId="44B9A2D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湿法混合 </w:t>
            </w:r>
          </w:p>
          <w:p w14:paraId="1A974E8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工艺</w:t>
            </w:r>
          </w:p>
          <w:p w14:paraId="6583350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2752C0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C4780D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1BF912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733F2C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64319EF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C33C7BA">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4C613C4D">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56E5ECD0">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7C9D008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1CDF6CB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p>
          <w:p w14:paraId="379DD07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婴幼儿配 </w:t>
            </w:r>
          </w:p>
          <w:p w14:paraId="7369452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方食品 </w:t>
            </w:r>
          </w:p>
          <w:p w14:paraId="6B01639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（湿法工 </w:t>
            </w:r>
          </w:p>
          <w:p w14:paraId="08E078A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艺、干法 </w:t>
            </w:r>
          </w:p>
          <w:p w14:paraId="3DCC32B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工艺、干 </w:t>
            </w:r>
          </w:p>
          <w:p w14:paraId="4F22EEA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湿法混合 </w:t>
            </w:r>
          </w:p>
          <w:p w14:paraId="4C4F702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工艺</w:t>
            </w:r>
          </w:p>
        </w:tc>
        <w:tc>
          <w:tcPr>
            <w:tcW w:w="1144" w:type="dxa"/>
            <w:noWrap w:val="0"/>
            <w:vAlign w:val="center"/>
          </w:tcPr>
          <w:p w14:paraId="673BD08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婴儿配方食品</w:t>
            </w:r>
          </w:p>
        </w:tc>
        <w:tc>
          <w:tcPr>
            <w:tcW w:w="1856" w:type="dxa"/>
            <w:noWrap w:val="0"/>
            <w:vAlign w:val="center"/>
          </w:tcPr>
          <w:p w14:paraId="42F305D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乳基婴儿配方食 </w:t>
            </w:r>
          </w:p>
          <w:p w14:paraId="56609E0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品、豆基婴儿配方食品</w:t>
            </w:r>
          </w:p>
        </w:tc>
        <w:tc>
          <w:tcPr>
            <w:tcW w:w="1106" w:type="dxa"/>
            <w:noWrap w:val="0"/>
            <w:vAlign w:val="center"/>
          </w:tcPr>
          <w:p w14:paraId="5B4613C8">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val="en-US" w:eastAsia="zh-CN"/>
              </w:rPr>
              <w:t>高</w:t>
            </w:r>
          </w:p>
        </w:tc>
        <w:tc>
          <w:tcPr>
            <w:tcW w:w="4370" w:type="dxa"/>
            <w:noWrap w:val="0"/>
            <w:vAlign w:val="center"/>
          </w:tcPr>
          <w:p w14:paraId="78DB28F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脂肪、碳水化合物、乳糖占碳水化合物总量、亚油酸、α-亚麻酸、亚油酸与α-亚麻酸比值、终产品脂肪中月桂酸和肉豆蔻酸（十四烷酸）总量占总脂肪酸的比值、芥酸与总脂肪酸比值、反式脂肪酸与总脂肪酸比值、维生素A、维生素D、维生素E、维生素K</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、烟酸（烟酰胺）、叶酸、泛酸、维生素C、生物素、钠、钾、铜、镁、铁、锌、锰、钙、磷、钙磷比值、碘、氯、硒、胆碱、肌醇、牛磺酸、左旋肉碱、二十二碳六烯酸（DHA）、二十二碳六烯酸（22:6 n-3）与总脂肪酸比、二十碳四烯酸（AA/ARA）、二十碳四烯酸与总脂肪酸比、二十二碳六</w:t>
            </w:r>
            <w:r>
              <w:rPr>
                <w:rFonts w:hint="eastAsia" w:ascii="Times New Roman" w:hAnsi="Times New Roman" w:eastAsia="仿宋_GB2312" w:cs="Times New Roman"/>
                <w:color w:val="auto"/>
                <w:kern w:val="0"/>
                <w:szCs w:val="21"/>
                <w:highlight w:val="none"/>
                <w:lang w:val="en-US" w:eastAsia="zh-CN"/>
              </w:rPr>
              <w:t>烯酸</w:t>
            </w:r>
            <w:r>
              <w:rPr>
                <w:rFonts w:hint="default" w:ascii="Times New Roman" w:hAnsi="Times New Roman" w:eastAsia="仿宋_GB2312" w:cs="Times New Roman"/>
                <w:color w:val="auto"/>
                <w:kern w:val="0"/>
                <w:szCs w:val="21"/>
                <w:highlight w:val="none"/>
                <w:lang w:val="en-US" w:eastAsia="zh-CN"/>
              </w:rPr>
              <w:t>（22:6 n-3）与二十碳四烯酸（20:4 n-6）的比、二十碳五烯酸（20:5 n-3）的量与二十二碳六烯酸（22:6 n-3）的量的比、果聚糖、水分、灰分、杂质度、叶黄素、核苷酸、脲酶活性定性测定、铅（以Pb计）、黄曲霉毒素B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或黄曲霉毒素M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 xml:space="preserve"> 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计）、三聚氰胺、香兰素、乙基香兰素、菌落总数、大肠菌群、金黄色葡萄球菌、沙门氏菌、克罗诺杆菌属（阪崎肠杆菌）、锡、果糖、蔗糖、乳铁蛋白</w:t>
            </w:r>
          </w:p>
        </w:tc>
        <w:tc>
          <w:tcPr>
            <w:tcW w:w="3450" w:type="dxa"/>
            <w:noWrap w:val="0"/>
            <w:vAlign w:val="center"/>
          </w:tcPr>
          <w:p w14:paraId="3B234ED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3FEB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513EA0E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tc>
        <w:tc>
          <w:tcPr>
            <w:tcW w:w="1107" w:type="dxa"/>
            <w:vMerge w:val="continue"/>
            <w:noWrap w:val="0"/>
            <w:vAlign w:val="center"/>
          </w:tcPr>
          <w:p w14:paraId="44554C66">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76FA3EE">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6A4DE99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较大婴儿配方食品</w:t>
            </w:r>
          </w:p>
        </w:tc>
        <w:tc>
          <w:tcPr>
            <w:tcW w:w="1856" w:type="dxa"/>
            <w:noWrap w:val="0"/>
            <w:vAlign w:val="center"/>
          </w:tcPr>
          <w:p w14:paraId="21C2AB2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乳基较大婴儿配 </w:t>
            </w:r>
          </w:p>
          <w:p w14:paraId="30D4824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方食品、豆基较 </w:t>
            </w:r>
          </w:p>
          <w:p w14:paraId="70C9396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大婴儿配方食品</w:t>
            </w:r>
          </w:p>
        </w:tc>
        <w:tc>
          <w:tcPr>
            <w:tcW w:w="1106" w:type="dxa"/>
            <w:noWrap w:val="0"/>
            <w:vAlign w:val="center"/>
          </w:tcPr>
          <w:p w14:paraId="3A2C1BB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3C9FCC3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脂肪、亚油酸、α-亚麻酸、亚油酸与α-亚麻酸比值、终产品脂肪中月桂酸和肉豆蔻酸（十四烷酸）总量占总脂肪酸的比值、反式脂肪酸与总脂肪酸比值、芥酸与总脂肪酸比值、碳水化合物、乳糖占碳水化合物总量、维生素A、维生素D、维生素E、维生素K</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、烟酸（烟酰胺）、叶酸、泛酸、维生素C、生物素、钠、钾、铜、镁、铁、锌、钙、磷、钙磷比值、碘、氯、锰、硒、胆碱、肌醇、牛磺酸、左旋肉碱、二十二碳六烯酸（DHA）、二十二碳六烯酸（22:6 n-3）与总脂肪酸比、二十碳四烯酸（AA/ARA）、二十碳四烯酸与总脂肪酸比、二十二碳六烯酸（22:6 n-3）与二十碳四烯酸（20:4 n-6）的比、二十碳五烯酸（20:5 n-3）的量与二十二碳六烯酸（22:6 n-3）的量的比、水分、灰分、杂质度、叶黄素、核苷酸、果聚糖、三聚氰胺、铅（以Pb计）、硝酸盐（以NaNO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计）、脲酶活性定性测定、黄曲霉毒素B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或黄曲霉毒素M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、菌落总数、大肠菌群、沙门氏菌</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金黄色葡萄球菌、锡、果糖、蔗糖、乳铁蛋白</w:t>
            </w:r>
          </w:p>
        </w:tc>
        <w:tc>
          <w:tcPr>
            <w:tcW w:w="3450" w:type="dxa"/>
            <w:noWrap w:val="0"/>
            <w:vAlign w:val="center"/>
          </w:tcPr>
          <w:p w14:paraId="198F54E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5192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3" w:hRule="atLeast"/>
        </w:trPr>
        <w:tc>
          <w:tcPr>
            <w:tcW w:w="780" w:type="dxa"/>
            <w:vMerge w:val="continue"/>
            <w:noWrap w:val="0"/>
            <w:vAlign w:val="center"/>
          </w:tcPr>
          <w:p w14:paraId="54E92EB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tc>
        <w:tc>
          <w:tcPr>
            <w:tcW w:w="1107" w:type="dxa"/>
            <w:vMerge w:val="continue"/>
            <w:noWrap w:val="0"/>
            <w:vAlign w:val="center"/>
          </w:tcPr>
          <w:p w14:paraId="52AE2D36">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3166567">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4A77B41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幼儿配方食品</w:t>
            </w:r>
          </w:p>
        </w:tc>
        <w:tc>
          <w:tcPr>
            <w:tcW w:w="1856" w:type="dxa"/>
            <w:noWrap w:val="0"/>
            <w:vAlign w:val="center"/>
          </w:tcPr>
          <w:p w14:paraId="3B1FE3E7">
            <w:pPr>
              <w:keepNext w:val="0"/>
              <w:keepLines w:val="0"/>
              <w:widowControl/>
              <w:suppressLineNumbers w:val="0"/>
              <w:jc w:val="center"/>
              <w:rPr>
                <w:rFonts w:hint="default" w:ascii="Times New Roman" w:hAnsi="Times New Roman" w:eastAsia="仿宋_GB2312" w:cs="Times New Roman"/>
                <w:color w:val="auto"/>
                <w:kern w:val="0"/>
                <w:szCs w:val="21"/>
                <w:highlight w:val="none"/>
              </w:rPr>
            </w:pPr>
            <w:r>
              <w:rPr>
                <w:rFonts w:ascii="仿宋_GB2312" w:hAnsi="仿宋_GB2312" w:eastAsia="仿宋_GB2312" w:cs="仿宋_GB2312"/>
                <w:color w:val="auto"/>
                <w:kern w:val="0"/>
                <w:sz w:val="20"/>
                <w:szCs w:val="20"/>
                <w:highlight w:val="none"/>
                <w:lang w:val="en-US" w:eastAsia="zh-CN" w:bidi="ar"/>
              </w:rPr>
              <w:t>幼儿配方食品</w:t>
            </w:r>
          </w:p>
        </w:tc>
        <w:tc>
          <w:tcPr>
            <w:tcW w:w="1106" w:type="dxa"/>
            <w:noWrap w:val="0"/>
            <w:vAlign w:val="center"/>
          </w:tcPr>
          <w:p w14:paraId="35BE0166">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高</w:t>
            </w:r>
          </w:p>
        </w:tc>
        <w:tc>
          <w:tcPr>
            <w:tcW w:w="4370" w:type="dxa"/>
            <w:noWrap w:val="0"/>
            <w:vAlign w:val="center"/>
          </w:tcPr>
          <w:p w14:paraId="72C26E4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蛋白质、脂肪、亚油酸、α-亚麻酸、亚油酸与α-亚麻酸比值、乳糖占碳水化合物总量、反式脂肪酸与总脂肪酸比值、碳水化合物、维生素A、维生素D、维生素E、维生素K</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6</w:t>
            </w:r>
            <w:r>
              <w:rPr>
                <w:rFonts w:hint="default" w:ascii="Times New Roman" w:hAnsi="Times New Roman" w:eastAsia="仿宋_GB2312" w:cs="Times New Roman"/>
                <w:color w:val="auto"/>
                <w:kern w:val="0"/>
                <w:szCs w:val="21"/>
                <w:highlight w:val="none"/>
                <w:lang w:val="en-US" w:eastAsia="zh-CN"/>
              </w:rPr>
              <w:t>、维生素B</w:t>
            </w:r>
            <w:r>
              <w:rPr>
                <w:rFonts w:hint="default" w:ascii="Times New Roman" w:hAnsi="Times New Roman" w:eastAsia="仿宋_GB2312" w:cs="Times New Roman"/>
                <w:color w:val="auto"/>
                <w:kern w:val="0"/>
                <w:szCs w:val="21"/>
                <w:highlight w:val="none"/>
                <w:vertAlign w:val="subscript"/>
                <w:lang w:val="en-US" w:eastAsia="zh-CN"/>
              </w:rPr>
              <w:t>12</w:t>
            </w:r>
            <w:r>
              <w:rPr>
                <w:rFonts w:hint="default" w:ascii="Times New Roman" w:hAnsi="Times New Roman" w:eastAsia="仿宋_GB2312" w:cs="Times New Roman"/>
                <w:color w:val="auto"/>
                <w:kern w:val="0"/>
                <w:szCs w:val="21"/>
                <w:highlight w:val="none"/>
                <w:lang w:val="en-US" w:eastAsia="zh-CN"/>
              </w:rPr>
              <w:t>、烟酸（烟酰胺）、叶酸、泛酸、维生素C、生物素、钠、钾、铜、镁、铁、锌、钙、磷、钙磷比值、碘、氯、锰、硒、胆碱、肌醇、牛磺酸、左旋肉碱、二十二碳六烯酸（DHA）、二十二碳六烯酸（22:6 n-3）与总脂肪酸比、二十碳四烯酸（AA/ARA）、二十碳四烯酸与总脂肪酸比、水分、灰分、杂质度、叶黄素、核苷酸、果聚糖、三聚氰胺、铅（以Pb计）、硝酸盐（以NaNO</w:t>
            </w:r>
            <w:r>
              <w:rPr>
                <w:rFonts w:hint="default"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计）、亚硝酸盐（以NaNO</w:t>
            </w:r>
            <w:r>
              <w:rPr>
                <w:rFonts w:hint="default"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计）、脲酶活性定性测定、黄曲霉毒素B</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或黄曲霉毒素M</w:t>
            </w:r>
            <w:r>
              <w:rPr>
                <w:rFonts w:hint="default" w:ascii="Times New Roman" w:hAnsi="Times New Roman" w:eastAsia="仿宋_GB2312" w:cs="Times New Roman"/>
                <w:color w:val="auto"/>
                <w:kern w:val="0"/>
                <w:szCs w:val="21"/>
                <w:highlight w:val="none"/>
                <w:vertAlign w:val="subscript"/>
                <w:lang w:val="en-US" w:eastAsia="zh-CN"/>
              </w:rPr>
              <w:t>1</w:t>
            </w:r>
            <w:r>
              <w:rPr>
                <w:rFonts w:hint="default" w:ascii="Times New Roman" w:hAnsi="Times New Roman" w:eastAsia="仿宋_GB2312" w:cs="Times New Roman"/>
                <w:color w:val="auto"/>
                <w:kern w:val="0"/>
                <w:szCs w:val="21"/>
                <w:highlight w:val="none"/>
                <w:lang w:val="en-US" w:eastAsia="zh-CN"/>
              </w:rPr>
              <w:t>、菌落总数、大肠菌群、沙门氏菌、金黄色葡萄球菌、锡、乳铁蛋白</w:t>
            </w:r>
          </w:p>
        </w:tc>
        <w:tc>
          <w:tcPr>
            <w:tcW w:w="3450" w:type="dxa"/>
            <w:noWrap w:val="0"/>
            <w:vAlign w:val="center"/>
          </w:tcPr>
          <w:p w14:paraId="34C2C2B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1DD6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1" w:hRule="atLeast"/>
        </w:trPr>
        <w:tc>
          <w:tcPr>
            <w:tcW w:w="780" w:type="dxa"/>
            <w:vMerge w:val="restart"/>
            <w:noWrap w:val="0"/>
            <w:vAlign w:val="center"/>
          </w:tcPr>
          <w:p w14:paraId="7601B35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0BD217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AB9CEE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7AF5E7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7ACBE7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31</w:t>
            </w:r>
          </w:p>
          <w:p w14:paraId="789D461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B52DE0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01D9A8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D65EE7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B34ED5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2E39EC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4FBB20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77CCE4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21B7C8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AD2DAA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605190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A9A9D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16CFF8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E7B853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83E352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21CF0F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2D5AED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31</w:t>
            </w:r>
          </w:p>
          <w:p w14:paraId="7A54177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3538C0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68F6AD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56A293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185364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BD4CE0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9994EC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78C46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E2531D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FD9654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FDE3B3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A56D487">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641201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DD875A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329AC1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B6AA7F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365F422">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6788B4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B9DD89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AEF733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263D28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57FB12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292ED9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31</w:t>
            </w:r>
          </w:p>
          <w:p w14:paraId="1FF5025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32A6C8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CA9581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C5B307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315509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57ACCD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6775076">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FEA8295">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5E53AA9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C0909D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55A4FA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5420C8A">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9824CC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C78046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C9F074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B2BFC09">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73D1670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937B1B1">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520AB7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42CA07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596DB6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2DA02A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2D1212B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AE22D9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A7CCF7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31</w:t>
            </w:r>
          </w:p>
          <w:p w14:paraId="279AF41D">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B9C310C">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73E2F6F">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3E3612A3">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6BFC2F18">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DAE553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4223F7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C3A57C0">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41F0B0AE">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09BB8D5B">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p>
          <w:p w14:paraId="136CF808">
            <w:pPr>
              <w:widowControl/>
              <w:spacing w:line="300" w:lineRule="exact"/>
              <w:jc w:val="both"/>
              <w:rPr>
                <w:rFonts w:hint="eastAsia" w:ascii="Times New Roman" w:hAnsi="Times New Roman" w:eastAsia="仿宋_GB2312" w:cs="Times New Roman"/>
                <w:color w:val="auto"/>
                <w:kern w:val="0"/>
                <w:szCs w:val="21"/>
                <w:highlight w:val="none"/>
                <w:lang w:val="en-US" w:eastAsia="zh-CN"/>
              </w:rPr>
            </w:pPr>
          </w:p>
          <w:p w14:paraId="10775570">
            <w:pPr>
              <w:widowControl/>
              <w:spacing w:line="300" w:lineRule="exact"/>
              <w:jc w:val="both"/>
              <w:rPr>
                <w:rFonts w:hint="eastAsia" w:ascii="Times New Roman" w:hAnsi="Times New Roman" w:eastAsia="仿宋_GB2312" w:cs="Times New Roman"/>
                <w:color w:val="auto"/>
                <w:kern w:val="0"/>
                <w:szCs w:val="21"/>
                <w:highlight w:val="none"/>
                <w:lang w:val="en-US" w:eastAsia="zh-CN"/>
              </w:rPr>
            </w:pPr>
          </w:p>
          <w:p w14:paraId="6B767F44">
            <w:pPr>
              <w:widowControl/>
              <w:spacing w:line="300" w:lineRule="exact"/>
              <w:jc w:val="both"/>
              <w:rPr>
                <w:rFonts w:hint="eastAsia" w:ascii="Times New Roman" w:hAnsi="Times New Roman" w:eastAsia="仿宋_GB2312" w:cs="Times New Roman"/>
                <w:color w:val="auto"/>
                <w:kern w:val="0"/>
                <w:szCs w:val="21"/>
                <w:highlight w:val="none"/>
                <w:lang w:val="en-US" w:eastAsia="zh-CN"/>
              </w:rPr>
            </w:pPr>
          </w:p>
          <w:p w14:paraId="68E07EB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31</w:t>
            </w:r>
          </w:p>
        </w:tc>
        <w:tc>
          <w:tcPr>
            <w:tcW w:w="1107" w:type="dxa"/>
            <w:vMerge w:val="restart"/>
            <w:noWrap w:val="0"/>
            <w:vAlign w:val="top"/>
          </w:tcPr>
          <w:p w14:paraId="258D5D10">
            <w:pPr>
              <w:widowControl/>
              <w:spacing w:line="300" w:lineRule="exact"/>
              <w:jc w:val="left"/>
              <w:rPr>
                <w:rFonts w:hint="default" w:ascii="Times New Roman" w:hAnsi="Times New Roman" w:eastAsia="仿宋_GB2312" w:cs="Times New Roman"/>
                <w:color w:val="auto"/>
                <w:kern w:val="0"/>
                <w:szCs w:val="21"/>
                <w:highlight w:val="none"/>
              </w:rPr>
            </w:pPr>
          </w:p>
          <w:p w14:paraId="7032593B">
            <w:pPr>
              <w:widowControl/>
              <w:spacing w:line="300" w:lineRule="exact"/>
              <w:jc w:val="left"/>
              <w:rPr>
                <w:rFonts w:hint="default" w:ascii="Times New Roman" w:hAnsi="Times New Roman" w:eastAsia="仿宋_GB2312" w:cs="Times New Roman"/>
                <w:color w:val="auto"/>
                <w:kern w:val="0"/>
                <w:szCs w:val="21"/>
                <w:highlight w:val="none"/>
              </w:rPr>
            </w:pPr>
          </w:p>
          <w:p w14:paraId="769852DD">
            <w:pPr>
              <w:widowControl/>
              <w:spacing w:line="300" w:lineRule="exact"/>
              <w:jc w:val="left"/>
              <w:rPr>
                <w:rFonts w:hint="default" w:ascii="Times New Roman" w:hAnsi="Times New Roman" w:eastAsia="仿宋_GB2312" w:cs="Times New Roman"/>
                <w:color w:val="auto"/>
                <w:kern w:val="0"/>
                <w:szCs w:val="21"/>
                <w:highlight w:val="none"/>
              </w:rPr>
            </w:pPr>
          </w:p>
          <w:p w14:paraId="18E424CF">
            <w:pPr>
              <w:widowControl/>
              <w:spacing w:line="300" w:lineRule="exact"/>
              <w:jc w:val="left"/>
              <w:rPr>
                <w:rFonts w:hint="default" w:ascii="Times New Roman" w:hAnsi="Times New Roman" w:eastAsia="仿宋_GB2312" w:cs="Times New Roman"/>
                <w:color w:val="auto"/>
                <w:kern w:val="0"/>
                <w:szCs w:val="21"/>
                <w:highlight w:val="none"/>
              </w:rPr>
            </w:pPr>
          </w:p>
          <w:p w14:paraId="438752DD">
            <w:pPr>
              <w:widowControl/>
              <w:spacing w:line="300" w:lineRule="exact"/>
              <w:jc w:val="left"/>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餐饮食品</w:t>
            </w:r>
          </w:p>
          <w:p w14:paraId="0C67E39F">
            <w:pPr>
              <w:widowControl/>
              <w:spacing w:line="300" w:lineRule="exact"/>
              <w:jc w:val="left"/>
              <w:rPr>
                <w:rFonts w:hint="default" w:ascii="Times New Roman" w:hAnsi="Times New Roman" w:eastAsia="仿宋_GB2312" w:cs="Times New Roman"/>
                <w:color w:val="auto"/>
                <w:kern w:val="0"/>
                <w:szCs w:val="21"/>
                <w:highlight w:val="none"/>
              </w:rPr>
            </w:pPr>
          </w:p>
          <w:p w14:paraId="128CA78B">
            <w:pPr>
              <w:widowControl/>
              <w:spacing w:line="300" w:lineRule="exact"/>
              <w:jc w:val="left"/>
              <w:rPr>
                <w:rFonts w:hint="default" w:ascii="Times New Roman" w:hAnsi="Times New Roman" w:eastAsia="仿宋_GB2312" w:cs="Times New Roman"/>
                <w:color w:val="auto"/>
                <w:kern w:val="0"/>
                <w:szCs w:val="21"/>
                <w:highlight w:val="none"/>
              </w:rPr>
            </w:pPr>
          </w:p>
          <w:p w14:paraId="4443A014">
            <w:pPr>
              <w:widowControl/>
              <w:spacing w:line="300" w:lineRule="exact"/>
              <w:jc w:val="left"/>
              <w:rPr>
                <w:rFonts w:hint="default" w:ascii="Times New Roman" w:hAnsi="Times New Roman" w:eastAsia="仿宋_GB2312" w:cs="Times New Roman"/>
                <w:color w:val="auto"/>
                <w:kern w:val="0"/>
                <w:szCs w:val="21"/>
                <w:highlight w:val="none"/>
              </w:rPr>
            </w:pPr>
          </w:p>
          <w:p w14:paraId="102F410C">
            <w:pPr>
              <w:widowControl/>
              <w:spacing w:line="300" w:lineRule="exact"/>
              <w:jc w:val="left"/>
              <w:rPr>
                <w:rFonts w:hint="default" w:ascii="Times New Roman" w:hAnsi="Times New Roman" w:eastAsia="仿宋_GB2312" w:cs="Times New Roman"/>
                <w:color w:val="auto"/>
                <w:kern w:val="0"/>
                <w:szCs w:val="21"/>
                <w:highlight w:val="none"/>
              </w:rPr>
            </w:pPr>
          </w:p>
          <w:p w14:paraId="0B005FE0">
            <w:pPr>
              <w:widowControl/>
              <w:spacing w:line="300" w:lineRule="exact"/>
              <w:jc w:val="left"/>
              <w:rPr>
                <w:rFonts w:hint="default" w:ascii="Times New Roman" w:hAnsi="Times New Roman" w:eastAsia="仿宋_GB2312" w:cs="Times New Roman"/>
                <w:color w:val="auto"/>
                <w:kern w:val="0"/>
                <w:szCs w:val="21"/>
                <w:highlight w:val="none"/>
              </w:rPr>
            </w:pPr>
          </w:p>
          <w:p w14:paraId="7F02B6E3">
            <w:pPr>
              <w:widowControl/>
              <w:spacing w:line="300" w:lineRule="exact"/>
              <w:jc w:val="left"/>
              <w:rPr>
                <w:rFonts w:hint="default" w:ascii="Times New Roman" w:hAnsi="Times New Roman" w:eastAsia="仿宋_GB2312" w:cs="Times New Roman"/>
                <w:color w:val="auto"/>
                <w:kern w:val="0"/>
                <w:szCs w:val="21"/>
                <w:highlight w:val="none"/>
              </w:rPr>
            </w:pPr>
          </w:p>
          <w:p w14:paraId="15C2FF0F">
            <w:pPr>
              <w:widowControl/>
              <w:spacing w:line="300" w:lineRule="exact"/>
              <w:jc w:val="left"/>
              <w:rPr>
                <w:rFonts w:hint="default" w:ascii="Times New Roman" w:hAnsi="Times New Roman" w:eastAsia="仿宋_GB2312" w:cs="Times New Roman"/>
                <w:color w:val="auto"/>
                <w:kern w:val="0"/>
                <w:szCs w:val="21"/>
                <w:highlight w:val="none"/>
              </w:rPr>
            </w:pPr>
          </w:p>
          <w:p w14:paraId="0DEE876D">
            <w:pPr>
              <w:widowControl/>
              <w:spacing w:line="300" w:lineRule="exact"/>
              <w:jc w:val="left"/>
              <w:rPr>
                <w:rFonts w:hint="default" w:ascii="Times New Roman" w:hAnsi="Times New Roman" w:eastAsia="仿宋_GB2312" w:cs="Times New Roman"/>
                <w:color w:val="auto"/>
                <w:kern w:val="0"/>
                <w:szCs w:val="21"/>
                <w:highlight w:val="none"/>
              </w:rPr>
            </w:pPr>
          </w:p>
          <w:p w14:paraId="471CB0DB">
            <w:pPr>
              <w:widowControl/>
              <w:spacing w:line="300" w:lineRule="exact"/>
              <w:jc w:val="left"/>
              <w:rPr>
                <w:rFonts w:hint="default" w:ascii="Times New Roman" w:hAnsi="Times New Roman" w:eastAsia="仿宋_GB2312" w:cs="Times New Roman"/>
                <w:color w:val="auto"/>
                <w:kern w:val="0"/>
                <w:szCs w:val="21"/>
                <w:highlight w:val="none"/>
              </w:rPr>
            </w:pPr>
          </w:p>
          <w:p w14:paraId="3057A6BF">
            <w:pPr>
              <w:widowControl/>
              <w:spacing w:line="300" w:lineRule="exact"/>
              <w:jc w:val="left"/>
              <w:rPr>
                <w:rFonts w:hint="default" w:ascii="Times New Roman" w:hAnsi="Times New Roman" w:eastAsia="仿宋_GB2312" w:cs="Times New Roman"/>
                <w:color w:val="auto"/>
                <w:kern w:val="0"/>
                <w:szCs w:val="21"/>
                <w:highlight w:val="none"/>
              </w:rPr>
            </w:pPr>
          </w:p>
          <w:p w14:paraId="0E817562">
            <w:pPr>
              <w:widowControl/>
              <w:spacing w:line="300" w:lineRule="exact"/>
              <w:jc w:val="left"/>
              <w:rPr>
                <w:rFonts w:hint="default" w:ascii="Times New Roman" w:hAnsi="Times New Roman" w:eastAsia="仿宋_GB2312" w:cs="Times New Roman"/>
                <w:color w:val="auto"/>
                <w:kern w:val="0"/>
                <w:szCs w:val="21"/>
                <w:highlight w:val="none"/>
              </w:rPr>
            </w:pPr>
          </w:p>
          <w:p w14:paraId="3A64EEEE">
            <w:pPr>
              <w:widowControl/>
              <w:spacing w:line="300" w:lineRule="exact"/>
              <w:jc w:val="left"/>
              <w:rPr>
                <w:rFonts w:hint="default" w:ascii="Times New Roman" w:hAnsi="Times New Roman" w:eastAsia="仿宋_GB2312" w:cs="Times New Roman"/>
                <w:color w:val="auto"/>
                <w:kern w:val="0"/>
                <w:szCs w:val="21"/>
                <w:highlight w:val="none"/>
              </w:rPr>
            </w:pPr>
          </w:p>
          <w:p w14:paraId="0DE765CD">
            <w:pPr>
              <w:widowControl/>
              <w:spacing w:line="300" w:lineRule="exact"/>
              <w:jc w:val="left"/>
              <w:rPr>
                <w:rFonts w:hint="default" w:ascii="Times New Roman" w:hAnsi="Times New Roman" w:eastAsia="仿宋_GB2312" w:cs="Times New Roman"/>
                <w:color w:val="auto"/>
                <w:kern w:val="0"/>
                <w:szCs w:val="21"/>
                <w:highlight w:val="none"/>
              </w:rPr>
            </w:pPr>
          </w:p>
          <w:p w14:paraId="1D733404">
            <w:pPr>
              <w:widowControl/>
              <w:spacing w:line="300" w:lineRule="exact"/>
              <w:jc w:val="left"/>
              <w:rPr>
                <w:rFonts w:hint="default" w:ascii="Times New Roman" w:hAnsi="Times New Roman" w:eastAsia="仿宋_GB2312" w:cs="Times New Roman"/>
                <w:color w:val="auto"/>
                <w:kern w:val="0"/>
                <w:szCs w:val="21"/>
                <w:highlight w:val="none"/>
              </w:rPr>
            </w:pPr>
          </w:p>
          <w:p w14:paraId="1B617B80">
            <w:pPr>
              <w:widowControl/>
              <w:spacing w:line="300" w:lineRule="exact"/>
              <w:jc w:val="left"/>
              <w:rPr>
                <w:rFonts w:hint="default" w:ascii="Times New Roman" w:hAnsi="Times New Roman" w:eastAsia="仿宋_GB2312" w:cs="Times New Roman"/>
                <w:color w:val="auto"/>
                <w:kern w:val="0"/>
                <w:szCs w:val="21"/>
                <w:highlight w:val="none"/>
              </w:rPr>
            </w:pPr>
          </w:p>
          <w:p w14:paraId="4E431799">
            <w:pPr>
              <w:widowControl/>
              <w:spacing w:line="300" w:lineRule="exact"/>
              <w:jc w:val="left"/>
              <w:rPr>
                <w:rFonts w:hint="default" w:ascii="Times New Roman" w:hAnsi="Times New Roman" w:eastAsia="仿宋_GB2312" w:cs="Times New Roman"/>
                <w:color w:val="auto"/>
                <w:kern w:val="0"/>
                <w:szCs w:val="21"/>
                <w:highlight w:val="none"/>
              </w:rPr>
            </w:pPr>
          </w:p>
          <w:p w14:paraId="3491DACF">
            <w:pPr>
              <w:widowControl/>
              <w:spacing w:line="300" w:lineRule="exact"/>
              <w:jc w:val="left"/>
              <w:rPr>
                <w:rFonts w:hint="default" w:ascii="Times New Roman" w:hAnsi="Times New Roman" w:eastAsia="仿宋_GB2312" w:cs="Times New Roman"/>
                <w:color w:val="auto"/>
                <w:kern w:val="0"/>
                <w:szCs w:val="21"/>
                <w:highlight w:val="none"/>
              </w:rPr>
            </w:pPr>
          </w:p>
          <w:p w14:paraId="706F2760">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餐饮食品</w:t>
            </w:r>
          </w:p>
          <w:p w14:paraId="3D43B7A3">
            <w:pPr>
              <w:widowControl/>
              <w:spacing w:line="300" w:lineRule="exact"/>
              <w:jc w:val="left"/>
              <w:rPr>
                <w:rFonts w:hint="default" w:ascii="Times New Roman" w:hAnsi="Times New Roman" w:eastAsia="仿宋_GB2312" w:cs="Times New Roman"/>
                <w:color w:val="auto"/>
                <w:kern w:val="0"/>
                <w:szCs w:val="21"/>
                <w:highlight w:val="none"/>
              </w:rPr>
            </w:pPr>
          </w:p>
          <w:p w14:paraId="17404795">
            <w:pPr>
              <w:widowControl/>
              <w:spacing w:line="300" w:lineRule="exact"/>
              <w:jc w:val="left"/>
              <w:rPr>
                <w:rFonts w:hint="default" w:ascii="Times New Roman" w:hAnsi="Times New Roman" w:eastAsia="仿宋_GB2312" w:cs="Times New Roman"/>
                <w:color w:val="auto"/>
                <w:kern w:val="0"/>
                <w:szCs w:val="21"/>
                <w:highlight w:val="none"/>
              </w:rPr>
            </w:pPr>
          </w:p>
          <w:p w14:paraId="1C907298">
            <w:pPr>
              <w:widowControl/>
              <w:spacing w:line="300" w:lineRule="exact"/>
              <w:jc w:val="left"/>
              <w:rPr>
                <w:rFonts w:hint="default" w:ascii="Times New Roman" w:hAnsi="Times New Roman" w:eastAsia="仿宋_GB2312" w:cs="Times New Roman"/>
                <w:color w:val="auto"/>
                <w:kern w:val="0"/>
                <w:szCs w:val="21"/>
                <w:highlight w:val="none"/>
              </w:rPr>
            </w:pPr>
          </w:p>
          <w:p w14:paraId="36D63302">
            <w:pPr>
              <w:widowControl/>
              <w:spacing w:line="300" w:lineRule="exact"/>
              <w:jc w:val="left"/>
              <w:rPr>
                <w:rFonts w:hint="default" w:ascii="Times New Roman" w:hAnsi="Times New Roman" w:eastAsia="仿宋_GB2312" w:cs="Times New Roman"/>
                <w:color w:val="auto"/>
                <w:kern w:val="0"/>
                <w:szCs w:val="21"/>
                <w:highlight w:val="none"/>
              </w:rPr>
            </w:pPr>
          </w:p>
          <w:p w14:paraId="024513F2">
            <w:pPr>
              <w:widowControl/>
              <w:spacing w:line="300" w:lineRule="exact"/>
              <w:jc w:val="left"/>
              <w:rPr>
                <w:rFonts w:hint="default" w:ascii="Times New Roman" w:hAnsi="Times New Roman" w:eastAsia="仿宋_GB2312" w:cs="Times New Roman"/>
                <w:color w:val="auto"/>
                <w:kern w:val="0"/>
                <w:szCs w:val="21"/>
                <w:highlight w:val="none"/>
              </w:rPr>
            </w:pPr>
          </w:p>
          <w:p w14:paraId="62BB3FB7">
            <w:pPr>
              <w:widowControl/>
              <w:spacing w:line="300" w:lineRule="exact"/>
              <w:jc w:val="left"/>
              <w:rPr>
                <w:rFonts w:hint="default" w:ascii="Times New Roman" w:hAnsi="Times New Roman" w:eastAsia="仿宋_GB2312" w:cs="Times New Roman"/>
                <w:color w:val="auto"/>
                <w:kern w:val="0"/>
                <w:szCs w:val="21"/>
                <w:highlight w:val="none"/>
              </w:rPr>
            </w:pPr>
          </w:p>
          <w:p w14:paraId="0DC82BCF">
            <w:pPr>
              <w:widowControl/>
              <w:spacing w:line="300" w:lineRule="exact"/>
              <w:jc w:val="left"/>
              <w:rPr>
                <w:rFonts w:hint="default" w:ascii="Times New Roman" w:hAnsi="Times New Roman" w:eastAsia="仿宋_GB2312" w:cs="Times New Roman"/>
                <w:color w:val="auto"/>
                <w:kern w:val="0"/>
                <w:szCs w:val="21"/>
                <w:highlight w:val="none"/>
              </w:rPr>
            </w:pPr>
          </w:p>
          <w:p w14:paraId="650488D8">
            <w:pPr>
              <w:widowControl/>
              <w:spacing w:line="300" w:lineRule="exact"/>
              <w:jc w:val="left"/>
              <w:rPr>
                <w:rFonts w:hint="default" w:ascii="Times New Roman" w:hAnsi="Times New Roman" w:eastAsia="仿宋_GB2312" w:cs="Times New Roman"/>
                <w:color w:val="auto"/>
                <w:kern w:val="0"/>
                <w:szCs w:val="21"/>
                <w:highlight w:val="none"/>
              </w:rPr>
            </w:pPr>
          </w:p>
          <w:p w14:paraId="1D6F666C">
            <w:pPr>
              <w:widowControl/>
              <w:spacing w:line="300" w:lineRule="exact"/>
              <w:jc w:val="left"/>
              <w:rPr>
                <w:rFonts w:hint="default" w:ascii="Times New Roman" w:hAnsi="Times New Roman" w:eastAsia="仿宋_GB2312" w:cs="Times New Roman"/>
                <w:color w:val="auto"/>
                <w:kern w:val="0"/>
                <w:szCs w:val="21"/>
                <w:highlight w:val="none"/>
              </w:rPr>
            </w:pPr>
          </w:p>
          <w:p w14:paraId="7E71FEAB">
            <w:pPr>
              <w:widowControl/>
              <w:spacing w:line="300" w:lineRule="exact"/>
              <w:jc w:val="left"/>
              <w:rPr>
                <w:rFonts w:hint="default" w:ascii="Times New Roman" w:hAnsi="Times New Roman" w:eastAsia="仿宋_GB2312" w:cs="Times New Roman"/>
                <w:color w:val="auto"/>
                <w:kern w:val="0"/>
                <w:szCs w:val="21"/>
                <w:highlight w:val="none"/>
              </w:rPr>
            </w:pPr>
          </w:p>
          <w:p w14:paraId="1826EE18">
            <w:pPr>
              <w:widowControl/>
              <w:spacing w:line="300" w:lineRule="exact"/>
              <w:jc w:val="left"/>
              <w:rPr>
                <w:rFonts w:hint="default" w:ascii="Times New Roman" w:hAnsi="Times New Roman" w:eastAsia="仿宋_GB2312" w:cs="Times New Roman"/>
                <w:color w:val="auto"/>
                <w:kern w:val="0"/>
                <w:szCs w:val="21"/>
                <w:highlight w:val="none"/>
              </w:rPr>
            </w:pPr>
          </w:p>
          <w:p w14:paraId="64E09EE2">
            <w:pPr>
              <w:widowControl/>
              <w:spacing w:line="300" w:lineRule="exact"/>
              <w:jc w:val="left"/>
              <w:rPr>
                <w:rFonts w:hint="default" w:ascii="Times New Roman" w:hAnsi="Times New Roman" w:eastAsia="仿宋_GB2312" w:cs="Times New Roman"/>
                <w:color w:val="auto"/>
                <w:kern w:val="0"/>
                <w:szCs w:val="21"/>
                <w:highlight w:val="none"/>
              </w:rPr>
            </w:pPr>
          </w:p>
          <w:p w14:paraId="51E323CA">
            <w:pPr>
              <w:widowControl/>
              <w:spacing w:line="300" w:lineRule="exact"/>
              <w:jc w:val="left"/>
              <w:rPr>
                <w:rFonts w:hint="default" w:ascii="Times New Roman" w:hAnsi="Times New Roman" w:eastAsia="仿宋_GB2312" w:cs="Times New Roman"/>
                <w:color w:val="auto"/>
                <w:kern w:val="0"/>
                <w:szCs w:val="21"/>
                <w:highlight w:val="none"/>
              </w:rPr>
            </w:pPr>
          </w:p>
          <w:p w14:paraId="5073CC4F">
            <w:pPr>
              <w:widowControl/>
              <w:spacing w:line="300" w:lineRule="exact"/>
              <w:jc w:val="left"/>
              <w:rPr>
                <w:rFonts w:hint="default" w:ascii="Times New Roman" w:hAnsi="Times New Roman" w:eastAsia="仿宋_GB2312" w:cs="Times New Roman"/>
                <w:color w:val="auto"/>
                <w:kern w:val="0"/>
                <w:szCs w:val="21"/>
                <w:highlight w:val="none"/>
              </w:rPr>
            </w:pPr>
          </w:p>
          <w:p w14:paraId="6EC40463">
            <w:pPr>
              <w:widowControl/>
              <w:spacing w:line="300" w:lineRule="exact"/>
              <w:jc w:val="left"/>
              <w:rPr>
                <w:rFonts w:hint="default" w:ascii="Times New Roman" w:hAnsi="Times New Roman" w:eastAsia="仿宋_GB2312" w:cs="Times New Roman"/>
                <w:color w:val="auto"/>
                <w:kern w:val="0"/>
                <w:szCs w:val="21"/>
                <w:highlight w:val="none"/>
              </w:rPr>
            </w:pPr>
          </w:p>
          <w:p w14:paraId="559B6B0E">
            <w:pPr>
              <w:widowControl/>
              <w:spacing w:line="300" w:lineRule="exact"/>
              <w:jc w:val="left"/>
              <w:rPr>
                <w:rFonts w:hint="default" w:ascii="Times New Roman" w:hAnsi="Times New Roman" w:eastAsia="仿宋_GB2312" w:cs="Times New Roman"/>
                <w:color w:val="auto"/>
                <w:kern w:val="0"/>
                <w:szCs w:val="21"/>
                <w:highlight w:val="none"/>
              </w:rPr>
            </w:pPr>
          </w:p>
          <w:p w14:paraId="75E1975F">
            <w:pPr>
              <w:widowControl/>
              <w:spacing w:line="300" w:lineRule="exact"/>
              <w:jc w:val="left"/>
              <w:rPr>
                <w:rFonts w:hint="default" w:ascii="Times New Roman" w:hAnsi="Times New Roman" w:eastAsia="仿宋_GB2312" w:cs="Times New Roman"/>
                <w:color w:val="auto"/>
                <w:kern w:val="0"/>
                <w:szCs w:val="21"/>
                <w:highlight w:val="none"/>
              </w:rPr>
            </w:pPr>
          </w:p>
          <w:p w14:paraId="6A45B6BA">
            <w:pPr>
              <w:widowControl/>
              <w:spacing w:line="300" w:lineRule="exact"/>
              <w:jc w:val="left"/>
              <w:rPr>
                <w:rFonts w:hint="default" w:ascii="Times New Roman" w:hAnsi="Times New Roman" w:eastAsia="仿宋_GB2312" w:cs="Times New Roman"/>
                <w:color w:val="auto"/>
                <w:kern w:val="0"/>
                <w:szCs w:val="21"/>
                <w:highlight w:val="none"/>
              </w:rPr>
            </w:pPr>
          </w:p>
          <w:p w14:paraId="2CEABE7C">
            <w:pPr>
              <w:widowControl/>
              <w:spacing w:line="300" w:lineRule="exact"/>
              <w:jc w:val="left"/>
              <w:rPr>
                <w:rFonts w:hint="default" w:ascii="Times New Roman" w:hAnsi="Times New Roman" w:eastAsia="仿宋_GB2312" w:cs="Times New Roman"/>
                <w:color w:val="auto"/>
                <w:kern w:val="0"/>
                <w:szCs w:val="21"/>
                <w:highlight w:val="none"/>
              </w:rPr>
            </w:pPr>
          </w:p>
          <w:p w14:paraId="19DB217E">
            <w:pPr>
              <w:widowControl/>
              <w:spacing w:line="300" w:lineRule="exact"/>
              <w:jc w:val="left"/>
              <w:rPr>
                <w:rFonts w:hint="default" w:ascii="Times New Roman" w:hAnsi="Times New Roman" w:eastAsia="仿宋_GB2312" w:cs="Times New Roman"/>
                <w:color w:val="auto"/>
                <w:kern w:val="0"/>
                <w:szCs w:val="21"/>
                <w:highlight w:val="none"/>
              </w:rPr>
            </w:pPr>
          </w:p>
          <w:p w14:paraId="79F8BF86">
            <w:pPr>
              <w:widowControl/>
              <w:spacing w:line="300" w:lineRule="exact"/>
              <w:jc w:val="left"/>
              <w:rPr>
                <w:rFonts w:hint="default" w:ascii="Times New Roman" w:hAnsi="Times New Roman" w:eastAsia="仿宋_GB2312" w:cs="Times New Roman"/>
                <w:color w:val="auto"/>
                <w:kern w:val="0"/>
                <w:szCs w:val="21"/>
                <w:highlight w:val="none"/>
              </w:rPr>
            </w:pPr>
          </w:p>
          <w:p w14:paraId="6E8F58AE">
            <w:pPr>
              <w:widowControl/>
              <w:spacing w:line="300" w:lineRule="exact"/>
              <w:jc w:val="left"/>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餐饮食品</w:t>
            </w:r>
          </w:p>
          <w:p w14:paraId="4DAD3909">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58B777D7">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B44A88C">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330E8483">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52FA1E2A">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5AC977F">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2BC58793">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73E9472F">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5861A35">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A63CDBE">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51B7C516">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33A448AA">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B2FD9EB">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9738A0D">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72856917">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3B2649F1">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3911F384">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512BFAA">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16925AA1">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52FD1C1B">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51C4E499">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7C8B9AB">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15ECFB85">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7A75CE5C">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31682A5D">
            <w:pPr>
              <w:widowControl/>
              <w:spacing w:line="300" w:lineRule="exact"/>
              <w:jc w:val="left"/>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餐饮食品</w:t>
            </w:r>
          </w:p>
          <w:p w14:paraId="3437DDC3">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EE608B0">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2722D9B8">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55FB4549">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2FA6778C">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2F1EBB5F">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3965536">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71D96FA7">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DFAAA2C">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36B57120">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CFB24D8">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205AEF12">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6090AA9C">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540FA068">
            <w:pPr>
              <w:widowControl/>
              <w:spacing w:line="300" w:lineRule="exact"/>
              <w:jc w:val="left"/>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餐饮食品</w:t>
            </w:r>
          </w:p>
          <w:p w14:paraId="4E8DD105">
            <w:pPr>
              <w:widowControl/>
              <w:spacing w:line="300" w:lineRule="exact"/>
              <w:jc w:val="left"/>
              <w:rPr>
                <w:rFonts w:hint="default" w:ascii="Times New Roman" w:hAnsi="Times New Roman" w:eastAsia="仿宋_GB2312" w:cs="Times New Roman"/>
                <w:color w:val="auto"/>
                <w:kern w:val="0"/>
                <w:szCs w:val="21"/>
                <w:highlight w:val="none"/>
              </w:rPr>
            </w:pPr>
          </w:p>
          <w:p w14:paraId="476E53C7">
            <w:pPr>
              <w:widowControl/>
              <w:spacing w:line="300" w:lineRule="exact"/>
              <w:jc w:val="left"/>
              <w:rPr>
                <w:rFonts w:hint="default" w:ascii="Times New Roman" w:hAnsi="Times New Roman" w:eastAsia="仿宋_GB2312" w:cs="Times New Roman"/>
                <w:color w:val="auto"/>
                <w:kern w:val="0"/>
                <w:szCs w:val="21"/>
                <w:highlight w:val="none"/>
              </w:rPr>
            </w:pPr>
          </w:p>
          <w:p w14:paraId="2180BF05">
            <w:pPr>
              <w:widowControl/>
              <w:spacing w:line="300" w:lineRule="exact"/>
              <w:jc w:val="left"/>
              <w:rPr>
                <w:rFonts w:hint="default" w:ascii="Times New Roman" w:hAnsi="Times New Roman" w:eastAsia="仿宋_GB2312" w:cs="Times New Roman"/>
                <w:color w:val="auto"/>
                <w:kern w:val="0"/>
                <w:szCs w:val="21"/>
                <w:highlight w:val="none"/>
              </w:rPr>
            </w:pPr>
          </w:p>
          <w:p w14:paraId="40EFC653">
            <w:pPr>
              <w:widowControl/>
              <w:spacing w:line="300" w:lineRule="exact"/>
              <w:jc w:val="left"/>
              <w:rPr>
                <w:rFonts w:hint="default" w:ascii="Times New Roman" w:hAnsi="Times New Roman" w:eastAsia="仿宋_GB2312" w:cs="Times New Roman"/>
                <w:color w:val="auto"/>
                <w:kern w:val="0"/>
                <w:szCs w:val="21"/>
                <w:highlight w:val="none"/>
              </w:rPr>
            </w:pPr>
          </w:p>
          <w:p w14:paraId="21E99136">
            <w:pPr>
              <w:widowControl/>
              <w:spacing w:line="300" w:lineRule="exact"/>
              <w:jc w:val="left"/>
              <w:rPr>
                <w:rFonts w:hint="default" w:ascii="Times New Roman" w:hAnsi="Times New Roman" w:eastAsia="仿宋_GB2312" w:cs="Times New Roman"/>
                <w:color w:val="auto"/>
                <w:kern w:val="0"/>
                <w:szCs w:val="21"/>
                <w:highlight w:val="none"/>
              </w:rPr>
            </w:pPr>
          </w:p>
          <w:p w14:paraId="6F503FDD">
            <w:pPr>
              <w:widowControl/>
              <w:spacing w:line="300" w:lineRule="exact"/>
              <w:jc w:val="left"/>
              <w:rPr>
                <w:rFonts w:hint="default" w:ascii="Times New Roman" w:hAnsi="Times New Roman" w:eastAsia="仿宋_GB2312" w:cs="Times New Roman"/>
                <w:color w:val="auto"/>
                <w:kern w:val="0"/>
                <w:szCs w:val="21"/>
                <w:highlight w:val="none"/>
              </w:rPr>
            </w:pPr>
          </w:p>
          <w:p w14:paraId="1A3F909E">
            <w:pPr>
              <w:widowControl/>
              <w:spacing w:line="300" w:lineRule="exact"/>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top"/>
          </w:tcPr>
          <w:p w14:paraId="2EC8798A">
            <w:pPr>
              <w:widowControl/>
              <w:spacing w:line="300" w:lineRule="exact"/>
              <w:jc w:val="left"/>
              <w:rPr>
                <w:rFonts w:hint="default" w:ascii="Times New Roman" w:hAnsi="Times New Roman" w:eastAsia="仿宋_GB2312" w:cs="Times New Roman"/>
                <w:color w:val="auto"/>
                <w:kern w:val="0"/>
                <w:szCs w:val="21"/>
                <w:highlight w:val="none"/>
              </w:rPr>
            </w:pPr>
          </w:p>
          <w:p w14:paraId="5EE7B74F">
            <w:pPr>
              <w:widowControl/>
              <w:spacing w:line="300" w:lineRule="exact"/>
              <w:jc w:val="left"/>
              <w:rPr>
                <w:rFonts w:hint="default" w:ascii="Times New Roman" w:hAnsi="Times New Roman" w:eastAsia="仿宋_GB2312" w:cs="Times New Roman"/>
                <w:color w:val="auto"/>
                <w:kern w:val="0"/>
                <w:szCs w:val="21"/>
                <w:highlight w:val="none"/>
              </w:rPr>
            </w:pPr>
          </w:p>
          <w:p w14:paraId="0614B861">
            <w:pPr>
              <w:widowControl/>
              <w:spacing w:line="300" w:lineRule="exact"/>
              <w:jc w:val="left"/>
              <w:rPr>
                <w:rFonts w:hint="default" w:ascii="Times New Roman" w:hAnsi="Times New Roman" w:eastAsia="仿宋_GB2312" w:cs="Times New Roman"/>
                <w:color w:val="auto"/>
                <w:kern w:val="0"/>
                <w:szCs w:val="21"/>
                <w:highlight w:val="none"/>
              </w:rPr>
            </w:pPr>
          </w:p>
          <w:p w14:paraId="11CBA02D">
            <w:pPr>
              <w:widowControl/>
              <w:spacing w:line="300" w:lineRule="exact"/>
              <w:jc w:val="left"/>
              <w:rPr>
                <w:rFonts w:hint="default" w:ascii="Times New Roman" w:hAnsi="Times New Roman" w:eastAsia="仿宋_GB2312" w:cs="Times New Roman"/>
                <w:color w:val="auto"/>
                <w:kern w:val="0"/>
                <w:szCs w:val="21"/>
                <w:highlight w:val="none"/>
              </w:rPr>
            </w:pPr>
          </w:p>
          <w:p w14:paraId="1A73FAFC">
            <w:pPr>
              <w:widowControl/>
              <w:spacing w:line="300" w:lineRule="exact"/>
              <w:jc w:val="left"/>
              <w:rPr>
                <w:rFonts w:hint="eastAsia"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rPr>
              <w:t>米面及其制品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p w14:paraId="06DF86E2">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1CFB909">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6A29FAD3">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032F93EF">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697E1971">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273B59C0">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7782432">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72920324">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1461FC51">
            <w:pPr>
              <w:widowControl/>
              <w:spacing w:line="300" w:lineRule="exact"/>
              <w:jc w:val="left"/>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米面及其制品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44" w:type="dxa"/>
            <w:vMerge w:val="restart"/>
            <w:noWrap w:val="0"/>
            <w:vAlign w:val="center"/>
          </w:tcPr>
          <w:p w14:paraId="2ED85953">
            <w:pPr>
              <w:widowControl/>
              <w:spacing w:line="300" w:lineRule="exact"/>
              <w:jc w:val="center"/>
              <w:rPr>
                <w:rFonts w:hint="default" w:ascii="Times New Roman" w:hAnsi="Times New Roman" w:eastAsia="仿宋_GB2312" w:cs="Times New Roman"/>
                <w:color w:val="auto"/>
                <w:kern w:val="0"/>
                <w:szCs w:val="21"/>
                <w:highlight w:val="none"/>
              </w:rPr>
            </w:pPr>
          </w:p>
          <w:p w14:paraId="65CB8F24">
            <w:pPr>
              <w:widowControl/>
              <w:spacing w:line="300" w:lineRule="exact"/>
              <w:jc w:val="center"/>
              <w:rPr>
                <w:rFonts w:hint="default" w:ascii="Times New Roman" w:hAnsi="Times New Roman" w:eastAsia="仿宋_GB2312" w:cs="Times New Roman"/>
                <w:color w:val="auto"/>
                <w:kern w:val="0"/>
                <w:szCs w:val="21"/>
                <w:highlight w:val="none"/>
              </w:rPr>
            </w:pPr>
          </w:p>
          <w:p w14:paraId="180CF299">
            <w:pPr>
              <w:widowControl/>
              <w:spacing w:line="300" w:lineRule="exact"/>
              <w:jc w:val="center"/>
              <w:rPr>
                <w:rFonts w:hint="default" w:ascii="Times New Roman" w:hAnsi="Times New Roman" w:eastAsia="仿宋_GB2312" w:cs="Times New Roman"/>
                <w:color w:val="auto"/>
                <w:kern w:val="0"/>
                <w:szCs w:val="21"/>
                <w:highlight w:val="none"/>
              </w:rPr>
            </w:pPr>
          </w:p>
          <w:p w14:paraId="5C40259E">
            <w:pPr>
              <w:widowControl/>
              <w:spacing w:line="300" w:lineRule="exact"/>
              <w:jc w:val="center"/>
              <w:rPr>
                <w:rFonts w:hint="default" w:ascii="Times New Roman" w:hAnsi="Times New Roman" w:eastAsia="仿宋_GB2312" w:cs="Times New Roman"/>
                <w:color w:val="auto"/>
                <w:kern w:val="0"/>
                <w:szCs w:val="21"/>
                <w:highlight w:val="none"/>
              </w:rPr>
            </w:pPr>
          </w:p>
          <w:p w14:paraId="3FFAFCDC">
            <w:pPr>
              <w:widowControl/>
              <w:spacing w:line="300" w:lineRule="exact"/>
              <w:jc w:val="both"/>
              <w:rPr>
                <w:rFonts w:hint="eastAsia"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rPr>
              <w:t>小麦粉制品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p w14:paraId="0711549D">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0C1B9A9E">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132D770A">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7AF97554">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4EE29CEE">
            <w:pPr>
              <w:widowControl/>
              <w:spacing w:line="300" w:lineRule="exact"/>
              <w:jc w:val="center"/>
              <w:rPr>
                <w:rFonts w:hint="eastAsia" w:ascii="Times New Roman" w:hAnsi="Times New Roman" w:eastAsia="仿宋_GB2312" w:cs="Times New Roman"/>
                <w:color w:val="auto"/>
                <w:kern w:val="0"/>
                <w:szCs w:val="21"/>
                <w:highlight w:val="none"/>
                <w:lang w:eastAsia="zh-CN"/>
              </w:rPr>
            </w:pPr>
          </w:p>
          <w:p w14:paraId="29130EB5">
            <w:pPr>
              <w:widowControl/>
              <w:spacing w:line="300" w:lineRule="exact"/>
              <w:jc w:val="center"/>
              <w:rPr>
                <w:rFonts w:hint="default" w:ascii="Times New Roman" w:hAnsi="Times New Roman" w:eastAsia="仿宋_GB2312" w:cs="Times New Roman"/>
                <w:color w:val="auto"/>
                <w:kern w:val="0"/>
                <w:szCs w:val="21"/>
                <w:highlight w:val="none"/>
              </w:rPr>
            </w:pPr>
          </w:p>
          <w:p w14:paraId="6750E6CA">
            <w:pPr>
              <w:widowControl/>
              <w:spacing w:line="300" w:lineRule="exact"/>
              <w:jc w:val="center"/>
              <w:rPr>
                <w:rFonts w:hint="default" w:ascii="Times New Roman" w:hAnsi="Times New Roman" w:eastAsia="仿宋_GB2312" w:cs="Times New Roman"/>
                <w:color w:val="auto"/>
                <w:kern w:val="0"/>
                <w:szCs w:val="21"/>
                <w:highlight w:val="none"/>
              </w:rPr>
            </w:pPr>
          </w:p>
          <w:p w14:paraId="3CA54C96">
            <w:pPr>
              <w:widowControl/>
              <w:spacing w:line="300" w:lineRule="exact"/>
              <w:jc w:val="center"/>
              <w:rPr>
                <w:rFonts w:hint="default" w:ascii="Times New Roman" w:hAnsi="Times New Roman" w:eastAsia="仿宋_GB2312" w:cs="Times New Roman"/>
                <w:color w:val="auto"/>
                <w:kern w:val="0"/>
                <w:szCs w:val="21"/>
                <w:highlight w:val="none"/>
              </w:rPr>
            </w:pPr>
          </w:p>
          <w:p w14:paraId="0A9D732B">
            <w:pPr>
              <w:widowControl/>
              <w:spacing w:line="300" w:lineRule="exact"/>
              <w:jc w:val="center"/>
              <w:rPr>
                <w:rFonts w:hint="default" w:ascii="Times New Roman" w:hAnsi="Times New Roman" w:eastAsia="仿宋_GB2312" w:cs="Times New Roman"/>
                <w:color w:val="auto"/>
                <w:kern w:val="0"/>
                <w:szCs w:val="21"/>
                <w:highlight w:val="none"/>
              </w:rPr>
            </w:pPr>
          </w:p>
          <w:p w14:paraId="7E88727C">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小麦粉制品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856" w:type="dxa"/>
            <w:noWrap w:val="0"/>
            <w:vAlign w:val="center"/>
          </w:tcPr>
          <w:p w14:paraId="3EF00552">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馒头花卷</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06" w:type="dxa"/>
            <w:noWrap w:val="0"/>
            <w:vAlign w:val="center"/>
          </w:tcPr>
          <w:p w14:paraId="5D2C900D">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6E8D736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糖精钠（以糖精计）、脱氢乙酸及其钠盐（以脱氢乙酸计）、甜蜜素（以环己基氨基磺酸计）、合成着色剂（柠檬黄、日落黄、胭脂红、苋菜红、亮蓝）</w:t>
            </w:r>
          </w:p>
        </w:tc>
        <w:tc>
          <w:tcPr>
            <w:tcW w:w="3450" w:type="dxa"/>
            <w:noWrap w:val="0"/>
            <w:vAlign w:val="center"/>
          </w:tcPr>
          <w:p w14:paraId="160F244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w:t>
            </w:r>
          </w:p>
        </w:tc>
      </w:tr>
      <w:tr w14:paraId="286A3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4" w:hRule="atLeast"/>
        </w:trPr>
        <w:tc>
          <w:tcPr>
            <w:tcW w:w="780" w:type="dxa"/>
            <w:vMerge w:val="continue"/>
            <w:noWrap w:val="0"/>
            <w:vAlign w:val="center"/>
          </w:tcPr>
          <w:p w14:paraId="26188373">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604EE093">
            <w:pPr>
              <w:widowControl/>
              <w:spacing w:line="300" w:lineRule="exact"/>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4DD4C6FB">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750BF95">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2779967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包子（自制）</w:t>
            </w:r>
          </w:p>
        </w:tc>
        <w:tc>
          <w:tcPr>
            <w:tcW w:w="1106" w:type="dxa"/>
            <w:noWrap w:val="0"/>
            <w:vAlign w:val="center"/>
          </w:tcPr>
          <w:p w14:paraId="1E1C77E8">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4310C34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苯甲酸及其钠盐（以苯甲酸计）、山梨酸及其钾盐（以山梨酸计）、糖精钠（以糖精计）、脱氢乙酸及其钠盐（以脱氢乙酸计）、甜蜜素（以环己基氨基磺酸计）</w:t>
            </w:r>
          </w:p>
        </w:tc>
        <w:tc>
          <w:tcPr>
            <w:tcW w:w="3450" w:type="dxa"/>
            <w:noWrap w:val="0"/>
            <w:vAlign w:val="center"/>
          </w:tcPr>
          <w:p w14:paraId="68A059A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2B77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780" w:type="dxa"/>
            <w:vMerge w:val="continue"/>
            <w:noWrap w:val="0"/>
            <w:vAlign w:val="center"/>
          </w:tcPr>
          <w:p w14:paraId="1902DBEB">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05D4098E">
            <w:pPr>
              <w:widowControl/>
              <w:spacing w:line="300" w:lineRule="exact"/>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6229781E">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EDDA794">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0FA0AB5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油饼油条</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06" w:type="dxa"/>
            <w:noWrap w:val="0"/>
            <w:vAlign w:val="center"/>
          </w:tcPr>
          <w:p w14:paraId="25257D0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5214235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铝的残留量（干样品，以Al计）</w:t>
            </w:r>
          </w:p>
        </w:tc>
        <w:tc>
          <w:tcPr>
            <w:tcW w:w="3450" w:type="dxa"/>
            <w:noWrap w:val="0"/>
            <w:vAlign w:val="center"/>
          </w:tcPr>
          <w:p w14:paraId="388BF30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2D78D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trPr>
        <w:tc>
          <w:tcPr>
            <w:tcW w:w="780" w:type="dxa"/>
            <w:vMerge w:val="continue"/>
            <w:noWrap w:val="0"/>
            <w:vAlign w:val="center"/>
          </w:tcPr>
          <w:p w14:paraId="4EADEE5E">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7F53BE7C">
            <w:pPr>
              <w:widowControl/>
              <w:spacing w:line="300" w:lineRule="exact"/>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2AA1E21A">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5B1CC35">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743E3116">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凉皮（</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06" w:type="dxa"/>
            <w:noWrap w:val="0"/>
            <w:vAlign w:val="center"/>
          </w:tcPr>
          <w:p w14:paraId="3E34934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21D127D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脱氢乙酸及其钠盐（以脱氢乙酸计）、合成着色剂（柠檬黄、日落黄）</w:t>
            </w:r>
          </w:p>
        </w:tc>
        <w:tc>
          <w:tcPr>
            <w:tcW w:w="3450" w:type="dxa"/>
            <w:noWrap w:val="0"/>
            <w:vAlign w:val="center"/>
          </w:tcPr>
          <w:p w14:paraId="793A963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D8D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780" w:type="dxa"/>
            <w:vMerge w:val="continue"/>
            <w:noWrap w:val="0"/>
            <w:vAlign w:val="center"/>
          </w:tcPr>
          <w:p w14:paraId="76B65B12">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19851A5F">
            <w:pPr>
              <w:widowControl/>
              <w:spacing w:line="300" w:lineRule="exact"/>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28B67226">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7BCBD0E">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747057B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其他油炸面制品（自制）</w:t>
            </w:r>
          </w:p>
        </w:tc>
        <w:tc>
          <w:tcPr>
            <w:tcW w:w="1106" w:type="dxa"/>
            <w:noWrap w:val="0"/>
            <w:vAlign w:val="center"/>
          </w:tcPr>
          <w:p w14:paraId="7F37D04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3066288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铝的残留量（干样品，以Al计）</w:t>
            </w:r>
          </w:p>
        </w:tc>
        <w:tc>
          <w:tcPr>
            <w:tcW w:w="3450" w:type="dxa"/>
            <w:noWrap w:val="0"/>
            <w:vAlign w:val="center"/>
          </w:tcPr>
          <w:p w14:paraId="62D3219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2D9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2581B0CC">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341EFB48">
            <w:pPr>
              <w:widowControl/>
              <w:spacing w:line="300" w:lineRule="exact"/>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2AED8A0A">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FEAA44F">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491DC73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水饺</w:t>
            </w:r>
            <w:r>
              <w:rPr>
                <w:rFonts w:hint="eastAsia" w:ascii="Times New Roman" w:hAnsi="Times New Roman" w:eastAsia="仿宋_GB2312" w:cs="Times New Roman"/>
                <w:color w:val="auto"/>
                <w:kern w:val="0"/>
                <w:szCs w:val="21"/>
                <w:highlight w:val="none"/>
                <w:lang w:eastAsia="zh-CN"/>
              </w:rPr>
              <w:t>馄饨</w:t>
            </w:r>
            <w:r>
              <w:rPr>
                <w:rFonts w:hint="default" w:ascii="Times New Roman" w:hAnsi="Times New Roman" w:eastAsia="仿宋_GB2312" w:cs="Times New Roman"/>
                <w:color w:val="auto"/>
                <w:kern w:val="0"/>
                <w:szCs w:val="21"/>
                <w:highlight w:val="none"/>
              </w:rPr>
              <w:t>（自制）</w:t>
            </w:r>
          </w:p>
        </w:tc>
        <w:tc>
          <w:tcPr>
            <w:tcW w:w="1106" w:type="dxa"/>
            <w:noWrap w:val="0"/>
            <w:vAlign w:val="center"/>
          </w:tcPr>
          <w:p w14:paraId="62F5C504">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6BE1636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苯甲酸及其钠盐（以苯甲酸计）、山梨酸及其钾盐（以山梨酸计）、脱氢乙酸及其钠盐（以脱氢乙酸计）、合成着色剂（柠檬黄、日落黄、胭脂红、苋菜红、亮蓝）</w:t>
            </w:r>
          </w:p>
        </w:tc>
        <w:tc>
          <w:tcPr>
            <w:tcW w:w="3450" w:type="dxa"/>
            <w:noWrap w:val="0"/>
            <w:vAlign w:val="center"/>
          </w:tcPr>
          <w:p w14:paraId="168833A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465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58636CFD">
            <w:pPr>
              <w:widowControl/>
              <w:spacing w:line="300" w:lineRule="exact"/>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4814E418">
            <w:pPr>
              <w:widowControl/>
              <w:spacing w:line="300" w:lineRule="exact"/>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4F3FAB04">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0FD9562">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31A04AD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其他发酵面制品（自制）</w:t>
            </w:r>
          </w:p>
        </w:tc>
        <w:tc>
          <w:tcPr>
            <w:tcW w:w="1106" w:type="dxa"/>
            <w:noWrap w:val="0"/>
            <w:vAlign w:val="center"/>
          </w:tcPr>
          <w:p w14:paraId="42B2AB6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05F42A8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苯甲酸及其钠盐（以苯甲酸计）、山梨酸及其钾盐（以山梨酸计）、糖精钠（以糖精计）、脱氢乙酸及其钠盐（以脱氢乙酸计）、甜蜜素（以环己基氨基磺酸计）、合成着色剂（柠檬黄、日落黄）</w:t>
            </w:r>
          </w:p>
        </w:tc>
        <w:tc>
          <w:tcPr>
            <w:tcW w:w="3450" w:type="dxa"/>
            <w:noWrap w:val="0"/>
            <w:vAlign w:val="center"/>
          </w:tcPr>
          <w:p w14:paraId="4D7B1D4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15C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vMerge w:val="continue"/>
            <w:noWrap w:val="0"/>
            <w:vAlign w:val="center"/>
          </w:tcPr>
          <w:p w14:paraId="0D8282B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0921F2A1">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top"/>
          </w:tcPr>
          <w:p w14:paraId="3AE4BB81">
            <w:pPr>
              <w:widowControl/>
              <w:spacing w:line="300" w:lineRule="exact"/>
              <w:jc w:val="left"/>
              <w:rPr>
                <w:rFonts w:hint="default" w:ascii="Times New Roman" w:hAnsi="Times New Roman" w:eastAsia="仿宋_GB2312" w:cs="Times New Roman"/>
                <w:color w:val="auto"/>
                <w:kern w:val="0"/>
                <w:szCs w:val="21"/>
                <w:highlight w:val="none"/>
              </w:rPr>
            </w:pPr>
          </w:p>
          <w:p w14:paraId="55D934EA">
            <w:pPr>
              <w:widowControl/>
              <w:spacing w:line="300" w:lineRule="exact"/>
              <w:jc w:val="left"/>
              <w:rPr>
                <w:rFonts w:hint="default" w:ascii="Times New Roman" w:hAnsi="Times New Roman" w:eastAsia="仿宋_GB2312" w:cs="Times New Roman"/>
                <w:color w:val="auto"/>
                <w:kern w:val="0"/>
                <w:szCs w:val="21"/>
                <w:highlight w:val="none"/>
              </w:rPr>
            </w:pPr>
          </w:p>
          <w:p w14:paraId="39F72CCE">
            <w:pPr>
              <w:widowControl/>
              <w:spacing w:line="300" w:lineRule="exact"/>
              <w:jc w:val="left"/>
              <w:rPr>
                <w:rFonts w:hint="default" w:ascii="Times New Roman" w:hAnsi="Times New Roman" w:eastAsia="仿宋_GB2312" w:cs="Times New Roman"/>
                <w:color w:val="auto"/>
                <w:kern w:val="0"/>
                <w:szCs w:val="21"/>
                <w:highlight w:val="none"/>
              </w:rPr>
            </w:pPr>
          </w:p>
          <w:p w14:paraId="7DDFA2B6">
            <w:pPr>
              <w:widowControl/>
              <w:spacing w:line="300" w:lineRule="exact"/>
              <w:jc w:val="left"/>
              <w:rPr>
                <w:rFonts w:hint="default" w:ascii="Times New Roman" w:hAnsi="Times New Roman" w:eastAsia="仿宋_GB2312" w:cs="Times New Roman"/>
                <w:color w:val="auto"/>
                <w:kern w:val="0"/>
                <w:szCs w:val="21"/>
                <w:highlight w:val="none"/>
              </w:rPr>
            </w:pPr>
          </w:p>
          <w:p w14:paraId="50F26452">
            <w:pPr>
              <w:widowControl/>
              <w:spacing w:line="300" w:lineRule="exact"/>
              <w:jc w:val="left"/>
              <w:rPr>
                <w:rFonts w:hint="eastAsia" w:ascii="Times New Roman" w:hAnsi="Times New Roman" w:eastAsia="仿宋_GB2312" w:cs="Times New Roman"/>
                <w:color w:val="auto"/>
                <w:kern w:val="0"/>
                <w:szCs w:val="21"/>
                <w:highlight w:val="none"/>
                <w:lang w:eastAsia="zh-CN"/>
              </w:rPr>
            </w:pPr>
            <w:r>
              <w:rPr>
                <w:rFonts w:hint="default" w:ascii="Times New Roman" w:hAnsi="Times New Roman" w:eastAsia="仿宋_GB2312" w:cs="Times New Roman"/>
                <w:color w:val="auto"/>
                <w:kern w:val="0"/>
                <w:szCs w:val="21"/>
                <w:highlight w:val="none"/>
              </w:rPr>
              <w:t>肉制品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p w14:paraId="558668BC">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38A2BB67">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418FC7CE">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11AE3A35">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1F0D1841">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68443F37">
            <w:pPr>
              <w:widowControl/>
              <w:spacing w:line="300" w:lineRule="exact"/>
              <w:jc w:val="left"/>
              <w:rPr>
                <w:rFonts w:hint="eastAsia" w:ascii="Times New Roman" w:hAnsi="Times New Roman" w:eastAsia="仿宋_GB2312" w:cs="Times New Roman"/>
                <w:color w:val="auto"/>
                <w:kern w:val="0"/>
                <w:szCs w:val="21"/>
                <w:highlight w:val="none"/>
                <w:lang w:eastAsia="zh-CN"/>
              </w:rPr>
            </w:pPr>
          </w:p>
          <w:p w14:paraId="1499B8D9">
            <w:pPr>
              <w:widowControl/>
              <w:spacing w:line="300" w:lineRule="exact"/>
              <w:jc w:val="left"/>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肉制品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44" w:type="dxa"/>
            <w:vMerge w:val="restart"/>
            <w:noWrap w:val="0"/>
            <w:vAlign w:val="center"/>
          </w:tcPr>
          <w:p w14:paraId="40D6F6FF">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熟肉制品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856" w:type="dxa"/>
            <w:noWrap w:val="0"/>
            <w:vAlign w:val="center"/>
          </w:tcPr>
          <w:p w14:paraId="66AF7D73">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熏烧烤肉类（自制）</w:t>
            </w:r>
          </w:p>
        </w:tc>
        <w:tc>
          <w:tcPr>
            <w:tcW w:w="1106" w:type="dxa"/>
            <w:noWrap w:val="0"/>
            <w:vAlign w:val="center"/>
          </w:tcPr>
          <w:p w14:paraId="31CD70F6">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0" w:type="dxa"/>
            <w:noWrap w:val="0"/>
            <w:vAlign w:val="center"/>
          </w:tcPr>
          <w:p w14:paraId="7715384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苯甲酸及其钠盐（以苯甲酸计）、山梨酸及其钾盐（以山梨酸计）、糖精钠（以糖精计）、合成着色剂（柠檬黄、日落黄、胭脂红、苋菜红）、苯并[a]芘、N-二甲基亚硝胺</w:t>
            </w:r>
          </w:p>
        </w:tc>
        <w:tc>
          <w:tcPr>
            <w:tcW w:w="3450" w:type="dxa"/>
            <w:noWrap w:val="0"/>
            <w:vAlign w:val="center"/>
          </w:tcPr>
          <w:p w14:paraId="3673D19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铅（以Pb计）</w:t>
            </w:r>
          </w:p>
        </w:tc>
      </w:tr>
      <w:tr w14:paraId="7DCC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0C5D3DF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6B4D5271">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17D6B609">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42C82830">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3BD6558F">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酱</w:t>
            </w:r>
            <w:r>
              <w:rPr>
                <w:rFonts w:hint="default" w:ascii="Times New Roman" w:hAnsi="Times New Roman" w:eastAsia="仿宋_GB2312" w:cs="Times New Roman"/>
                <w:color w:val="auto"/>
                <w:kern w:val="0"/>
                <w:szCs w:val="21"/>
                <w:highlight w:val="none"/>
              </w:rPr>
              <w:t>卤肉制品</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06" w:type="dxa"/>
            <w:noWrap w:val="0"/>
            <w:vAlign w:val="center"/>
          </w:tcPr>
          <w:p w14:paraId="699B23FF">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0" w:type="dxa"/>
            <w:noWrap w:val="0"/>
            <w:vAlign w:val="center"/>
          </w:tcPr>
          <w:p w14:paraId="51F6947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合成着色剂（柠檬黄、日落黄、胭脂红、苋菜红）</w:t>
            </w:r>
          </w:p>
        </w:tc>
        <w:tc>
          <w:tcPr>
            <w:tcW w:w="3450" w:type="dxa"/>
            <w:noWrap w:val="0"/>
            <w:vAlign w:val="center"/>
          </w:tcPr>
          <w:p w14:paraId="6CA2B2F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FCC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6A90B3E6">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6E26EB4F">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7D410C3D">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92D3945">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201F5EF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油炸肉制品</w:t>
            </w:r>
          </w:p>
          <w:p w14:paraId="6C319EB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（自制）</w:t>
            </w:r>
          </w:p>
        </w:tc>
        <w:tc>
          <w:tcPr>
            <w:tcW w:w="1106" w:type="dxa"/>
            <w:noWrap w:val="0"/>
            <w:vAlign w:val="center"/>
          </w:tcPr>
          <w:p w14:paraId="684E85FB">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0" w:type="dxa"/>
            <w:noWrap w:val="0"/>
            <w:vAlign w:val="center"/>
          </w:tcPr>
          <w:p w14:paraId="215C2FF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苯甲酸及其钠盐（以苯甲酸计）、山梨酸及其钾盐（以山梨酸计）、脱氢乙酸及其钠盐（以脱氢乙酸计）、合成着色剂（柠檬黄、日落黄、胭脂红、苋菜红）</w:t>
            </w:r>
          </w:p>
        </w:tc>
        <w:tc>
          <w:tcPr>
            <w:tcW w:w="3450" w:type="dxa"/>
            <w:noWrap w:val="0"/>
            <w:vAlign w:val="center"/>
          </w:tcPr>
          <w:p w14:paraId="2BC43E2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4DE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0744BF8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7D91588A">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0892E8FD">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noWrap w:val="0"/>
            <w:vAlign w:val="center"/>
          </w:tcPr>
          <w:p w14:paraId="613948E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预制肉类（自制）</w:t>
            </w:r>
          </w:p>
        </w:tc>
        <w:tc>
          <w:tcPr>
            <w:tcW w:w="1856" w:type="dxa"/>
            <w:noWrap w:val="0"/>
            <w:vAlign w:val="center"/>
          </w:tcPr>
          <w:p w14:paraId="024880B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肉糜制品（自制）</w:t>
            </w:r>
          </w:p>
        </w:tc>
        <w:tc>
          <w:tcPr>
            <w:tcW w:w="1106" w:type="dxa"/>
            <w:noWrap w:val="0"/>
            <w:vAlign w:val="center"/>
          </w:tcPr>
          <w:p w14:paraId="3CD5BD3C">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0" w:type="dxa"/>
            <w:noWrap w:val="0"/>
            <w:vAlign w:val="center"/>
          </w:tcPr>
          <w:p w14:paraId="03C987E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苯甲酸及其钠盐（以苯甲酸计）、山梨酸及其钾盐（以山梨酸计）、脱氢乙酸及其钠盐（以脱氢乙酸计）、防腐剂混合使用时各自用量占其最大使用量的比例之和、合成着色剂（柠檬黄 、日落黄、胭脂红）</w:t>
            </w:r>
          </w:p>
        </w:tc>
        <w:tc>
          <w:tcPr>
            <w:tcW w:w="3450" w:type="dxa"/>
            <w:noWrap w:val="0"/>
            <w:vAlign w:val="center"/>
          </w:tcPr>
          <w:p w14:paraId="3FB064B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50F0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1" w:hRule="atLeast"/>
        </w:trPr>
        <w:tc>
          <w:tcPr>
            <w:tcW w:w="780" w:type="dxa"/>
            <w:vMerge w:val="continue"/>
            <w:noWrap w:val="0"/>
            <w:vAlign w:val="center"/>
          </w:tcPr>
          <w:p w14:paraId="5F32F7D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1F7D95E3">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top"/>
          </w:tcPr>
          <w:p w14:paraId="686E260B">
            <w:pPr>
              <w:widowControl/>
              <w:spacing w:line="300" w:lineRule="exact"/>
              <w:jc w:val="left"/>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调味料</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44" w:type="dxa"/>
            <w:vMerge w:val="restart"/>
            <w:noWrap w:val="0"/>
            <w:vAlign w:val="center"/>
          </w:tcPr>
          <w:p w14:paraId="3F24108E">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调味料</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856" w:type="dxa"/>
            <w:noWrap w:val="0"/>
            <w:vAlign w:val="center"/>
          </w:tcPr>
          <w:p w14:paraId="2DDE504C">
            <w:pPr>
              <w:widowControl/>
              <w:spacing w:line="300" w:lineRule="exact"/>
              <w:jc w:val="center"/>
              <w:rPr>
                <w:rFonts w:hint="eastAsia"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火锅麻辣烫底料</w:t>
            </w:r>
            <w:r>
              <w:rPr>
                <w:rFonts w:hint="eastAsia" w:ascii="Times New Roman" w:hAnsi="Times New Roman" w:eastAsia="仿宋_GB2312" w:cs="Times New Roman"/>
                <w:color w:val="auto"/>
                <w:kern w:val="0"/>
                <w:szCs w:val="21"/>
                <w:highlight w:val="none"/>
                <w:lang w:eastAsia="zh-CN"/>
              </w:rPr>
              <w:t>（</w:t>
            </w:r>
            <w:r>
              <w:rPr>
                <w:rFonts w:hint="default" w:ascii="Times New Roman" w:hAnsi="Times New Roman" w:eastAsia="仿宋_GB2312" w:cs="Times New Roman"/>
                <w:color w:val="auto"/>
                <w:kern w:val="0"/>
                <w:szCs w:val="21"/>
                <w:highlight w:val="none"/>
              </w:rPr>
              <w:t>自制</w:t>
            </w:r>
            <w:r>
              <w:rPr>
                <w:rFonts w:hint="eastAsia" w:ascii="Times New Roman" w:hAnsi="Times New Roman" w:eastAsia="仿宋_GB2312" w:cs="Times New Roman"/>
                <w:color w:val="auto"/>
                <w:kern w:val="0"/>
                <w:szCs w:val="21"/>
                <w:highlight w:val="none"/>
                <w:lang w:eastAsia="zh-CN"/>
              </w:rPr>
              <w:t>）</w:t>
            </w:r>
          </w:p>
        </w:tc>
        <w:tc>
          <w:tcPr>
            <w:tcW w:w="1106" w:type="dxa"/>
            <w:noWrap w:val="0"/>
            <w:vAlign w:val="center"/>
          </w:tcPr>
          <w:p w14:paraId="17021B2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1DF67B5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罂粟碱、吗啡、可待因、那可丁</w:t>
            </w:r>
          </w:p>
        </w:tc>
        <w:tc>
          <w:tcPr>
            <w:tcW w:w="3450" w:type="dxa"/>
            <w:noWrap w:val="0"/>
            <w:vAlign w:val="center"/>
          </w:tcPr>
          <w:p w14:paraId="77400D9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F0C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780" w:type="dxa"/>
            <w:vMerge w:val="continue"/>
            <w:noWrap w:val="0"/>
            <w:vAlign w:val="center"/>
          </w:tcPr>
          <w:p w14:paraId="31674B83">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7B2DF642">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38FA99A0">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D300455">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3DA1BF5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蘸料（自制）</w:t>
            </w:r>
          </w:p>
        </w:tc>
        <w:tc>
          <w:tcPr>
            <w:tcW w:w="1106" w:type="dxa"/>
            <w:noWrap w:val="0"/>
            <w:vAlign w:val="center"/>
          </w:tcPr>
          <w:p w14:paraId="4490A1F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2C91826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罂粟碱、吗啡、可待因、那可丁</w:t>
            </w:r>
          </w:p>
        </w:tc>
        <w:tc>
          <w:tcPr>
            <w:tcW w:w="3450" w:type="dxa"/>
            <w:noWrap w:val="0"/>
            <w:vAlign w:val="center"/>
          </w:tcPr>
          <w:p w14:paraId="37E8465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AB9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7BB9EA6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48F5629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2D2041F1">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43BA5F14">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154017C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其他调味料（自</w:t>
            </w:r>
          </w:p>
          <w:p w14:paraId="6ACF854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制）</w:t>
            </w:r>
          </w:p>
        </w:tc>
        <w:tc>
          <w:tcPr>
            <w:tcW w:w="1106" w:type="dxa"/>
            <w:noWrap w:val="0"/>
            <w:vAlign w:val="center"/>
          </w:tcPr>
          <w:p w14:paraId="413CBBD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61E21AF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罂粟碱、吗啡、可待因、那可丁</w:t>
            </w:r>
          </w:p>
        </w:tc>
        <w:tc>
          <w:tcPr>
            <w:tcW w:w="3450" w:type="dxa"/>
            <w:noWrap w:val="0"/>
            <w:vAlign w:val="center"/>
          </w:tcPr>
          <w:p w14:paraId="1A43008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5C2E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7393B2F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3AB86B63">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top"/>
          </w:tcPr>
          <w:p w14:paraId="6BC4D092">
            <w:pPr>
              <w:widowControl/>
              <w:spacing w:line="300" w:lineRule="exact"/>
              <w:jc w:val="left"/>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预制</w:t>
            </w:r>
            <w:r>
              <w:rPr>
                <w:rFonts w:hint="default" w:ascii="Times New Roman" w:hAnsi="Times New Roman" w:eastAsia="仿宋_GB2312" w:cs="Times New Roman"/>
                <w:color w:val="auto"/>
                <w:kern w:val="0"/>
                <w:szCs w:val="21"/>
                <w:highlight w:val="none"/>
              </w:rPr>
              <w:t>水产制品（自制）</w:t>
            </w:r>
          </w:p>
        </w:tc>
        <w:tc>
          <w:tcPr>
            <w:tcW w:w="1144" w:type="dxa"/>
            <w:noWrap w:val="0"/>
            <w:vAlign w:val="center"/>
          </w:tcPr>
          <w:p w14:paraId="71A38A9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预制水产制品（自制）</w:t>
            </w:r>
          </w:p>
        </w:tc>
        <w:tc>
          <w:tcPr>
            <w:tcW w:w="1856" w:type="dxa"/>
            <w:noWrap w:val="0"/>
            <w:vAlign w:val="center"/>
          </w:tcPr>
          <w:p w14:paraId="7623473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生食动物性水产品（自制）</w:t>
            </w:r>
          </w:p>
        </w:tc>
        <w:tc>
          <w:tcPr>
            <w:tcW w:w="1106" w:type="dxa"/>
            <w:noWrap w:val="0"/>
            <w:vAlign w:val="center"/>
          </w:tcPr>
          <w:p w14:paraId="3B79C818">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0" w:type="dxa"/>
            <w:noWrap w:val="0"/>
            <w:vAlign w:val="center"/>
          </w:tcPr>
          <w:p w14:paraId="3AA0877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铝的残留量（以即食海蜇中Al计）</w:t>
            </w:r>
          </w:p>
        </w:tc>
        <w:tc>
          <w:tcPr>
            <w:tcW w:w="3450" w:type="dxa"/>
            <w:noWrap w:val="0"/>
            <w:vAlign w:val="center"/>
          </w:tcPr>
          <w:p w14:paraId="230F0E5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1BDB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trPr>
        <w:tc>
          <w:tcPr>
            <w:tcW w:w="780" w:type="dxa"/>
            <w:vMerge w:val="continue"/>
            <w:noWrap w:val="0"/>
            <w:vAlign w:val="center"/>
          </w:tcPr>
          <w:p w14:paraId="06499AB9">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09C0E6C0">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top"/>
          </w:tcPr>
          <w:p w14:paraId="3FBE736D">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坚果及籽类食品（自制）</w:t>
            </w:r>
          </w:p>
        </w:tc>
        <w:tc>
          <w:tcPr>
            <w:tcW w:w="1144" w:type="dxa"/>
            <w:noWrap w:val="0"/>
            <w:vAlign w:val="center"/>
          </w:tcPr>
          <w:p w14:paraId="5D1CECB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坚果及籽类食品（自制）</w:t>
            </w:r>
          </w:p>
        </w:tc>
        <w:tc>
          <w:tcPr>
            <w:tcW w:w="1856" w:type="dxa"/>
            <w:noWrap w:val="0"/>
            <w:vAlign w:val="center"/>
          </w:tcPr>
          <w:p w14:paraId="6D2B8D1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花生制品（自制）</w:t>
            </w:r>
          </w:p>
        </w:tc>
        <w:tc>
          <w:tcPr>
            <w:tcW w:w="1106" w:type="dxa"/>
            <w:noWrap w:val="0"/>
            <w:vAlign w:val="center"/>
          </w:tcPr>
          <w:p w14:paraId="2045CE99">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6FAA29E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黄曲霉毒素B₁、苯甲酸及其钠盐（以苯甲酸计）、山梨酸及其钾盐（以山梨酸计）、脱氢乙酸及其钠盐（以脱氢乙酸计）</w:t>
            </w:r>
          </w:p>
        </w:tc>
        <w:tc>
          <w:tcPr>
            <w:tcW w:w="3450" w:type="dxa"/>
            <w:noWrap w:val="0"/>
            <w:vAlign w:val="center"/>
          </w:tcPr>
          <w:p w14:paraId="09BB18C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F8DA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trPr>
        <w:tc>
          <w:tcPr>
            <w:tcW w:w="780" w:type="dxa"/>
            <w:vMerge w:val="continue"/>
            <w:noWrap w:val="0"/>
            <w:vAlign w:val="center"/>
          </w:tcPr>
          <w:p w14:paraId="4CD1AE76">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447819DA">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top"/>
          </w:tcPr>
          <w:p w14:paraId="020EB158">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焙烤食 </w:t>
            </w:r>
          </w:p>
          <w:p w14:paraId="7339BE66">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品（自 </w:t>
            </w:r>
          </w:p>
          <w:p w14:paraId="2EA293EB">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制）</w:t>
            </w:r>
          </w:p>
        </w:tc>
        <w:tc>
          <w:tcPr>
            <w:tcW w:w="1144" w:type="dxa"/>
            <w:noWrap w:val="0"/>
            <w:vAlign w:val="center"/>
          </w:tcPr>
          <w:p w14:paraId="48C40469">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焙烤食品 </w:t>
            </w:r>
          </w:p>
          <w:p w14:paraId="4CE86E23">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（自制）</w:t>
            </w:r>
          </w:p>
        </w:tc>
        <w:tc>
          <w:tcPr>
            <w:tcW w:w="1856" w:type="dxa"/>
            <w:noWrap w:val="0"/>
            <w:vAlign w:val="center"/>
          </w:tcPr>
          <w:p w14:paraId="4B33FAB5">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糕点（自制）</w:t>
            </w:r>
          </w:p>
        </w:tc>
        <w:tc>
          <w:tcPr>
            <w:tcW w:w="1106" w:type="dxa"/>
            <w:noWrap w:val="0"/>
            <w:vAlign w:val="center"/>
          </w:tcPr>
          <w:p w14:paraId="71E60B98">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266AF4DA">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酸价（以脂肪计）（KOH）、过氧化值（以 </w:t>
            </w:r>
          </w:p>
          <w:p w14:paraId="2AAFA9E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脂肪计）、山梨酸及其钾盐（以山梨酸计）、 </w:t>
            </w:r>
          </w:p>
          <w:p w14:paraId="5DD2411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脱氢乙酸及其钠盐（以脱氢乙酸计）、铝的残留量（干样品，以AI计）、防腐剂混合使用时各自用量占其最大使用量的比例之和</w:t>
            </w:r>
          </w:p>
        </w:tc>
        <w:tc>
          <w:tcPr>
            <w:tcW w:w="3450" w:type="dxa"/>
            <w:noWrap w:val="0"/>
            <w:vAlign w:val="center"/>
          </w:tcPr>
          <w:p w14:paraId="656E2D5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糖精钠（以糖精计）</w:t>
            </w:r>
          </w:p>
        </w:tc>
      </w:tr>
      <w:tr w14:paraId="271E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trPr>
        <w:tc>
          <w:tcPr>
            <w:tcW w:w="780" w:type="dxa"/>
            <w:vMerge w:val="continue"/>
            <w:noWrap w:val="0"/>
            <w:vAlign w:val="center"/>
          </w:tcPr>
          <w:p w14:paraId="6F588958">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2D0CB75C">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top"/>
          </w:tcPr>
          <w:p w14:paraId="639AED3B">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食用油、油脂及 其制品 （自制）</w:t>
            </w:r>
          </w:p>
        </w:tc>
        <w:tc>
          <w:tcPr>
            <w:tcW w:w="1144" w:type="dxa"/>
            <w:noWrap w:val="0"/>
            <w:vAlign w:val="center"/>
          </w:tcPr>
          <w:p w14:paraId="69F27876">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食用油、油脂及其制品（自制）</w:t>
            </w:r>
          </w:p>
        </w:tc>
        <w:tc>
          <w:tcPr>
            <w:tcW w:w="1856" w:type="dxa"/>
            <w:noWrap w:val="0"/>
            <w:vAlign w:val="center"/>
          </w:tcPr>
          <w:p w14:paraId="3B11442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煎炸过程用油</w:t>
            </w:r>
          </w:p>
        </w:tc>
        <w:tc>
          <w:tcPr>
            <w:tcW w:w="1106" w:type="dxa"/>
            <w:noWrap w:val="0"/>
            <w:vAlign w:val="center"/>
          </w:tcPr>
          <w:p w14:paraId="71C311D0">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6B6A12E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极性组分、酸价（以脂肪计）（KOH）</w:t>
            </w:r>
          </w:p>
        </w:tc>
        <w:tc>
          <w:tcPr>
            <w:tcW w:w="3450" w:type="dxa"/>
            <w:noWrap w:val="0"/>
            <w:vAlign w:val="center"/>
          </w:tcPr>
          <w:p w14:paraId="30D481D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0737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trPr>
        <w:tc>
          <w:tcPr>
            <w:tcW w:w="780" w:type="dxa"/>
            <w:vMerge w:val="continue"/>
            <w:noWrap w:val="0"/>
            <w:vAlign w:val="center"/>
          </w:tcPr>
          <w:p w14:paraId="430A1A0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75514941">
            <w:pPr>
              <w:widowControl/>
              <w:jc w:val="left"/>
              <w:rPr>
                <w:rFonts w:hint="default" w:ascii="Times New Roman" w:hAnsi="Times New Roman" w:eastAsia="仿宋_GB2312" w:cs="Times New Roman"/>
                <w:color w:val="auto"/>
                <w:kern w:val="0"/>
                <w:szCs w:val="21"/>
                <w:highlight w:val="none"/>
              </w:rPr>
            </w:pPr>
          </w:p>
        </w:tc>
        <w:tc>
          <w:tcPr>
            <w:tcW w:w="1256" w:type="dxa"/>
            <w:noWrap w:val="0"/>
            <w:vAlign w:val="top"/>
          </w:tcPr>
          <w:p w14:paraId="36782FC5">
            <w:pPr>
              <w:widowControl/>
              <w:spacing w:line="300" w:lineRule="exact"/>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淀粉制品（自制）</w:t>
            </w:r>
          </w:p>
        </w:tc>
        <w:tc>
          <w:tcPr>
            <w:tcW w:w="1144" w:type="dxa"/>
            <w:noWrap w:val="0"/>
            <w:vAlign w:val="center"/>
          </w:tcPr>
          <w:p w14:paraId="64B432B7">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粉丝粉条 </w:t>
            </w:r>
          </w:p>
          <w:p w14:paraId="5E9642DE">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（自制）</w:t>
            </w:r>
          </w:p>
        </w:tc>
        <w:tc>
          <w:tcPr>
            <w:tcW w:w="1856" w:type="dxa"/>
            <w:noWrap w:val="0"/>
            <w:vAlign w:val="center"/>
          </w:tcPr>
          <w:p w14:paraId="79179331">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 xml:space="preserve">粉丝粉条 </w:t>
            </w:r>
          </w:p>
          <w:p w14:paraId="46FB4AD8">
            <w:pPr>
              <w:widowControl/>
              <w:spacing w:line="300" w:lineRule="exact"/>
              <w:jc w:val="center"/>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（自制）</w:t>
            </w:r>
          </w:p>
        </w:tc>
        <w:tc>
          <w:tcPr>
            <w:tcW w:w="1106" w:type="dxa"/>
            <w:noWrap w:val="0"/>
            <w:vAlign w:val="center"/>
          </w:tcPr>
          <w:p w14:paraId="25E11AF8">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651318F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铝的残留量（干样品，以Al计）、脱氢乙酸及其钠盐（以脱氢乙酸计）</w:t>
            </w:r>
          </w:p>
        </w:tc>
        <w:tc>
          <w:tcPr>
            <w:tcW w:w="3450" w:type="dxa"/>
            <w:noWrap w:val="0"/>
            <w:vAlign w:val="center"/>
          </w:tcPr>
          <w:p w14:paraId="3EB6F4F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462A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trPr>
        <w:tc>
          <w:tcPr>
            <w:tcW w:w="780" w:type="dxa"/>
            <w:vMerge w:val="continue"/>
            <w:noWrap w:val="0"/>
            <w:vAlign w:val="center"/>
          </w:tcPr>
          <w:p w14:paraId="3728FEB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6F37E465">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top"/>
          </w:tcPr>
          <w:p w14:paraId="4C5E9FAE">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饮料（自制）</w:t>
            </w:r>
          </w:p>
        </w:tc>
        <w:tc>
          <w:tcPr>
            <w:tcW w:w="1144" w:type="dxa"/>
            <w:vMerge w:val="restart"/>
            <w:noWrap w:val="0"/>
            <w:vAlign w:val="center"/>
          </w:tcPr>
          <w:p w14:paraId="3C46BB3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饮料（自制）</w:t>
            </w:r>
          </w:p>
        </w:tc>
        <w:tc>
          <w:tcPr>
            <w:tcW w:w="1856" w:type="dxa"/>
            <w:noWrap w:val="0"/>
            <w:vAlign w:val="center"/>
          </w:tcPr>
          <w:p w14:paraId="3719571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奶茶（自制）</w:t>
            </w:r>
          </w:p>
        </w:tc>
        <w:tc>
          <w:tcPr>
            <w:tcW w:w="1106" w:type="dxa"/>
            <w:noWrap w:val="0"/>
            <w:vAlign w:val="center"/>
          </w:tcPr>
          <w:p w14:paraId="326DC89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4B8071C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脱氢乙酸及其钠盐（以脱氢乙酸计）、糖精钠（以糖精计）、合成着色剂（苋菜红、胭脂红、柠檬黄、日落黄、亮蓝）</w:t>
            </w:r>
          </w:p>
        </w:tc>
        <w:tc>
          <w:tcPr>
            <w:tcW w:w="3450" w:type="dxa"/>
            <w:noWrap w:val="0"/>
            <w:vAlign w:val="center"/>
          </w:tcPr>
          <w:p w14:paraId="78FDDE4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07F8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4" w:hRule="atLeast"/>
        </w:trPr>
        <w:tc>
          <w:tcPr>
            <w:tcW w:w="780" w:type="dxa"/>
            <w:vMerge w:val="continue"/>
            <w:noWrap w:val="0"/>
            <w:vAlign w:val="center"/>
          </w:tcPr>
          <w:p w14:paraId="010FA0F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12867DEB">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55C746F7">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DEC7701">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72E46F54">
            <w:pPr>
              <w:widowControl/>
              <w:spacing w:line="300" w:lineRule="exact"/>
              <w:jc w:val="center"/>
              <w:rPr>
                <w:rFonts w:hint="eastAsia"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rPr>
              <w:t>豆浆（自制</w:t>
            </w:r>
            <w:r>
              <w:rPr>
                <w:rFonts w:hint="eastAsia" w:ascii="Times New Roman" w:hAnsi="Times New Roman" w:eastAsia="仿宋_GB2312" w:cs="Times New Roman"/>
                <w:color w:val="auto"/>
                <w:kern w:val="0"/>
                <w:szCs w:val="21"/>
                <w:highlight w:val="none"/>
                <w:lang w:val="en-US" w:eastAsia="zh-CN"/>
              </w:rPr>
              <w:t>）</w:t>
            </w:r>
          </w:p>
        </w:tc>
        <w:tc>
          <w:tcPr>
            <w:tcW w:w="1106" w:type="dxa"/>
            <w:noWrap w:val="0"/>
            <w:vAlign w:val="center"/>
          </w:tcPr>
          <w:p w14:paraId="2E83EB3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401B46E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糖精钠（以糖精计）、甜蜜素（以环己基氨基磺酸计）、安赛蜜、三氯蔗糖、苯甲酸及其钠盐（以苯甲酸计）、山梨酸及其钾盐（以山梨酸计）</w:t>
            </w:r>
          </w:p>
        </w:tc>
        <w:tc>
          <w:tcPr>
            <w:tcW w:w="3450" w:type="dxa"/>
            <w:noWrap w:val="0"/>
            <w:vAlign w:val="center"/>
          </w:tcPr>
          <w:p w14:paraId="1DC4695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5F9B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0722D1D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0B48C88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4BEF3008">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447141C7">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0B64AFF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果蔬汁类及其</w:t>
            </w:r>
          </w:p>
          <w:p w14:paraId="791025F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饮料（自制）</w:t>
            </w:r>
          </w:p>
        </w:tc>
        <w:tc>
          <w:tcPr>
            <w:tcW w:w="1106" w:type="dxa"/>
            <w:noWrap w:val="0"/>
            <w:vAlign w:val="center"/>
          </w:tcPr>
          <w:p w14:paraId="5A73DE7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7B070580">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安赛蜜、三氯蔗糖、糖精钠（以糖精计）、甜蜜素（以环己基氨基磺酸计）、合成着色剂（苋菜红、胭脂红、柠檬黄、日落黄、亮蓝）</w:t>
            </w:r>
          </w:p>
        </w:tc>
        <w:tc>
          <w:tcPr>
            <w:tcW w:w="3450" w:type="dxa"/>
            <w:noWrap w:val="0"/>
            <w:vAlign w:val="center"/>
          </w:tcPr>
          <w:p w14:paraId="6AB2D2B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49887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1BA3ECAF">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6C1A2F2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19B40354">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44B5AB53">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6E8C13A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其他饮料（自</w:t>
            </w:r>
          </w:p>
          <w:p w14:paraId="668251C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制）</w:t>
            </w:r>
          </w:p>
        </w:tc>
        <w:tc>
          <w:tcPr>
            <w:tcW w:w="1106" w:type="dxa"/>
            <w:noWrap w:val="0"/>
            <w:vAlign w:val="center"/>
          </w:tcPr>
          <w:p w14:paraId="3D36B66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461EE9A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安赛蜜、三氯蔗糖、糖精钠（以糖精计）、甜蜜素（以环己基氨基磺酸计）、合成着色剂（苋菜红、胭脂红、柠檬黄、日落黄、亮蓝）</w:t>
            </w:r>
          </w:p>
        </w:tc>
        <w:tc>
          <w:tcPr>
            <w:tcW w:w="3450" w:type="dxa"/>
            <w:noWrap w:val="0"/>
            <w:vAlign w:val="center"/>
          </w:tcPr>
          <w:p w14:paraId="02F7800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B81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00B6913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02D245ED">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top"/>
          </w:tcPr>
          <w:p w14:paraId="4C902E6A">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餐饮具</w:t>
            </w:r>
          </w:p>
        </w:tc>
        <w:tc>
          <w:tcPr>
            <w:tcW w:w="1144" w:type="dxa"/>
            <w:vMerge w:val="restart"/>
            <w:noWrap w:val="0"/>
            <w:vAlign w:val="center"/>
          </w:tcPr>
          <w:p w14:paraId="58B3F4F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复用餐饮具</w:t>
            </w:r>
          </w:p>
        </w:tc>
        <w:tc>
          <w:tcPr>
            <w:tcW w:w="1856" w:type="dxa"/>
            <w:noWrap w:val="0"/>
            <w:vAlign w:val="center"/>
          </w:tcPr>
          <w:p w14:paraId="442AD673">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复用餐饮具</w:t>
            </w:r>
          </w:p>
          <w:p w14:paraId="47EFA1D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（餐馆自行消毒）</w:t>
            </w:r>
          </w:p>
        </w:tc>
        <w:tc>
          <w:tcPr>
            <w:tcW w:w="1106" w:type="dxa"/>
            <w:noWrap w:val="0"/>
            <w:vAlign w:val="center"/>
          </w:tcPr>
          <w:p w14:paraId="425A2877">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较</w:t>
            </w:r>
            <w:r>
              <w:rPr>
                <w:rFonts w:hint="default" w:ascii="Times New Roman" w:hAnsi="Times New Roman" w:eastAsia="仿宋_GB2312" w:cs="Times New Roman"/>
                <w:color w:val="auto"/>
                <w:kern w:val="0"/>
                <w:szCs w:val="21"/>
                <w:highlight w:val="none"/>
              </w:rPr>
              <w:t>高</w:t>
            </w:r>
          </w:p>
        </w:tc>
        <w:tc>
          <w:tcPr>
            <w:tcW w:w="4370" w:type="dxa"/>
            <w:noWrap w:val="0"/>
            <w:vAlign w:val="center"/>
          </w:tcPr>
          <w:p w14:paraId="32FEA22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阴离子合成洗涤剂（以十二烷基苯磺酸钠计）、大肠菌群</w:t>
            </w:r>
          </w:p>
        </w:tc>
        <w:tc>
          <w:tcPr>
            <w:tcW w:w="3450" w:type="dxa"/>
            <w:noWrap w:val="0"/>
            <w:vAlign w:val="center"/>
          </w:tcPr>
          <w:p w14:paraId="2EE4CDC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1812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51308190">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6CE10C4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top"/>
          </w:tcPr>
          <w:p w14:paraId="72E977E7">
            <w:pPr>
              <w:widowControl/>
              <w:spacing w:line="300" w:lineRule="exact"/>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75AB1E6">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117B4E8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复用餐饮具</w:t>
            </w:r>
          </w:p>
          <w:p w14:paraId="6A87904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（集中清洗消</w:t>
            </w:r>
          </w:p>
          <w:p w14:paraId="165B175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毒服务单位消毒）</w:t>
            </w:r>
          </w:p>
        </w:tc>
        <w:tc>
          <w:tcPr>
            <w:tcW w:w="1106" w:type="dxa"/>
            <w:noWrap w:val="0"/>
            <w:vAlign w:val="center"/>
          </w:tcPr>
          <w:p w14:paraId="157B2AD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57FD3B5F">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阴离子合成洗涤剂（以十二烷基苯磺酸钠计）、大肠菌群</w:t>
            </w:r>
          </w:p>
        </w:tc>
        <w:tc>
          <w:tcPr>
            <w:tcW w:w="3450" w:type="dxa"/>
            <w:noWrap w:val="0"/>
            <w:vAlign w:val="center"/>
          </w:tcPr>
          <w:p w14:paraId="0D2635D5">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AA3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51" w:hRule="atLeast"/>
        </w:trPr>
        <w:tc>
          <w:tcPr>
            <w:tcW w:w="780" w:type="dxa"/>
            <w:vMerge w:val="continue"/>
            <w:noWrap w:val="0"/>
            <w:vAlign w:val="center"/>
          </w:tcPr>
          <w:p w14:paraId="76BE91F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top"/>
          </w:tcPr>
          <w:p w14:paraId="015B9AEF">
            <w:pPr>
              <w:widowControl/>
              <w:jc w:val="left"/>
              <w:rPr>
                <w:rFonts w:hint="default" w:ascii="Times New Roman" w:hAnsi="Times New Roman" w:eastAsia="仿宋_GB2312" w:cs="Times New Roman"/>
                <w:color w:val="auto"/>
                <w:kern w:val="0"/>
                <w:szCs w:val="21"/>
                <w:highlight w:val="none"/>
              </w:rPr>
            </w:pPr>
          </w:p>
        </w:tc>
        <w:tc>
          <w:tcPr>
            <w:tcW w:w="1256" w:type="dxa"/>
            <w:vMerge w:val="restart"/>
            <w:noWrap w:val="0"/>
            <w:vAlign w:val="top"/>
          </w:tcPr>
          <w:p w14:paraId="08CBF36D">
            <w:pPr>
              <w:widowControl/>
              <w:spacing w:line="300" w:lineRule="exact"/>
              <w:jc w:val="left"/>
              <w:rPr>
                <w:rFonts w:hint="default" w:ascii="Times New Roman" w:hAnsi="Times New Roman" w:eastAsia="仿宋_GB2312" w:cs="Times New Roman"/>
                <w:color w:val="auto"/>
                <w:kern w:val="0"/>
                <w:szCs w:val="21"/>
                <w:highlight w:val="none"/>
                <w:lang w:val="en-US" w:eastAsia="zh-CN"/>
              </w:rPr>
            </w:pPr>
          </w:p>
          <w:p w14:paraId="1B05DFD0">
            <w:pPr>
              <w:widowControl/>
              <w:spacing w:line="300" w:lineRule="exact"/>
              <w:jc w:val="left"/>
              <w:rPr>
                <w:rFonts w:hint="default" w:ascii="Times New Roman" w:hAnsi="Times New Roman" w:eastAsia="仿宋_GB2312" w:cs="Times New Roman"/>
                <w:color w:val="auto"/>
                <w:kern w:val="0"/>
                <w:szCs w:val="21"/>
                <w:highlight w:val="none"/>
                <w:lang w:val="en-US" w:eastAsia="zh-CN"/>
              </w:rPr>
            </w:pPr>
          </w:p>
          <w:p w14:paraId="117D3E31">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果蔬类 </w:t>
            </w:r>
          </w:p>
          <w:p w14:paraId="2AEABB38">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 xml:space="preserve">制品（自 </w:t>
            </w:r>
          </w:p>
          <w:p w14:paraId="4F95D362">
            <w:pPr>
              <w:widowControl/>
              <w:spacing w:line="300" w:lineRule="exact"/>
              <w:jc w:val="left"/>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制）</w:t>
            </w:r>
          </w:p>
        </w:tc>
        <w:tc>
          <w:tcPr>
            <w:tcW w:w="1144" w:type="dxa"/>
            <w:noWrap w:val="0"/>
            <w:vAlign w:val="center"/>
          </w:tcPr>
          <w:p w14:paraId="50ACEFC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蔬菜类制品（自制）</w:t>
            </w:r>
          </w:p>
        </w:tc>
        <w:tc>
          <w:tcPr>
            <w:tcW w:w="1856" w:type="dxa"/>
            <w:noWrap w:val="0"/>
            <w:vAlign w:val="center"/>
          </w:tcPr>
          <w:p w14:paraId="3BB5DCD1">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酱腌菜</w:t>
            </w:r>
            <w:r>
              <w:rPr>
                <w:rFonts w:hint="default" w:ascii="Times New Roman" w:hAnsi="Times New Roman" w:eastAsia="仿宋_GB2312" w:cs="Times New Roman"/>
                <w:color w:val="auto"/>
                <w:kern w:val="0"/>
                <w:szCs w:val="21"/>
                <w:highlight w:val="none"/>
              </w:rPr>
              <w:t>（自制）</w:t>
            </w:r>
          </w:p>
        </w:tc>
        <w:tc>
          <w:tcPr>
            <w:tcW w:w="1106" w:type="dxa"/>
            <w:noWrap w:val="0"/>
            <w:vAlign w:val="center"/>
          </w:tcPr>
          <w:p w14:paraId="53FA697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2886610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二氧化硫残留量、甜蜜素（以环己基氨基磺酸计）、糖精钠（以糖精计）、苯甲酸及其钠盐（以苯甲酸计）、山梨酸及其钾盐（以山梨酸计）、脱氢乙酸及其钠盐（以脱氢乙酸计）</w:t>
            </w:r>
          </w:p>
        </w:tc>
        <w:tc>
          <w:tcPr>
            <w:tcW w:w="3450" w:type="dxa"/>
            <w:noWrap w:val="0"/>
            <w:vAlign w:val="center"/>
          </w:tcPr>
          <w:p w14:paraId="3C993A6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534F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9" w:hRule="atLeast"/>
        </w:trPr>
        <w:tc>
          <w:tcPr>
            <w:tcW w:w="780" w:type="dxa"/>
            <w:vMerge w:val="continue"/>
            <w:noWrap w:val="0"/>
            <w:vAlign w:val="center"/>
          </w:tcPr>
          <w:p w14:paraId="5E1F428B">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D84159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D65B6FE">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3148AA4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水果类食品（自制）</w:t>
            </w:r>
          </w:p>
        </w:tc>
        <w:tc>
          <w:tcPr>
            <w:tcW w:w="1856" w:type="dxa"/>
            <w:noWrap w:val="0"/>
            <w:vAlign w:val="center"/>
          </w:tcPr>
          <w:p w14:paraId="244FF49B">
            <w:pPr>
              <w:widowControl/>
              <w:spacing w:line="300" w:lineRule="exact"/>
              <w:jc w:val="center"/>
              <w:rPr>
                <w:rFonts w:hint="default"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eastAsia="zh-CN"/>
              </w:rPr>
              <w:t>即食鲜切水果</w:t>
            </w:r>
            <w:r>
              <w:rPr>
                <w:rFonts w:hint="default" w:ascii="Times New Roman" w:hAnsi="Times New Roman" w:eastAsia="仿宋_GB2312" w:cs="Times New Roman"/>
                <w:color w:val="auto"/>
                <w:kern w:val="0"/>
                <w:szCs w:val="21"/>
                <w:highlight w:val="none"/>
              </w:rPr>
              <w:t>（自制）</w:t>
            </w:r>
          </w:p>
        </w:tc>
        <w:tc>
          <w:tcPr>
            <w:tcW w:w="1106" w:type="dxa"/>
            <w:noWrap w:val="0"/>
            <w:vAlign w:val="center"/>
          </w:tcPr>
          <w:p w14:paraId="0BEFE40F">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68D5713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苯甲酸及其钠盐（以苯甲酸计）、山梨酸及其钾盐（以山梨酸计）、脱氢乙酸及其钠盐（以脱氢乙酸计）、糖精钠（以糖精计）、甜蜜素（以环己基氨基磺酸计）、合成着色剂（苋菜红、胭脂红、柠檬黄、日落黄、亮蓝）</w:t>
            </w:r>
          </w:p>
        </w:tc>
        <w:tc>
          <w:tcPr>
            <w:tcW w:w="3450" w:type="dxa"/>
            <w:noWrap w:val="0"/>
            <w:vAlign w:val="center"/>
          </w:tcPr>
          <w:p w14:paraId="092246B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72DA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780" w:type="dxa"/>
            <w:vMerge w:val="restart"/>
            <w:noWrap w:val="0"/>
            <w:vAlign w:val="center"/>
          </w:tcPr>
          <w:p w14:paraId="7EB5EEC7">
            <w:pPr>
              <w:widowControl/>
              <w:jc w:val="center"/>
              <w:rPr>
                <w:rFonts w:hint="eastAsia" w:ascii="Times New Roman" w:hAnsi="Times New Roman" w:eastAsia="仿宋_GB2312" w:cs="Times New Roman"/>
                <w:color w:val="auto"/>
                <w:kern w:val="0"/>
                <w:szCs w:val="21"/>
                <w:highlight w:val="none"/>
                <w:lang w:val="en-US" w:eastAsia="zh-CN"/>
              </w:rPr>
            </w:pPr>
          </w:p>
          <w:p w14:paraId="68F9F084">
            <w:pPr>
              <w:widowControl/>
              <w:jc w:val="center"/>
              <w:rPr>
                <w:rFonts w:hint="eastAsia" w:ascii="Times New Roman" w:hAnsi="Times New Roman" w:eastAsia="仿宋_GB2312" w:cs="Times New Roman"/>
                <w:color w:val="auto"/>
                <w:kern w:val="0"/>
                <w:szCs w:val="21"/>
                <w:highlight w:val="none"/>
                <w:lang w:val="en-US" w:eastAsia="zh-CN"/>
              </w:rPr>
            </w:pPr>
          </w:p>
          <w:p w14:paraId="64E13B9D">
            <w:pPr>
              <w:widowControl/>
              <w:jc w:val="center"/>
              <w:rPr>
                <w:rFonts w:hint="eastAsia" w:ascii="Times New Roman" w:hAnsi="Times New Roman" w:eastAsia="仿宋_GB2312" w:cs="Times New Roman"/>
                <w:color w:val="auto"/>
                <w:kern w:val="0"/>
                <w:szCs w:val="21"/>
                <w:highlight w:val="none"/>
                <w:lang w:val="en-US" w:eastAsia="zh-CN"/>
              </w:rPr>
            </w:pPr>
          </w:p>
          <w:p w14:paraId="5EB9A9D7">
            <w:pPr>
              <w:widowControl/>
              <w:jc w:val="center"/>
              <w:rPr>
                <w:rFonts w:hint="eastAsia" w:ascii="Times New Roman" w:hAnsi="Times New Roman" w:eastAsia="仿宋_GB2312" w:cs="Times New Roman"/>
                <w:color w:val="auto"/>
                <w:kern w:val="0"/>
                <w:szCs w:val="21"/>
                <w:highlight w:val="none"/>
                <w:lang w:val="en-US" w:eastAsia="zh-CN"/>
              </w:rPr>
            </w:pPr>
          </w:p>
          <w:p w14:paraId="037D936B">
            <w:pPr>
              <w:widowControl/>
              <w:jc w:val="center"/>
              <w:rPr>
                <w:rFonts w:hint="eastAsia" w:ascii="Times New Roman" w:hAnsi="Times New Roman" w:eastAsia="仿宋_GB2312" w:cs="Times New Roman"/>
                <w:color w:val="auto"/>
                <w:kern w:val="0"/>
                <w:szCs w:val="21"/>
                <w:highlight w:val="none"/>
                <w:lang w:val="en-US" w:eastAsia="zh-CN"/>
              </w:rPr>
            </w:pPr>
          </w:p>
          <w:p w14:paraId="54523DAA">
            <w:pPr>
              <w:widowControl/>
              <w:jc w:val="center"/>
              <w:rPr>
                <w:rFonts w:hint="eastAsia" w:ascii="Times New Roman" w:hAnsi="Times New Roman" w:eastAsia="仿宋_GB2312" w:cs="Times New Roman"/>
                <w:color w:val="auto"/>
                <w:kern w:val="0"/>
                <w:szCs w:val="21"/>
                <w:highlight w:val="none"/>
                <w:lang w:val="en-US" w:eastAsia="zh-CN"/>
              </w:rPr>
            </w:pPr>
          </w:p>
          <w:p w14:paraId="22FEE9A4">
            <w:pPr>
              <w:widowControl/>
              <w:jc w:val="center"/>
              <w:rPr>
                <w:rFonts w:hint="eastAsia" w:ascii="Times New Roman" w:hAnsi="Times New Roman" w:eastAsia="仿宋_GB2312" w:cs="Times New Roman"/>
                <w:color w:val="auto"/>
                <w:kern w:val="0"/>
                <w:szCs w:val="21"/>
                <w:highlight w:val="none"/>
                <w:lang w:val="en-US" w:eastAsia="zh-CN"/>
              </w:rPr>
            </w:pPr>
          </w:p>
          <w:p w14:paraId="67F885AE">
            <w:pPr>
              <w:widowControl/>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32</w:t>
            </w:r>
          </w:p>
          <w:p w14:paraId="6A643874">
            <w:pPr>
              <w:widowControl/>
              <w:jc w:val="center"/>
              <w:rPr>
                <w:rFonts w:hint="eastAsia" w:ascii="Times New Roman" w:hAnsi="Times New Roman" w:eastAsia="仿宋_GB2312" w:cs="Times New Roman"/>
                <w:color w:val="auto"/>
                <w:kern w:val="0"/>
                <w:szCs w:val="21"/>
                <w:highlight w:val="none"/>
                <w:lang w:val="en-US" w:eastAsia="zh-CN"/>
              </w:rPr>
            </w:pPr>
          </w:p>
          <w:p w14:paraId="35DC0004">
            <w:pPr>
              <w:widowControl/>
              <w:jc w:val="center"/>
              <w:rPr>
                <w:rFonts w:hint="eastAsia" w:ascii="Times New Roman" w:hAnsi="Times New Roman" w:eastAsia="仿宋_GB2312" w:cs="Times New Roman"/>
                <w:color w:val="auto"/>
                <w:kern w:val="0"/>
                <w:szCs w:val="21"/>
                <w:highlight w:val="none"/>
                <w:lang w:val="en-US" w:eastAsia="zh-CN"/>
              </w:rPr>
            </w:pPr>
          </w:p>
          <w:p w14:paraId="55B1CC37">
            <w:pPr>
              <w:widowControl/>
              <w:jc w:val="center"/>
              <w:rPr>
                <w:rFonts w:hint="eastAsia" w:ascii="Times New Roman" w:hAnsi="Times New Roman" w:eastAsia="仿宋_GB2312" w:cs="Times New Roman"/>
                <w:color w:val="auto"/>
                <w:kern w:val="0"/>
                <w:szCs w:val="21"/>
                <w:highlight w:val="none"/>
                <w:lang w:val="en-US" w:eastAsia="zh-CN"/>
              </w:rPr>
            </w:pPr>
          </w:p>
          <w:p w14:paraId="6FDE8694">
            <w:pPr>
              <w:widowControl/>
              <w:jc w:val="center"/>
              <w:rPr>
                <w:rFonts w:hint="eastAsia" w:ascii="Times New Roman" w:hAnsi="Times New Roman" w:eastAsia="仿宋_GB2312" w:cs="Times New Roman"/>
                <w:color w:val="auto"/>
                <w:kern w:val="0"/>
                <w:szCs w:val="21"/>
                <w:highlight w:val="none"/>
                <w:lang w:val="en-US" w:eastAsia="zh-CN"/>
              </w:rPr>
            </w:pPr>
          </w:p>
          <w:p w14:paraId="3BF70088">
            <w:pPr>
              <w:widowControl/>
              <w:jc w:val="center"/>
              <w:rPr>
                <w:rFonts w:hint="eastAsia" w:ascii="Times New Roman" w:hAnsi="Times New Roman" w:eastAsia="仿宋_GB2312" w:cs="Times New Roman"/>
                <w:color w:val="auto"/>
                <w:kern w:val="0"/>
                <w:szCs w:val="21"/>
                <w:highlight w:val="none"/>
                <w:lang w:val="en-US" w:eastAsia="zh-CN"/>
              </w:rPr>
            </w:pPr>
          </w:p>
          <w:p w14:paraId="19FCA07B">
            <w:pPr>
              <w:widowControl/>
              <w:jc w:val="center"/>
              <w:rPr>
                <w:rFonts w:hint="eastAsia" w:ascii="Times New Roman" w:hAnsi="Times New Roman" w:eastAsia="仿宋_GB2312" w:cs="Times New Roman"/>
                <w:color w:val="auto"/>
                <w:kern w:val="0"/>
                <w:szCs w:val="21"/>
                <w:highlight w:val="none"/>
                <w:lang w:val="en-US" w:eastAsia="zh-CN"/>
              </w:rPr>
            </w:pPr>
          </w:p>
          <w:p w14:paraId="3E581613">
            <w:pPr>
              <w:widowControl/>
              <w:jc w:val="center"/>
              <w:rPr>
                <w:rFonts w:hint="eastAsia" w:ascii="Times New Roman" w:hAnsi="Times New Roman" w:eastAsia="仿宋_GB2312" w:cs="Times New Roman"/>
                <w:color w:val="auto"/>
                <w:kern w:val="0"/>
                <w:szCs w:val="21"/>
                <w:highlight w:val="none"/>
                <w:lang w:val="en-US" w:eastAsia="zh-CN"/>
              </w:rPr>
            </w:pPr>
          </w:p>
          <w:p w14:paraId="26C0DEFF">
            <w:pPr>
              <w:widowControl/>
              <w:jc w:val="center"/>
              <w:rPr>
                <w:rFonts w:hint="eastAsia" w:ascii="Times New Roman" w:hAnsi="Times New Roman" w:eastAsia="仿宋_GB2312" w:cs="Times New Roman"/>
                <w:color w:val="auto"/>
                <w:kern w:val="0"/>
                <w:szCs w:val="21"/>
                <w:highlight w:val="none"/>
                <w:lang w:val="en-US" w:eastAsia="zh-CN"/>
              </w:rPr>
            </w:pPr>
          </w:p>
          <w:p w14:paraId="4D16D6ED">
            <w:pPr>
              <w:widowControl/>
              <w:jc w:val="center"/>
              <w:rPr>
                <w:rFonts w:hint="eastAsia" w:ascii="Times New Roman" w:hAnsi="Times New Roman" w:eastAsia="仿宋_GB2312" w:cs="Times New Roman"/>
                <w:color w:val="auto"/>
                <w:kern w:val="0"/>
                <w:szCs w:val="21"/>
                <w:highlight w:val="none"/>
                <w:lang w:val="en-US" w:eastAsia="zh-CN"/>
              </w:rPr>
            </w:pPr>
          </w:p>
          <w:p w14:paraId="5AC191EE">
            <w:pPr>
              <w:widowControl/>
              <w:jc w:val="center"/>
              <w:rPr>
                <w:rFonts w:hint="eastAsia" w:ascii="Times New Roman" w:hAnsi="Times New Roman" w:eastAsia="仿宋_GB2312" w:cs="Times New Roman"/>
                <w:color w:val="auto"/>
                <w:kern w:val="0"/>
                <w:szCs w:val="21"/>
                <w:highlight w:val="none"/>
                <w:lang w:val="en-US" w:eastAsia="zh-CN"/>
              </w:rPr>
            </w:pPr>
          </w:p>
          <w:p w14:paraId="336505A2">
            <w:pPr>
              <w:widowControl/>
              <w:jc w:val="center"/>
              <w:rPr>
                <w:rFonts w:hint="eastAsia" w:ascii="Times New Roman" w:hAnsi="Times New Roman" w:eastAsia="仿宋_GB2312" w:cs="Times New Roman"/>
                <w:color w:val="auto"/>
                <w:kern w:val="0"/>
                <w:szCs w:val="21"/>
                <w:highlight w:val="none"/>
                <w:lang w:val="en-US" w:eastAsia="zh-CN"/>
              </w:rPr>
            </w:pPr>
          </w:p>
          <w:p w14:paraId="2AB3DDC0">
            <w:pPr>
              <w:widowControl/>
              <w:jc w:val="center"/>
              <w:rPr>
                <w:rFonts w:hint="eastAsia" w:ascii="Times New Roman" w:hAnsi="Times New Roman" w:eastAsia="仿宋_GB2312" w:cs="Times New Roman"/>
                <w:color w:val="auto"/>
                <w:kern w:val="0"/>
                <w:szCs w:val="21"/>
                <w:highlight w:val="none"/>
                <w:lang w:val="en-US" w:eastAsia="zh-CN"/>
              </w:rPr>
            </w:pPr>
          </w:p>
          <w:p w14:paraId="583920DD">
            <w:pPr>
              <w:widowControl/>
              <w:jc w:val="center"/>
              <w:rPr>
                <w:rFonts w:hint="eastAsia" w:ascii="Times New Roman" w:hAnsi="Times New Roman" w:eastAsia="仿宋_GB2312" w:cs="Times New Roman"/>
                <w:color w:val="auto"/>
                <w:kern w:val="0"/>
                <w:szCs w:val="21"/>
                <w:highlight w:val="none"/>
                <w:lang w:val="en-US" w:eastAsia="zh-CN"/>
              </w:rPr>
            </w:pPr>
          </w:p>
          <w:p w14:paraId="5A44F62A">
            <w:pPr>
              <w:widowControl/>
              <w:jc w:val="center"/>
              <w:rPr>
                <w:rFonts w:hint="eastAsia" w:ascii="Times New Roman" w:hAnsi="Times New Roman" w:eastAsia="仿宋_GB2312" w:cs="Times New Roman"/>
                <w:color w:val="auto"/>
                <w:kern w:val="0"/>
                <w:szCs w:val="21"/>
                <w:highlight w:val="none"/>
                <w:lang w:val="en-US" w:eastAsia="zh-CN"/>
              </w:rPr>
            </w:pPr>
          </w:p>
          <w:p w14:paraId="6497989A">
            <w:pPr>
              <w:widowControl/>
              <w:jc w:val="center"/>
              <w:rPr>
                <w:rFonts w:hint="eastAsia" w:ascii="Times New Roman" w:hAnsi="Times New Roman" w:eastAsia="仿宋_GB2312" w:cs="Times New Roman"/>
                <w:color w:val="auto"/>
                <w:kern w:val="0"/>
                <w:szCs w:val="21"/>
                <w:highlight w:val="none"/>
                <w:lang w:val="en-US" w:eastAsia="zh-CN"/>
              </w:rPr>
            </w:pPr>
          </w:p>
          <w:p w14:paraId="146CE6F8">
            <w:pPr>
              <w:widowControl/>
              <w:jc w:val="center"/>
              <w:rPr>
                <w:rFonts w:hint="eastAsia" w:ascii="Times New Roman" w:hAnsi="Times New Roman" w:eastAsia="仿宋_GB2312" w:cs="Times New Roman"/>
                <w:color w:val="auto"/>
                <w:kern w:val="0"/>
                <w:szCs w:val="21"/>
                <w:highlight w:val="none"/>
                <w:lang w:val="en-US" w:eastAsia="zh-CN"/>
              </w:rPr>
            </w:pPr>
          </w:p>
          <w:p w14:paraId="37AC6A70">
            <w:pPr>
              <w:widowControl/>
              <w:jc w:val="center"/>
              <w:rPr>
                <w:rFonts w:hint="eastAsia" w:ascii="Times New Roman" w:hAnsi="Times New Roman" w:eastAsia="仿宋_GB2312" w:cs="Times New Roman"/>
                <w:color w:val="auto"/>
                <w:kern w:val="0"/>
                <w:szCs w:val="21"/>
                <w:highlight w:val="none"/>
                <w:lang w:val="en-US" w:eastAsia="zh-CN"/>
              </w:rPr>
            </w:pPr>
          </w:p>
          <w:p w14:paraId="5C810609">
            <w:pPr>
              <w:widowControl/>
              <w:jc w:val="center"/>
              <w:rPr>
                <w:rFonts w:hint="eastAsia" w:ascii="Times New Roman" w:hAnsi="Times New Roman" w:eastAsia="仿宋_GB2312" w:cs="Times New Roman"/>
                <w:color w:val="auto"/>
                <w:kern w:val="0"/>
                <w:szCs w:val="21"/>
                <w:highlight w:val="none"/>
                <w:lang w:val="en-US" w:eastAsia="zh-CN"/>
              </w:rPr>
            </w:pPr>
          </w:p>
          <w:p w14:paraId="285295AE">
            <w:pPr>
              <w:widowControl/>
              <w:jc w:val="center"/>
              <w:rPr>
                <w:rFonts w:hint="eastAsia" w:ascii="Times New Roman" w:hAnsi="Times New Roman" w:eastAsia="仿宋_GB2312" w:cs="Times New Roman"/>
                <w:color w:val="auto"/>
                <w:kern w:val="0"/>
                <w:szCs w:val="21"/>
                <w:highlight w:val="none"/>
                <w:lang w:val="en-US" w:eastAsia="zh-CN"/>
              </w:rPr>
            </w:pPr>
          </w:p>
          <w:p w14:paraId="5C6D46CF">
            <w:pPr>
              <w:widowControl/>
              <w:jc w:val="center"/>
              <w:rPr>
                <w:rFonts w:hint="eastAsia" w:ascii="Times New Roman" w:hAnsi="Times New Roman" w:eastAsia="仿宋_GB2312" w:cs="Times New Roman"/>
                <w:color w:val="auto"/>
                <w:kern w:val="0"/>
                <w:szCs w:val="21"/>
                <w:highlight w:val="none"/>
                <w:lang w:val="en-US" w:eastAsia="zh-CN"/>
              </w:rPr>
            </w:pPr>
          </w:p>
          <w:p w14:paraId="7ADF6C9B">
            <w:pPr>
              <w:widowControl/>
              <w:jc w:val="center"/>
              <w:rPr>
                <w:rFonts w:hint="eastAsia" w:ascii="Times New Roman" w:hAnsi="Times New Roman" w:eastAsia="仿宋_GB2312" w:cs="Times New Roman"/>
                <w:color w:val="auto"/>
                <w:kern w:val="0"/>
                <w:szCs w:val="21"/>
                <w:highlight w:val="none"/>
                <w:lang w:val="en-US" w:eastAsia="zh-CN"/>
              </w:rPr>
            </w:pPr>
          </w:p>
          <w:p w14:paraId="67F1A81D">
            <w:pPr>
              <w:widowControl/>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32</w:t>
            </w:r>
          </w:p>
          <w:p w14:paraId="37BBB977">
            <w:pPr>
              <w:widowControl/>
              <w:jc w:val="center"/>
              <w:rPr>
                <w:rFonts w:hint="eastAsia" w:ascii="Times New Roman" w:hAnsi="Times New Roman" w:eastAsia="仿宋_GB2312" w:cs="Times New Roman"/>
                <w:color w:val="auto"/>
                <w:kern w:val="0"/>
                <w:szCs w:val="21"/>
                <w:highlight w:val="none"/>
                <w:lang w:val="en-US" w:eastAsia="zh-CN"/>
              </w:rPr>
            </w:pPr>
          </w:p>
          <w:p w14:paraId="62BFB4CE">
            <w:pPr>
              <w:widowControl/>
              <w:jc w:val="center"/>
              <w:rPr>
                <w:rFonts w:hint="eastAsia" w:ascii="Times New Roman" w:hAnsi="Times New Roman" w:eastAsia="仿宋_GB2312" w:cs="Times New Roman"/>
                <w:color w:val="auto"/>
                <w:kern w:val="0"/>
                <w:szCs w:val="21"/>
                <w:highlight w:val="none"/>
                <w:lang w:val="en-US" w:eastAsia="zh-CN"/>
              </w:rPr>
            </w:pPr>
          </w:p>
          <w:p w14:paraId="48982556">
            <w:pPr>
              <w:widowControl/>
              <w:jc w:val="center"/>
              <w:rPr>
                <w:rFonts w:hint="eastAsia" w:ascii="Times New Roman" w:hAnsi="Times New Roman" w:eastAsia="仿宋_GB2312" w:cs="Times New Roman"/>
                <w:color w:val="auto"/>
                <w:kern w:val="0"/>
                <w:szCs w:val="21"/>
                <w:highlight w:val="none"/>
                <w:lang w:val="en-US" w:eastAsia="zh-CN"/>
              </w:rPr>
            </w:pPr>
          </w:p>
          <w:p w14:paraId="3BA61AC0">
            <w:pPr>
              <w:widowControl/>
              <w:jc w:val="center"/>
              <w:rPr>
                <w:rFonts w:hint="eastAsia" w:ascii="Times New Roman" w:hAnsi="Times New Roman" w:eastAsia="仿宋_GB2312" w:cs="Times New Roman"/>
                <w:color w:val="auto"/>
                <w:kern w:val="0"/>
                <w:szCs w:val="21"/>
                <w:highlight w:val="none"/>
                <w:lang w:val="en-US" w:eastAsia="zh-CN"/>
              </w:rPr>
            </w:pPr>
          </w:p>
          <w:p w14:paraId="3C50EDF3">
            <w:pPr>
              <w:widowControl/>
              <w:jc w:val="center"/>
              <w:rPr>
                <w:rFonts w:hint="eastAsia" w:ascii="Times New Roman" w:hAnsi="Times New Roman" w:eastAsia="仿宋_GB2312" w:cs="Times New Roman"/>
                <w:color w:val="auto"/>
                <w:kern w:val="0"/>
                <w:szCs w:val="21"/>
                <w:highlight w:val="none"/>
                <w:lang w:val="en-US" w:eastAsia="zh-CN"/>
              </w:rPr>
            </w:pPr>
          </w:p>
          <w:p w14:paraId="340937B6">
            <w:pPr>
              <w:widowControl/>
              <w:jc w:val="center"/>
              <w:rPr>
                <w:rFonts w:hint="eastAsia" w:ascii="Times New Roman" w:hAnsi="Times New Roman" w:eastAsia="仿宋_GB2312" w:cs="Times New Roman"/>
                <w:color w:val="auto"/>
                <w:kern w:val="0"/>
                <w:szCs w:val="21"/>
                <w:highlight w:val="none"/>
                <w:lang w:val="en-US" w:eastAsia="zh-CN"/>
              </w:rPr>
            </w:pPr>
          </w:p>
          <w:p w14:paraId="21349A93">
            <w:pPr>
              <w:widowControl/>
              <w:jc w:val="center"/>
              <w:rPr>
                <w:rFonts w:hint="eastAsia" w:ascii="Times New Roman" w:hAnsi="Times New Roman" w:eastAsia="仿宋_GB2312" w:cs="Times New Roman"/>
                <w:color w:val="auto"/>
                <w:kern w:val="0"/>
                <w:szCs w:val="21"/>
                <w:highlight w:val="none"/>
                <w:lang w:val="en-US" w:eastAsia="zh-CN"/>
              </w:rPr>
            </w:pPr>
          </w:p>
          <w:p w14:paraId="23CDDCE1">
            <w:pPr>
              <w:widowControl/>
              <w:jc w:val="center"/>
              <w:rPr>
                <w:rFonts w:hint="eastAsia" w:ascii="Times New Roman" w:hAnsi="Times New Roman" w:eastAsia="仿宋_GB2312" w:cs="Times New Roman"/>
                <w:color w:val="auto"/>
                <w:kern w:val="0"/>
                <w:szCs w:val="21"/>
                <w:highlight w:val="none"/>
                <w:lang w:val="en-US" w:eastAsia="zh-CN"/>
              </w:rPr>
            </w:pPr>
          </w:p>
          <w:p w14:paraId="33FFAC81">
            <w:pPr>
              <w:widowControl/>
              <w:jc w:val="center"/>
              <w:rPr>
                <w:rFonts w:hint="eastAsia" w:ascii="Times New Roman" w:hAnsi="Times New Roman" w:eastAsia="仿宋_GB2312" w:cs="Times New Roman"/>
                <w:color w:val="auto"/>
                <w:kern w:val="0"/>
                <w:szCs w:val="21"/>
                <w:highlight w:val="none"/>
                <w:lang w:val="en-US" w:eastAsia="zh-CN"/>
              </w:rPr>
            </w:pPr>
          </w:p>
          <w:p w14:paraId="63A280D0">
            <w:pPr>
              <w:widowControl/>
              <w:jc w:val="center"/>
              <w:rPr>
                <w:rFonts w:hint="eastAsia" w:ascii="Times New Roman" w:hAnsi="Times New Roman" w:eastAsia="仿宋_GB2312" w:cs="Times New Roman"/>
                <w:color w:val="auto"/>
                <w:kern w:val="0"/>
                <w:szCs w:val="21"/>
                <w:highlight w:val="none"/>
                <w:lang w:val="en-US" w:eastAsia="zh-CN"/>
              </w:rPr>
            </w:pPr>
          </w:p>
          <w:p w14:paraId="0A7F1D5D">
            <w:pPr>
              <w:widowControl/>
              <w:jc w:val="center"/>
              <w:rPr>
                <w:rFonts w:hint="eastAsia" w:ascii="Times New Roman" w:hAnsi="Times New Roman" w:eastAsia="仿宋_GB2312" w:cs="Times New Roman"/>
                <w:color w:val="auto"/>
                <w:kern w:val="0"/>
                <w:szCs w:val="21"/>
                <w:highlight w:val="none"/>
                <w:lang w:val="en-US" w:eastAsia="zh-CN"/>
              </w:rPr>
            </w:pPr>
          </w:p>
          <w:p w14:paraId="4790C5A8">
            <w:pPr>
              <w:widowControl/>
              <w:jc w:val="center"/>
              <w:rPr>
                <w:rFonts w:hint="eastAsia" w:ascii="Times New Roman" w:hAnsi="Times New Roman" w:eastAsia="仿宋_GB2312" w:cs="Times New Roman"/>
                <w:color w:val="auto"/>
                <w:kern w:val="0"/>
                <w:szCs w:val="21"/>
                <w:highlight w:val="none"/>
                <w:lang w:val="en-US" w:eastAsia="zh-CN"/>
              </w:rPr>
            </w:pPr>
          </w:p>
          <w:p w14:paraId="69F543E3">
            <w:pPr>
              <w:widowControl/>
              <w:jc w:val="center"/>
              <w:rPr>
                <w:rFonts w:hint="eastAsia" w:ascii="Times New Roman" w:hAnsi="Times New Roman" w:eastAsia="仿宋_GB2312" w:cs="Times New Roman"/>
                <w:color w:val="auto"/>
                <w:kern w:val="0"/>
                <w:szCs w:val="21"/>
                <w:highlight w:val="none"/>
                <w:lang w:val="en-US" w:eastAsia="zh-CN"/>
              </w:rPr>
            </w:pPr>
          </w:p>
          <w:p w14:paraId="30592BFC">
            <w:pPr>
              <w:widowControl/>
              <w:jc w:val="center"/>
              <w:rPr>
                <w:rFonts w:hint="eastAsia" w:ascii="Times New Roman" w:hAnsi="Times New Roman" w:eastAsia="仿宋_GB2312" w:cs="Times New Roman"/>
                <w:color w:val="auto"/>
                <w:kern w:val="0"/>
                <w:szCs w:val="21"/>
                <w:highlight w:val="none"/>
                <w:lang w:val="en-US" w:eastAsia="zh-CN"/>
              </w:rPr>
            </w:pPr>
          </w:p>
          <w:p w14:paraId="5D7F3A25">
            <w:pPr>
              <w:widowControl/>
              <w:jc w:val="center"/>
              <w:rPr>
                <w:rFonts w:hint="default" w:ascii="Times New Roman" w:hAnsi="Times New Roman" w:eastAsia="仿宋_GB2312" w:cs="Times New Roman"/>
                <w:color w:val="auto"/>
                <w:kern w:val="0"/>
                <w:szCs w:val="21"/>
                <w:highlight w:val="none"/>
                <w:lang w:val="en-US" w:eastAsia="zh-CN"/>
              </w:rPr>
            </w:pPr>
          </w:p>
        </w:tc>
        <w:tc>
          <w:tcPr>
            <w:tcW w:w="1107" w:type="dxa"/>
            <w:vMerge w:val="restart"/>
            <w:noWrap w:val="0"/>
            <w:vAlign w:val="center"/>
          </w:tcPr>
          <w:p w14:paraId="51163C0B">
            <w:pPr>
              <w:widowControl/>
              <w:spacing w:line="300" w:lineRule="exact"/>
              <w:jc w:val="center"/>
              <w:rPr>
                <w:rFonts w:hint="default" w:ascii="Times New Roman" w:hAnsi="Times New Roman" w:eastAsia="仿宋_GB2312" w:cs="Times New Roman"/>
                <w:color w:val="auto"/>
                <w:kern w:val="0"/>
                <w:szCs w:val="21"/>
                <w:highlight w:val="none"/>
              </w:rPr>
            </w:pPr>
          </w:p>
          <w:p w14:paraId="0398E32C">
            <w:pPr>
              <w:widowControl/>
              <w:spacing w:line="300" w:lineRule="exact"/>
              <w:jc w:val="center"/>
              <w:rPr>
                <w:rFonts w:hint="default" w:ascii="Times New Roman" w:hAnsi="Times New Roman" w:eastAsia="仿宋_GB2312" w:cs="Times New Roman"/>
                <w:color w:val="auto"/>
                <w:kern w:val="0"/>
                <w:szCs w:val="21"/>
                <w:highlight w:val="none"/>
              </w:rPr>
            </w:pPr>
          </w:p>
          <w:p w14:paraId="4AFABFA7">
            <w:pPr>
              <w:widowControl/>
              <w:spacing w:line="300" w:lineRule="exact"/>
              <w:jc w:val="center"/>
              <w:rPr>
                <w:rFonts w:hint="default" w:ascii="Times New Roman" w:hAnsi="Times New Roman" w:eastAsia="仿宋_GB2312" w:cs="Times New Roman"/>
                <w:color w:val="auto"/>
                <w:kern w:val="0"/>
                <w:szCs w:val="21"/>
                <w:highlight w:val="none"/>
              </w:rPr>
            </w:pPr>
          </w:p>
          <w:p w14:paraId="01F8B73B">
            <w:pPr>
              <w:widowControl/>
              <w:spacing w:line="300" w:lineRule="exact"/>
              <w:jc w:val="center"/>
              <w:rPr>
                <w:rFonts w:hint="default" w:ascii="Times New Roman" w:hAnsi="Times New Roman" w:eastAsia="仿宋_GB2312" w:cs="Times New Roman"/>
                <w:color w:val="auto"/>
                <w:kern w:val="0"/>
                <w:szCs w:val="21"/>
                <w:highlight w:val="none"/>
              </w:rPr>
            </w:pPr>
          </w:p>
          <w:p w14:paraId="4ADA07F4">
            <w:pPr>
              <w:widowControl/>
              <w:spacing w:line="300" w:lineRule="exact"/>
              <w:jc w:val="both"/>
              <w:rPr>
                <w:rFonts w:hint="default" w:ascii="Times New Roman" w:hAnsi="Times New Roman" w:eastAsia="仿宋_GB2312" w:cs="Times New Roman"/>
                <w:color w:val="auto"/>
                <w:kern w:val="0"/>
                <w:szCs w:val="21"/>
                <w:highlight w:val="none"/>
              </w:rPr>
            </w:pPr>
          </w:p>
          <w:p w14:paraId="6355417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食品添加剂</w:t>
            </w:r>
          </w:p>
          <w:p w14:paraId="6246F76C">
            <w:pPr>
              <w:widowControl/>
              <w:spacing w:line="300" w:lineRule="exact"/>
              <w:jc w:val="center"/>
              <w:rPr>
                <w:rFonts w:hint="default" w:ascii="Times New Roman" w:hAnsi="Times New Roman" w:eastAsia="仿宋_GB2312" w:cs="Times New Roman"/>
                <w:color w:val="auto"/>
                <w:kern w:val="0"/>
                <w:szCs w:val="21"/>
                <w:highlight w:val="none"/>
              </w:rPr>
            </w:pPr>
          </w:p>
          <w:p w14:paraId="2047C292">
            <w:pPr>
              <w:widowControl/>
              <w:spacing w:line="300" w:lineRule="exact"/>
              <w:jc w:val="center"/>
              <w:rPr>
                <w:rFonts w:hint="default" w:ascii="Times New Roman" w:hAnsi="Times New Roman" w:eastAsia="仿宋_GB2312" w:cs="Times New Roman"/>
                <w:color w:val="auto"/>
                <w:kern w:val="0"/>
                <w:szCs w:val="21"/>
                <w:highlight w:val="none"/>
              </w:rPr>
            </w:pPr>
          </w:p>
          <w:p w14:paraId="701D38F5">
            <w:pPr>
              <w:widowControl/>
              <w:spacing w:line="300" w:lineRule="exact"/>
              <w:jc w:val="center"/>
              <w:rPr>
                <w:rFonts w:hint="default" w:ascii="Times New Roman" w:hAnsi="Times New Roman" w:eastAsia="仿宋_GB2312" w:cs="Times New Roman"/>
                <w:color w:val="auto"/>
                <w:kern w:val="0"/>
                <w:szCs w:val="21"/>
                <w:highlight w:val="none"/>
              </w:rPr>
            </w:pPr>
          </w:p>
          <w:p w14:paraId="106F5F95">
            <w:pPr>
              <w:widowControl/>
              <w:spacing w:line="300" w:lineRule="exact"/>
              <w:jc w:val="center"/>
              <w:rPr>
                <w:rFonts w:hint="default" w:ascii="Times New Roman" w:hAnsi="Times New Roman" w:eastAsia="仿宋_GB2312" w:cs="Times New Roman"/>
                <w:color w:val="auto"/>
                <w:kern w:val="0"/>
                <w:szCs w:val="21"/>
                <w:highlight w:val="none"/>
              </w:rPr>
            </w:pPr>
          </w:p>
          <w:p w14:paraId="44A2E057">
            <w:pPr>
              <w:widowControl/>
              <w:spacing w:line="300" w:lineRule="exact"/>
              <w:jc w:val="center"/>
              <w:rPr>
                <w:rFonts w:hint="default" w:ascii="Times New Roman" w:hAnsi="Times New Roman" w:eastAsia="仿宋_GB2312" w:cs="Times New Roman"/>
                <w:color w:val="auto"/>
                <w:kern w:val="0"/>
                <w:szCs w:val="21"/>
                <w:highlight w:val="none"/>
              </w:rPr>
            </w:pPr>
          </w:p>
          <w:p w14:paraId="6A1358F2">
            <w:pPr>
              <w:widowControl/>
              <w:spacing w:line="300" w:lineRule="exact"/>
              <w:jc w:val="center"/>
              <w:rPr>
                <w:rFonts w:hint="default" w:ascii="Times New Roman" w:hAnsi="Times New Roman" w:eastAsia="仿宋_GB2312" w:cs="Times New Roman"/>
                <w:color w:val="auto"/>
                <w:kern w:val="0"/>
                <w:szCs w:val="21"/>
                <w:highlight w:val="none"/>
              </w:rPr>
            </w:pPr>
          </w:p>
          <w:p w14:paraId="39CCD1FB">
            <w:pPr>
              <w:widowControl/>
              <w:spacing w:line="300" w:lineRule="exact"/>
              <w:jc w:val="center"/>
              <w:rPr>
                <w:rFonts w:hint="default" w:ascii="Times New Roman" w:hAnsi="Times New Roman" w:eastAsia="仿宋_GB2312" w:cs="Times New Roman"/>
                <w:color w:val="auto"/>
                <w:kern w:val="0"/>
                <w:szCs w:val="21"/>
                <w:highlight w:val="none"/>
              </w:rPr>
            </w:pPr>
          </w:p>
          <w:p w14:paraId="10B0B844">
            <w:pPr>
              <w:widowControl/>
              <w:spacing w:line="300" w:lineRule="exact"/>
              <w:jc w:val="center"/>
              <w:rPr>
                <w:rFonts w:hint="default" w:ascii="Times New Roman" w:hAnsi="Times New Roman" w:eastAsia="仿宋_GB2312" w:cs="Times New Roman"/>
                <w:color w:val="auto"/>
                <w:kern w:val="0"/>
                <w:szCs w:val="21"/>
                <w:highlight w:val="none"/>
              </w:rPr>
            </w:pPr>
          </w:p>
          <w:p w14:paraId="66A15422">
            <w:pPr>
              <w:widowControl/>
              <w:spacing w:line="300" w:lineRule="exact"/>
              <w:jc w:val="center"/>
              <w:rPr>
                <w:rFonts w:hint="default" w:ascii="Times New Roman" w:hAnsi="Times New Roman" w:eastAsia="仿宋_GB2312" w:cs="Times New Roman"/>
                <w:color w:val="auto"/>
                <w:kern w:val="0"/>
                <w:szCs w:val="21"/>
                <w:highlight w:val="none"/>
              </w:rPr>
            </w:pPr>
          </w:p>
          <w:p w14:paraId="1F8B96A2">
            <w:pPr>
              <w:widowControl/>
              <w:spacing w:line="300" w:lineRule="exact"/>
              <w:jc w:val="center"/>
              <w:rPr>
                <w:rFonts w:hint="default" w:ascii="Times New Roman" w:hAnsi="Times New Roman" w:eastAsia="仿宋_GB2312" w:cs="Times New Roman"/>
                <w:color w:val="auto"/>
                <w:kern w:val="0"/>
                <w:szCs w:val="21"/>
                <w:highlight w:val="none"/>
              </w:rPr>
            </w:pPr>
          </w:p>
          <w:p w14:paraId="23E29566">
            <w:pPr>
              <w:widowControl/>
              <w:spacing w:line="300" w:lineRule="exact"/>
              <w:jc w:val="center"/>
              <w:rPr>
                <w:rFonts w:hint="default" w:ascii="Times New Roman" w:hAnsi="Times New Roman" w:eastAsia="仿宋_GB2312" w:cs="Times New Roman"/>
                <w:color w:val="auto"/>
                <w:kern w:val="0"/>
                <w:szCs w:val="21"/>
                <w:highlight w:val="none"/>
              </w:rPr>
            </w:pPr>
          </w:p>
          <w:p w14:paraId="686D2BA6">
            <w:pPr>
              <w:widowControl/>
              <w:spacing w:line="300" w:lineRule="exact"/>
              <w:jc w:val="center"/>
              <w:rPr>
                <w:rFonts w:hint="default" w:ascii="Times New Roman" w:hAnsi="Times New Roman" w:eastAsia="仿宋_GB2312" w:cs="Times New Roman"/>
                <w:color w:val="auto"/>
                <w:kern w:val="0"/>
                <w:szCs w:val="21"/>
                <w:highlight w:val="none"/>
              </w:rPr>
            </w:pPr>
          </w:p>
          <w:p w14:paraId="6130A474">
            <w:pPr>
              <w:widowControl/>
              <w:spacing w:line="300" w:lineRule="exact"/>
              <w:jc w:val="center"/>
              <w:rPr>
                <w:rFonts w:hint="default" w:ascii="Times New Roman" w:hAnsi="Times New Roman" w:eastAsia="仿宋_GB2312" w:cs="Times New Roman"/>
                <w:color w:val="auto"/>
                <w:kern w:val="0"/>
                <w:szCs w:val="21"/>
                <w:highlight w:val="none"/>
              </w:rPr>
            </w:pPr>
          </w:p>
          <w:p w14:paraId="40378F0F">
            <w:pPr>
              <w:widowControl/>
              <w:spacing w:line="300" w:lineRule="exact"/>
              <w:jc w:val="center"/>
              <w:rPr>
                <w:rFonts w:hint="default" w:ascii="Times New Roman" w:hAnsi="Times New Roman" w:eastAsia="仿宋_GB2312" w:cs="Times New Roman"/>
                <w:color w:val="auto"/>
                <w:kern w:val="0"/>
                <w:szCs w:val="21"/>
                <w:highlight w:val="none"/>
              </w:rPr>
            </w:pPr>
          </w:p>
          <w:p w14:paraId="36C02BC2">
            <w:pPr>
              <w:widowControl/>
              <w:spacing w:line="300" w:lineRule="exact"/>
              <w:jc w:val="center"/>
              <w:rPr>
                <w:rFonts w:hint="default" w:ascii="Times New Roman" w:hAnsi="Times New Roman" w:eastAsia="仿宋_GB2312" w:cs="Times New Roman"/>
                <w:color w:val="auto"/>
                <w:kern w:val="0"/>
                <w:szCs w:val="21"/>
                <w:highlight w:val="none"/>
              </w:rPr>
            </w:pPr>
          </w:p>
          <w:p w14:paraId="222C35CD">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食品添加剂</w:t>
            </w:r>
          </w:p>
          <w:p w14:paraId="12A99911">
            <w:pPr>
              <w:widowControl/>
              <w:spacing w:line="300" w:lineRule="exact"/>
              <w:jc w:val="center"/>
              <w:rPr>
                <w:rFonts w:hint="default" w:ascii="Times New Roman" w:hAnsi="Times New Roman" w:eastAsia="仿宋_GB2312" w:cs="Times New Roman"/>
                <w:color w:val="auto"/>
                <w:kern w:val="0"/>
                <w:szCs w:val="21"/>
                <w:highlight w:val="none"/>
              </w:rPr>
            </w:pPr>
          </w:p>
          <w:p w14:paraId="7BF2BCB8">
            <w:pPr>
              <w:widowControl/>
              <w:spacing w:line="300" w:lineRule="exact"/>
              <w:jc w:val="center"/>
              <w:rPr>
                <w:rFonts w:hint="default" w:ascii="Times New Roman" w:hAnsi="Times New Roman" w:eastAsia="仿宋_GB2312" w:cs="Times New Roman"/>
                <w:color w:val="auto"/>
                <w:kern w:val="0"/>
                <w:szCs w:val="21"/>
                <w:highlight w:val="none"/>
              </w:rPr>
            </w:pPr>
          </w:p>
          <w:p w14:paraId="7C95E281">
            <w:pPr>
              <w:widowControl/>
              <w:spacing w:line="300" w:lineRule="exact"/>
              <w:jc w:val="center"/>
              <w:rPr>
                <w:rFonts w:hint="default" w:ascii="Times New Roman" w:hAnsi="Times New Roman" w:eastAsia="仿宋_GB2312" w:cs="Times New Roman"/>
                <w:color w:val="auto"/>
                <w:kern w:val="0"/>
                <w:szCs w:val="21"/>
                <w:highlight w:val="none"/>
              </w:rPr>
            </w:pPr>
          </w:p>
          <w:p w14:paraId="253E8887">
            <w:pPr>
              <w:widowControl/>
              <w:spacing w:line="300" w:lineRule="exact"/>
              <w:jc w:val="center"/>
              <w:rPr>
                <w:rFonts w:hint="default" w:ascii="Times New Roman" w:hAnsi="Times New Roman" w:eastAsia="仿宋_GB2312" w:cs="Times New Roman"/>
                <w:color w:val="auto"/>
                <w:kern w:val="0"/>
                <w:szCs w:val="21"/>
                <w:highlight w:val="none"/>
              </w:rPr>
            </w:pPr>
          </w:p>
          <w:p w14:paraId="62C041CC">
            <w:pPr>
              <w:widowControl/>
              <w:spacing w:line="300" w:lineRule="exact"/>
              <w:jc w:val="center"/>
              <w:rPr>
                <w:rFonts w:hint="default" w:ascii="Times New Roman" w:hAnsi="Times New Roman" w:eastAsia="仿宋_GB2312" w:cs="Times New Roman"/>
                <w:color w:val="auto"/>
                <w:kern w:val="0"/>
                <w:szCs w:val="21"/>
                <w:highlight w:val="none"/>
              </w:rPr>
            </w:pPr>
          </w:p>
          <w:p w14:paraId="71006503">
            <w:pPr>
              <w:widowControl/>
              <w:spacing w:line="300" w:lineRule="exact"/>
              <w:jc w:val="center"/>
              <w:rPr>
                <w:rFonts w:hint="default" w:ascii="Times New Roman" w:hAnsi="Times New Roman" w:eastAsia="仿宋_GB2312" w:cs="Times New Roman"/>
                <w:color w:val="auto"/>
                <w:kern w:val="0"/>
                <w:szCs w:val="21"/>
                <w:highlight w:val="none"/>
              </w:rPr>
            </w:pPr>
          </w:p>
          <w:p w14:paraId="2F37FEB9">
            <w:pPr>
              <w:widowControl/>
              <w:spacing w:line="300" w:lineRule="exact"/>
              <w:jc w:val="center"/>
              <w:rPr>
                <w:rFonts w:hint="default" w:ascii="Times New Roman" w:hAnsi="Times New Roman" w:eastAsia="仿宋_GB2312" w:cs="Times New Roman"/>
                <w:color w:val="auto"/>
                <w:kern w:val="0"/>
                <w:szCs w:val="21"/>
                <w:highlight w:val="none"/>
              </w:rPr>
            </w:pPr>
          </w:p>
          <w:p w14:paraId="463508FD">
            <w:pPr>
              <w:widowControl/>
              <w:spacing w:line="300" w:lineRule="exact"/>
              <w:jc w:val="center"/>
              <w:rPr>
                <w:rFonts w:hint="default" w:ascii="Times New Roman" w:hAnsi="Times New Roman" w:eastAsia="仿宋_GB2312" w:cs="Times New Roman"/>
                <w:color w:val="auto"/>
                <w:kern w:val="0"/>
                <w:szCs w:val="21"/>
                <w:highlight w:val="none"/>
              </w:rPr>
            </w:pPr>
          </w:p>
          <w:p w14:paraId="1090D2A1">
            <w:pPr>
              <w:widowControl/>
              <w:spacing w:line="300" w:lineRule="exact"/>
              <w:jc w:val="center"/>
              <w:rPr>
                <w:rFonts w:hint="default" w:ascii="Times New Roman" w:hAnsi="Times New Roman" w:eastAsia="仿宋_GB2312" w:cs="Times New Roman"/>
                <w:color w:val="auto"/>
                <w:kern w:val="0"/>
                <w:szCs w:val="21"/>
                <w:highlight w:val="none"/>
              </w:rPr>
            </w:pPr>
          </w:p>
          <w:p w14:paraId="76F348E2">
            <w:pPr>
              <w:widowControl/>
              <w:spacing w:line="300" w:lineRule="exact"/>
              <w:jc w:val="center"/>
              <w:rPr>
                <w:rFonts w:hint="default" w:ascii="Times New Roman" w:hAnsi="Times New Roman" w:eastAsia="仿宋_GB2312" w:cs="Times New Roman"/>
                <w:color w:val="auto"/>
                <w:kern w:val="0"/>
                <w:szCs w:val="21"/>
                <w:highlight w:val="none"/>
              </w:rPr>
            </w:pPr>
          </w:p>
          <w:p w14:paraId="77D40B31">
            <w:pPr>
              <w:widowControl/>
              <w:spacing w:line="300" w:lineRule="exact"/>
              <w:jc w:val="center"/>
              <w:rPr>
                <w:rFonts w:hint="default" w:ascii="Times New Roman" w:hAnsi="Times New Roman" w:eastAsia="仿宋_GB2312" w:cs="Times New Roman"/>
                <w:color w:val="auto"/>
                <w:kern w:val="0"/>
                <w:szCs w:val="21"/>
                <w:highlight w:val="none"/>
              </w:rPr>
            </w:pPr>
          </w:p>
          <w:p w14:paraId="7B9B86A7">
            <w:pPr>
              <w:widowControl/>
              <w:spacing w:line="300" w:lineRule="exact"/>
              <w:jc w:val="center"/>
              <w:rPr>
                <w:rFonts w:hint="default" w:ascii="Times New Roman" w:hAnsi="Times New Roman" w:eastAsia="仿宋_GB2312" w:cs="Times New Roman"/>
                <w:color w:val="auto"/>
                <w:kern w:val="0"/>
                <w:szCs w:val="21"/>
                <w:highlight w:val="none"/>
              </w:rPr>
            </w:pPr>
          </w:p>
          <w:p w14:paraId="403ECB6A">
            <w:pPr>
              <w:widowControl/>
              <w:spacing w:line="300" w:lineRule="exact"/>
              <w:jc w:val="center"/>
              <w:rPr>
                <w:rFonts w:hint="default" w:ascii="Times New Roman" w:hAnsi="Times New Roman" w:eastAsia="仿宋_GB2312" w:cs="Times New Roman"/>
                <w:color w:val="auto"/>
                <w:kern w:val="0"/>
                <w:szCs w:val="21"/>
                <w:highlight w:val="none"/>
              </w:rPr>
            </w:pPr>
          </w:p>
        </w:tc>
        <w:tc>
          <w:tcPr>
            <w:tcW w:w="1256" w:type="dxa"/>
            <w:vMerge w:val="restart"/>
            <w:noWrap w:val="0"/>
            <w:vAlign w:val="center"/>
          </w:tcPr>
          <w:p w14:paraId="221AE1B2">
            <w:pPr>
              <w:widowControl/>
              <w:spacing w:line="300" w:lineRule="exact"/>
              <w:jc w:val="center"/>
              <w:rPr>
                <w:rFonts w:hint="default" w:ascii="Times New Roman" w:hAnsi="Times New Roman" w:eastAsia="仿宋_GB2312" w:cs="Times New Roman"/>
                <w:color w:val="auto"/>
                <w:kern w:val="0"/>
                <w:szCs w:val="21"/>
                <w:highlight w:val="none"/>
              </w:rPr>
            </w:pPr>
          </w:p>
          <w:p w14:paraId="6B66A1A7">
            <w:pPr>
              <w:widowControl/>
              <w:spacing w:line="300" w:lineRule="exact"/>
              <w:jc w:val="center"/>
              <w:rPr>
                <w:rFonts w:hint="default" w:ascii="Times New Roman" w:hAnsi="Times New Roman" w:eastAsia="仿宋_GB2312" w:cs="Times New Roman"/>
                <w:color w:val="auto"/>
                <w:kern w:val="0"/>
                <w:szCs w:val="21"/>
                <w:highlight w:val="none"/>
              </w:rPr>
            </w:pPr>
          </w:p>
          <w:p w14:paraId="6BB7E2EF">
            <w:pPr>
              <w:widowControl/>
              <w:spacing w:line="300" w:lineRule="exact"/>
              <w:jc w:val="center"/>
              <w:rPr>
                <w:rFonts w:hint="default" w:ascii="Times New Roman" w:hAnsi="Times New Roman" w:eastAsia="仿宋_GB2312" w:cs="Times New Roman"/>
                <w:color w:val="auto"/>
                <w:kern w:val="0"/>
                <w:szCs w:val="21"/>
                <w:highlight w:val="none"/>
              </w:rPr>
            </w:pPr>
          </w:p>
          <w:p w14:paraId="0703ACAB">
            <w:pPr>
              <w:widowControl/>
              <w:spacing w:line="300" w:lineRule="exact"/>
              <w:jc w:val="center"/>
              <w:rPr>
                <w:rFonts w:hint="default" w:ascii="Times New Roman" w:hAnsi="Times New Roman" w:eastAsia="仿宋_GB2312" w:cs="Times New Roman"/>
                <w:color w:val="auto"/>
                <w:kern w:val="0"/>
                <w:szCs w:val="21"/>
                <w:highlight w:val="none"/>
              </w:rPr>
            </w:pPr>
          </w:p>
          <w:p w14:paraId="24FB18A3">
            <w:pPr>
              <w:widowControl/>
              <w:spacing w:line="300" w:lineRule="exact"/>
              <w:jc w:val="both"/>
              <w:rPr>
                <w:rFonts w:hint="default" w:ascii="Times New Roman" w:hAnsi="Times New Roman" w:eastAsia="仿宋_GB2312" w:cs="Times New Roman"/>
                <w:color w:val="auto"/>
                <w:kern w:val="0"/>
                <w:szCs w:val="21"/>
                <w:highlight w:val="none"/>
              </w:rPr>
            </w:pPr>
          </w:p>
          <w:p w14:paraId="402010F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食品添加剂</w:t>
            </w:r>
          </w:p>
          <w:p w14:paraId="2741BE25">
            <w:pPr>
              <w:widowControl/>
              <w:spacing w:line="300" w:lineRule="exact"/>
              <w:jc w:val="center"/>
              <w:rPr>
                <w:rFonts w:hint="default" w:ascii="Times New Roman" w:hAnsi="Times New Roman" w:eastAsia="仿宋_GB2312" w:cs="Times New Roman"/>
                <w:color w:val="auto"/>
                <w:kern w:val="0"/>
                <w:szCs w:val="21"/>
                <w:highlight w:val="none"/>
              </w:rPr>
            </w:pPr>
          </w:p>
          <w:p w14:paraId="6A0C396A">
            <w:pPr>
              <w:widowControl/>
              <w:spacing w:line="300" w:lineRule="exact"/>
              <w:jc w:val="center"/>
              <w:rPr>
                <w:rFonts w:hint="default" w:ascii="Times New Roman" w:hAnsi="Times New Roman" w:eastAsia="仿宋_GB2312" w:cs="Times New Roman"/>
                <w:color w:val="auto"/>
                <w:kern w:val="0"/>
                <w:szCs w:val="21"/>
                <w:highlight w:val="none"/>
              </w:rPr>
            </w:pPr>
          </w:p>
          <w:p w14:paraId="66BC4ACA">
            <w:pPr>
              <w:widowControl/>
              <w:spacing w:line="300" w:lineRule="exact"/>
              <w:jc w:val="center"/>
              <w:rPr>
                <w:rFonts w:hint="default" w:ascii="Times New Roman" w:hAnsi="Times New Roman" w:eastAsia="仿宋_GB2312" w:cs="Times New Roman"/>
                <w:color w:val="auto"/>
                <w:kern w:val="0"/>
                <w:szCs w:val="21"/>
                <w:highlight w:val="none"/>
              </w:rPr>
            </w:pPr>
          </w:p>
          <w:p w14:paraId="18D0F6F9">
            <w:pPr>
              <w:widowControl/>
              <w:spacing w:line="300" w:lineRule="exact"/>
              <w:jc w:val="center"/>
              <w:rPr>
                <w:rFonts w:hint="default" w:ascii="Times New Roman" w:hAnsi="Times New Roman" w:eastAsia="仿宋_GB2312" w:cs="Times New Roman"/>
                <w:color w:val="auto"/>
                <w:kern w:val="0"/>
                <w:szCs w:val="21"/>
                <w:highlight w:val="none"/>
              </w:rPr>
            </w:pPr>
          </w:p>
          <w:p w14:paraId="0186E4BB">
            <w:pPr>
              <w:widowControl/>
              <w:spacing w:line="300" w:lineRule="exact"/>
              <w:jc w:val="center"/>
              <w:rPr>
                <w:rFonts w:hint="default" w:ascii="Times New Roman" w:hAnsi="Times New Roman" w:eastAsia="仿宋_GB2312" w:cs="Times New Roman"/>
                <w:color w:val="auto"/>
                <w:kern w:val="0"/>
                <w:szCs w:val="21"/>
                <w:highlight w:val="none"/>
              </w:rPr>
            </w:pPr>
          </w:p>
          <w:p w14:paraId="3F92857F">
            <w:pPr>
              <w:widowControl/>
              <w:spacing w:line="300" w:lineRule="exact"/>
              <w:jc w:val="center"/>
              <w:rPr>
                <w:rFonts w:hint="default" w:ascii="Times New Roman" w:hAnsi="Times New Roman" w:eastAsia="仿宋_GB2312" w:cs="Times New Roman"/>
                <w:color w:val="auto"/>
                <w:kern w:val="0"/>
                <w:szCs w:val="21"/>
                <w:highlight w:val="none"/>
              </w:rPr>
            </w:pPr>
          </w:p>
          <w:p w14:paraId="35A773C8">
            <w:pPr>
              <w:widowControl/>
              <w:spacing w:line="300" w:lineRule="exact"/>
              <w:jc w:val="center"/>
              <w:rPr>
                <w:rFonts w:hint="default" w:ascii="Times New Roman" w:hAnsi="Times New Roman" w:eastAsia="仿宋_GB2312" w:cs="Times New Roman"/>
                <w:color w:val="auto"/>
                <w:kern w:val="0"/>
                <w:szCs w:val="21"/>
                <w:highlight w:val="none"/>
              </w:rPr>
            </w:pPr>
          </w:p>
          <w:p w14:paraId="633FA9DD">
            <w:pPr>
              <w:widowControl/>
              <w:spacing w:line="300" w:lineRule="exact"/>
              <w:jc w:val="center"/>
              <w:rPr>
                <w:rFonts w:hint="default" w:ascii="Times New Roman" w:hAnsi="Times New Roman" w:eastAsia="仿宋_GB2312" w:cs="Times New Roman"/>
                <w:color w:val="auto"/>
                <w:kern w:val="0"/>
                <w:szCs w:val="21"/>
                <w:highlight w:val="none"/>
              </w:rPr>
            </w:pPr>
          </w:p>
          <w:p w14:paraId="19CD8E8F">
            <w:pPr>
              <w:widowControl/>
              <w:spacing w:line="300" w:lineRule="exact"/>
              <w:jc w:val="center"/>
              <w:rPr>
                <w:rFonts w:hint="default" w:ascii="Times New Roman" w:hAnsi="Times New Roman" w:eastAsia="仿宋_GB2312" w:cs="Times New Roman"/>
                <w:color w:val="auto"/>
                <w:kern w:val="0"/>
                <w:szCs w:val="21"/>
                <w:highlight w:val="none"/>
              </w:rPr>
            </w:pPr>
          </w:p>
          <w:p w14:paraId="2E9DB4FC">
            <w:pPr>
              <w:widowControl/>
              <w:spacing w:line="300" w:lineRule="exact"/>
              <w:jc w:val="center"/>
              <w:rPr>
                <w:rFonts w:hint="default" w:ascii="Times New Roman" w:hAnsi="Times New Roman" w:eastAsia="仿宋_GB2312" w:cs="Times New Roman"/>
                <w:color w:val="auto"/>
                <w:kern w:val="0"/>
                <w:szCs w:val="21"/>
                <w:highlight w:val="none"/>
              </w:rPr>
            </w:pPr>
          </w:p>
          <w:p w14:paraId="15D4337C">
            <w:pPr>
              <w:widowControl/>
              <w:spacing w:line="300" w:lineRule="exact"/>
              <w:jc w:val="center"/>
              <w:rPr>
                <w:rFonts w:hint="default" w:ascii="Times New Roman" w:hAnsi="Times New Roman" w:eastAsia="仿宋_GB2312" w:cs="Times New Roman"/>
                <w:color w:val="auto"/>
                <w:kern w:val="0"/>
                <w:szCs w:val="21"/>
                <w:highlight w:val="none"/>
              </w:rPr>
            </w:pPr>
          </w:p>
          <w:p w14:paraId="07DDE05A">
            <w:pPr>
              <w:widowControl/>
              <w:spacing w:line="300" w:lineRule="exact"/>
              <w:jc w:val="center"/>
              <w:rPr>
                <w:rFonts w:hint="default" w:ascii="Times New Roman" w:hAnsi="Times New Roman" w:eastAsia="仿宋_GB2312" w:cs="Times New Roman"/>
                <w:color w:val="auto"/>
                <w:kern w:val="0"/>
                <w:szCs w:val="21"/>
                <w:highlight w:val="none"/>
              </w:rPr>
            </w:pPr>
          </w:p>
          <w:p w14:paraId="01C37DBF">
            <w:pPr>
              <w:widowControl/>
              <w:spacing w:line="300" w:lineRule="exact"/>
              <w:jc w:val="center"/>
              <w:rPr>
                <w:rFonts w:hint="default" w:ascii="Times New Roman" w:hAnsi="Times New Roman" w:eastAsia="仿宋_GB2312" w:cs="Times New Roman"/>
                <w:color w:val="auto"/>
                <w:kern w:val="0"/>
                <w:szCs w:val="21"/>
                <w:highlight w:val="none"/>
              </w:rPr>
            </w:pPr>
          </w:p>
          <w:p w14:paraId="2A48C510">
            <w:pPr>
              <w:widowControl/>
              <w:spacing w:line="300" w:lineRule="exact"/>
              <w:jc w:val="center"/>
              <w:rPr>
                <w:rFonts w:hint="default" w:ascii="Times New Roman" w:hAnsi="Times New Roman" w:eastAsia="仿宋_GB2312" w:cs="Times New Roman"/>
                <w:color w:val="auto"/>
                <w:kern w:val="0"/>
                <w:szCs w:val="21"/>
                <w:highlight w:val="none"/>
              </w:rPr>
            </w:pPr>
          </w:p>
          <w:p w14:paraId="069A78B8">
            <w:pPr>
              <w:widowControl/>
              <w:spacing w:line="300" w:lineRule="exact"/>
              <w:jc w:val="center"/>
              <w:rPr>
                <w:rFonts w:hint="default" w:ascii="Times New Roman" w:hAnsi="Times New Roman" w:eastAsia="仿宋_GB2312" w:cs="Times New Roman"/>
                <w:color w:val="auto"/>
                <w:kern w:val="0"/>
                <w:szCs w:val="21"/>
                <w:highlight w:val="none"/>
              </w:rPr>
            </w:pPr>
          </w:p>
          <w:p w14:paraId="4022224E">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食品添加剂</w:t>
            </w:r>
          </w:p>
          <w:p w14:paraId="740CE202">
            <w:pPr>
              <w:widowControl/>
              <w:spacing w:line="300" w:lineRule="exact"/>
              <w:jc w:val="center"/>
              <w:rPr>
                <w:rFonts w:hint="default" w:ascii="Times New Roman" w:hAnsi="Times New Roman" w:eastAsia="仿宋_GB2312" w:cs="Times New Roman"/>
                <w:color w:val="auto"/>
                <w:kern w:val="0"/>
                <w:szCs w:val="21"/>
                <w:highlight w:val="none"/>
              </w:rPr>
            </w:pPr>
          </w:p>
          <w:p w14:paraId="7603EC9F">
            <w:pPr>
              <w:widowControl/>
              <w:spacing w:line="300" w:lineRule="exact"/>
              <w:jc w:val="center"/>
              <w:rPr>
                <w:rFonts w:hint="default" w:ascii="Times New Roman" w:hAnsi="Times New Roman" w:eastAsia="仿宋_GB2312" w:cs="Times New Roman"/>
                <w:color w:val="auto"/>
                <w:kern w:val="0"/>
                <w:szCs w:val="21"/>
                <w:highlight w:val="none"/>
              </w:rPr>
            </w:pPr>
          </w:p>
          <w:p w14:paraId="2FD1FABF">
            <w:pPr>
              <w:widowControl/>
              <w:spacing w:line="300" w:lineRule="exact"/>
              <w:jc w:val="center"/>
              <w:rPr>
                <w:rFonts w:hint="default" w:ascii="Times New Roman" w:hAnsi="Times New Roman" w:eastAsia="仿宋_GB2312" w:cs="Times New Roman"/>
                <w:color w:val="auto"/>
                <w:kern w:val="0"/>
                <w:szCs w:val="21"/>
                <w:highlight w:val="none"/>
              </w:rPr>
            </w:pPr>
          </w:p>
          <w:p w14:paraId="4073A270">
            <w:pPr>
              <w:widowControl/>
              <w:spacing w:line="300" w:lineRule="exact"/>
              <w:jc w:val="center"/>
              <w:rPr>
                <w:rFonts w:hint="default" w:ascii="Times New Roman" w:hAnsi="Times New Roman" w:eastAsia="仿宋_GB2312" w:cs="Times New Roman"/>
                <w:color w:val="auto"/>
                <w:kern w:val="0"/>
                <w:szCs w:val="21"/>
                <w:highlight w:val="none"/>
              </w:rPr>
            </w:pPr>
          </w:p>
          <w:p w14:paraId="47554025">
            <w:pPr>
              <w:widowControl/>
              <w:spacing w:line="300" w:lineRule="exact"/>
              <w:jc w:val="center"/>
              <w:rPr>
                <w:rFonts w:hint="default" w:ascii="Times New Roman" w:hAnsi="Times New Roman" w:eastAsia="仿宋_GB2312" w:cs="Times New Roman"/>
                <w:color w:val="auto"/>
                <w:kern w:val="0"/>
                <w:szCs w:val="21"/>
                <w:highlight w:val="none"/>
              </w:rPr>
            </w:pPr>
          </w:p>
          <w:p w14:paraId="1315CE2D">
            <w:pPr>
              <w:widowControl/>
              <w:spacing w:line="300" w:lineRule="exact"/>
              <w:jc w:val="center"/>
              <w:rPr>
                <w:rFonts w:hint="default" w:ascii="Times New Roman" w:hAnsi="Times New Roman" w:eastAsia="仿宋_GB2312" w:cs="Times New Roman"/>
                <w:color w:val="auto"/>
                <w:kern w:val="0"/>
                <w:szCs w:val="21"/>
                <w:highlight w:val="none"/>
              </w:rPr>
            </w:pPr>
          </w:p>
          <w:p w14:paraId="36FCEE9E">
            <w:pPr>
              <w:widowControl/>
              <w:spacing w:line="300" w:lineRule="exact"/>
              <w:jc w:val="center"/>
              <w:rPr>
                <w:rFonts w:hint="default" w:ascii="Times New Roman" w:hAnsi="Times New Roman" w:eastAsia="仿宋_GB2312" w:cs="Times New Roman"/>
                <w:color w:val="auto"/>
                <w:kern w:val="0"/>
                <w:szCs w:val="21"/>
                <w:highlight w:val="none"/>
              </w:rPr>
            </w:pPr>
          </w:p>
          <w:p w14:paraId="0288C1B5">
            <w:pPr>
              <w:widowControl/>
              <w:spacing w:line="300" w:lineRule="exact"/>
              <w:jc w:val="center"/>
              <w:rPr>
                <w:rFonts w:hint="default" w:ascii="Times New Roman" w:hAnsi="Times New Roman" w:eastAsia="仿宋_GB2312" w:cs="Times New Roman"/>
                <w:color w:val="auto"/>
                <w:kern w:val="0"/>
                <w:szCs w:val="21"/>
                <w:highlight w:val="none"/>
              </w:rPr>
            </w:pPr>
          </w:p>
          <w:p w14:paraId="0C223F9D">
            <w:pPr>
              <w:widowControl/>
              <w:spacing w:line="300" w:lineRule="exact"/>
              <w:jc w:val="center"/>
              <w:rPr>
                <w:rFonts w:hint="default" w:ascii="Times New Roman" w:hAnsi="Times New Roman" w:eastAsia="仿宋_GB2312" w:cs="Times New Roman"/>
                <w:color w:val="auto"/>
                <w:kern w:val="0"/>
                <w:szCs w:val="21"/>
                <w:highlight w:val="none"/>
              </w:rPr>
            </w:pPr>
          </w:p>
          <w:p w14:paraId="4027B7DC">
            <w:pPr>
              <w:widowControl/>
              <w:spacing w:line="300" w:lineRule="exact"/>
              <w:jc w:val="center"/>
              <w:rPr>
                <w:rFonts w:hint="default" w:ascii="Times New Roman" w:hAnsi="Times New Roman" w:eastAsia="仿宋_GB2312" w:cs="Times New Roman"/>
                <w:color w:val="auto"/>
                <w:kern w:val="0"/>
                <w:szCs w:val="21"/>
                <w:highlight w:val="none"/>
              </w:rPr>
            </w:pPr>
          </w:p>
          <w:p w14:paraId="65670A07">
            <w:pPr>
              <w:widowControl/>
              <w:spacing w:line="300" w:lineRule="exact"/>
              <w:jc w:val="center"/>
              <w:rPr>
                <w:rFonts w:hint="default" w:ascii="Times New Roman" w:hAnsi="Times New Roman" w:eastAsia="仿宋_GB2312" w:cs="Times New Roman"/>
                <w:color w:val="auto"/>
                <w:kern w:val="0"/>
                <w:szCs w:val="21"/>
                <w:highlight w:val="none"/>
              </w:rPr>
            </w:pPr>
          </w:p>
          <w:p w14:paraId="012E6F51">
            <w:pPr>
              <w:widowControl/>
              <w:spacing w:line="300" w:lineRule="exact"/>
              <w:jc w:val="center"/>
              <w:rPr>
                <w:rFonts w:hint="default" w:ascii="Times New Roman" w:hAnsi="Times New Roman" w:eastAsia="仿宋_GB2312" w:cs="Times New Roman"/>
                <w:color w:val="auto"/>
                <w:kern w:val="0"/>
                <w:szCs w:val="21"/>
                <w:highlight w:val="none"/>
              </w:rPr>
            </w:pPr>
          </w:p>
          <w:p w14:paraId="2C4D1772">
            <w:pPr>
              <w:widowControl/>
              <w:spacing w:line="300" w:lineRule="exact"/>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26769DE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单一食品添加剂</w:t>
            </w:r>
          </w:p>
        </w:tc>
        <w:tc>
          <w:tcPr>
            <w:tcW w:w="1856" w:type="dxa"/>
            <w:noWrap w:val="0"/>
            <w:vAlign w:val="center"/>
          </w:tcPr>
          <w:p w14:paraId="28CBE89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明胶</w:t>
            </w:r>
          </w:p>
        </w:tc>
        <w:tc>
          <w:tcPr>
            <w:tcW w:w="1106" w:type="dxa"/>
            <w:noWrap w:val="0"/>
            <w:vAlign w:val="center"/>
          </w:tcPr>
          <w:p w14:paraId="51B5356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5C3D9C78">
            <w:pPr>
              <w:keepNext w:val="0"/>
              <w:keepLines w:val="0"/>
              <w:widowControl/>
              <w:suppressLineNumbers w:val="0"/>
              <w:jc w:val="both"/>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铬（Cr）、铅（Pb）、总砷（As）、二氧化硫、过氧化物</w:t>
            </w:r>
          </w:p>
        </w:tc>
        <w:tc>
          <w:tcPr>
            <w:tcW w:w="3450" w:type="dxa"/>
            <w:noWrap w:val="0"/>
            <w:vAlign w:val="center"/>
          </w:tcPr>
          <w:p w14:paraId="695F678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046C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780" w:type="dxa"/>
            <w:vMerge w:val="continue"/>
            <w:noWrap w:val="0"/>
            <w:vAlign w:val="center"/>
          </w:tcPr>
          <w:p w14:paraId="3BC77AA4">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9A52FBE">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0E91A4A">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5E734F1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复配食品添加剂</w:t>
            </w:r>
          </w:p>
        </w:tc>
        <w:tc>
          <w:tcPr>
            <w:tcW w:w="1856" w:type="dxa"/>
            <w:noWrap w:val="0"/>
            <w:vAlign w:val="center"/>
          </w:tcPr>
          <w:p w14:paraId="5281F21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复配食品添加剂</w:t>
            </w:r>
          </w:p>
        </w:tc>
        <w:tc>
          <w:tcPr>
            <w:tcW w:w="1106" w:type="dxa"/>
            <w:noWrap w:val="0"/>
            <w:vAlign w:val="center"/>
          </w:tcPr>
          <w:p w14:paraId="6F2777F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较高</w:t>
            </w:r>
          </w:p>
        </w:tc>
        <w:tc>
          <w:tcPr>
            <w:tcW w:w="4370" w:type="dxa"/>
            <w:noWrap w:val="0"/>
            <w:vAlign w:val="center"/>
          </w:tcPr>
          <w:p w14:paraId="7EA8C7F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铅（Pb）、砷（以As计）、致病性微生物</w:t>
            </w:r>
          </w:p>
        </w:tc>
        <w:tc>
          <w:tcPr>
            <w:tcW w:w="3450" w:type="dxa"/>
            <w:noWrap w:val="0"/>
            <w:vAlign w:val="center"/>
          </w:tcPr>
          <w:p w14:paraId="5838BF2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7BF2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trPr>
        <w:tc>
          <w:tcPr>
            <w:tcW w:w="780" w:type="dxa"/>
            <w:vMerge w:val="continue"/>
            <w:noWrap w:val="0"/>
            <w:vAlign w:val="center"/>
          </w:tcPr>
          <w:p w14:paraId="73B05E1A">
            <w:pPr>
              <w:widowControl/>
              <w:jc w:val="center"/>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378F03AC">
            <w:pPr>
              <w:widowControl/>
              <w:jc w:val="center"/>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990225D">
            <w:pPr>
              <w:widowControl/>
              <w:jc w:val="center"/>
              <w:rPr>
                <w:rFonts w:hint="default" w:ascii="Times New Roman" w:hAnsi="Times New Roman" w:eastAsia="仿宋_GB2312" w:cs="Times New Roman"/>
                <w:color w:val="auto"/>
                <w:kern w:val="0"/>
                <w:szCs w:val="21"/>
                <w:highlight w:val="none"/>
              </w:rPr>
            </w:pPr>
          </w:p>
        </w:tc>
        <w:tc>
          <w:tcPr>
            <w:tcW w:w="1144" w:type="dxa"/>
            <w:noWrap w:val="0"/>
            <w:vAlign w:val="center"/>
          </w:tcPr>
          <w:p w14:paraId="36E9E02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食品用香精</w:t>
            </w:r>
          </w:p>
        </w:tc>
        <w:tc>
          <w:tcPr>
            <w:tcW w:w="1856" w:type="dxa"/>
            <w:noWrap w:val="0"/>
            <w:vAlign w:val="center"/>
          </w:tcPr>
          <w:p w14:paraId="73C9B9A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食品用香精</w:t>
            </w:r>
          </w:p>
        </w:tc>
        <w:tc>
          <w:tcPr>
            <w:tcW w:w="1106" w:type="dxa"/>
            <w:noWrap w:val="0"/>
            <w:vAlign w:val="center"/>
          </w:tcPr>
          <w:p w14:paraId="68087C4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4608CFF6">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砷（以As计）含量/无机砷含量、菌落总数</w:t>
            </w:r>
          </w:p>
        </w:tc>
        <w:tc>
          <w:tcPr>
            <w:tcW w:w="3450" w:type="dxa"/>
            <w:noWrap w:val="0"/>
            <w:vAlign w:val="center"/>
          </w:tcPr>
          <w:p w14:paraId="7103C5A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p>
        </w:tc>
      </w:tr>
      <w:tr w14:paraId="32E5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780" w:type="dxa"/>
            <w:vMerge w:val="continue"/>
            <w:noWrap w:val="0"/>
            <w:vAlign w:val="center"/>
          </w:tcPr>
          <w:p w14:paraId="7CA2636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7FF57EF">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3637E39">
            <w:pPr>
              <w:widowControl/>
              <w:jc w:val="left"/>
              <w:rPr>
                <w:rFonts w:hint="default" w:ascii="Times New Roman" w:hAnsi="Times New Roman" w:eastAsia="仿宋_GB2312" w:cs="Times New Roman"/>
                <w:color w:val="auto"/>
                <w:kern w:val="0"/>
                <w:szCs w:val="21"/>
                <w:highlight w:val="none"/>
              </w:rPr>
            </w:pPr>
          </w:p>
        </w:tc>
        <w:tc>
          <w:tcPr>
            <w:tcW w:w="1144" w:type="dxa"/>
            <w:vMerge w:val="restart"/>
            <w:noWrap w:val="0"/>
            <w:vAlign w:val="center"/>
          </w:tcPr>
          <w:p w14:paraId="254942D5">
            <w:pPr>
              <w:widowControl/>
              <w:spacing w:line="300" w:lineRule="exact"/>
              <w:jc w:val="center"/>
              <w:rPr>
                <w:rFonts w:hint="default" w:ascii="Times New Roman" w:hAnsi="Times New Roman" w:eastAsia="仿宋_GB2312" w:cs="Times New Roman"/>
                <w:color w:val="auto"/>
                <w:kern w:val="0"/>
                <w:szCs w:val="21"/>
                <w:highlight w:val="none"/>
              </w:rPr>
            </w:pPr>
          </w:p>
          <w:p w14:paraId="787C041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单一食品添加剂</w:t>
            </w:r>
          </w:p>
          <w:p w14:paraId="0D9742CF">
            <w:pPr>
              <w:widowControl/>
              <w:spacing w:line="300" w:lineRule="exact"/>
              <w:jc w:val="center"/>
              <w:rPr>
                <w:rFonts w:hint="default" w:ascii="Times New Roman" w:hAnsi="Times New Roman" w:eastAsia="仿宋_GB2312" w:cs="Times New Roman"/>
                <w:color w:val="auto"/>
                <w:kern w:val="0"/>
                <w:szCs w:val="21"/>
                <w:highlight w:val="none"/>
              </w:rPr>
            </w:pPr>
          </w:p>
          <w:p w14:paraId="1D8B392C">
            <w:pPr>
              <w:widowControl/>
              <w:spacing w:line="300" w:lineRule="exact"/>
              <w:jc w:val="center"/>
              <w:rPr>
                <w:rFonts w:hint="default" w:ascii="Times New Roman" w:hAnsi="Times New Roman" w:eastAsia="仿宋_GB2312" w:cs="Times New Roman"/>
                <w:color w:val="auto"/>
                <w:kern w:val="0"/>
                <w:szCs w:val="21"/>
                <w:highlight w:val="none"/>
              </w:rPr>
            </w:pPr>
          </w:p>
          <w:p w14:paraId="14684FE7">
            <w:pPr>
              <w:widowControl/>
              <w:spacing w:line="300" w:lineRule="exact"/>
              <w:jc w:val="center"/>
              <w:rPr>
                <w:rFonts w:hint="default" w:ascii="Times New Roman" w:hAnsi="Times New Roman" w:eastAsia="仿宋_GB2312" w:cs="Times New Roman"/>
                <w:color w:val="auto"/>
                <w:kern w:val="0"/>
                <w:szCs w:val="21"/>
                <w:highlight w:val="none"/>
              </w:rPr>
            </w:pPr>
          </w:p>
          <w:p w14:paraId="0ED0B8E5">
            <w:pPr>
              <w:widowControl/>
              <w:spacing w:line="300" w:lineRule="exact"/>
              <w:jc w:val="center"/>
              <w:rPr>
                <w:rFonts w:hint="default" w:ascii="Times New Roman" w:hAnsi="Times New Roman" w:eastAsia="仿宋_GB2312" w:cs="Times New Roman"/>
                <w:color w:val="auto"/>
                <w:kern w:val="0"/>
                <w:szCs w:val="21"/>
                <w:highlight w:val="none"/>
              </w:rPr>
            </w:pPr>
          </w:p>
          <w:p w14:paraId="4BF89BF8">
            <w:pPr>
              <w:widowControl/>
              <w:spacing w:line="300" w:lineRule="exact"/>
              <w:jc w:val="center"/>
              <w:rPr>
                <w:rFonts w:hint="default" w:ascii="Times New Roman" w:hAnsi="Times New Roman" w:eastAsia="仿宋_GB2312" w:cs="Times New Roman"/>
                <w:color w:val="auto"/>
                <w:kern w:val="0"/>
                <w:szCs w:val="21"/>
                <w:highlight w:val="none"/>
              </w:rPr>
            </w:pPr>
          </w:p>
          <w:p w14:paraId="09AD424D">
            <w:pPr>
              <w:widowControl/>
              <w:spacing w:line="300" w:lineRule="exact"/>
              <w:jc w:val="center"/>
              <w:rPr>
                <w:rFonts w:hint="default" w:ascii="Times New Roman" w:hAnsi="Times New Roman" w:eastAsia="仿宋_GB2312" w:cs="Times New Roman"/>
                <w:color w:val="auto"/>
                <w:kern w:val="0"/>
                <w:szCs w:val="21"/>
                <w:highlight w:val="none"/>
              </w:rPr>
            </w:pPr>
          </w:p>
          <w:p w14:paraId="5E5BA6DB">
            <w:pPr>
              <w:widowControl/>
              <w:spacing w:line="300" w:lineRule="exact"/>
              <w:jc w:val="center"/>
              <w:rPr>
                <w:rFonts w:hint="default" w:ascii="Times New Roman" w:hAnsi="Times New Roman" w:eastAsia="仿宋_GB2312" w:cs="Times New Roman"/>
                <w:color w:val="auto"/>
                <w:kern w:val="0"/>
                <w:szCs w:val="21"/>
                <w:highlight w:val="none"/>
              </w:rPr>
            </w:pPr>
          </w:p>
          <w:p w14:paraId="1A9BD9BC">
            <w:pPr>
              <w:widowControl/>
              <w:spacing w:line="300" w:lineRule="exact"/>
              <w:jc w:val="center"/>
              <w:rPr>
                <w:rFonts w:hint="default" w:ascii="Times New Roman" w:hAnsi="Times New Roman" w:eastAsia="仿宋_GB2312" w:cs="Times New Roman"/>
                <w:color w:val="auto"/>
                <w:kern w:val="0"/>
                <w:szCs w:val="21"/>
                <w:highlight w:val="none"/>
              </w:rPr>
            </w:pPr>
          </w:p>
          <w:p w14:paraId="58E21ED1">
            <w:pPr>
              <w:widowControl/>
              <w:spacing w:line="300" w:lineRule="exact"/>
              <w:jc w:val="center"/>
              <w:rPr>
                <w:rFonts w:hint="default" w:ascii="Times New Roman" w:hAnsi="Times New Roman" w:eastAsia="仿宋_GB2312" w:cs="Times New Roman"/>
                <w:color w:val="auto"/>
                <w:kern w:val="0"/>
                <w:szCs w:val="21"/>
                <w:highlight w:val="none"/>
              </w:rPr>
            </w:pPr>
          </w:p>
          <w:p w14:paraId="7194B6E1">
            <w:pPr>
              <w:widowControl/>
              <w:spacing w:line="300" w:lineRule="exact"/>
              <w:jc w:val="center"/>
              <w:rPr>
                <w:rFonts w:hint="default" w:ascii="Times New Roman" w:hAnsi="Times New Roman" w:eastAsia="仿宋_GB2312" w:cs="Times New Roman"/>
                <w:color w:val="auto"/>
                <w:kern w:val="0"/>
                <w:szCs w:val="21"/>
                <w:highlight w:val="none"/>
              </w:rPr>
            </w:pPr>
          </w:p>
          <w:p w14:paraId="611FC819">
            <w:pPr>
              <w:widowControl/>
              <w:spacing w:line="300" w:lineRule="exact"/>
              <w:jc w:val="center"/>
              <w:rPr>
                <w:rFonts w:hint="default" w:ascii="Times New Roman" w:hAnsi="Times New Roman" w:eastAsia="仿宋_GB2312" w:cs="Times New Roman"/>
                <w:color w:val="auto"/>
                <w:kern w:val="0"/>
                <w:szCs w:val="21"/>
                <w:highlight w:val="none"/>
              </w:rPr>
            </w:pPr>
          </w:p>
          <w:p w14:paraId="1E5C06E4">
            <w:pPr>
              <w:widowControl/>
              <w:spacing w:line="300" w:lineRule="exact"/>
              <w:jc w:val="center"/>
              <w:rPr>
                <w:rFonts w:hint="default" w:ascii="Times New Roman" w:hAnsi="Times New Roman" w:eastAsia="仿宋_GB2312" w:cs="Times New Roman"/>
                <w:color w:val="auto"/>
                <w:kern w:val="0"/>
                <w:szCs w:val="21"/>
                <w:highlight w:val="none"/>
              </w:rPr>
            </w:pPr>
          </w:p>
          <w:p w14:paraId="382A3E1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单一食品添加剂</w:t>
            </w:r>
          </w:p>
        </w:tc>
        <w:tc>
          <w:tcPr>
            <w:tcW w:w="1856" w:type="dxa"/>
            <w:noWrap w:val="0"/>
            <w:vAlign w:val="center"/>
          </w:tcPr>
          <w:p w14:paraId="4F36CFD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糖精钠</w:t>
            </w:r>
          </w:p>
        </w:tc>
        <w:tc>
          <w:tcPr>
            <w:tcW w:w="1106" w:type="dxa"/>
            <w:noWrap w:val="0"/>
            <w:vAlign w:val="center"/>
          </w:tcPr>
          <w:p w14:paraId="4A20CD27">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1E69A84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糖精钠含量、干燥失重、总砷（以 As计）、铅（Pb）、酸度和碱度、苯甲酸盐和水杨酸盐</w:t>
            </w:r>
          </w:p>
        </w:tc>
        <w:tc>
          <w:tcPr>
            <w:tcW w:w="3450" w:type="dxa"/>
            <w:noWrap w:val="0"/>
            <w:vAlign w:val="center"/>
          </w:tcPr>
          <w:p w14:paraId="5101704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996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780" w:type="dxa"/>
            <w:vMerge w:val="continue"/>
            <w:noWrap w:val="0"/>
            <w:vAlign w:val="center"/>
          </w:tcPr>
          <w:p w14:paraId="6982A0F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4A86EF8">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953FC7E">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5D52CE2D">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205106AF">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环己基氨基磺酸钠 （又名甜蜜素）</w:t>
            </w:r>
          </w:p>
        </w:tc>
        <w:tc>
          <w:tcPr>
            <w:tcW w:w="1106" w:type="dxa"/>
            <w:noWrap w:val="0"/>
            <w:vAlign w:val="center"/>
          </w:tcPr>
          <w:p w14:paraId="05192E5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0A156E4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环己基氨基磺酸钠含量（以干基计）、硫酸盐（以SO</w:t>
            </w:r>
            <w:r>
              <w:rPr>
                <w:rFonts w:hint="eastAsia" w:ascii="Times New Roman" w:hAnsi="Times New Roman" w:eastAsia="仿宋_GB2312" w:cs="Times New Roman"/>
                <w:color w:val="auto"/>
                <w:kern w:val="0"/>
                <w:szCs w:val="21"/>
                <w:highlight w:val="none"/>
                <w:vertAlign w:val="subscript"/>
                <w:lang w:val="en-US" w:eastAsia="zh-CN"/>
              </w:rPr>
              <w:t>4</w:t>
            </w:r>
            <w:r>
              <w:rPr>
                <w:rFonts w:hint="default" w:ascii="Times New Roman" w:hAnsi="Times New Roman" w:eastAsia="仿宋_GB2312" w:cs="Times New Roman"/>
                <w:color w:val="auto"/>
                <w:kern w:val="0"/>
                <w:szCs w:val="21"/>
                <w:highlight w:val="none"/>
                <w:lang w:val="en-US" w:eastAsia="zh-CN"/>
              </w:rPr>
              <w:t>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干燥减量、重金属（以Pb计）、砷（As）</w:t>
            </w:r>
          </w:p>
        </w:tc>
        <w:tc>
          <w:tcPr>
            <w:tcW w:w="3450" w:type="dxa"/>
            <w:noWrap w:val="0"/>
            <w:vAlign w:val="center"/>
          </w:tcPr>
          <w:p w14:paraId="107E7C6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2E8D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trPr>
        <w:tc>
          <w:tcPr>
            <w:tcW w:w="780" w:type="dxa"/>
            <w:vMerge w:val="continue"/>
            <w:noWrap w:val="0"/>
            <w:vAlign w:val="center"/>
          </w:tcPr>
          <w:p w14:paraId="05D3122D">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D2806B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024C19DC">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702C75A">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107ABEB0">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碳酸钠</w:t>
            </w:r>
          </w:p>
        </w:tc>
        <w:tc>
          <w:tcPr>
            <w:tcW w:w="1106" w:type="dxa"/>
            <w:noWrap w:val="0"/>
            <w:vAlign w:val="center"/>
          </w:tcPr>
          <w:p w14:paraId="307B02C5">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0B7562B3">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总碱量（以Na</w:t>
            </w:r>
            <w:r>
              <w:rPr>
                <w:rFonts w:hint="eastAsia"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CO</w:t>
            </w:r>
            <w:r>
              <w:rPr>
                <w:rFonts w:hint="eastAsia"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计）（以干基计）、总碱量（以Na</w:t>
            </w:r>
            <w:r>
              <w:rPr>
                <w:rFonts w:hint="eastAsia"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CO</w:t>
            </w:r>
            <w:r>
              <w:rPr>
                <w:rFonts w:hint="eastAsia" w:ascii="Times New Roman" w:hAnsi="Times New Roman" w:eastAsia="仿宋_GB2312" w:cs="Times New Roman"/>
                <w:color w:val="auto"/>
                <w:kern w:val="0"/>
                <w:szCs w:val="21"/>
                <w:highlight w:val="none"/>
                <w:vertAlign w:val="subscript"/>
                <w:lang w:val="en-US" w:eastAsia="zh-CN"/>
              </w:rPr>
              <w:t>3</w:t>
            </w:r>
            <w:r>
              <w:rPr>
                <w:rFonts w:hint="default" w:ascii="Times New Roman" w:hAnsi="Times New Roman" w:eastAsia="仿宋_GB2312" w:cs="Times New Roman"/>
                <w:color w:val="auto"/>
                <w:kern w:val="0"/>
                <w:szCs w:val="21"/>
                <w:highlight w:val="none"/>
                <w:lang w:val="en-US" w:eastAsia="zh-CN"/>
              </w:rPr>
              <w:t>计）（以湿基计）、水不溶物（以干基计）、氯化物（以NaCl计）（以干基计）</w:t>
            </w:r>
          </w:p>
        </w:tc>
        <w:tc>
          <w:tcPr>
            <w:tcW w:w="3450" w:type="dxa"/>
            <w:noWrap w:val="0"/>
            <w:vAlign w:val="center"/>
          </w:tcPr>
          <w:p w14:paraId="3A46E06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铅（Pb）（以干基计）、砷（As）（以干基计）</w:t>
            </w:r>
          </w:p>
        </w:tc>
      </w:tr>
      <w:tr w14:paraId="0248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780" w:type="dxa"/>
            <w:vMerge w:val="continue"/>
            <w:noWrap w:val="0"/>
            <w:vAlign w:val="center"/>
          </w:tcPr>
          <w:p w14:paraId="430D8C1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B05F8D9">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6D14445A">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6A33F89">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1209A1F8">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碳酸氢钠</w:t>
            </w:r>
          </w:p>
        </w:tc>
        <w:tc>
          <w:tcPr>
            <w:tcW w:w="1106" w:type="dxa"/>
            <w:noWrap w:val="0"/>
            <w:vAlign w:val="center"/>
          </w:tcPr>
          <w:p w14:paraId="79E94E7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3E716C7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总碱量（以NaHCO₃计）、干燥减量</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pH（10g/L水溶液）、铵盐、澄清度、氯化物（以Cl计）</w:t>
            </w:r>
          </w:p>
        </w:tc>
        <w:tc>
          <w:tcPr>
            <w:tcW w:w="3450" w:type="dxa"/>
            <w:noWrap w:val="0"/>
            <w:vAlign w:val="center"/>
          </w:tcPr>
          <w:p w14:paraId="1DD899A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白度、砷（As）、重金属（以Pb计）</w:t>
            </w:r>
          </w:p>
        </w:tc>
      </w:tr>
      <w:tr w14:paraId="6BF5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trPr>
        <w:tc>
          <w:tcPr>
            <w:tcW w:w="780" w:type="dxa"/>
            <w:vMerge w:val="continue"/>
            <w:noWrap w:val="0"/>
            <w:vAlign w:val="center"/>
          </w:tcPr>
          <w:p w14:paraId="2582E114">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7F6A9FF">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C1E3394">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574F491">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3C6DA66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焦糖色</w:t>
            </w:r>
          </w:p>
        </w:tc>
        <w:tc>
          <w:tcPr>
            <w:tcW w:w="1106" w:type="dxa"/>
            <w:noWrap w:val="0"/>
            <w:vAlign w:val="center"/>
          </w:tcPr>
          <w:p w14:paraId="6897DAD6">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11C7356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吸光度E1cm（610nm）、氨氮（以N计）、二氧化硫（以SO</w:t>
            </w:r>
            <w:r>
              <w:rPr>
                <w:rFonts w:hint="eastAsia" w:ascii="Times New Roman" w:hAnsi="Times New Roman" w:eastAsia="仿宋_GB2312" w:cs="Times New Roman"/>
                <w:color w:val="auto"/>
                <w:kern w:val="0"/>
                <w:szCs w:val="21"/>
                <w:highlight w:val="none"/>
                <w:vertAlign w:val="subscript"/>
                <w:lang w:val="en-US" w:eastAsia="zh-CN"/>
              </w:rPr>
              <w:t>2</w:t>
            </w:r>
            <w:r>
              <w:rPr>
                <w:rFonts w:hint="default" w:ascii="Times New Roman" w:hAnsi="Times New Roman" w:eastAsia="仿宋_GB2312" w:cs="Times New Roman"/>
                <w:color w:val="auto"/>
                <w:kern w:val="0"/>
                <w:szCs w:val="21"/>
                <w:highlight w:val="none"/>
                <w:lang w:val="en-US" w:eastAsia="zh-CN"/>
              </w:rPr>
              <w:t>计）、4-甲基咪唑、总氮（以N计）、总硫（以S计）</w:t>
            </w:r>
          </w:p>
        </w:tc>
        <w:tc>
          <w:tcPr>
            <w:tcW w:w="3450" w:type="dxa"/>
            <w:noWrap w:val="0"/>
            <w:vAlign w:val="center"/>
          </w:tcPr>
          <w:p w14:paraId="7FFA1E91">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总砷（以As计）、铅（Pb）、总汞（以Hg计）</w:t>
            </w:r>
          </w:p>
        </w:tc>
      </w:tr>
      <w:tr w14:paraId="5BFDE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780" w:type="dxa"/>
            <w:vMerge w:val="continue"/>
            <w:noWrap w:val="0"/>
            <w:vAlign w:val="center"/>
          </w:tcPr>
          <w:p w14:paraId="631BE639">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5A5D14B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3A042A52">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24878B35">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081E234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蜂蜡</w:t>
            </w:r>
          </w:p>
        </w:tc>
        <w:tc>
          <w:tcPr>
            <w:tcW w:w="1106" w:type="dxa"/>
            <w:noWrap w:val="0"/>
            <w:vAlign w:val="center"/>
          </w:tcPr>
          <w:p w14:paraId="66A0BAD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6CF3297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过氧化值，酸值（以KOH计）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皂化值（以KOH计）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熔程</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甘油和其他多元醇</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巴西棕榈蜡，纯白地蜡、石蜡及其他蜡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脂肪、日本蜡、松脂和皂质</w:t>
            </w:r>
          </w:p>
        </w:tc>
        <w:tc>
          <w:tcPr>
            <w:tcW w:w="3450" w:type="dxa"/>
            <w:noWrap w:val="0"/>
            <w:vAlign w:val="center"/>
          </w:tcPr>
          <w:p w14:paraId="599EC3BD">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铅（Pb）</w:t>
            </w:r>
          </w:p>
        </w:tc>
      </w:tr>
      <w:tr w14:paraId="65ADA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780" w:type="dxa"/>
            <w:vMerge w:val="continue"/>
            <w:noWrap w:val="0"/>
            <w:vAlign w:val="center"/>
          </w:tcPr>
          <w:p w14:paraId="67E980A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ED5CFFC">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94FA316">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7763FD1">
            <w:pPr>
              <w:widowControl/>
              <w:spacing w:line="300" w:lineRule="exact"/>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0B425B6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红曲米</w:t>
            </w:r>
          </w:p>
        </w:tc>
        <w:tc>
          <w:tcPr>
            <w:tcW w:w="1106" w:type="dxa"/>
            <w:noWrap w:val="0"/>
            <w:vAlign w:val="center"/>
          </w:tcPr>
          <w:p w14:paraId="070502FA">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0198C21C">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水分、黄曲霉毒素B₁、色价、细度 150μm（100目）通过率、大肠菌群、沙门氏菌、志贺氏菌、金黄色葡萄球菌</w:t>
            </w:r>
          </w:p>
        </w:tc>
        <w:tc>
          <w:tcPr>
            <w:tcW w:w="3450" w:type="dxa"/>
            <w:noWrap w:val="0"/>
            <w:vAlign w:val="center"/>
          </w:tcPr>
          <w:p w14:paraId="08C84304">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总砷（以As计）</w:t>
            </w:r>
            <w:r>
              <w:rPr>
                <w:rFonts w:hint="eastAsia" w:ascii="Times New Roman" w:hAnsi="Times New Roman" w:eastAsia="仿宋_GB2312" w:cs="Times New Roman"/>
                <w:color w:val="auto"/>
                <w:kern w:val="0"/>
                <w:szCs w:val="21"/>
                <w:highlight w:val="none"/>
                <w:lang w:val="en-US" w:eastAsia="zh-CN"/>
              </w:rPr>
              <w:t>、</w:t>
            </w:r>
            <w:r>
              <w:rPr>
                <w:rFonts w:hint="default" w:ascii="Times New Roman" w:hAnsi="Times New Roman" w:eastAsia="仿宋_GB2312" w:cs="Times New Roman"/>
                <w:color w:val="auto"/>
                <w:kern w:val="0"/>
                <w:szCs w:val="21"/>
                <w:highlight w:val="none"/>
                <w:lang w:val="en-US" w:eastAsia="zh-CN"/>
              </w:rPr>
              <w:t>重金属（以Pb计）</w:t>
            </w:r>
          </w:p>
        </w:tc>
      </w:tr>
      <w:tr w14:paraId="47CD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780" w:type="dxa"/>
            <w:vMerge w:val="continue"/>
            <w:noWrap w:val="0"/>
            <w:vAlign w:val="center"/>
          </w:tcPr>
          <w:p w14:paraId="4B4C834E">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45A004AF">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1201D484">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65A08EDA">
            <w:pPr>
              <w:widowControl/>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05FFF032">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红曲红</w:t>
            </w:r>
          </w:p>
        </w:tc>
        <w:tc>
          <w:tcPr>
            <w:tcW w:w="1106" w:type="dxa"/>
            <w:noWrap w:val="0"/>
            <w:vAlign w:val="center"/>
          </w:tcPr>
          <w:p w14:paraId="5D4A4C6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5200A2CE">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色价</w:t>
            </w:r>
            <w:r>
              <w:rPr>
                <w:color w:val="auto"/>
                <w:highlight w:val="none"/>
              </w:rPr>
              <w:drawing>
                <wp:inline distT="0" distB="0" distL="114300" distR="114300">
                  <wp:extent cx="1000125" cy="190500"/>
                  <wp:effectExtent l="0" t="0" r="5715" b="825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30"/>
                          <a:stretch>
                            <a:fillRect/>
                          </a:stretch>
                        </pic:blipFill>
                        <pic:spPr>
                          <a:xfrm>
                            <a:off x="0" y="0"/>
                            <a:ext cx="1000125" cy="190500"/>
                          </a:xfrm>
                          <a:prstGeom prst="rect">
                            <a:avLst/>
                          </a:prstGeom>
                          <a:noFill/>
                          <a:ln>
                            <a:noFill/>
                          </a:ln>
                        </pic:spPr>
                      </pic:pic>
                    </a:graphicData>
                  </a:graphic>
                </wp:inline>
              </w:drawing>
            </w:r>
            <w:r>
              <w:rPr>
                <w:rFonts w:hint="default" w:ascii="Times New Roman" w:hAnsi="Times New Roman" w:eastAsia="仿宋_GB2312" w:cs="Times New Roman"/>
                <w:color w:val="auto"/>
                <w:kern w:val="0"/>
                <w:szCs w:val="21"/>
                <w:highlight w:val="none"/>
                <w:lang w:val="en-US" w:eastAsia="zh-CN"/>
              </w:rPr>
              <w:t>、干燥减量、铅（Pb）、砷（As）</w:t>
            </w:r>
          </w:p>
        </w:tc>
        <w:tc>
          <w:tcPr>
            <w:tcW w:w="3450" w:type="dxa"/>
            <w:noWrap w:val="0"/>
            <w:vAlign w:val="center"/>
          </w:tcPr>
          <w:p w14:paraId="7E03C887">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24C7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780" w:type="dxa"/>
            <w:vMerge w:val="continue"/>
            <w:noWrap w:val="0"/>
            <w:vAlign w:val="center"/>
          </w:tcPr>
          <w:p w14:paraId="00E9B6F6">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6149CEF4">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2EFB00EA">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330BB84E">
            <w:pPr>
              <w:widowControl/>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2F960F9C">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lang w:val="en-US" w:eastAsia="zh-CN"/>
              </w:rPr>
              <w:t>红曲黄色素</w:t>
            </w:r>
          </w:p>
        </w:tc>
        <w:tc>
          <w:tcPr>
            <w:tcW w:w="1106" w:type="dxa"/>
            <w:noWrap w:val="0"/>
            <w:vAlign w:val="center"/>
          </w:tcPr>
          <w:p w14:paraId="75C7E1C1">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31F93D9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default" w:ascii="Times New Roman" w:hAnsi="Times New Roman" w:eastAsia="仿宋_GB2312" w:cs="Times New Roman"/>
                <w:color w:val="auto"/>
                <w:kern w:val="0"/>
                <w:szCs w:val="21"/>
                <w:highlight w:val="none"/>
                <w:lang w:val="en-US" w:eastAsia="zh-CN"/>
              </w:rPr>
              <w:t>色价</w:t>
            </w:r>
            <w:r>
              <w:rPr>
                <w:color w:val="auto"/>
                <w:highlight w:val="none"/>
              </w:rPr>
              <w:drawing>
                <wp:inline distT="0" distB="0" distL="114300" distR="114300">
                  <wp:extent cx="1000125" cy="190500"/>
                  <wp:effectExtent l="0" t="0" r="5715" b="825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31"/>
                          <a:stretch>
                            <a:fillRect/>
                          </a:stretch>
                        </pic:blipFill>
                        <pic:spPr>
                          <a:xfrm>
                            <a:off x="0" y="0"/>
                            <a:ext cx="1000125" cy="190500"/>
                          </a:xfrm>
                          <a:prstGeom prst="rect">
                            <a:avLst/>
                          </a:prstGeom>
                          <a:noFill/>
                          <a:ln>
                            <a:noFill/>
                          </a:ln>
                        </pic:spPr>
                      </pic:pic>
                    </a:graphicData>
                  </a:graphic>
                </wp:inline>
              </w:drawing>
            </w:r>
            <w:r>
              <w:rPr>
                <w:rFonts w:hint="default" w:ascii="Times New Roman" w:hAnsi="Times New Roman" w:eastAsia="仿宋_GB2312" w:cs="Times New Roman"/>
                <w:color w:val="auto"/>
                <w:kern w:val="0"/>
                <w:szCs w:val="21"/>
                <w:highlight w:val="none"/>
                <w:lang w:val="en-US" w:eastAsia="zh-CN"/>
              </w:rPr>
              <w:t>、干燥减量、灼烧残渣、铅（Pb）、总砷（以As计）</w:t>
            </w:r>
          </w:p>
        </w:tc>
        <w:tc>
          <w:tcPr>
            <w:tcW w:w="3450" w:type="dxa"/>
            <w:noWrap w:val="0"/>
            <w:vAlign w:val="center"/>
          </w:tcPr>
          <w:p w14:paraId="2805FF89">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638F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780" w:type="dxa"/>
            <w:vMerge w:val="continue"/>
            <w:noWrap w:val="0"/>
            <w:vAlign w:val="center"/>
          </w:tcPr>
          <w:p w14:paraId="60A5601A">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292F4B6D">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89B9A33">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1876B725">
            <w:pPr>
              <w:widowControl/>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56214007">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rPr>
              <w:t>胶基</w:t>
            </w:r>
          </w:p>
        </w:tc>
        <w:tc>
          <w:tcPr>
            <w:tcW w:w="1106" w:type="dxa"/>
            <w:noWrap w:val="0"/>
            <w:vAlign w:val="center"/>
          </w:tcPr>
          <w:p w14:paraId="41D5CFBB">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4889CEE2">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铅（Pb）、总砷（以As计）</w:t>
            </w:r>
          </w:p>
        </w:tc>
        <w:tc>
          <w:tcPr>
            <w:tcW w:w="3450" w:type="dxa"/>
            <w:noWrap w:val="0"/>
            <w:vAlign w:val="center"/>
          </w:tcPr>
          <w:p w14:paraId="6F400FBB">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DBE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780" w:type="dxa"/>
            <w:vMerge w:val="continue"/>
            <w:noWrap w:val="0"/>
            <w:vAlign w:val="center"/>
          </w:tcPr>
          <w:p w14:paraId="2F944DE7">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014251B6">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57A0BDD5">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0CA5EB88">
            <w:pPr>
              <w:widowControl/>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0F9D2A15">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rPr>
              <w:t>食品工业用酶</w:t>
            </w:r>
          </w:p>
          <w:p w14:paraId="049A1BF8">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rPr>
              <w:t>制剂</w:t>
            </w:r>
          </w:p>
        </w:tc>
        <w:tc>
          <w:tcPr>
            <w:tcW w:w="1106" w:type="dxa"/>
            <w:noWrap w:val="0"/>
            <w:vAlign w:val="center"/>
          </w:tcPr>
          <w:p w14:paraId="763901C9">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6CE41C1E">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菌落总数、大肠菌群、大肠埃希氏菌、沙门氏菌、抗菌活性</w:t>
            </w:r>
          </w:p>
        </w:tc>
        <w:tc>
          <w:tcPr>
            <w:tcW w:w="3450" w:type="dxa"/>
            <w:noWrap w:val="0"/>
            <w:vAlign w:val="center"/>
          </w:tcPr>
          <w:p w14:paraId="68F0A480">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铅（Pb）、总砷（以As 计）</w:t>
            </w:r>
          </w:p>
        </w:tc>
      </w:tr>
      <w:tr w14:paraId="075D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780" w:type="dxa"/>
            <w:vMerge w:val="continue"/>
            <w:noWrap w:val="0"/>
            <w:vAlign w:val="center"/>
          </w:tcPr>
          <w:p w14:paraId="2FCF48F2">
            <w:pPr>
              <w:widowControl/>
              <w:jc w:val="left"/>
              <w:rPr>
                <w:rFonts w:hint="default" w:ascii="Times New Roman" w:hAnsi="Times New Roman" w:eastAsia="仿宋_GB2312" w:cs="Times New Roman"/>
                <w:color w:val="auto"/>
                <w:kern w:val="0"/>
                <w:szCs w:val="21"/>
                <w:highlight w:val="none"/>
              </w:rPr>
            </w:pPr>
          </w:p>
        </w:tc>
        <w:tc>
          <w:tcPr>
            <w:tcW w:w="1107" w:type="dxa"/>
            <w:vMerge w:val="continue"/>
            <w:noWrap w:val="0"/>
            <w:vAlign w:val="center"/>
          </w:tcPr>
          <w:p w14:paraId="717E1DD4">
            <w:pPr>
              <w:widowControl/>
              <w:jc w:val="left"/>
              <w:rPr>
                <w:rFonts w:hint="default" w:ascii="Times New Roman" w:hAnsi="Times New Roman" w:eastAsia="仿宋_GB2312" w:cs="Times New Roman"/>
                <w:color w:val="auto"/>
                <w:kern w:val="0"/>
                <w:szCs w:val="21"/>
                <w:highlight w:val="none"/>
              </w:rPr>
            </w:pPr>
          </w:p>
        </w:tc>
        <w:tc>
          <w:tcPr>
            <w:tcW w:w="1256" w:type="dxa"/>
            <w:vMerge w:val="continue"/>
            <w:noWrap w:val="0"/>
            <w:vAlign w:val="center"/>
          </w:tcPr>
          <w:p w14:paraId="7693E5BB">
            <w:pPr>
              <w:widowControl/>
              <w:jc w:val="left"/>
              <w:rPr>
                <w:rFonts w:hint="default" w:ascii="Times New Roman" w:hAnsi="Times New Roman" w:eastAsia="仿宋_GB2312" w:cs="Times New Roman"/>
                <w:color w:val="auto"/>
                <w:kern w:val="0"/>
                <w:szCs w:val="21"/>
                <w:highlight w:val="none"/>
              </w:rPr>
            </w:pPr>
          </w:p>
        </w:tc>
        <w:tc>
          <w:tcPr>
            <w:tcW w:w="1144" w:type="dxa"/>
            <w:vMerge w:val="continue"/>
            <w:noWrap w:val="0"/>
            <w:vAlign w:val="center"/>
          </w:tcPr>
          <w:p w14:paraId="75E39A8B">
            <w:pPr>
              <w:widowControl/>
              <w:jc w:val="center"/>
              <w:rPr>
                <w:rFonts w:hint="default" w:ascii="Times New Roman" w:hAnsi="Times New Roman" w:eastAsia="仿宋_GB2312" w:cs="Times New Roman"/>
                <w:color w:val="auto"/>
                <w:kern w:val="0"/>
                <w:szCs w:val="21"/>
                <w:highlight w:val="none"/>
              </w:rPr>
            </w:pPr>
          </w:p>
        </w:tc>
        <w:tc>
          <w:tcPr>
            <w:tcW w:w="1856" w:type="dxa"/>
            <w:noWrap w:val="0"/>
            <w:vAlign w:val="center"/>
          </w:tcPr>
          <w:p w14:paraId="551B4AFE">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val="en-US" w:eastAsia="zh-CN"/>
              </w:rPr>
              <w:t xml:space="preserve">碳酸钙（包括轻 </w:t>
            </w:r>
          </w:p>
          <w:p w14:paraId="1259F5D3">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val="en-US" w:eastAsia="zh-CN"/>
              </w:rPr>
              <w:t xml:space="preserve">质和重质碳酸 </w:t>
            </w:r>
          </w:p>
          <w:p w14:paraId="1FF29724">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val="en-US" w:eastAsia="zh-CN"/>
              </w:rPr>
              <w:t>钙）</w:t>
            </w:r>
          </w:p>
        </w:tc>
        <w:tc>
          <w:tcPr>
            <w:tcW w:w="1106" w:type="dxa"/>
            <w:noWrap w:val="0"/>
            <w:vAlign w:val="center"/>
          </w:tcPr>
          <w:p w14:paraId="7AD90B54">
            <w:pPr>
              <w:widowControl/>
              <w:spacing w:line="300" w:lineRule="exact"/>
              <w:jc w:val="center"/>
              <w:rPr>
                <w:rFonts w:hint="default" w:ascii="Times New Roman" w:hAnsi="Times New Roman" w:eastAsia="仿宋_GB2312" w:cs="Times New Roman"/>
                <w:color w:val="auto"/>
                <w:kern w:val="0"/>
                <w:szCs w:val="21"/>
                <w:highlight w:val="none"/>
              </w:rPr>
            </w:pPr>
            <w:r>
              <w:rPr>
                <w:rFonts w:hint="default" w:ascii="Times New Roman" w:hAnsi="Times New Roman" w:eastAsia="仿宋_GB2312" w:cs="Times New Roman"/>
                <w:color w:val="auto"/>
                <w:kern w:val="0"/>
                <w:szCs w:val="21"/>
                <w:highlight w:val="none"/>
              </w:rPr>
              <w:t>一般</w:t>
            </w:r>
          </w:p>
        </w:tc>
        <w:tc>
          <w:tcPr>
            <w:tcW w:w="4370" w:type="dxa"/>
            <w:noWrap w:val="0"/>
            <w:vAlign w:val="center"/>
          </w:tcPr>
          <w:p w14:paraId="5993B3C8">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碳酸钙（CaCO</w:t>
            </w:r>
            <w:r>
              <w:rPr>
                <w:rFonts w:hint="eastAsia" w:ascii="Times New Roman" w:hAnsi="Times New Roman" w:eastAsia="仿宋_GB2312" w:cs="Times New Roman"/>
                <w:color w:val="auto"/>
                <w:kern w:val="0"/>
                <w:szCs w:val="21"/>
                <w:highlight w:val="none"/>
                <w:vertAlign w:val="subscript"/>
                <w:lang w:val="en-US" w:eastAsia="zh-CN"/>
              </w:rPr>
              <w:t>3</w:t>
            </w:r>
            <w:r>
              <w:rPr>
                <w:rFonts w:hint="eastAsia" w:ascii="Times New Roman" w:hAnsi="Times New Roman" w:eastAsia="仿宋_GB2312" w:cs="Times New Roman"/>
                <w:color w:val="auto"/>
                <w:kern w:val="0"/>
                <w:szCs w:val="21"/>
                <w:highlight w:val="none"/>
                <w:lang w:val="en-US" w:eastAsia="zh-CN"/>
              </w:rPr>
              <w:t>）含量（以干基计）、盐酸不溶物、游离碱、镁和碱金属、干燥减量</w:t>
            </w:r>
          </w:p>
        </w:tc>
        <w:tc>
          <w:tcPr>
            <w:tcW w:w="3450" w:type="dxa"/>
            <w:noWrap w:val="0"/>
            <w:vAlign w:val="center"/>
          </w:tcPr>
          <w:p w14:paraId="365B0AE2">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w:t>
            </w:r>
          </w:p>
        </w:tc>
      </w:tr>
      <w:tr w14:paraId="312E1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0" w:hRule="atLeast"/>
        </w:trPr>
        <w:tc>
          <w:tcPr>
            <w:tcW w:w="780" w:type="dxa"/>
            <w:noWrap w:val="0"/>
            <w:vAlign w:val="center"/>
          </w:tcPr>
          <w:p w14:paraId="044C3962">
            <w:pPr>
              <w:widowControl/>
              <w:jc w:val="center"/>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33</w:t>
            </w:r>
          </w:p>
        </w:tc>
        <w:tc>
          <w:tcPr>
            <w:tcW w:w="1107" w:type="dxa"/>
            <w:noWrap w:val="0"/>
            <w:vAlign w:val="center"/>
          </w:tcPr>
          <w:p w14:paraId="5599F2C1">
            <w:pPr>
              <w:widowControl/>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其他食品</w:t>
            </w:r>
          </w:p>
        </w:tc>
        <w:tc>
          <w:tcPr>
            <w:tcW w:w="1256" w:type="dxa"/>
            <w:noWrap w:val="0"/>
            <w:vAlign w:val="center"/>
          </w:tcPr>
          <w:p w14:paraId="2D3CD831">
            <w:pPr>
              <w:widowControl/>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其他食品</w:t>
            </w:r>
          </w:p>
        </w:tc>
        <w:tc>
          <w:tcPr>
            <w:tcW w:w="1144" w:type="dxa"/>
            <w:noWrap w:val="0"/>
            <w:vAlign w:val="center"/>
          </w:tcPr>
          <w:p w14:paraId="0448D979">
            <w:pPr>
              <w:widowControl/>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其他食品</w:t>
            </w:r>
          </w:p>
        </w:tc>
        <w:tc>
          <w:tcPr>
            <w:tcW w:w="1856" w:type="dxa"/>
            <w:noWrap w:val="0"/>
            <w:vAlign w:val="center"/>
          </w:tcPr>
          <w:p w14:paraId="4AF2D8D1">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val="en-US" w:eastAsia="zh-CN"/>
              </w:rPr>
              <w:t xml:space="preserve">螺蛳粉、老友 </w:t>
            </w:r>
          </w:p>
          <w:p w14:paraId="4546FF45">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val="en-US" w:eastAsia="zh-CN"/>
              </w:rPr>
              <w:t xml:space="preserve">粉、桂林米粉等 </w:t>
            </w:r>
          </w:p>
          <w:p w14:paraId="67E54048">
            <w:pPr>
              <w:widowControl/>
              <w:spacing w:line="300" w:lineRule="exact"/>
              <w:jc w:val="center"/>
              <w:rPr>
                <w:rFonts w:hint="eastAsia" w:ascii="Times New Roman" w:hAnsi="Times New Roman" w:eastAsia="仿宋_GB2312" w:cs="Times New Roman"/>
                <w:color w:val="auto"/>
                <w:kern w:val="0"/>
                <w:szCs w:val="21"/>
                <w:highlight w:val="none"/>
              </w:rPr>
            </w:pPr>
            <w:r>
              <w:rPr>
                <w:rFonts w:hint="eastAsia" w:ascii="Times New Roman" w:hAnsi="Times New Roman" w:eastAsia="仿宋_GB2312" w:cs="Times New Roman"/>
                <w:color w:val="auto"/>
                <w:kern w:val="0"/>
                <w:szCs w:val="21"/>
                <w:highlight w:val="none"/>
                <w:lang w:val="en-US" w:eastAsia="zh-CN"/>
              </w:rPr>
              <w:t>地方特色粉类</w:t>
            </w:r>
          </w:p>
        </w:tc>
        <w:tc>
          <w:tcPr>
            <w:tcW w:w="1106" w:type="dxa"/>
            <w:noWrap w:val="0"/>
            <w:vAlign w:val="center"/>
          </w:tcPr>
          <w:p w14:paraId="3BADDE58">
            <w:pPr>
              <w:widowControl/>
              <w:spacing w:line="300" w:lineRule="exact"/>
              <w:jc w:val="center"/>
              <w:rPr>
                <w:rFonts w:hint="eastAsia" w:ascii="Times New Roman" w:hAnsi="Times New Roman" w:eastAsia="仿宋_GB2312" w:cs="Times New Roman"/>
                <w:color w:val="auto"/>
                <w:kern w:val="0"/>
                <w:szCs w:val="21"/>
                <w:highlight w:val="none"/>
                <w:lang w:eastAsia="zh-CN"/>
              </w:rPr>
            </w:pPr>
            <w:r>
              <w:rPr>
                <w:rFonts w:hint="eastAsia" w:ascii="Times New Roman" w:hAnsi="Times New Roman" w:eastAsia="仿宋_GB2312" w:cs="Times New Roman"/>
                <w:color w:val="auto"/>
                <w:kern w:val="0"/>
                <w:szCs w:val="21"/>
                <w:highlight w:val="none"/>
                <w:lang w:eastAsia="zh-CN"/>
              </w:rPr>
              <w:t>较高</w:t>
            </w:r>
          </w:p>
        </w:tc>
        <w:tc>
          <w:tcPr>
            <w:tcW w:w="4370" w:type="dxa"/>
            <w:noWrap w:val="0"/>
            <w:vAlign w:val="center"/>
          </w:tcPr>
          <w:p w14:paraId="5AD80B14">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过氧化值（以脂肪计）、苯甲酸及其钠盐（以苯甲酸计）、山梨酸及其钾盐（以山梨酸计）、脱氢乙酸及其钠盐（以脱氢乙酸计）、霉菌、菌落总数</w:t>
            </w:r>
          </w:p>
        </w:tc>
        <w:tc>
          <w:tcPr>
            <w:tcW w:w="3450" w:type="dxa"/>
            <w:noWrap w:val="0"/>
            <w:vAlign w:val="center"/>
          </w:tcPr>
          <w:p w14:paraId="4D0FCB1C">
            <w:pPr>
              <w:keepNext w:val="0"/>
              <w:keepLines w:val="0"/>
              <w:widowControl/>
              <w:suppressLineNumbers w:val="0"/>
              <w:jc w:val="left"/>
              <w:rPr>
                <w:rFonts w:hint="eastAsia"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color w:val="auto"/>
                <w:kern w:val="0"/>
                <w:szCs w:val="21"/>
                <w:highlight w:val="none"/>
                <w:lang w:val="en-US" w:eastAsia="zh-CN"/>
              </w:rPr>
              <w:t>大肠菌群、黄曲霉毒素B₁</w:t>
            </w:r>
          </w:p>
        </w:tc>
      </w:tr>
      <w:tr w14:paraId="0678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7" w:hRule="atLeast"/>
        </w:trPr>
        <w:tc>
          <w:tcPr>
            <w:tcW w:w="15069" w:type="dxa"/>
            <w:gridSpan w:val="8"/>
            <w:noWrap w:val="0"/>
            <w:vAlign w:val="center"/>
          </w:tcPr>
          <w:p w14:paraId="74E20C78">
            <w:pPr>
              <w:keepNext w:val="0"/>
              <w:keepLines w:val="0"/>
              <w:widowControl/>
              <w:suppressLineNumbers w:val="0"/>
              <w:jc w:val="left"/>
              <w:rPr>
                <w:rFonts w:hint="default" w:ascii="Times New Roman" w:hAnsi="Times New Roman" w:eastAsia="仿宋_GB2312" w:cs="Times New Roman"/>
                <w:color w:val="auto"/>
                <w:kern w:val="0"/>
                <w:szCs w:val="21"/>
                <w:highlight w:val="none"/>
                <w:lang w:val="en-US" w:eastAsia="zh-CN"/>
              </w:rPr>
            </w:pPr>
            <w:r>
              <w:rPr>
                <w:rFonts w:hint="eastAsia" w:ascii="Times New Roman" w:hAnsi="Times New Roman" w:eastAsia="仿宋_GB2312" w:cs="Times New Roman"/>
                <w:b/>
                <w:bCs/>
                <w:color w:val="auto"/>
                <w:kern w:val="0"/>
                <w:sz w:val="24"/>
                <w:szCs w:val="24"/>
                <w:highlight w:val="none"/>
                <w:lang w:val="en-US" w:eastAsia="zh-CN"/>
              </w:rPr>
              <w:t>注：延伸项目不做强制检验要求，各级市场监管部门可根据监管需要自行选取延伸检验项目检验。</w:t>
            </w:r>
          </w:p>
        </w:tc>
      </w:tr>
    </w:tbl>
    <w:p w14:paraId="24B419BC">
      <w:pPr>
        <w:suppressAutoHyphens/>
        <w:ind w:right="1680"/>
        <w:rPr>
          <w:rFonts w:hint="default" w:ascii="Times New Roman" w:hAnsi="Times New Roman" w:eastAsia="仿宋_GB2312" w:cs="Times New Roman"/>
          <w:color w:val="auto"/>
          <w:kern w:val="1"/>
          <w:sz w:val="28"/>
          <w:szCs w:val="28"/>
          <w:highlight w:val="none"/>
        </w:rPr>
        <w:sectPr>
          <w:pgSz w:w="16838" w:h="11906" w:orient="landscape"/>
          <w:pgMar w:top="1587" w:right="1417" w:bottom="1474" w:left="1417" w:header="851" w:footer="992" w:gutter="0"/>
          <w:pgNumType w:fmt="decimal"/>
          <w:cols w:space="720" w:num="1"/>
          <w:docGrid w:linePitch="315" w:charSpace="0"/>
        </w:sectPr>
      </w:pPr>
    </w:p>
    <w:p w14:paraId="1B54EC6E">
      <w:pPr>
        <w:suppressAutoHyphens/>
        <w:spacing w:line="560" w:lineRule="exact"/>
        <w:rPr>
          <w:rFonts w:hint="default" w:ascii="黑体" w:hAnsi="黑体" w:eastAsia="黑体" w:cs="黑体"/>
          <w:color w:val="auto"/>
          <w:kern w:val="1"/>
          <w:sz w:val="32"/>
          <w:szCs w:val="32"/>
          <w:highlight w:val="none"/>
          <w:lang w:val="en-US" w:eastAsia="zh-CN"/>
        </w:rPr>
      </w:pPr>
      <w:r>
        <w:rPr>
          <w:rFonts w:hint="eastAsia" w:ascii="黑体" w:hAnsi="黑体" w:eastAsia="黑体" w:cs="黑体"/>
          <w:color w:val="auto"/>
          <w:kern w:val="1"/>
          <w:sz w:val="32"/>
          <w:szCs w:val="32"/>
          <w:highlight w:val="none"/>
        </w:rPr>
        <w:t>附件</w:t>
      </w:r>
      <w:r>
        <w:rPr>
          <w:rFonts w:hint="eastAsia" w:ascii="黑体" w:hAnsi="黑体" w:eastAsia="黑体" w:cs="黑体"/>
          <w:color w:val="auto"/>
          <w:kern w:val="1"/>
          <w:sz w:val="32"/>
          <w:szCs w:val="32"/>
          <w:highlight w:val="none"/>
          <w:lang w:val="en-US" w:eastAsia="zh-CN"/>
        </w:rPr>
        <w:t>2</w:t>
      </w:r>
    </w:p>
    <w:p w14:paraId="705B3F96">
      <w:pPr>
        <w:keepNext w:val="0"/>
        <w:keepLines w:val="0"/>
        <w:pageBreakBefore w:val="0"/>
        <w:widowControl w:val="0"/>
        <w:suppressAutoHyphens/>
        <w:kinsoku/>
        <w:wordWrap/>
        <w:overflowPunct/>
        <w:topLinePunct w:val="0"/>
        <w:autoSpaceDE/>
        <w:autoSpaceDN/>
        <w:bidi w:val="0"/>
        <w:adjustRightInd/>
        <w:snapToGrid/>
        <w:spacing w:after="120" w:afterLines="50" w:line="600" w:lineRule="exact"/>
        <w:ind w:firstLine="0" w:firstLineChars="0"/>
        <w:jc w:val="center"/>
        <w:textAlignment w:val="auto"/>
        <w:rPr>
          <w:rFonts w:hint="default" w:ascii="Times New Roman" w:hAnsi="Times New Roman" w:eastAsia="方正小标宋简体" w:cs="Times New Roman"/>
          <w:color w:val="auto"/>
          <w:kern w:val="1"/>
          <w:sz w:val="32"/>
          <w:szCs w:val="32"/>
          <w:highlight w:val="none"/>
        </w:rPr>
      </w:pPr>
      <w:r>
        <w:rPr>
          <w:rFonts w:hint="default" w:ascii="Times New Roman" w:hAnsi="Times New Roman" w:eastAsia="方正小标宋简体" w:cs="Times New Roman"/>
          <w:bCs/>
          <w:color w:val="auto"/>
          <w:spacing w:val="0"/>
          <w:kern w:val="0"/>
          <w:sz w:val="32"/>
          <w:szCs w:val="32"/>
          <w:highlight w:val="none"/>
        </w:rPr>
        <w:t>202</w:t>
      </w:r>
      <w:r>
        <w:rPr>
          <w:rFonts w:hint="eastAsia" w:ascii="Times New Roman" w:hAnsi="Times New Roman" w:eastAsia="方正小标宋简体" w:cs="Times New Roman"/>
          <w:bCs/>
          <w:color w:val="auto"/>
          <w:spacing w:val="0"/>
          <w:kern w:val="0"/>
          <w:sz w:val="32"/>
          <w:szCs w:val="32"/>
          <w:highlight w:val="none"/>
          <w:lang w:val="en-US" w:eastAsia="zh-CN"/>
        </w:rPr>
        <w:t>6</w:t>
      </w:r>
      <w:r>
        <w:rPr>
          <w:rFonts w:hint="default" w:ascii="Times New Roman" w:hAnsi="Times New Roman" w:eastAsia="方正小标宋简体" w:cs="Times New Roman"/>
          <w:bCs/>
          <w:color w:val="auto"/>
          <w:spacing w:val="0"/>
          <w:kern w:val="0"/>
          <w:sz w:val="32"/>
          <w:szCs w:val="32"/>
          <w:highlight w:val="none"/>
        </w:rPr>
        <w:t>年</w:t>
      </w:r>
      <w:r>
        <w:rPr>
          <w:rFonts w:hint="eastAsia" w:ascii="Times New Roman" w:hAnsi="Times New Roman" w:eastAsia="方正小标宋简体" w:cs="Times New Roman"/>
          <w:bCs/>
          <w:color w:val="auto"/>
          <w:spacing w:val="0"/>
          <w:kern w:val="0"/>
          <w:sz w:val="32"/>
          <w:szCs w:val="32"/>
          <w:highlight w:val="none"/>
          <w:lang w:eastAsia="zh-CN"/>
        </w:rPr>
        <w:t>自治区转移支付各市</w:t>
      </w:r>
      <w:r>
        <w:rPr>
          <w:rFonts w:hint="default" w:ascii="Times New Roman" w:hAnsi="Times New Roman" w:eastAsia="方正小标宋简体" w:cs="Times New Roman"/>
          <w:bCs/>
          <w:color w:val="auto"/>
          <w:spacing w:val="0"/>
          <w:kern w:val="0"/>
          <w:sz w:val="32"/>
          <w:szCs w:val="32"/>
          <w:highlight w:val="none"/>
        </w:rPr>
        <w:t>食用农产品</w:t>
      </w:r>
      <w:r>
        <w:rPr>
          <w:rFonts w:hint="eastAsia" w:ascii="Times New Roman" w:hAnsi="Times New Roman" w:eastAsia="方正小标宋简体" w:cs="Times New Roman"/>
          <w:bCs/>
          <w:color w:val="auto"/>
          <w:spacing w:val="0"/>
          <w:kern w:val="0"/>
          <w:sz w:val="32"/>
          <w:szCs w:val="32"/>
          <w:highlight w:val="none"/>
          <w:lang w:eastAsia="zh-CN"/>
        </w:rPr>
        <w:t>抽检</w:t>
      </w:r>
      <w:r>
        <w:rPr>
          <w:rFonts w:hint="default" w:ascii="Times New Roman" w:hAnsi="Times New Roman" w:eastAsia="方正小标宋简体" w:cs="Times New Roman"/>
          <w:bCs/>
          <w:color w:val="auto"/>
          <w:spacing w:val="0"/>
          <w:kern w:val="0"/>
          <w:sz w:val="32"/>
          <w:szCs w:val="32"/>
          <w:highlight w:val="none"/>
        </w:rPr>
        <w:t>品种</w:t>
      </w:r>
      <w:r>
        <w:rPr>
          <w:rFonts w:hint="eastAsia" w:ascii="Times New Roman" w:hAnsi="Times New Roman" w:eastAsia="方正小标宋简体" w:cs="Times New Roman"/>
          <w:bCs/>
          <w:color w:val="auto"/>
          <w:spacing w:val="0"/>
          <w:kern w:val="0"/>
          <w:sz w:val="32"/>
          <w:szCs w:val="32"/>
          <w:highlight w:val="none"/>
          <w:lang w:eastAsia="zh-CN"/>
        </w:rPr>
        <w:t>及</w:t>
      </w:r>
      <w:r>
        <w:rPr>
          <w:rFonts w:hint="default" w:ascii="Times New Roman" w:hAnsi="Times New Roman" w:eastAsia="方正小标宋简体" w:cs="Times New Roman"/>
          <w:bCs/>
          <w:color w:val="auto"/>
          <w:spacing w:val="0"/>
          <w:kern w:val="0"/>
          <w:sz w:val="32"/>
          <w:szCs w:val="32"/>
          <w:highlight w:val="none"/>
        </w:rPr>
        <w:t>项目表</w:t>
      </w:r>
    </w:p>
    <w:tbl>
      <w:tblPr>
        <w:tblStyle w:val="51"/>
        <w:tblW w:w="5537" w:type="pct"/>
        <w:tblInd w:w="-6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795"/>
        <w:gridCol w:w="669"/>
        <w:gridCol w:w="581"/>
        <w:gridCol w:w="830"/>
        <w:gridCol w:w="546"/>
        <w:gridCol w:w="4062"/>
        <w:gridCol w:w="2523"/>
      </w:tblGrid>
      <w:tr w14:paraId="7B0C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blHeader/>
        </w:trPr>
        <w:tc>
          <w:tcPr>
            <w:tcW w:w="279" w:type="pct"/>
            <w:noWrap w:val="0"/>
            <w:vAlign w:val="center"/>
          </w:tcPr>
          <w:p w14:paraId="4AE83DDF">
            <w:pPr>
              <w:widowControl/>
              <w:jc w:val="center"/>
              <w:textAlignment w:val="center"/>
              <w:rPr>
                <w:rStyle w:val="181"/>
                <w:rFonts w:hint="default" w:ascii="Times New Roman" w:hAnsi="Times New Roman" w:eastAsia="黑体" w:cs="Times New Roman"/>
                <w:b w:val="0"/>
                <w:bCs/>
                <w:color w:val="auto"/>
                <w:sz w:val="21"/>
                <w:szCs w:val="21"/>
                <w:highlight w:val="none"/>
                <w:lang w:bidi="ar"/>
              </w:rPr>
            </w:pPr>
            <w:r>
              <w:rPr>
                <w:rStyle w:val="181"/>
                <w:rFonts w:hint="default" w:ascii="Times New Roman" w:hAnsi="Times New Roman" w:eastAsia="黑体" w:cs="Times New Roman"/>
                <w:b w:val="0"/>
                <w:bCs/>
                <w:color w:val="auto"/>
                <w:sz w:val="21"/>
                <w:szCs w:val="21"/>
                <w:highlight w:val="none"/>
                <w:lang w:bidi="ar"/>
              </w:rPr>
              <w:t>序号</w:t>
            </w:r>
          </w:p>
        </w:tc>
        <w:tc>
          <w:tcPr>
            <w:tcW w:w="375" w:type="pct"/>
            <w:noWrap w:val="0"/>
            <w:vAlign w:val="center"/>
          </w:tcPr>
          <w:p w14:paraId="677151D6">
            <w:pPr>
              <w:widowControl/>
              <w:jc w:val="center"/>
              <w:textAlignment w:val="center"/>
              <w:rPr>
                <w:rStyle w:val="181"/>
                <w:rFonts w:hint="default" w:ascii="Times New Roman" w:hAnsi="Times New Roman" w:eastAsia="黑体" w:cs="Times New Roman"/>
                <w:b w:val="0"/>
                <w:bCs/>
                <w:color w:val="auto"/>
                <w:sz w:val="21"/>
                <w:szCs w:val="21"/>
                <w:highlight w:val="none"/>
                <w:lang w:bidi="ar"/>
              </w:rPr>
            </w:pPr>
            <w:r>
              <w:rPr>
                <w:rStyle w:val="181"/>
                <w:rFonts w:hint="default" w:ascii="Times New Roman" w:hAnsi="Times New Roman" w:eastAsia="黑体" w:cs="Times New Roman"/>
                <w:b w:val="0"/>
                <w:bCs/>
                <w:color w:val="auto"/>
                <w:sz w:val="21"/>
                <w:szCs w:val="21"/>
                <w:highlight w:val="none"/>
                <w:lang w:bidi="ar"/>
              </w:rPr>
              <w:t>食品</w:t>
            </w:r>
            <w:r>
              <w:rPr>
                <w:rStyle w:val="181"/>
                <w:rFonts w:hint="eastAsia" w:ascii="Times New Roman" w:hAnsi="Times New Roman" w:eastAsia="黑体" w:cs="Times New Roman"/>
                <w:b w:val="0"/>
                <w:bCs/>
                <w:color w:val="auto"/>
                <w:sz w:val="21"/>
                <w:szCs w:val="21"/>
                <w:highlight w:val="none"/>
                <w:lang w:eastAsia="zh-CN" w:bidi="ar"/>
              </w:rPr>
              <w:t>大类</w:t>
            </w:r>
            <w:r>
              <w:rPr>
                <w:rStyle w:val="182"/>
                <w:rFonts w:hint="default" w:ascii="Times New Roman" w:hAnsi="Times New Roman" w:eastAsia="黑体" w:cs="Times New Roman"/>
                <w:b w:val="0"/>
                <w:bCs/>
                <w:color w:val="auto"/>
                <w:sz w:val="21"/>
                <w:szCs w:val="21"/>
                <w:highlight w:val="none"/>
                <w:lang w:bidi="ar"/>
              </w:rPr>
              <w:t xml:space="preserve"> </w:t>
            </w:r>
            <w:r>
              <w:rPr>
                <w:rStyle w:val="181"/>
                <w:rFonts w:hint="default" w:ascii="Times New Roman" w:hAnsi="Times New Roman" w:eastAsia="黑体" w:cs="Times New Roman"/>
                <w:b w:val="0"/>
                <w:bCs/>
                <w:color w:val="auto"/>
                <w:sz w:val="21"/>
                <w:szCs w:val="21"/>
                <w:highlight w:val="none"/>
                <w:lang w:bidi="ar"/>
              </w:rPr>
              <w:t>（</w:t>
            </w:r>
            <w:r>
              <w:rPr>
                <w:rStyle w:val="181"/>
                <w:rFonts w:hint="eastAsia" w:ascii="Times New Roman" w:hAnsi="Times New Roman" w:eastAsia="黑体" w:cs="Times New Roman"/>
                <w:b w:val="0"/>
                <w:bCs/>
                <w:color w:val="auto"/>
                <w:sz w:val="21"/>
                <w:szCs w:val="21"/>
                <w:highlight w:val="none"/>
                <w:lang w:eastAsia="zh-CN" w:bidi="ar"/>
              </w:rPr>
              <w:t>一</w:t>
            </w:r>
            <w:r>
              <w:rPr>
                <w:rStyle w:val="181"/>
                <w:rFonts w:hint="default" w:ascii="Times New Roman" w:hAnsi="Times New Roman" w:eastAsia="黑体" w:cs="Times New Roman"/>
                <w:b w:val="0"/>
                <w:bCs/>
                <w:color w:val="auto"/>
                <w:sz w:val="21"/>
                <w:szCs w:val="21"/>
                <w:highlight w:val="none"/>
                <w:lang w:bidi="ar"/>
              </w:rPr>
              <w:t>级）</w:t>
            </w:r>
          </w:p>
        </w:tc>
        <w:tc>
          <w:tcPr>
            <w:tcW w:w="315" w:type="pct"/>
            <w:noWrap w:val="0"/>
            <w:vAlign w:val="center"/>
          </w:tcPr>
          <w:p w14:paraId="083C40D8">
            <w:pPr>
              <w:widowControl/>
              <w:jc w:val="center"/>
              <w:textAlignment w:val="center"/>
              <w:rPr>
                <w:rStyle w:val="181"/>
                <w:rFonts w:hint="default" w:ascii="Times New Roman" w:hAnsi="Times New Roman" w:eastAsia="黑体" w:cs="Times New Roman"/>
                <w:b w:val="0"/>
                <w:bCs/>
                <w:color w:val="auto"/>
                <w:sz w:val="21"/>
                <w:szCs w:val="21"/>
                <w:highlight w:val="none"/>
                <w:lang w:bidi="ar"/>
              </w:rPr>
            </w:pPr>
            <w:r>
              <w:rPr>
                <w:rStyle w:val="181"/>
                <w:rFonts w:hint="default" w:ascii="Times New Roman" w:hAnsi="Times New Roman" w:eastAsia="黑体" w:cs="Times New Roman"/>
                <w:b w:val="0"/>
                <w:bCs/>
                <w:color w:val="auto"/>
                <w:sz w:val="21"/>
                <w:szCs w:val="21"/>
                <w:highlight w:val="none"/>
                <w:lang w:bidi="ar"/>
              </w:rPr>
              <w:t>食品</w:t>
            </w:r>
            <w:r>
              <w:rPr>
                <w:rStyle w:val="181"/>
                <w:rFonts w:hint="eastAsia" w:ascii="Times New Roman" w:hAnsi="Times New Roman" w:eastAsia="黑体" w:cs="Times New Roman"/>
                <w:b w:val="0"/>
                <w:bCs/>
                <w:color w:val="auto"/>
                <w:sz w:val="21"/>
                <w:szCs w:val="21"/>
                <w:highlight w:val="none"/>
                <w:lang w:eastAsia="zh-CN" w:bidi="ar"/>
              </w:rPr>
              <w:t>亚类</w:t>
            </w:r>
            <w:r>
              <w:rPr>
                <w:rStyle w:val="182"/>
                <w:rFonts w:hint="default" w:ascii="Times New Roman" w:hAnsi="Times New Roman" w:eastAsia="黑体" w:cs="Times New Roman"/>
                <w:b w:val="0"/>
                <w:bCs/>
                <w:color w:val="auto"/>
                <w:sz w:val="21"/>
                <w:szCs w:val="21"/>
                <w:highlight w:val="none"/>
                <w:lang w:bidi="ar"/>
              </w:rPr>
              <w:t xml:space="preserve"> </w:t>
            </w:r>
            <w:r>
              <w:rPr>
                <w:rStyle w:val="181"/>
                <w:rFonts w:hint="default" w:ascii="Times New Roman" w:hAnsi="Times New Roman" w:eastAsia="黑体" w:cs="Times New Roman"/>
                <w:b w:val="0"/>
                <w:bCs/>
                <w:color w:val="auto"/>
                <w:sz w:val="21"/>
                <w:szCs w:val="21"/>
                <w:highlight w:val="none"/>
                <w:lang w:bidi="ar"/>
              </w:rPr>
              <w:t>（二级）</w:t>
            </w:r>
          </w:p>
        </w:tc>
        <w:tc>
          <w:tcPr>
            <w:tcW w:w="274" w:type="pct"/>
            <w:noWrap w:val="0"/>
            <w:vAlign w:val="center"/>
          </w:tcPr>
          <w:p w14:paraId="6726574D">
            <w:pPr>
              <w:widowControl/>
              <w:jc w:val="center"/>
              <w:textAlignment w:val="center"/>
              <w:rPr>
                <w:rStyle w:val="181"/>
                <w:rFonts w:hint="default" w:ascii="Times New Roman" w:hAnsi="Times New Roman" w:eastAsia="黑体" w:cs="Times New Roman"/>
                <w:b w:val="0"/>
                <w:bCs/>
                <w:color w:val="auto"/>
                <w:sz w:val="21"/>
                <w:szCs w:val="21"/>
                <w:highlight w:val="none"/>
                <w:lang w:bidi="ar"/>
              </w:rPr>
            </w:pPr>
            <w:r>
              <w:rPr>
                <w:rStyle w:val="181"/>
                <w:rFonts w:hint="default" w:ascii="Times New Roman" w:hAnsi="Times New Roman" w:eastAsia="黑体" w:cs="Times New Roman"/>
                <w:b w:val="0"/>
                <w:bCs/>
                <w:color w:val="auto"/>
                <w:sz w:val="21"/>
                <w:szCs w:val="21"/>
                <w:highlight w:val="none"/>
                <w:lang w:bidi="ar"/>
              </w:rPr>
              <w:t>食品品种</w:t>
            </w:r>
            <w:r>
              <w:rPr>
                <w:rStyle w:val="182"/>
                <w:rFonts w:hint="default" w:ascii="Times New Roman" w:hAnsi="Times New Roman" w:eastAsia="黑体" w:cs="Times New Roman"/>
                <w:b w:val="0"/>
                <w:bCs/>
                <w:color w:val="auto"/>
                <w:sz w:val="21"/>
                <w:szCs w:val="21"/>
                <w:highlight w:val="none"/>
                <w:lang w:bidi="ar"/>
              </w:rPr>
              <w:t xml:space="preserve"> </w:t>
            </w:r>
            <w:r>
              <w:rPr>
                <w:rStyle w:val="181"/>
                <w:rFonts w:hint="default" w:ascii="Times New Roman" w:hAnsi="Times New Roman" w:eastAsia="黑体" w:cs="Times New Roman"/>
                <w:b w:val="0"/>
                <w:bCs/>
                <w:color w:val="auto"/>
                <w:sz w:val="21"/>
                <w:szCs w:val="21"/>
                <w:highlight w:val="none"/>
                <w:lang w:bidi="ar"/>
              </w:rPr>
              <w:t>（三级）</w:t>
            </w:r>
          </w:p>
        </w:tc>
        <w:tc>
          <w:tcPr>
            <w:tcW w:w="391" w:type="pct"/>
            <w:noWrap w:val="0"/>
            <w:vAlign w:val="center"/>
          </w:tcPr>
          <w:p w14:paraId="5F8F5E19">
            <w:pPr>
              <w:widowControl/>
              <w:jc w:val="center"/>
              <w:textAlignment w:val="center"/>
              <w:rPr>
                <w:rFonts w:hint="default" w:ascii="Times New Roman" w:hAnsi="Times New Roman" w:eastAsia="黑体" w:cs="Times New Roman"/>
                <w:b w:val="0"/>
                <w:bCs/>
                <w:color w:val="auto"/>
                <w:szCs w:val="21"/>
                <w:highlight w:val="none"/>
              </w:rPr>
            </w:pPr>
            <w:r>
              <w:rPr>
                <w:rStyle w:val="181"/>
                <w:rFonts w:hint="default" w:ascii="Times New Roman" w:hAnsi="Times New Roman" w:eastAsia="黑体" w:cs="Times New Roman"/>
                <w:b w:val="0"/>
                <w:bCs/>
                <w:color w:val="auto"/>
                <w:sz w:val="21"/>
                <w:szCs w:val="21"/>
                <w:highlight w:val="none"/>
                <w:lang w:bidi="ar"/>
              </w:rPr>
              <w:t>食品细类</w:t>
            </w:r>
            <w:r>
              <w:rPr>
                <w:rStyle w:val="182"/>
                <w:rFonts w:hint="default" w:ascii="Times New Roman" w:hAnsi="Times New Roman" w:eastAsia="黑体" w:cs="Times New Roman"/>
                <w:b w:val="0"/>
                <w:bCs/>
                <w:color w:val="auto"/>
                <w:sz w:val="21"/>
                <w:szCs w:val="21"/>
                <w:highlight w:val="none"/>
                <w:lang w:bidi="ar"/>
              </w:rPr>
              <w:t xml:space="preserve"> </w:t>
            </w:r>
            <w:r>
              <w:rPr>
                <w:rStyle w:val="181"/>
                <w:rFonts w:hint="default" w:ascii="Times New Roman" w:hAnsi="Times New Roman" w:eastAsia="黑体" w:cs="Times New Roman"/>
                <w:b w:val="0"/>
                <w:bCs/>
                <w:color w:val="auto"/>
                <w:sz w:val="21"/>
                <w:szCs w:val="21"/>
                <w:highlight w:val="none"/>
                <w:lang w:bidi="ar"/>
              </w:rPr>
              <w:t>（四级）</w:t>
            </w:r>
          </w:p>
        </w:tc>
        <w:tc>
          <w:tcPr>
            <w:tcW w:w="257" w:type="pct"/>
            <w:noWrap w:val="0"/>
            <w:vAlign w:val="center"/>
          </w:tcPr>
          <w:p w14:paraId="7CFD729F">
            <w:pPr>
              <w:widowControl/>
              <w:jc w:val="center"/>
              <w:textAlignment w:val="center"/>
              <w:rPr>
                <w:rStyle w:val="181"/>
                <w:rFonts w:hint="eastAsia" w:ascii="Times New Roman" w:hAnsi="Times New Roman" w:eastAsia="黑体" w:cs="Times New Roman"/>
                <w:b w:val="0"/>
                <w:bCs/>
                <w:color w:val="auto"/>
                <w:sz w:val="21"/>
                <w:szCs w:val="21"/>
                <w:highlight w:val="none"/>
                <w:lang w:eastAsia="zh-CN" w:bidi="ar"/>
              </w:rPr>
            </w:pPr>
            <w:r>
              <w:rPr>
                <w:rStyle w:val="181"/>
                <w:rFonts w:hint="eastAsia" w:ascii="Times New Roman" w:hAnsi="Times New Roman" w:eastAsia="黑体" w:cs="Times New Roman"/>
                <w:b w:val="0"/>
                <w:bCs/>
                <w:color w:val="auto"/>
                <w:sz w:val="21"/>
                <w:szCs w:val="21"/>
                <w:highlight w:val="none"/>
                <w:lang w:eastAsia="zh-CN" w:bidi="ar"/>
              </w:rPr>
              <w:t>风险等级</w:t>
            </w:r>
          </w:p>
        </w:tc>
        <w:tc>
          <w:tcPr>
            <w:tcW w:w="1916" w:type="pct"/>
            <w:noWrap w:val="0"/>
            <w:vAlign w:val="center"/>
          </w:tcPr>
          <w:p w14:paraId="27BB40D7">
            <w:pPr>
              <w:widowControl/>
              <w:jc w:val="center"/>
              <w:textAlignment w:val="center"/>
              <w:rPr>
                <w:rFonts w:hint="default" w:ascii="Times New Roman" w:hAnsi="Times New Roman" w:eastAsia="黑体" w:cs="Times New Roman"/>
                <w:b w:val="0"/>
                <w:bCs/>
                <w:color w:val="auto"/>
                <w:szCs w:val="21"/>
                <w:highlight w:val="none"/>
              </w:rPr>
            </w:pPr>
            <w:r>
              <w:rPr>
                <w:rFonts w:hint="eastAsia" w:ascii="Times New Roman" w:hAnsi="Times New Roman" w:eastAsia="黑体" w:cs="Times New Roman"/>
                <w:b w:val="0"/>
                <w:bCs/>
                <w:color w:val="auto"/>
                <w:kern w:val="0"/>
                <w:szCs w:val="21"/>
                <w:highlight w:val="none"/>
                <w:lang w:eastAsia="zh-CN" w:bidi="ar"/>
              </w:rPr>
              <w:t>必检</w:t>
            </w:r>
            <w:r>
              <w:rPr>
                <w:rFonts w:hint="default" w:ascii="Times New Roman" w:hAnsi="Times New Roman" w:eastAsia="黑体" w:cs="Times New Roman"/>
                <w:b w:val="0"/>
                <w:bCs/>
                <w:color w:val="auto"/>
                <w:kern w:val="0"/>
                <w:szCs w:val="21"/>
                <w:highlight w:val="none"/>
                <w:lang w:bidi="ar"/>
              </w:rPr>
              <w:t>项目</w:t>
            </w:r>
          </w:p>
        </w:tc>
        <w:tc>
          <w:tcPr>
            <w:tcW w:w="1190" w:type="pct"/>
            <w:noWrap w:val="0"/>
            <w:vAlign w:val="center"/>
          </w:tcPr>
          <w:p w14:paraId="4F57AD1C">
            <w:pPr>
              <w:widowControl/>
              <w:jc w:val="center"/>
              <w:textAlignment w:val="center"/>
              <w:rPr>
                <w:rFonts w:hint="eastAsia" w:ascii="Times New Roman" w:hAnsi="Times New Roman" w:eastAsia="黑体" w:cs="Times New Roman"/>
                <w:b w:val="0"/>
                <w:bCs/>
                <w:color w:val="auto"/>
                <w:kern w:val="0"/>
                <w:szCs w:val="21"/>
                <w:highlight w:val="none"/>
                <w:lang w:eastAsia="zh-CN" w:bidi="ar"/>
              </w:rPr>
            </w:pPr>
            <w:r>
              <w:rPr>
                <w:rFonts w:hint="eastAsia" w:ascii="Times New Roman" w:hAnsi="Times New Roman" w:eastAsia="黑体" w:cs="Times New Roman"/>
                <w:b w:val="0"/>
                <w:bCs/>
                <w:color w:val="auto"/>
                <w:kern w:val="0"/>
                <w:szCs w:val="21"/>
                <w:highlight w:val="none"/>
                <w:lang w:eastAsia="zh-CN" w:bidi="ar"/>
              </w:rPr>
              <w:t>选检项目</w:t>
            </w:r>
          </w:p>
        </w:tc>
      </w:tr>
      <w:tr w14:paraId="79A7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79" w:type="pct"/>
            <w:vMerge w:val="restart"/>
            <w:noWrap w:val="0"/>
            <w:vAlign w:val="center"/>
          </w:tcPr>
          <w:p w14:paraId="459C362A">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A261A2E">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17B307EF">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3DF55E17">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3CD33B12">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5C0E4EE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11DF8967">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66D39DA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66CFCA8D">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69D6818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4B78F595">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7B38CA43">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19AA0FAF">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1</w:t>
            </w:r>
          </w:p>
          <w:p w14:paraId="21C6DA0A">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03C78C61">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1F754CFB">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14C2406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51D6188B">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32B54A46">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81FDFCA">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0B561546">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0260E392">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7CADA558">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35209632">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9549906">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70DFB3E5">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B830D80">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D2BD89E">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0F69858F">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6F8B45D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43BBF2A0">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4EC4ED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79C7A5A8">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00456FF0">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808053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1</w:t>
            </w:r>
          </w:p>
        </w:tc>
        <w:tc>
          <w:tcPr>
            <w:tcW w:w="375" w:type="pct"/>
            <w:vMerge w:val="restart"/>
            <w:noWrap w:val="0"/>
            <w:vAlign w:val="center"/>
          </w:tcPr>
          <w:p w14:paraId="1523E42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3933EE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A4C5D7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2D909E2">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E47287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45EF97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72917F6">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343F05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2FB2E0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A2D71D6">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92971D0">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1688D6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515D209">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畜禽肉及副产品</w:t>
            </w:r>
          </w:p>
          <w:p w14:paraId="6B16944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1BD40B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CF3302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5B7905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8337AB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E0D31B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AB000B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2D11E4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436809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CC916C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5E963F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BF7E52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6390E5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90CE04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D9DA71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FB460B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D2EA436">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C5FDB5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FBAEC1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75C005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3919F74">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畜禽肉及副产品</w:t>
            </w:r>
          </w:p>
        </w:tc>
        <w:tc>
          <w:tcPr>
            <w:tcW w:w="315" w:type="pct"/>
            <w:vMerge w:val="restart"/>
            <w:noWrap w:val="0"/>
            <w:vAlign w:val="center"/>
          </w:tcPr>
          <w:p w14:paraId="67345F1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8CC4180">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89B1D8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0177A6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EAD980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FF77B42">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FF8DC6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1DA586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3859FF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DD1D39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F74509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D6BE38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E805016">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畜禽肉及副产品</w:t>
            </w:r>
          </w:p>
          <w:p w14:paraId="625D1350">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EFD066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6DA0F6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D892890">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C4D41CB">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73CD9F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31093F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F60BB3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EA6AA9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7E13920">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1DEB76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74A155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CD2CA86">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23454F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418290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9A8299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FF77B1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0D3A29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C762A5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F6520A7">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畜禽肉及副产品</w:t>
            </w:r>
          </w:p>
        </w:tc>
        <w:tc>
          <w:tcPr>
            <w:tcW w:w="274" w:type="pct"/>
            <w:vMerge w:val="restart"/>
            <w:noWrap w:val="0"/>
            <w:vAlign w:val="center"/>
          </w:tcPr>
          <w:p w14:paraId="0EDC34F8">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畜肉</w:t>
            </w:r>
          </w:p>
        </w:tc>
        <w:tc>
          <w:tcPr>
            <w:tcW w:w="391" w:type="pct"/>
            <w:noWrap w:val="0"/>
            <w:vAlign w:val="center"/>
          </w:tcPr>
          <w:p w14:paraId="7CA71512">
            <w:pPr>
              <w:widowControl/>
              <w:jc w:val="center"/>
              <w:textAlignment w:val="center"/>
              <w:rPr>
                <w:rFonts w:hint="eastAsia" w:ascii="Times New Roman" w:hAnsi="Times New Roman" w:eastAsia="仿宋_GB2312" w:cs="Times New Roman"/>
                <w:color w:val="auto"/>
                <w:szCs w:val="21"/>
                <w:highlight w:val="none"/>
                <w:lang w:val="en-US" w:eastAsia="zh-CN"/>
              </w:rPr>
            </w:pPr>
            <w:r>
              <w:rPr>
                <w:rStyle w:val="183"/>
                <w:rFonts w:hint="eastAsia" w:ascii="Times New Roman" w:hAnsi="Times New Roman" w:eastAsia="仿宋_GB2312" w:cs="Times New Roman"/>
                <w:color w:val="auto"/>
                <w:sz w:val="21"/>
                <w:szCs w:val="21"/>
                <w:highlight w:val="none"/>
                <w:lang w:eastAsia="zh-CN" w:bidi="ar"/>
              </w:rPr>
              <w:t>猪</w:t>
            </w:r>
            <w:r>
              <w:rPr>
                <w:rStyle w:val="183"/>
                <w:rFonts w:hint="default" w:ascii="Times New Roman" w:hAnsi="Times New Roman" w:eastAsia="仿宋_GB2312" w:cs="Times New Roman"/>
                <w:color w:val="auto"/>
                <w:sz w:val="21"/>
                <w:szCs w:val="21"/>
                <w:highlight w:val="none"/>
                <w:lang w:bidi="ar"/>
              </w:rPr>
              <w:t>肉</w:t>
            </w:r>
            <w:r>
              <w:rPr>
                <w:rStyle w:val="183"/>
                <w:rFonts w:hint="eastAsia" w:ascii="Times New Roman" w:hAnsi="Times New Roman" w:eastAsia="仿宋_GB2312" w:cs="Times New Roman"/>
                <w:color w:val="auto"/>
                <w:sz w:val="21"/>
                <w:szCs w:val="21"/>
                <w:highlight w:val="none"/>
                <w:lang w:val="en-US" w:eastAsia="zh-CN" w:bidi="ar"/>
              </w:rPr>
              <w:t>*</w:t>
            </w:r>
          </w:p>
        </w:tc>
        <w:tc>
          <w:tcPr>
            <w:tcW w:w="257" w:type="pct"/>
            <w:noWrap w:val="0"/>
            <w:vAlign w:val="center"/>
          </w:tcPr>
          <w:p w14:paraId="09DCD12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0DE8B5DA">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恩诺沙星、氟苯尼考、磺胺类（总量）、氯霉素、沙丁胺醇、多西环素</w:t>
            </w:r>
          </w:p>
        </w:tc>
        <w:tc>
          <w:tcPr>
            <w:tcW w:w="1190" w:type="pct"/>
            <w:noWrap w:val="0"/>
            <w:vAlign w:val="center"/>
          </w:tcPr>
          <w:p w14:paraId="552F9BFF">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水分、呋喃唑酮代谢物、呋喃西林代谢物、克伦特罗、莱克多巴胺</w:t>
            </w:r>
          </w:p>
        </w:tc>
      </w:tr>
      <w:tr w14:paraId="2795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7E82432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CDF6CC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8725A6C">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6C9D61A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44B53F83">
            <w:pPr>
              <w:widowControl/>
              <w:jc w:val="center"/>
              <w:textAlignment w:val="center"/>
              <w:rPr>
                <w:rFonts w:hint="default" w:ascii="Times New Roman" w:hAnsi="Times New Roman" w:eastAsia="仿宋_GB2312" w:cs="Times New Roman"/>
                <w:color w:val="auto"/>
                <w:szCs w:val="21"/>
                <w:highlight w:val="none"/>
                <w:lang w:val="en-US"/>
              </w:rPr>
            </w:pPr>
            <w:r>
              <w:rPr>
                <w:rFonts w:hint="default" w:ascii="Times New Roman" w:hAnsi="Times New Roman" w:eastAsia="仿宋_GB2312" w:cs="Times New Roman"/>
                <w:color w:val="auto"/>
                <w:szCs w:val="21"/>
                <w:highlight w:val="none"/>
                <w:lang w:val="en-US" w:eastAsia="zh-CN"/>
              </w:rPr>
              <w:t>牛肉</w:t>
            </w:r>
            <w:r>
              <w:rPr>
                <w:rFonts w:hint="eastAsia" w:ascii="Times New Roman" w:hAnsi="Times New Roman" w:eastAsia="仿宋_GB2312" w:cs="Times New Roman"/>
                <w:color w:val="auto"/>
                <w:szCs w:val="21"/>
                <w:highlight w:val="none"/>
                <w:lang w:val="en-US" w:eastAsia="zh-CN"/>
              </w:rPr>
              <w:t>*</w:t>
            </w:r>
          </w:p>
        </w:tc>
        <w:tc>
          <w:tcPr>
            <w:tcW w:w="257" w:type="pct"/>
            <w:noWrap w:val="0"/>
            <w:vAlign w:val="center"/>
          </w:tcPr>
          <w:p w14:paraId="6DB7DDEE">
            <w:pPr>
              <w:widowControl/>
              <w:jc w:val="center"/>
              <w:textAlignment w:val="center"/>
              <w:rPr>
                <w:rFonts w:hint="default" w:ascii="Times New Roman" w:hAnsi="Times New Roman" w:eastAsia="仿宋_GB2312" w:cs="Times New Roman"/>
                <w:color w:val="auto"/>
                <w:szCs w:val="21"/>
                <w:highlight w:val="none"/>
                <w:lang w:val="en-US" w:eastAsia="zh-CN"/>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5686C118">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地塞米松、恩诺沙星、磺胺类（总量）、克伦特罗、氯霉素、氟苯尼考</w:t>
            </w:r>
          </w:p>
        </w:tc>
        <w:tc>
          <w:tcPr>
            <w:tcW w:w="1190" w:type="pct"/>
            <w:noWrap w:val="0"/>
            <w:vAlign w:val="center"/>
          </w:tcPr>
          <w:p w14:paraId="1830FE0A">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水分、倍他米松、氟尼辛、莱克多巴胺、沙丁胺醇</w:t>
            </w:r>
          </w:p>
        </w:tc>
      </w:tr>
      <w:tr w14:paraId="4FFB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13106F27">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36CCF9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CD6697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769487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7A4E6F90">
            <w:pPr>
              <w:widowControl/>
              <w:jc w:val="center"/>
              <w:textAlignment w:val="center"/>
              <w:rPr>
                <w:rFonts w:hint="eastAsia" w:ascii="Times New Roman" w:hAnsi="Times New Roman" w:eastAsia="仿宋_GB2312" w:cs="Times New Roman"/>
                <w:color w:val="auto"/>
                <w:szCs w:val="21"/>
                <w:highlight w:val="none"/>
                <w:lang w:val="en-US" w:eastAsia="zh-CN"/>
              </w:rPr>
            </w:pPr>
            <w:r>
              <w:rPr>
                <w:rStyle w:val="183"/>
                <w:rFonts w:hint="eastAsia" w:ascii="Times New Roman" w:hAnsi="Times New Roman" w:eastAsia="仿宋_GB2312" w:cs="Times New Roman"/>
                <w:color w:val="auto"/>
                <w:sz w:val="21"/>
                <w:szCs w:val="21"/>
                <w:highlight w:val="none"/>
                <w:lang w:eastAsia="zh-CN" w:bidi="ar"/>
              </w:rPr>
              <w:t>羊</w:t>
            </w:r>
            <w:r>
              <w:rPr>
                <w:rStyle w:val="183"/>
                <w:rFonts w:hint="default" w:ascii="Times New Roman" w:hAnsi="Times New Roman" w:eastAsia="仿宋_GB2312" w:cs="Times New Roman"/>
                <w:color w:val="auto"/>
                <w:sz w:val="21"/>
                <w:szCs w:val="21"/>
                <w:highlight w:val="none"/>
                <w:lang w:bidi="ar"/>
              </w:rPr>
              <w:t>肉</w:t>
            </w:r>
            <w:r>
              <w:rPr>
                <w:rStyle w:val="183"/>
                <w:rFonts w:hint="eastAsia" w:ascii="Times New Roman" w:hAnsi="Times New Roman" w:eastAsia="仿宋_GB2312" w:cs="Times New Roman"/>
                <w:color w:val="auto"/>
                <w:sz w:val="21"/>
                <w:szCs w:val="21"/>
                <w:highlight w:val="none"/>
                <w:lang w:val="en-US" w:eastAsia="zh-CN" w:bidi="ar"/>
              </w:rPr>
              <w:t>*</w:t>
            </w:r>
          </w:p>
        </w:tc>
        <w:tc>
          <w:tcPr>
            <w:tcW w:w="257" w:type="pct"/>
            <w:noWrap w:val="0"/>
            <w:vAlign w:val="center"/>
          </w:tcPr>
          <w:p w14:paraId="1D754BE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06F8A1BD">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恩诺沙星、磺胺类（总量）、克伦特罗、氯霉素</w:t>
            </w:r>
          </w:p>
        </w:tc>
        <w:tc>
          <w:tcPr>
            <w:tcW w:w="1190" w:type="pct"/>
            <w:noWrap w:val="0"/>
            <w:vAlign w:val="center"/>
          </w:tcPr>
          <w:p w14:paraId="6A64E6E9">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水分、呋喃唑酮代谢物、呋喃西林代谢物、莱克多巴胺、沙丁胺醇</w:t>
            </w:r>
          </w:p>
        </w:tc>
      </w:tr>
      <w:tr w14:paraId="5782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5AA164D1">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3086D9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EE5450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D8AFF4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9B32477">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其他畜肉</w:t>
            </w:r>
          </w:p>
        </w:tc>
        <w:tc>
          <w:tcPr>
            <w:tcW w:w="257" w:type="pct"/>
            <w:noWrap w:val="0"/>
            <w:vAlign w:val="center"/>
          </w:tcPr>
          <w:p w14:paraId="1417093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2699CC11">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呋喃唑酮代谢物、氯霉素、克伦特罗、莱克多巴胺、沙丁胺醇、氧氟沙星</w:t>
            </w:r>
          </w:p>
        </w:tc>
        <w:tc>
          <w:tcPr>
            <w:tcW w:w="1190" w:type="pct"/>
            <w:noWrap w:val="0"/>
            <w:vAlign w:val="center"/>
          </w:tcPr>
          <w:p w14:paraId="3425BF62">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1712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318E8C6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056C90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8BAF38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restart"/>
            <w:noWrap w:val="0"/>
            <w:vAlign w:val="center"/>
          </w:tcPr>
          <w:p w14:paraId="153A669B">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禽肉</w:t>
            </w:r>
          </w:p>
        </w:tc>
        <w:tc>
          <w:tcPr>
            <w:tcW w:w="391" w:type="pct"/>
            <w:noWrap w:val="0"/>
            <w:vAlign w:val="center"/>
          </w:tcPr>
          <w:p w14:paraId="07DCEBC9">
            <w:pPr>
              <w:widowControl/>
              <w:jc w:val="center"/>
              <w:textAlignment w:val="center"/>
              <w:rPr>
                <w:rFonts w:hint="eastAsia" w:ascii="Times New Roman" w:hAnsi="Times New Roman" w:eastAsia="仿宋_GB2312" w:cs="Times New Roman"/>
                <w:color w:val="auto"/>
                <w:szCs w:val="21"/>
                <w:highlight w:val="none"/>
                <w:lang w:val="en-US" w:eastAsia="zh-CN"/>
              </w:rPr>
            </w:pPr>
            <w:r>
              <w:rPr>
                <w:rStyle w:val="183"/>
                <w:rFonts w:hint="default" w:ascii="Times New Roman" w:hAnsi="Times New Roman" w:eastAsia="仿宋_GB2312" w:cs="Times New Roman"/>
                <w:color w:val="auto"/>
                <w:sz w:val="21"/>
                <w:szCs w:val="21"/>
                <w:highlight w:val="none"/>
                <w:lang w:bidi="ar"/>
              </w:rPr>
              <w:t>鸡肉</w:t>
            </w:r>
            <w:r>
              <w:rPr>
                <w:rStyle w:val="183"/>
                <w:rFonts w:hint="eastAsia" w:ascii="Times New Roman" w:hAnsi="Times New Roman" w:eastAsia="仿宋_GB2312" w:cs="Times New Roman"/>
                <w:color w:val="auto"/>
                <w:sz w:val="21"/>
                <w:szCs w:val="21"/>
                <w:highlight w:val="none"/>
                <w:lang w:val="en-US" w:eastAsia="zh-CN" w:bidi="ar"/>
              </w:rPr>
              <w:t>*</w:t>
            </w:r>
          </w:p>
        </w:tc>
        <w:tc>
          <w:tcPr>
            <w:tcW w:w="257" w:type="pct"/>
            <w:noWrap w:val="0"/>
            <w:vAlign w:val="center"/>
          </w:tcPr>
          <w:p w14:paraId="52FD3FA7">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6937F8D2">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lang w:val="en-US" w:eastAsia="zh-CN"/>
              </w:rPr>
              <w:t>多西环素、恩诺沙星、磺胺类（总量）</w:t>
            </w:r>
            <w:r>
              <w:rPr>
                <w:rFonts w:hint="eastAsia" w:ascii="Times New Roman" w:hAnsi="Times New Roman"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lang w:val="en-US" w:eastAsia="zh-CN"/>
              </w:rPr>
              <w:t>甲氧苄啶、氯霉素</w:t>
            </w:r>
          </w:p>
        </w:tc>
        <w:tc>
          <w:tcPr>
            <w:tcW w:w="1190" w:type="pct"/>
            <w:noWrap w:val="0"/>
            <w:vAlign w:val="center"/>
          </w:tcPr>
          <w:p w14:paraId="66EEE0E3">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水分、呋喃唑酮代谢物、氧氟沙星、氟苯尼考、尼卡巴嗪</w:t>
            </w:r>
          </w:p>
        </w:tc>
      </w:tr>
      <w:tr w14:paraId="7616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578AB3E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06E8FE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E62D17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74DD9AD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7373BF0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bidi="ar"/>
              </w:rPr>
              <w:t>鸭肉</w:t>
            </w:r>
            <w:r>
              <w:rPr>
                <w:rStyle w:val="183"/>
                <w:rFonts w:hint="eastAsia" w:ascii="Times New Roman" w:hAnsi="Times New Roman" w:eastAsia="仿宋_GB2312" w:cs="Times New Roman"/>
                <w:color w:val="auto"/>
                <w:sz w:val="21"/>
                <w:szCs w:val="21"/>
                <w:highlight w:val="none"/>
                <w:lang w:val="en-US" w:eastAsia="zh-CN" w:bidi="ar"/>
              </w:rPr>
              <w:t>*</w:t>
            </w:r>
          </w:p>
        </w:tc>
        <w:tc>
          <w:tcPr>
            <w:tcW w:w="257" w:type="pct"/>
            <w:noWrap w:val="0"/>
            <w:vAlign w:val="center"/>
          </w:tcPr>
          <w:p w14:paraId="55549CC5">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558F9F8C">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呋喃唑酮代谢物、呋喃妥因代谢物、氯霉素、恩诺沙星、磺胺类（总量）、多西环素</w:t>
            </w:r>
          </w:p>
        </w:tc>
        <w:tc>
          <w:tcPr>
            <w:tcW w:w="1190" w:type="pct"/>
            <w:noWrap w:val="0"/>
            <w:vAlign w:val="center"/>
          </w:tcPr>
          <w:p w14:paraId="5DD66042">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氧氟沙星、氟苯尼考、 甲硝唑、环丙氨嗪</w:t>
            </w:r>
          </w:p>
        </w:tc>
      </w:tr>
      <w:tr w14:paraId="42FC7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279" w:type="pct"/>
            <w:vMerge w:val="continue"/>
            <w:noWrap w:val="0"/>
            <w:vAlign w:val="center"/>
          </w:tcPr>
          <w:p w14:paraId="7AE4B5C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AF589FC">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22F175D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501E18E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32FF751">
            <w:pPr>
              <w:widowControl/>
              <w:jc w:val="center"/>
              <w:textAlignment w:val="center"/>
              <w:rPr>
                <w:rFonts w:hint="default" w:ascii="Times New Roman" w:hAnsi="Times New Roman" w:eastAsia="仿宋_GB2312" w:cs="Times New Roman"/>
                <w:color w:val="auto"/>
                <w:szCs w:val="21"/>
                <w:highlight w:val="none"/>
                <w:lang w:val="en-US"/>
              </w:rPr>
            </w:pPr>
            <w:r>
              <w:rPr>
                <w:rStyle w:val="183"/>
                <w:rFonts w:hint="default" w:ascii="Times New Roman" w:hAnsi="Times New Roman" w:eastAsia="仿宋_GB2312" w:cs="Times New Roman"/>
                <w:color w:val="auto"/>
                <w:sz w:val="21"/>
                <w:szCs w:val="21"/>
                <w:highlight w:val="none"/>
                <w:lang w:val="en-US" w:eastAsia="zh-CN" w:bidi="ar"/>
              </w:rPr>
              <w:t>其他禽肉</w:t>
            </w:r>
            <w:r>
              <w:rPr>
                <w:rStyle w:val="183"/>
                <w:rFonts w:hint="eastAsia" w:ascii="Times New Roman" w:hAnsi="Times New Roman" w:eastAsia="仿宋_GB2312" w:cs="Times New Roman"/>
                <w:color w:val="auto"/>
                <w:sz w:val="21"/>
                <w:szCs w:val="21"/>
                <w:highlight w:val="none"/>
                <w:lang w:val="en-US" w:eastAsia="zh-CN" w:bidi="ar"/>
              </w:rPr>
              <w:t>*（重点品种：鸽肉）</w:t>
            </w:r>
          </w:p>
        </w:tc>
        <w:tc>
          <w:tcPr>
            <w:tcW w:w="257" w:type="pct"/>
            <w:noWrap w:val="0"/>
            <w:vAlign w:val="center"/>
          </w:tcPr>
          <w:p w14:paraId="69E6EC51">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6833E299">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恩诺沙星、甲硝唑、多西环素</w:t>
            </w:r>
          </w:p>
        </w:tc>
        <w:tc>
          <w:tcPr>
            <w:tcW w:w="1190" w:type="pct"/>
            <w:noWrap w:val="0"/>
            <w:vAlign w:val="center"/>
          </w:tcPr>
          <w:p w14:paraId="7CB4D6B6">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氧氟沙星、培氟沙星、洛美沙星、达氟沙星</w:t>
            </w:r>
          </w:p>
        </w:tc>
      </w:tr>
      <w:tr w14:paraId="2EEBE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3EA75C2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34E4F2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BFC040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restart"/>
            <w:noWrap w:val="0"/>
            <w:vAlign w:val="center"/>
          </w:tcPr>
          <w:p w14:paraId="53D1383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86904F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4062AC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850C509">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畜副产品</w:t>
            </w:r>
          </w:p>
          <w:p w14:paraId="6B50C59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F7505D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CF87C6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EC45D3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F95E43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FECCD2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FBC65F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7654E6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D620AA9">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畜副产品</w:t>
            </w:r>
          </w:p>
        </w:tc>
        <w:tc>
          <w:tcPr>
            <w:tcW w:w="391" w:type="pct"/>
            <w:noWrap w:val="0"/>
            <w:vAlign w:val="center"/>
          </w:tcPr>
          <w:p w14:paraId="5490521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猪肝*</w:t>
            </w:r>
          </w:p>
        </w:tc>
        <w:tc>
          <w:tcPr>
            <w:tcW w:w="257" w:type="pct"/>
            <w:noWrap w:val="0"/>
            <w:vAlign w:val="center"/>
          </w:tcPr>
          <w:p w14:paraId="5AD8C52B">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558AB7E2">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恩诺沙星、磺胺类 （总量）、甲氧苄啶</w:t>
            </w:r>
          </w:p>
        </w:tc>
        <w:tc>
          <w:tcPr>
            <w:tcW w:w="1190" w:type="pct"/>
            <w:noWrap w:val="0"/>
            <w:vAlign w:val="center"/>
          </w:tcPr>
          <w:p w14:paraId="1C2A54D7">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呋喃唑酮代谢物、呋喃西林代谢物、氯霉素、双氯芬酸</w:t>
            </w:r>
          </w:p>
        </w:tc>
      </w:tr>
      <w:tr w14:paraId="278A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1D81C47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44BBB0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71632C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004662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6ABF9ADD">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牛肝</w:t>
            </w:r>
          </w:p>
        </w:tc>
        <w:tc>
          <w:tcPr>
            <w:tcW w:w="257" w:type="pct"/>
            <w:noWrap w:val="0"/>
            <w:vAlign w:val="center"/>
          </w:tcPr>
          <w:p w14:paraId="462F79BB">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572FEE37">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克伦特罗、莱克多巴胺、沙丁胺醇</w:t>
            </w:r>
          </w:p>
        </w:tc>
        <w:tc>
          <w:tcPr>
            <w:tcW w:w="1190" w:type="pct"/>
            <w:noWrap w:val="0"/>
            <w:vAlign w:val="center"/>
          </w:tcPr>
          <w:p w14:paraId="4BCC04C2">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2BDA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6ED596A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F251B6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988A16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3379D4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42798301">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羊肝</w:t>
            </w:r>
          </w:p>
        </w:tc>
        <w:tc>
          <w:tcPr>
            <w:tcW w:w="257" w:type="pct"/>
            <w:noWrap w:val="0"/>
            <w:vAlign w:val="center"/>
          </w:tcPr>
          <w:p w14:paraId="7897820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0F5AEA05">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克伦特罗、莱克多巴胺、沙丁胺醇</w:t>
            </w:r>
          </w:p>
        </w:tc>
        <w:tc>
          <w:tcPr>
            <w:tcW w:w="1190" w:type="pct"/>
            <w:noWrap w:val="0"/>
            <w:vAlign w:val="center"/>
          </w:tcPr>
          <w:p w14:paraId="19166EFD">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环丙氨嗪</w:t>
            </w:r>
          </w:p>
        </w:tc>
      </w:tr>
      <w:tr w14:paraId="3439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5F0ED27F">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569BC9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65D223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84F152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05427007">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猪肾</w:t>
            </w:r>
          </w:p>
        </w:tc>
        <w:tc>
          <w:tcPr>
            <w:tcW w:w="257" w:type="pct"/>
            <w:noWrap w:val="0"/>
            <w:vAlign w:val="center"/>
          </w:tcPr>
          <w:p w14:paraId="2D4326D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5CB71543">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恩诺沙星、磺胺类（总量）、 甲氧苄啶</w:t>
            </w:r>
          </w:p>
        </w:tc>
        <w:tc>
          <w:tcPr>
            <w:tcW w:w="1190" w:type="pct"/>
            <w:noWrap w:val="0"/>
            <w:vAlign w:val="center"/>
          </w:tcPr>
          <w:p w14:paraId="52240EE2">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呋喃西林代谢物、氯霉素、克伦特罗、莱克多巴胺、沙丁胺醇</w:t>
            </w:r>
          </w:p>
        </w:tc>
      </w:tr>
      <w:tr w14:paraId="1105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0BB0F847">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6C71AD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F96F51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B98EA3C">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0F2949F">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牛肾</w:t>
            </w:r>
          </w:p>
        </w:tc>
        <w:tc>
          <w:tcPr>
            <w:tcW w:w="257" w:type="pct"/>
            <w:noWrap w:val="0"/>
            <w:vAlign w:val="center"/>
          </w:tcPr>
          <w:p w14:paraId="630FD19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高</w:t>
            </w:r>
          </w:p>
        </w:tc>
        <w:tc>
          <w:tcPr>
            <w:tcW w:w="1916" w:type="pct"/>
            <w:noWrap w:val="0"/>
            <w:vAlign w:val="center"/>
          </w:tcPr>
          <w:p w14:paraId="7EDCDA35">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克伦特罗、莱克多巴胺、沙丁胺醇、恩诺沙星、磺胺类（总量）</w:t>
            </w:r>
          </w:p>
        </w:tc>
        <w:tc>
          <w:tcPr>
            <w:tcW w:w="1190" w:type="pct"/>
            <w:noWrap w:val="0"/>
            <w:vAlign w:val="center"/>
          </w:tcPr>
          <w:p w14:paraId="21537084">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6245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5B7D6A13">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98E49B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70475C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6CA6A16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51ED19C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羊肾</w:t>
            </w:r>
          </w:p>
        </w:tc>
        <w:tc>
          <w:tcPr>
            <w:tcW w:w="257" w:type="pct"/>
            <w:noWrap w:val="0"/>
            <w:vAlign w:val="center"/>
          </w:tcPr>
          <w:p w14:paraId="5DB8CFB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高</w:t>
            </w:r>
          </w:p>
        </w:tc>
        <w:tc>
          <w:tcPr>
            <w:tcW w:w="1916" w:type="pct"/>
            <w:noWrap w:val="0"/>
            <w:vAlign w:val="center"/>
          </w:tcPr>
          <w:p w14:paraId="54FDE71E">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镉（以Cd计）、克伦特罗、莱克多巴胺、沙丁胺醇、恩诺沙星</w:t>
            </w:r>
          </w:p>
        </w:tc>
        <w:tc>
          <w:tcPr>
            <w:tcW w:w="1190" w:type="pct"/>
            <w:noWrap w:val="0"/>
            <w:vAlign w:val="center"/>
          </w:tcPr>
          <w:p w14:paraId="762C2821">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248F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63670FAF">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DE5C27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8D9B58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6CA7B2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4E5847A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其他畜副产品</w:t>
            </w:r>
          </w:p>
        </w:tc>
        <w:tc>
          <w:tcPr>
            <w:tcW w:w="257" w:type="pct"/>
            <w:noWrap w:val="0"/>
            <w:vAlign w:val="center"/>
          </w:tcPr>
          <w:p w14:paraId="4A9B0F5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高</w:t>
            </w:r>
          </w:p>
        </w:tc>
        <w:tc>
          <w:tcPr>
            <w:tcW w:w="1916" w:type="pct"/>
            <w:noWrap w:val="0"/>
            <w:vAlign w:val="center"/>
          </w:tcPr>
          <w:p w14:paraId="3AF1BAF6">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呋喃唑酮代谢物、呋喃西林代谢物、氯霉素、克伦特罗、莱克多巴胺、沙丁胺醇</w:t>
            </w:r>
          </w:p>
        </w:tc>
        <w:tc>
          <w:tcPr>
            <w:tcW w:w="1190" w:type="pct"/>
            <w:noWrap w:val="0"/>
            <w:vAlign w:val="center"/>
          </w:tcPr>
          <w:p w14:paraId="0D82120D">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11B2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4FACB63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A3223B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59B603F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restart"/>
            <w:noWrap w:val="0"/>
            <w:vAlign w:val="center"/>
          </w:tcPr>
          <w:p w14:paraId="143496B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禽副产品</w:t>
            </w:r>
          </w:p>
        </w:tc>
        <w:tc>
          <w:tcPr>
            <w:tcW w:w="391" w:type="pct"/>
            <w:noWrap w:val="0"/>
            <w:vAlign w:val="center"/>
          </w:tcPr>
          <w:p w14:paraId="0FFC6E8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鸡肝</w:t>
            </w:r>
          </w:p>
        </w:tc>
        <w:tc>
          <w:tcPr>
            <w:tcW w:w="257" w:type="pct"/>
            <w:noWrap w:val="0"/>
            <w:vAlign w:val="center"/>
          </w:tcPr>
          <w:p w14:paraId="48B9EB9C">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高</w:t>
            </w:r>
          </w:p>
        </w:tc>
        <w:tc>
          <w:tcPr>
            <w:tcW w:w="1916" w:type="pct"/>
            <w:noWrap w:val="0"/>
            <w:vAlign w:val="center"/>
          </w:tcPr>
          <w:p w14:paraId="7DAFD1A9">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恩诺沙星、氧氟沙星、环丙氨嗪</w:t>
            </w:r>
          </w:p>
        </w:tc>
        <w:tc>
          <w:tcPr>
            <w:tcW w:w="1190" w:type="pct"/>
            <w:noWrap w:val="0"/>
            <w:vAlign w:val="center"/>
          </w:tcPr>
          <w:p w14:paraId="034966D6">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呋喃唑酮代谢物、呋喃西林代谢物、氯霉素</w:t>
            </w:r>
          </w:p>
        </w:tc>
      </w:tr>
      <w:tr w14:paraId="5EB4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087141E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8767FF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2EDB5C7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BEB595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0FD8C027">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其他禽副产品</w:t>
            </w:r>
          </w:p>
        </w:tc>
        <w:tc>
          <w:tcPr>
            <w:tcW w:w="257" w:type="pct"/>
            <w:noWrap w:val="0"/>
            <w:vAlign w:val="center"/>
          </w:tcPr>
          <w:p w14:paraId="430B5867">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高</w:t>
            </w:r>
          </w:p>
        </w:tc>
        <w:tc>
          <w:tcPr>
            <w:tcW w:w="1916" w:type="pct"/>
            <w:noWrap w:val="0"/>
            <w:vAlign w:val="center"/>
          </w:tcPr>
          <w:p w14:paraId="0D0FD169">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呋喃唑酮代谢物、呋喃西林代谢物、氯霉素、诺氟沙星</w:t>
            </w:r>
          </w:p>
        </w:tc>
        <w:tc>
          <w:tcPr>
            <w:tcW w:w="1190" w:type="pct"/>
            <w:noWrap w:val="0"/>
            <w:vAlign w:val="center"/>
          </w:tcPr>
          <w:p w14:paraId="36E19BA1">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68B5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restart"/>
            <w:noWrap w:val="0"/>
            <w:vAlign w:val="center"/>
          </w:tcPr>
          <w:p w14:paraId="58D6F581">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2</w:t>
            </w:r>
          </w:p>
          <w:p w14:paraId="5367B880">
            <w:pPr>
              <w:widowControl/>
              <w:jc w:val="center"/>
              <w:textAlignment w:val="center"/>
              <w:rPr>
                <w:rFonts w:hint="default" w:ascii="Times New Roman" w:hAnsi="Times New Roman" w:eastAsia="仿宋_GB2312" w:cs="Times New Roman"/>
                <w:color w:val="auto"/>
                <w:szCs w:val="21"/>
                <w:highlight w:val="none"/>
                <w:lang w:val="en-US" w:eastAsia="zh-CN"/>
              </w:rPr>
            </w:pPr>
          </w:p>
        </w:tc>
        <w:tc>
          <w:tcPr>
            <w:tcW w:w="375" w:type="pct"/>
            <w:vMerge w:val="restart"/>
            <w:noWrap w:val="0"/>
            <w:vAlign w:val="center"/>
          </w:tcPr>
          <w:p w14:paraId="3440564B">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A18565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726160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669A0A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C90BA16">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E4B6C3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87E9CAB">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蔬菜</w:t>
            </w:r>
          </w:p>
          <w:p w14:paraId="7390BF3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EB8DD38">
            <w:pPr>
              <w:pStyle w:val="180"/>
              <w:jc w:val="center"/>
              <w:rPr>
                <w:rStyle w:val="183"/>
                <w:rFonts w:hint="default" w:ascii="Times New Roman" w:hAnsi="Times New Roman" w:eastAsia="仿宋_GB2312" w:cs="Times New Roman"/>
                <w:color w:val="auto"/>
                <w:sz w:val="21"/>
                <w:szCs w:val="21"/>
                <w:highlight w:val="none"/>
                <w:lang w:bidi="ar"/>
              </w:rPr>
            </w:pPr>
          </w:p>
          <w:p w14:paraId="69527E87">
            <w:pPr>
              <w:pStyle w:val="180"/>
              <w:jc w:val="center"/>
              <w:rPr>
                <w:rStyle w:val="183"/>
                <w:rFonts w:hint="default" w:ascii="Times New Roman" w:hAnsi="Times New Roman" w:eastAsia="仿宋_GB2312" w:cs="Times New Roman"/>
                <w:color w:val="auto"/>
                <w:sz w:val="21"/>
                <w:szCs w:val="21"/>
                <w:highlight w:val="none"/>
                <w:lang w:bidi="ar"/>
              </w:rPr>
            </w:pPr>
          </w:p>
          <w:p w14:paraId="04FE68A1">
            <w:pPr>
              <w:pStyle w:val="180"/>
              <w:jc w:val="center"/>
              <w:rPr>
                <w:rStyle w:val="183"/>
                <w:rFonts w:hint="default" w:ascii="Times New Roman" w:hAnsi="Times New Roman" w:eastAsia="仿宋_GB2312" w:cs="Times New Roman"/>
                <w:color w:val="auto"/>
                <w:sz w:val="21"/>
                <w:szCs w:val="21"/>
                <w:highlight w:val="none"/>
                <w:lang w:bidi="ar"/>
              </w:rPr>
            </w:pPr>
          </w:p>
          <w:p w14:paraId="39E7DF94">
            <w:pPr>
              <w:pStyle w:val="180"/>
              <w:jc w:val="center"/>
              <w:rPr>
                <w:rStyle w:val="183"/>
                <w:rFonts w:hint="default" w:ascii="Times New Roman" w:hAnsi="Times New Roman" w:eastAsia="仿宋_GB2312" w:cs="Times New Roman"/>
                <w:color w:val="auto"/>
                <w:sz w:val="21"/>
                <w:szCs w:val="21"/>
                <w:highlight w:val="none"/>
                <w:lang w:bidi="ar"/>
              </w:rPr>
            </w:pPr>
          </w:p>
          <w:p w14:paraId="274A1525">
            <w:pPr>
              <w:pStyle w:val="180"/>
              <w:jc w:val="center"/>
              <w:rPr>
                <w:rStyle w:val="183"/>
                <w:rFonts w:hint="default" w:ascii="Times New Roman" w:hAnsi="Times New Roman" w:eastAsia="仿宋_GB2312" w:cs="Times New Roman"/>
                <w:color w:val="auto"/>
                <w:sz w:val="21"/>
                <w:szCs w:val="21"/>
                <w:highlight w:val="none"/>
                <w:lang w:bidi="ar"/>
              </w:rPr>
            </w:pPr>
          </w:p>
          <w:p w14:paraId="15E9F828">
            <w:pPr>
              <w:pStyle w:val="180"/>
              <w:jc w:val="center"/>
              <w:rPr>
                <w:rStyle w:val="183"/>
                <w:rFonts w:hint="default" w:ascii="Times New Roman" w:hAnsi="Times New Roman" w:eastAsia="仿宋_GB2312" w:cs="Times New Roman"/>
                <w:color w:val="auto"/>
                <w:sz w:val="21"/>
                <w:szCs w:val="21"/>
                <w:highlight w:val="none"/>
                <w:lang w:bidi="ar"/>
              </w:rPr>
            </w:pPr>
          </w:p>
          <w:p w14:paraId="234CBCFE">
            <w:pPr>
              <w:pStyle w:val="180"/>
              <w:jc w:val="center"/>
              <w:rPr>
                <w:rStyle w:val="183"/>
                <w:rFonts w:hint="default" w:ascii="Times New Roman" w:hAnsi="Times New Roman" w:eastAsia="仿宋_GB2312" w:cs="Times New Roman"/>
                <w:color w:val="auto"/>
                <w:sz w:val="21"/>
                <w:szCs w:val="21"/>
                <w:highlight w:val="none"/>
                <w:lang w:bidi="ar"/>
              </w:rPr>
            </w:pPr>
          </w:p>
          <w:p w14:paraId="451070ED">
            <w:pPr>
              <w:pStyle w:val="180"/>
              <w:jc w:val="center"/>
              <w:rPr>
                <w:rStyle w:val="183"/>
                <w:rFonts w:hint="eastAsia" w:ascii="Times New Roman" w:hAnsi="Times New Roman" w:eastAsia="仿宋_GB2312" w:cs="Times New Roman"/>
                <w:color w:val="auto"/>
                <w:sz w:val="21"/>
                <w:szCs w:val="21"/>
                <w:highlight w:val="none"/>
                <w:lang w:eastAsia="zh-CN" w:bidi="ar"/>
              </w:rPr>
            </w:pPr>
          </w:p>
          <w:p w14:paraId="61130957">
            <w:pPr>
              <w:pStyle w:val="180"/>
              <w:jc w:val="center"/>
              <w:rPr>
                <w:rStyle w:val="183"/>
                <w:rFonts w:hint="eastAsia" w:ascii="Times New Roman" w:hAnsi="Times New Roman" w:eastAsia="仿宋_GB2312" w:cs="Times New Roman"/>
                <w:color w:val="auto"/>
                <w:sz w:val="21"/>
                <w:szCs w:val="21"/>
                <w:highlight w:val="none"/>
                <w:lang w:eastAsia="zh-CN" w:bidi="ar"/>
              </w:rPr>
            </w:pPr>
          </w:p>
          <w:p w14:paraId="1E6C15BF">
            <w:pPr>
              <w:pStyle w:val="180"/>
              <w:jc w:val="center"/>
              <w:rPr>
                <w:rStyle w:val="183"/>
                <w:rFonts w:hint="eastAsia" w:ascii="Times New Roman" w:hAnsi="Times New Roman" w:eastAsia="仿宋_GB2312" w:cs="Times New Roman"/>
                <w:color w:val="auto"/>
                <w:sz w:val="21"/>
                <w:szCs w:val="21"/>
                <w:highlight w:val="none"/>
                <w:lang w:eastAsia="zh-CN" w:bidi="ar"/>
              </w:rPr>
            </w:pPr>
          </w:p>
          <w:p w14:paraId="7AE15886">
            <w:pPr>
              <w:pStyle w:val="180"/>
              <w:jc w:val="center"/>
              <w:rPr>
                <w:rStyle w:val="183"/>
                <w:rFonts w:hint="eastAsia" w:ascii="Times New Roman" w:hAnsi="Times New Roman" w:eastAsia="仿宋_GB2312" w:cs="Times New Roman"/>
                <w:color w:val="auto"/>
                <w:sz w:val="21"/>
                <w:szCs w:val="21"/>
                <w:highlight w:val="none"/>
                <w:lang w:eastAsia="zh-CN" w:bidi="ar"/>
              </w:rPr>
            </w:pPr>
          </w:p>
          <w:p w14:paraId="4F2B37C9">
            <w:pPr>
              <w:pStyle w:val="180"/>
              <w:jc w:val="center"/>
              <w:rPr>
                <w:rStyle w:val="183"/>
                <w:rFonts w:hint="eastAsia" w:ascii="Times New Roman" w:hAnsi="Times New Roman" w:eastAsia="仿宋_GB2312" w:cs="Times New Roman"/>
                <w:color w:val="auto"/>
                <w:sz w:val="21"/>
                <w:szCs w:val="21"/>
                <w:highlight w:val="none"/>
                <w:lang w:eastAsia="zh-CN" w:bidi="ar"/>
              </w:rPr>
            </w:pPr>
          </w:p>
          <w:p w14:paraId="6B46D6CC">
            <w:pPr>
              <w:pStyle w:val="180"/>
              <w:jc w:val="center"/>
              <w:rPr>
                <w:rStyle w:val="183"/>
                <w:rFonts w:hint="eastAsia" w:ascii="Times New Roman" w:hAnsi="Times New Roman" w:eastAsia="仿宋_GB2312" w:cs="Times New Roman"/>
                <w:color w:val="auto"/>
                <w:sz w:val="21"/>
                <w:szCs w:val="21"/>
                <w:highlight w:val="none"/>
                <w:lang w:eastAsia="zh-CN" w:bidi="ar"/>
              </w:rPr>
            </w:pPr>
          </w:p>
          <w:p w14:paraId="54456577">
            <w:pPr>
              <w:pStyle w:val="180"/>
              <w:jc w:val="center"/>
              <w:rPr>
                <w:rStyle w:val="183"/>
                <w:rFonts w:hint="eastAsia" w:ascii="Times New Roman" w:hAnsi="Times New Roman" w:eastAsia="仿宋_GB2312" w:cs="Times New Roman"/>
                <w:color w:val="auto"/>
                <w:sz w:val="21"/>
                <w:szCs w:val="21"/>
                <w:highlight w:val="none"/>
                <w:lang w:eastAsia="zh-CN" w:bidi="ar"/>
              </w:rPr>
            </w:pPr>
          </w:p>
          <w:p w14:paraId="4D7FFD85">
            <w:pPr>
              <w:pStyle w:val="180"/>
              <w:jc w:val="center"/>
              <w:rPr>
                <w:rStyle w:val="183"/>
                <w:rFonts w:hint="eastAsia" w:ascii="Times New Roman" w:hAnsi="Times New Roman" w:eastAsia="仿宋_GB2312" w:cs="Times New Roman"/>
                <w:color w:val="auto"/>
                <w:sz w:val="21"/>
                <w:szCs w:val="21"/>
                <w:highlight w:val="none"/>
                <w:lang w:eastAsia="zh-CN" w:bidi="ar"/>
              </w:rPr>
            </w:pPr>
          </w:p>
          <w:p w14:paraId="2BD8695E">
            <w:pPr>
              <w:pStyle w:val="180"/>
              <w:jc w:val="center"/>
              <w:rPr>
                <w:rStyle w:val="183"/>
                <w:rFonts w:hint="eastAsia" w:ascii="Times New Roman" w:hAnsi="Times New Roman" w:eastAsia="仿宋_GB2312" w:cs="Times New Roman"/>
                <w:color w:val="auto"/>
                <w:sz w:val="21"/>
                <w:szCs w:val="21"/>
                <w:highlight w:val="none"/>
                <w:lang w:eastAsia="zh-CN" w:bidi="ar"/>
              </w:rPr>
            </w:pPr>
          </w:p>
          <w:p w14:paraId="37696DCE">
            <w:pPr>
              <w:pStyle w:val="180"/>
              <w:jc w:val="center"/>
              <w:rPr>
                <w:rStyle w:val="183"/>
                <w:rFonts w:hint="eastAsia" w:ascii="Times New Roman" w:hAnsi="Times New Roman" w:eastAsia="仿宋_GB2312" w:cs="Times New Roman"/>
                <w:color w:val="auto"/>
                <w:sz w:val="21"/>
                <w:szCs w:val="21"/>
                <w:highlight w:val="none"/>
                <w:lang w:eastAsia="zh-CN" w:bidi="ar"/>
              </w:rPr>
            </w:pPr>
          </w:p>
          <w:p w14:paraId="7588CCD6">
            <w:pPr>
              <w:pStyle w:val="180"/>
              <w:jc w:val="center"/>
              <w:rPr>
                <w:rStyle w:val="183"/>
                <w:rFonts w:hint="eastAsia" w:ascii="Times New Roman" w:hAnsi="Times New Roman" w:eastAsia="仿宋_GB2312" w:cs="Times New Roman"/>
                <w:color w:val="auto"/>
                <w:sz w:val="21"/>
                <w:szCs w:val="21"/>
                <w:highlight w:val="none"/>
                <w:lang w:eastAsia="zh-CN" w:bidi="ar"/>
              </w:rPr>
            </w:pPr>
          </w:p>
          <w:p w14:paraId="0D494E19">
            <w:pPr>
              <w:pStyle w:val="180"/>
              <w:jc w:val="center"/>
              <w:rPr>
                <w:rStyle w:val="183"/>
                <w:rFonts w:hint="eastAsia" w:ascii="Times New Roman" w:hAnsi="Times New Roman" w:eastAsia="仿宋_GB2312" w:cs="Times New Roman"/>
                <w:color w:val="auto"/>
                <w:sz w:val="21"/>
                <w:szCs w:val="21"/>
                <w:highlight w:val="none"/>
                <w:lang w:eastAsia="zh-CN" w:bidi="ar"/>
              </w:rPr>
            </w:pPr>
          </w:p>
          <w:p w14:paraId="39A176EB">
            <w:pPr>
              <w:pStyle w:val="180"/>
              <w:jc w:val="center"/>
              <w:rPr>
                <w:rStyle w:val="183"/>
                <w:rFonts w:hint="eastAsia" w:ascii="Times New Roman" w:hAnsi="Times New Roman" w:eastAsia="仿宋_GB2312" w:cs="Times New Roman"/>
                <w:color w:val="auto"/>
                <w:sz w:val="21"/>
                <w:szCs w:val="21"/>
                <w:highlight w:val="none"/>
                <w:lang w:eastAsia="zh-CN" w:bidi="ar"/>
              </w:rPr>
            </w:pPr>
          </w:p>
          <w:p w14:paraId="304B53DD">
            <w:pPr>
              <w:pStyle w:val="180"/>
              <w:jc w:val="center"/>
              <w:rPr>
                <w:rStyle w:val="183"/>
                <w:rFonts w:hint="eastAsia" w:ascii="Times New Roman" w:hAnsi="Times New Roman" w:eastAsia="仿宋_GB2312" w:cs="Times New Roman"/>
                <w:color w:val="auto"/>
                <w:sz w:val="21"/>
                <w:szCs w:val="21"/>
                <w:highlight w:val="none"/>
                <w:lang w:eastAsia="zh-CN" w:bidi="ar"/>
              </w:rPr>
            </w:pPr>
          </w:p>
          <w:p w14:paraId="45854FD7">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蔬菜</w:t>
            </w:r>
          </w:p>
          <w:p w14:paraId="5583775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2C43A48">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1AB7922">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9E0778C">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6943773E">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3516071E">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7FB38B5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23D2B346">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7EECECF2">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7E1240D2">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8CA2F16">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ADB57C9">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BF9BFFE">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36E86E2">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738B67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65EABDA">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63D733C7">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74F0033">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7FAB292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71FE65BB">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10D03C38">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225506B">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FF3E590">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1E640B30">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56438AF">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2EEE2B75">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2921097C">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1481C39B">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8A0D3C6">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蔬菜</w:t>
            </w:r>
          </w:p>
          <w:p w14:paraId="2D1576AE">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B37B3F9">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A2598CE">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325102F">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7426A5E6">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686BDA91">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2BA7B9C">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195D115F">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42B65AC">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6588F6E">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7C5E86BF">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5E5CA38">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7D29E22">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6AF0035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2D6757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845E0C7">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50C09B0">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F79502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8504E6B">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158DDA46">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31C7B4F4">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C698254">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6D0D220A">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3337206A">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55C80B20">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34CED611">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14B5F514">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22AABA41">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221528AF">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6575E2F">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04DCF438">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蔬菜</w:t>
            </w:r>
          </w:p>
          <w:p w14:paraId="490B14C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9E9B74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88452D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466D59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DCDA7D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320BEE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A13E2E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F4E352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73A064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1C1DD7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06FC68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8EA88A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2227B0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11837A6">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C383962">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1EA45F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41BC64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D6A706B">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085645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D7C4AB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EE4090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A264A5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448708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549BA7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A5F0DF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3B1D1CF">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3721C4AF">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3FD1D6C6">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p w14:paraId="2C27F34F">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水产品</w:t>
            </w:r>
          </w:p>
        </w:tc>
        <w:tc>
          <w:tcPr>
            <w:tcW w:w="315" w:type="pct"/>
            <w:vMerge w:val="restart"/>
            <w:noWrap w:val="0"/>
            <w:vAlign w:val="center"/>
          </w:tcPr>
          <w:p w14:paraId="27FDC74A">
            <w:pPr>
              <w:widowControl/>
              <w:jc w:val="center"/>
              <w:textAlignment w:val="center"/>
              <w:rPr>
                <w:rFonts w:hint="eastAsia" w:ascii="Times New Roman" w:hAnsi="Times New Roman" w:eastAsia="仿宋_GB2312" w:cs="Times New Roman"/>
                <w:color w:val="auto"/>
                <w:szCs w:val="21"/>
                <w:highlight w:val="none"/>
                <w:lang w:val="en-US" w:eastAsia="zh-CN"/>
              </w:rPr>
            </w:pPr>
          </w:p>
          <w:p w14:paraId="525407C5">
            <w:pPr>
              <w:widowControl/>
              <w:jc w:val="center"/>
              <w:textAlignment w:val="center"/>
              <w:rPr>
                <w:rFonts w:hint="eastAsia" w:ascii="Times New Roman" w:hAnsi="Times New Roman" w:eastAsia="仿宋_GB2312" w:cs="Times New Roman"/>
                <w:color w:val="auto"/>
                <w:szCs w:val="21"/>
                <w:highlight w:val="none"/>
                <w:lang w:val="en-US" w:eastAsia="zh-CN"/>
              </w:rPr>
            </w:pPr>
          </w:p>
          <w:p w14:paraId="121A35EB">
            <w:pPr>
              <w:widowControl/>
              <w:jc w:val="center"/>
              <w:textAlignment w:val="center"/>
              <w:rPr>
                <w:rFonts w:hint="eastAsia" w:ascii="Times New Roman" w:hAnsi="Times New Roman" w:eastAsia="仿宋_GB2312" w:cs="Times New Roman"/>
                <w:color w:val="auto"/>
                <w:szCs w:val="21"/>
                <w:highlight w:val="none"/>
                <w:lang w:val="en-US" w:eastAsia="zh-CN"/>
              </w:rPr>
            </w:pPr>
          </w:p>
          <w:p w14:paraId="68BF2732">
            <w:pPr>
              <w:widowControl/>
              <w:jc w:val="center"/>
              <w:textAlignment w:val="center"/>
              <w:rPr>
                <w:rFonts w:hint="eastAsia" w:ascii="Times New Roman" w:hAnsi="Times New Roman" w:eastAsia="仿宋_GB2312" w:cs="Times New Roman"/>
                <w:color w:val="auto"/>
                <w:szCs w:val="21"/>
                <w:highlight w:val="none"/>
                <w:lang w:val="en-US" w:eastAsia="zh-CN"/>
              </w:rPr>
            </w:pPr>
          </w:p>
          <w:p w14:paraId="197D301C">
            <w:pPr>
              <w:widowControl/>
              <w:jc w:val="center"/>
              <w:textAlignment w:val="center"/>
              <w:rPr>
                <w:rFonts w:hint="eastAsia" w:ascii="Times New Roman" w:hAnsi="Times New Roman" w:eastAsia="仿宋_GB2312" w:cs="Times New Roman"/>
                <w:color w:val="auto"/>
                <w:szCs w:val="21"/>
                <w:highlight w:val="none"/>
                <w:lang w:val="en-US" w:eastAsia="zh-CN"/>
              </w:rPr>
            </w:pPr>
          </w:p>
          <w:p w14:paraId="2848E141">
            <w:pPr>
              <w:widowControl/>
              <w:jc w:val="center"/>
              <w:textAlignment w:val="center"/>
              <w:rPr>
                <w:rFonts w:hint="eastAsia" w:ascii="Times New Roman" w:hAnsi="Times New Roman" w:eastAsia="仿宋_GB2312" w:cs="Times New Roman"/>
                <w:color w:val="auto"/>
                <w:szCs w:val="21"/>
                <w:highlight w:val="none"/>
                <w:lang w:val="en-US" w:eastAsia="zh-CN"/>
              </w:rPr>
            </w:pPr>
          </w:p>
          <w:p w14:paraId="46C650BC">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蔬菜</w:t>
            </w:r>
          </w:p>
          <w:p w14:paraId="02A93202">
            <w:pPr>
              <w:widowControl/>
              <w:jc w:val="center"/>
              <w:textAlignment w:val="center"/>
              <w:rPr>
                <w:rFonts w:hint="eastAsia" w:ascii="Times New Roman" w:hAnsi="Times New Roman" w:eastAsia="仿宋_GB2312" w:cs="Times New Roman"/>
                <w:color w:val="auto"/>
                <w:szCs w:val="21"/>
                <w:highlight w:val="none"/>
                <w:lang w:val="en-US" w:eastAsia="zh-CN"/>
              </w:rPr>
            </w:pPr>
          </w:p>
          <w:p w14:paraId="49EF1805">
            <w:pPr>
              <w:widowControl/>
              <w:jc w:val="center"/>
              <w:textAlignment w:val="center"/>
              <w:rPr>
                <w:rFonts w:hint="eastAsia" w:ascii="Times New Roman" w:hAnsi="Times New Roman" w:eastAsia="仿宋_GB2312" w:cs="Times New Roman"/>
                <w:color w:val="auto"/>
                <w:szCs w:val="21"/>
                <w:highlight w:val="none"/>
                <w:lang w:val="en-US" w:eastAsia="zh-CN"/>
              </w:rPr>
            </w:pPr>
          </w:p>
          <w:p w14:paraId="025B4598">
            <w:pPr>
              <w:widowControl/>
              <w:jc w:val="center"/>
              <w:textAlignment w:val="center"/>
              <w:rPr>
                <w:rFonts w:hint="eastAsia" w:ascii="Times New Roman" w:hAnsi="Times New Roman" w:eastAsia="仿宋_GB2312" w:cs="Times New Roman"/>
                <w:color w:val="auto"/>
                <w:szCs w:val="21"/>
                <w:highlight w:val="none"/>
                <w:lang w:val="en-US" w:eastAsia="zh-CN"/>
              </w:rPr>
            </w:pPr>
          </w:p>
          <w:p w14:paraId="3BC65D60">
            <w:pPr>
              <w:widowControl/>
              <w:jc w:val="center"/>
              <w:textAlignment w:val="center"/>
              <w:rPr>
                <w:rFonts w:hint="eastAsia" w:ascii="Times New Roman" w:hAnsi="Times New Roman" w:eastAsia="仿宋_GB2312" w:cs="Times New Roman"/>
                <w:color w:val="auto"/>
                <w:szCs w:val="21"/>
                <w:highlight w:val="none"/>
                <w:lang w:val="en-US" w:eastAsia="zh-CN"/>
              </w:rPr>
            </w:pPr>
          </w:p>
          <w:p w14:paraId="05CEEF0B">
            <w:pPr>
              <w:widowControl/>
              <w:jc w:val="center"/>
              <w:textAlignment w:val="center"/>
              <w:rPr>
                <w:rFonts w:hint="eastAsia" w:ascii="Times New Roman" w:hAnsi="Times New Roman" w:eastAsia="仿宋_GB2312" w:cs="Times New Roman"/>
                <w:color w:val="auto"/>
                <w:szCs w:val="21"/>
                <w:highlight w:val="none"/>
                <w:lang w:val="en-US" w:eastAsia="zh-CN"/>
              </w:rPr>
            </w:pPr>
          </w:p>
          <w:p w14:paraId="16F201A1">
            <w:pPr>
              <w:widowControl/>
              <w:jc w:val="center"/>
              <w:textAlignment w:val="center"/>
              <w:rPr>
                <w:rFonts w:hint="eastAsia" w:ascii="Times New Roman" w:hAnsi="Times New Roman" w:eastAsia="仿宋_GB2312" w:cs="Times New Roman"/>
                <w:color w:val="auto"/>
                <w:szCs w:val="21"/>
                <w:highlight w:val="none"/>
                <w:lang w:val="en-US" w:eastAsia="zh-CN"/>
              </w:rPr>
            </w:pPr>
          </w:p>
          <w:p w14:paraId="6651D72E">
            <w:pPr>
              <w:widowControl/>
              <w:jc w:val="center"/>
              <w:textAlignment w:val="center"/>
              <w:rPr>
                <w:rFonts w:hint="eastAsia" w:ascii="Times New Roman" w:hAnsi="Times New Roman" w:eastAsia="仿宋_GB2312" w:cs="Times New Roman"/>
                <w:color w:val="auto"/>
                <w:szCs w:val="21"/>
                <w:highlight w:val="none"/>
                <w:lang w:val="en-US" w:eastAsia="zh-CN"/>
              </w:rPr>
            </w:pPr>
          </w:p>
          <w:p w14:paraId="5AD7A715">
            <w:pPr>
              <w:widowControl/>
              <w:jc w:val="center"/>
              <w:textAlignment w:val="center"/>
              <w:rPr>
                <w:rFonts w:hint="eastAsia" w:ascii="Times New Roman" w:hAnsi="Times New Roman" w:eastAsia="仿宋_GB2312" w:cs="Times New Roman"/>
                <w:color w:val="auto"/>
                <w:szCs w:val="21"/>
                <w:highlight w:val="none"/>
                <w:lang w:val="en-US" w:eastAsia="zh-CN"/>
              </w:rPr>
            </w:pPr>
          </w:p>
          <w:p w14:paraId="2C7B53B5">
            <w:pPr>
              <w:widowControl/>
              <w:jc w:val="center"/>
              <w:textAlignment w:val="center"/>
              <w:rPr>
                <w:rFonts w:hint="eastAsia" w:ascii="Times New Roman" w:hAnsi="Times New Roman" w:eastAsia="仿宋_GB2312" w:cs="Times New Roman"/>
                <w:color w:val="auto"/>
                <w:szCs w:val="21"/>
                <w:highlight w:val="none"/>
                <w:lang w:val="en-US" w:eastAsia="zh-CN"/>
              </w:rPr>
            </w:pPr>
          </w:p>
          <w:p w14:paraId="2E5334D5">
            <w:pPr>
              <w:widowControl/>
              <w:jc w:val="center"/>
              <w:textAlignment w:val="center"/>
              <w:rPr>
                <w:rFonts w:hint="eastAsia" w:ascii="Times New Roman" w:hAnsi="Times New Roman" w:eastAsia="仿宋_GB2312" w:cs="Times New Roman"/>
                <w:color w:val="auto"/>
                <w:szCs w:val="21"/>
                <w:highlight w:val="none"/>
                <w:lang w:val="en-US" w:eastAsia="zh-CN"/>
              </w:rPr>
            </w:pPr>
          </w:p>
          <w:p w14:paraId="41FD4B4E">
            <w:pPr>
              <w:widowControl/>
              <w:jc w:val="center"/>
              <w:textAlignment w:val="center"/>
              <w:rPr>
                <w:rFonts w:hint="eastAsia" w:ascii="Times New Roman" w:hAnsi="Times New Roman" w:eastAsia="仿宋_GB2312" w:cs="Times New Roman"/>
                <w:color w:val="auto"/>
                <w:szCs w:val="21"/>
                <w:highlight w:val="none"/>
                <w:lang w:val="en-US" w:eastAsia="zh-CN"/>
              </w:rPr>
            </w:pPr>
          </w:p>
          <w:p w14:paraId="15EF11D3">
            <w:pPr>
              <w:widowControl/>
              <w:jc w:val="center"/>
              <w:textAlignment w:val="center"/>
              <w:rPr>
                <w:rFonts w:hint="eastAsia" w:ascii="Times New Roman" w:hAnsi="Times New Roman" w:eastAsia="仿宋_GB2312" w:cs="Times New Roman"/>
                <w:color w:val="auto"/>
                <w:szCs w:val="21"/>
                <w:highlight w:val="none"/>
                <w:lang w:val="en-US" w:eastAsia="zh-CN"/>
              </w:rPr>
            </w:pPr>
          </w:p>
          <w:p w14:paraId="4CC191CA">
            <w:pPr>
              <w:widowControl/>
              <w:jc w:val="center"/>
              <w:textAlignment w:val="center"/>
              <w:rPr>
                <w:rFonts w:hint="eastAsia" w:ascii="Times New Roman" w:hAnsi="Times New Roman" w:eastAsia="仿宋_GB2312" w:cs="Times New Roman"/>
                <w:color w:val="auto"/>
                <w:szCs w:val="21"/>
                <w:highlight w:val="none"/>
                <w:lang w:val="en-US" w:eastAsia="zh-CN"/>
              </w:rPr>
            </w:pPr>
          </w:p>
          <w:p w14:paraId="0B80DC60">
            <w:pPr>
              <w:widowControl/>
              <w:jc w:val="center"/>
              <w:textAlignment w:val="center"/>
              <w:rPr>
                <w:rFonts w:hint="eastAsia" w:ascii="Times New Roman" w:hAnsi="Times New Roman" w:eastAsia="仿宋_GB2312" w:cs="Times New Roman"/>
                <w:color w:val="auto"/>
                <w:szCs w:val="21"/>
                <w:highlight w:val="none"/>
                <w:lang w:val="en-US" w:eastAsia="zh-CN"/>
              </w:rPr>
            </w:pPr>
          </w:p>
          <w:p w14:paraId="1990029B">
            <w:pPr>
              <w:widowControl/>
              <w:jc w:val="center"/>
              <w:textAlignment w:val="center"/>
              <w:rPr>
                <w:rFonts w:hint="eastAsia" w:ascii="Times New Roman" w:hAnsi="Times New Roman" w:eastAsia="仿宋_GB2312" w:cs="Times New Roman"/>
                <w:color w:val="auto"/>
                <w:szCs w:val="21"/>
                <w:highlight w:val="none"/>
                <w:lang w:val="en-US" w:eastAsia="zh-CN"/>
              </w:rPr>
            </w:pPr>
          </w:p>
          <w:p w14:paraId="7E35C9FE">
            <w:pPr>
              <w:widowControl/>
              <w:jc w:val="center"/>
              <w:textAlignment w:val="center"/>
              <w:rPr>
                <w:rFonts w:hint="eastAsia" w:ascii="Times New Roman" w:hAnsi="Times New Roman" w:eastAsia="仿宋_GB2312" w:cs="Times New Roman"/>
                <w:color w:val="auto"/>
                <w:szCs w:val="21"/>
                <w:highlight w:val="none"/>
                <w:lang w:val="en-US" w:eastAsia="zh-CN"/>
              </w:rPr>
            </w:pPr>
          </w:p>
          <w:p w14:paraId="403D66C2">
            <w:pPr>
              <w:widowControl/>
              <w:jc w:val="center"/>
              <w:textAlignment w:val="center"/>
              <w:rPr>
                <w:rFonts w:hint="eastAsia" w:ascii="Times New Roman" w:hAnsi="Times New Roman" w:eastAsia="仿宋_GB2312" w:cs="Times New Roman"/>
                <w:color w:val="auto"/>
                <w:szCs w:val="21"/>
                <w:highlight w:val="none"/>
                <w:lang w:val="en-US" w:eastAsia="zh-CN"/>
              </w:rPr>
            </w:pPr>
          </w:p>
          <w:p w14:paraId="5377194C">
            <w:pPr>
              <w:widowControl/>
              <w:jc w:val="center"/>
              <w:textAlignment w:val="center"/>
              <w:rPr>
                <w:rFonts w:hint="eastAsia" w:ascii="Times New Roman" w:hAnsi="Times New Roman" w:eastAsia="仿宋_GB2312" w:cs="Times New Roman"/>
                <w:color w:val="auto"/>
                <w:szCs w:val="21"/>
                <w:highlight w:val="none"/>
                <w:lang w:val="en-US" w:eastAsia="zh-CN"/>
              </w:rPr>
            </w:pPr>
          </w:p>
          <w:p w14:paraId="0BAD9AFD">
            <w:pPr>
              <w:widowControl/>
              <w:jc w:val="center"/>
              <w:textAlignment w:val="center"/>
              <w:rPr>
                <w:rFonts w:hint="eastAsia" w:ascii="Times New Roman" w:hAnsi="Times New Roman" w:eastAsia="仿宋_GB2312" w:cs="Times New Roman"/>
                <w:color w:val="auto"/>
                <w:szCs w:val="21"/>
                <w:highlight w:val="none"/>
                <w:lang w:val="en-US" w:eastAsia="zh-CN"/>
              </w:rPr>
            </w:pPr>
          </w:p>
          <w:p w14:paraId="382B6A4B">
            <w:pPr>
              <w:widowControl/>
              <w:jc w:val="center"/>
              <w:textAlignment w:val="center"/>
              <w:rPr>
                <w:rFonts w:hint="eastAsia" w:ascii="Times New Roman" w:hAnsi="Times New Roman" w:eastAsia="仿宋_GB2312" w:cs="Times New Roman"/>
                <w:color w:val="auto"/>
                <w:szCs w:val="21"/>
                <w:highlight w:val="none"/>
                <w:lang w:val="en-US" w:eastAsia="zh-CN"/>
              </w:rPr>
            </w:pPr>
          </w:p>
          <w:p w14:paraId="26257637">
            <w:pPr>
              <w:widowControl/>
              <w:jc w:val="center"/>
              <w:textAlignment w:val="center"/>
              <w:rPr>
                <w:rFonts w:hint="eastAsia" w:ascii="Times New Roman" w:hAnsi="Times New Roman" w:eastAsia="仿宋_GB2312" w:cs="Times New Roman"/>
                <w:color w:val="auto"/>
                <w:szCs w:val="21"/>
                <w:highlight w:val="none"/>
                <w:lang w:val="en-US" w:eastAsia="zh-CN"/>
              </w:rPr>
            </w:pPr>
          </w:p>
          <w:p w14:paraId="197EF88A">
            <w:pPr>
              <w:widowControl/>
              <w:jc w:val="center"/>
              <w:textAlignment w:val="center"/>
              <w:rPr>
                <w:rFonts w:hint="eastAsia" w:ascii="Times New Roman" w:hAnsi="Times New Roman" w:eastAsia="仿宋_GB2312" w:cs="Times New Roman"/>
                <w:color w:val="auto"/>
                <w:szCs w:val="21"/>
                <w:highlight w:val="none"/>
                <w:lang w:val="en-US" w:eastAsia="zh-CN"/>
              </w:rPr>
            </w:pPr>
          </w:p>
          <w:p w14:paraId="18D81E5E">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蔬菜</w:t>
            </w:r>
          </w:p>
          <w:p w14:paraId="0F29366B">
            <w:pPr>
              <w:widowControl/>
              <w:jc w:val="center"/>
              <w:textAlignment w:val="center"/>
              <w:rPr>
                <w:rFonts w:hint="eastAsia" w:ascii="Times New Roman" w:hAnsi="Times New Roman" w:eastAsia="仿宋_GB2312" w:cs="Times New Roman"/>
                <w:color w:val="auto"/>
                <w:szCs w:val="21"/>
                <w:highlight w:val="none"/>
                <w:lang w:val="en-US" w:eastAsia="zh-CN"/>
              </w:rPr>
            </w:pPr>
          </w:p>
          <w:p w14:paraId="4F1BFC85">
            <w:pPr>
              <w:widowControl/>
              <w:jc w:val="center"/>
              <w:textAlignment w:val="center"/>
              <w:rPr>
                <w:rFonts w:hint="eastAsia" w:ascii="Times New Roman" w:hAnsi="Times New Roman" w:eastAsia="仿宋_GB2312" w:cs="Times New Roman"/>
                <w:color w:val="auto"/>
                <w:szCs w:val="21"/>
                <w:highlight w:val="none"/>
                <w:lang w:val="en-US" w:eastAsia="zh-CN"/>
              </w:rPr>
            </w:pPr>
          </w:p>
          <w:p w14:paraId="2DF482DA">
            <w:pPr>
              <w:widowControl/>
              <w:jc w:val="center"/>
              <w:textAlignment w:val="center"/>
              <w:rPr>
                <w:rFonts w:hint="eastAsia" w:ascii="Times New Roman" w:hAnsi="Times New Roman" w:eastAsia="仿宋_GB2312" w:cs="Times New Roman"/>
                <w:color w:val="auto"/>
                <w:szCs w:val="21"/>
                <w:highlight w:val="none"/>
                <w:lang w:val="en-US" w:eastAsia="zh-CN"/>
              </w:rPr>
            </w:pPr>
          </w:p>
          <w:p w14:paraId="7E5E3B50">
            <w:pPr>
              <w:widowControl/>
              <w:jc w:val="center"/>
              <w:textAlignment w:val="center"/>
              <w:rPr>
                <w:rFonts w:hint="eastAsia" w:ascii="Times New Roman" w:hAnsi="Times New Roman" w:eastAsia="仿宋_GB2312" w:cs="Times New Roman"/>
                <w:color w:val="auto"/>
                <w:szCs w:val="21"/>
                <w:highlight w:val="none"/>
                <w:lang w:val="en-US" w:eastAsia="zh-CN"/>
              </w:rPr>
            </w:pPr>
          </w:p>
          <w:p w14:paraId="4662F228">
            <w:pPr>
              <w:widowControl/>
              <w:jc w:val="center"/>
              <w:textAlignment w:val="center"/>
              <w:rPr>
                <w:rFonts w:hint="eastAsia" w:ascii="Times New Roman" w:hAnsi="Times New Roman" w:eastAsia="仿宋_GB2312" w:cs="Times New Roman"/>
                <w:color w:val="auto"/>
                <w:szCs w:val="21"/>
                <w:highlight w:val="none"/>
                <w:lang w:val="en-US" w:eastAsia="zh-CN"/>
              </w:rPr>
            </w:pPr>
          </w:p>
          <w:p w14:paraId="3DCD4CDA">
            <w:pPr>
              <w:widowControl/>
              <w:jc w:val="center"/>
              <w:textAlignment w:val="center"/>
              <w:rPr>
                <w:rFonts w:hint="eastAsia" w:ascii="Times New Roman" w:hAnsi="Times New Roman" w:eastAsia="仿宋_GB2312" w:cs="Times New Roman"/>
                <w:color w:val="auto"/>
                <w:szCs w:val="21"/>
                <w:highlight w:val="none"/>
                <w:lang w:val="en-US" w:eastAsia="zh-CN"/>
              </w:rPr>
            </w:pPr>
          </w:p>
          <w:p w14:paraId="6EF890F5">
            <w:pPr>
              <w:widowControl/>
              <w:jc w:val="center"/>
              <w:textAlignment w:val="center"/>
              <w:rPr>
                <w:rFonts w:hint="eastAsia" w:ascii="Times New Roman" w:hAnsi="Times New Roman" w:eastAsia="仿宋_GB2312" w:cs="Times New Roman"/>
                <w:color w:val="auto"/>
                <w:szCs w:val="21"/>
                <w:highlight w:val="none"/>
                <w:lang w:val="en-US" w:eastAsia="zh-CN"/>
              </w:rPr>
            </w:pPr>
          </w:p>
          <w:p w14:paraId="6AEBC7C5">
            <w:pPr>
              <w:widowControl/>
              <w:jc w:val="center"/>
              <w:textAlignment w:val="center"/>
              <w:rPr>
                <w:rFonts w:hint="eastAsia" w:ascii="Times New Roman" w:hAnsi="Times New Roman" w:eastAsia="仿宋_GB2312" w:cs="Times New Roman"/>
                <w:color w:val="auto"/>
                <w:szCs w:val="21"/>
                <w:highlight w:val="none"/>
                <w:lang w:val="en-US" w:eastAsia="zh-CN"/>
              </w:rPr>
            </w:pPr>
          </w:p>
          <w:p w14:paraId="74F9B123">
            <w:pPr>
              <w:widowControl/>
              <w:jc w:val="center"/>
              <w:textAlignment w:val="center"/>
              <w:rPr>
                <w:rFonts w:hint="eastAsia" w:ascii="Times New Roman" w:hAnsi="Times New Roman" w:eastAsia="仿宋_GB2312" w:cs="Times New Roman"/>
                <w:color w:val="auto"/>
                <w:szCs w:val="21"/>
                <w:highlight w:val="none"/>
                <w:lang w:val="en-US" w:eastAsia="zh-CN"/>
              </w:rPr>
            </w:pPr>
          </w:p>
          <w:p w14:paraId="78D71705">
            <w:pPr>
              <w:widowControl/>
              <w:jc w:val="center"/>
              <w:textAlignment w:val="center"/>
              <w:rPr>
                <w:rFonts w:hint="eastAsia" w:ascii="Times New Roman" w:hAnsi="Times New Roman" w:eastAsia="仿宋_GB2312" w:cs="Times New Roman"/>
                <w:color w:val="auto"/>
                <w:szCs w:val="21"/>
                <w:highlight w:val="none"/>
                <w:lang w:val="en-US" w:eastAsia="zh-CN"/>
              </w:rPr>
            </w:pPr>
          </w:p>
          <w:p w14:paraId="16475330">
            <w:pPr>
              <w:widowControl/>
              <w:jc w:val="center"/>
              <w:textAlignment w:val="center"/>
              <w:rPr>
                <w:rFonts w:hint="eastAsia" w:ascii="Times New Roman" w:hAnsi="Times New Roman" w:eastAsia="仿宋_GB2312" w:cs="Times New Roman"/>
                <w:color w:val="auto"/>
                <w:szCs w:val="21"/>
                <w:highlight w:val="none"/>
                <w:lang w:val="en-US" w:eastAsia="zh-CN"/>
              </w:rPr>
            </w:pPr>
          </w:p>
          <w:p w14:paraId="22E4F3F5">
            <w:pPr>
              <w:widowControl/>
              <w:jc w:val="center"/>
              <w:textAlignment w:val="center"/>
              <w:rPr>
                <w:rFonts w:hint="eastAsia" w:ascii="Times New Roman" w:hAnsi="Times New Roman" w:eastAsia="仿宋_GB2312" w:cs="Times New Roman"/>
                <w:color w:val="auto"/>
                <w:szCs w:val="21"/>
                <w:highlight w:val="none"/>
                <w:lang w:val="en-US" w:eastAsia="zh-CN"/>
              </w:rPr>
            </w:pPr>
          </w:p>
          <w:p w14:paraId="38CEB58D">
            <w:pPr>
              <w:widowControl/>
              <w:jc w:val="center"/>
              <w:textAlignment w:val="center"/>
              <w:rPr>
                <w:rFonts w:hint="eastAsia" w:ascii="Times New Roman" w:hAnsi="Times New Roman" w:eastAsia="仿宋_GB2312" w:cs="Times New Roman"/>
                <w:color w:val="auto"/>
                <w:szCs w:val="21"/>
                <w:highlight w:val="none"/>
                <w:lang w:val="en-US" w:eastAsia="zh-CN"/>
              </w:rPr>
            </w:pPr>
          </w:p>
          <w:p w14:paraId="1FBBF88E">
            <w:pPr>
              <w:widowControl/>
              <w:jc w:val="center"/>
              <w:textAlignment w:val="center"/>
              <w:rPr>
                <w:rFonts w:hint="eastAsia" w:ascii="Times New Roman" w:hAnsi="Times New Roman" w:eastAsia="仿宋_GB2312" w:cs="Times New Roman"/>
                <w:color w:val="auto"/>
                <w:szCs w:val="21"/>
                <w:highlight w:val="none"/>
                <w:lang w:val="en-US" w:eastAsia="zh-CN"/>
              </w:rPr>
            </w:pPr>
          </w:p>
          <w:p w14:paraId="5C9D6078">
            <w:pPr>
              <w:widowControl/>
              <w:jc w:val="center"/>
              <w:textAlignment w:val="center"/>
              <w:rPr>
                <w:rFonts w:hint="eastAsia" w:ascii="Times New Roman" w:hAnsi="Times New Roman" w:eastAsia="仿宋_GB2312" w:cs="Times New Roman"/>
                <w:color w:val="auto"/>
                <w:szCs w:val="21"/>
                <w:highlight w:val="none"/>
                <w:lang w:val="en-US" w:eastAsia="zh-CN"/>
              </w:rPr>
            </w:pPr>
          </w:p>
          <w:p w14:paraId="1A4F1A51">
            <w:pPr>
              <w:widowControl/>
              <w:jc w:val="center"/>
              <w:textAlignment w:val="center"/>
              <w:rPr>
                <w:rFonts w:hint="eastAsia" w:ascii="Times New Roman" w:hAnsi="Times New Roman" w:eastAsia="仿宋_GB2312" w:cs="Times New Roman"/>
                <w:color w:val="auto"/>
                <w:szCs w:val="21"/>
                <w:highlight w:val="none"/>
                <w:lang w:val="en-US" w:eastAsia="zh-CN"/>
              </w:rPr>
            </w:pPr>
          </w:p>
          <w:p w14:paraId="7DF3C66E">
            <w:pPr>
              <w:widowControl/>
              <w:jc w:val="center"/>
              <w:textAlignment w:val="center"/>
              <w:rPr>
                <w:rFonts w:hint="eastAsia" w:ascii="Times New Roman" w:hAnsi="Times New Roman" w:eastAsia="仿宋_GB2312" w:cs="Times New Roman"/>
                <w:color w:val="auto"/>
                <w:szCs w:val="21"/>
                <w:highlight w:val="none"/>
                <w:lang w:val="en-US" w:eastAsia="zh-CN"/>
              </w:rPr>
            </w:pPr>
          </w:p>
          <w:p w14:paraId="617782C8">
            <w:pPr>
              <w:widowControl/>
              <w:jc w:val="center"/>
              <w:textAlignment w:val="center"/>
              <w:rPr>
                <w:rFonts w:hint="eastAsia" w:ascii="Times New Roman" w:hAnsi="Times New Roman" w:eastAsia="仿宋_GB2312" w:cs="Times New Roman"/>
                <w:color w:val="auto"/>
                <w:szCs w:val="21"/>
                <w:highlight w:val="none"/>
                <w:lang w:val="en-US" w:eastAsia="zh-CN"/>
              </w:rPr>
            </w:pPr>
          </w:p>
          <w:p w14:paraId="4996A969">
            <w:pPr>
              <w:widowControl/>
              <w:jc w:val="center"/>
              <w:textAlignment w:val="center"/>
              <w:rPr>
                <w:rFonts w:hint="eastAsia" w:ascii="Times New Roman" w:hAnsi="Times New Roman" w:eastAsia="仿宋_GB2312" w:cs="Times New Roman"/>
                <w:color w:val="auto"/>
                <w:szCs w:val="21"/>
                <w:highlight w:val="none"/>
                <w:lang w:val="en-US" w:eastAsia="zh-CN"/>
              </w:rPr>
            </w:pPr>
          </w:p>
          <w:p w14:paraId="15DD4F5B">
            <w:pPr>
              <w:widowControl/>
              <w:jc w:val="center"/>
              <w:textAlignment w:val="center"/>
              <w:rPr>
                <w:rFonts w:hint="eastAsia" w:ascii="Times New Roman" w:hAnsi="Times New Roman" w:eastAsia="仿宋_GB2312" w:cs="Times New Roman"/>
                <w:color w:val="auto"/>
                <w:szCs w:val="21"/>
                <w:highlight w:val="none"/>
                <w:lang w:val="en-US" w:eastAsia="zh-CN"/>
              </w:rPr>
            </w:pPr>
          </w:p>
          <w:p w14:paraId="2433FA2E">
            <w:pPr>
              <w:widowControl/>
              <w:jc w:val="center"/>
              <w:textAlignment w:val="center"/>
              <w:rPr>
                <w:rFonts w:hint="eastAsia" w:ascii="Times New Roman" w:hAnsi="Times New Roman" w:eastAsia="仿宋_GB2312" w:cs="Times New Roman"/>
                <w:color w:val="auto"/>
                <w:szCs w:val="21"/>
                <w:highlight w:val="none"/>
                <w:lang w:val="en-US" w:eastAsia="zh-CN"/>
              </w:rPr>
            </w:pPr>
          </w:p>
          <w:p w14:paraId="00F7342B">
            <w:pPr>
              <w:widowControl/>
              <w:jc w:val="center"/>
              <w:textAlignment w:val="center"/>
              <w:rPr>
                <w:rFonts w:hint="eastAsia" w:ascii="Times New Roman" w:hAnsi="Times New Roman" w:eastAsia="仿宋_GB2312" w:cs="Times New Roman"/>
                <w:color w:val="auto"/>
                <w:szCs w:val="21"/>
                <w:highlight w:val="none"/>
                <w:lang w:val="en-US" w:eastAsia="zh-CN"/>
              </w:rPr>
            </w:pPr>
          </w:p>
          <w:p w14:paraId="37A80CC1">
            <w:pPr>
              <w:widowControl/>
              <w:jc w:val="center"/>
              <w:textAlignment w:val="center"/>
              <w:rPr>
                <w:rFonts w:hint="eastAsia" w:ascii="Times New Roman" w:hAnsi="Times New Roman" w:eastAsia="仿宋_GB2312" w:cs="Times New Roman"/>
                <w:color w:val="auto"/>
                <w:szCs w:val="21"/>
                <w:highlight w:val="none"/>
                <w:lang w:val="en-US" w:eastAsia="zh-CN"/>
              </w:rPr>
            </w:pPr>
          </w:p>
          <w:p w14:paraId="62B6B28E">
            <w:pPr>
              <w:widowControl/>
              <w:jc w:val="center"/>
              <w:textAlignment w:val="center"/>
              <w:rPr>
                <w:rFonts w:hint="eastAsia" w:ascii="Times New Roman" w:hAnsi="Times New Roman" w:eastAsia="仿宋_GB2312" w:cs="Times New Roman"/>
                <w:color w:val="auto"/>
                <w:szCs w:val="21"/>
                <w:highlight w:val="none"/>
                <w:lang w:val="en-US" w:eastAsia="zh-CN"/>
              </w:rPr>
            </w:pPr>
          </w:p>
          <w:p w14:paraId="07763DEF">
            <w:pPr>
              <w:widowControl/>
              <w:jc w:val="center"/>
              <w:textAlignment w:val="center"/>
              <w:rPr>
                <w:rFonts w:hint="eastAsia" w:ascii="Times New Roman" w:hAnsi="Times New Roman" w:eastAsia="仿宋_GB2312" w:cs="Times New Roman"/>
                <w:color w:val="auto"/>
                <w:szCs w:val="21"/>
                <w:highlight w:val="none"/>
                <w:lang w:val="en-US" w:eastAsia="zh-CN"/>
              </w:rPr>
            </w:pPr>
          </w:p>
          <w:p w14:paraId="7014CA99">
            <w:pPr>
              <w:widowControl/>
              <w:jc w:val="center"/>
              <w:textAlignment w:val="center"/>
              <w:rPr>
                <w:rFonts w:hint="eastAsia" w:ascii="Times New Roman" w:hAnsi="Times New Roman" w:eastAsia="仿宋_GB2312" w:cs="Times New Roman"/>
                <w:color w:val="auto"/>
                <w:szCs w:val="21"/>
                <w:highlight w:val="none"/>
                <w:lang w:val="en-US" w:eastAsia="zh-CN"/>
              </w:rPr>
            </w:pPr>
          </w:p>
          <w:p w14:paraId="317944F8">
            <w:pPr>
              <w:widowControl/>
              <w:jc w:val="center"/>
              <w:textAlignment w:val="center"/>
              <w:rPr>
                <w:rFonts w:hint="eastAsia" w:ascii="Times New Roman" w:hAnsi="Times New Roman" w:eastAsia="仿宋_GB2312" w:cs="Times New Roman"/>
                <w:color w:val="auto"/>
                <w:szCs w:val="21"/>
                <w:highlight w:val="none"/>
                <w:lang w:val="en-US" w:eastAsia="zh-CN"/>
              </w:rPr>
            </w:pPr>
          </w:p>
          <w:p w14:paraId="5ABDDEC2">
            <w:pPr>
              <w:widowControl/>
              <w:jc w:val="center"/>
              <w:textAlignment w:val="center"/>
              <w:rPr>
                <w:rFonts w:hint="eastAsia" w:ascii="Times New Roman" w:hAnsi="Times New Roman" w:eastAsia="仿宋_GB2312" w:cs="Times New Roman"/>
                <w:color w:val="auto"/>
                <w:szCs w:val="21"/>
                <w:highlight w:val="none"/>
                <w:lang w:val="en-US" w:eastAsia="zh-CN"/>
              </w:rPr>
            </w:pPr>
          </w:p>
          <w:p w14:paraId="551B2A37">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蔬菜</w:t>
            </w:r>
          </w:p>
          <w:p w14:paraId="0268D139">
            <w:pPr>
              <w:widowControl/>
              <w:jc w:val="center"/>
              <w:textAlignment w:val="center"/>
              <w:rPr>
                <w:rFonts w:hint="eastAsia" w:ascii="Times New Roman" w:hAnsi="Times New Roman" w:eastAsia="仿宋_GB2312" w:cs="Times New Roman"/>
                <w:color w:val="auto"/>
                <w:szCs w:val="21"/>
                <w:highlight w:val="none"/>
                <w:lang w:val="en-US" w:eastAsia="zh-CN"/>
              </w:rPr>
            </w:pPr>
          </w:p>
          <w:p w14:paraId="7434AC6C">
            <w:pPr>
              <w:widowControl/>
              <w:jc w:val="center"/>
              <w:textAlignment w:val="center"/>
              <w:rPr>
                <w:rFonts w:hint="eastAsia" w:ascii="Times New Roman" w:hAnsi="Times New Roman" w:eastAsia="仿宋_GB2312" w:cs="Times New Roman"/>
                <w:color w:val="auto"/>
                <w:szCs w:val="21"/>
                <w:highlight w:val="none"/>
                <w:lang w:val="en-US" w:eastAsia="zh-CN"/>
              </w:rPr>
            </w:pPr>
          </w:p>
          <w:p w14:paraId="3CC461F3">
            <w:pPr>
              <w:widowControl/>
              <w:jc w:val="center"/>
              <w:textAlignment w:val="center"/>
              <w:rPr>
                <w:rFonts w:hint="eastAsia" w:ascii="Times New Roman" w:hAnsi="Times New Roman" w:eastAsia="仿宋_GB2312" w:cs="Times New Roman"/>
                <w:color w:val="auto"/>
                <w:szCs w:val="21"/>
                <w:highlight w:val="none"/>
                <w:lang w:val="en-US" w:eastAsia="zh-CN"/>
              </w:rPr>
            </w:pPr>
          </w:p>
          <w:p w14:paraId="520E8877">
            <w:pPr>
              <w:widowControl/>
              <w:jc w:val="center"/>
              <w:textAlignment w:val="center"/>
              <w:rPr>
                <w:rFonts w:hint="eastAsia" w:ascii="Times New Roman" w:hAnsi="Times New Roman" w:eastAsia="仿宋_GB2312" w:cs="Times New Roman"/>
                <w:color w:val="auto"/>
                <w:szCs w:val="21"/>
                <w:highlight w:val="none"/>
                <w:lang w:val="en-US" w:eastAsia="zh-CN"/>
              </w:rPr>
            </w:pPr>
          </w:p>
          <w:p w14:paraId="5C20E239">
            <w:pPr>
              <w:widowControl/>
              <w:jc w:val="center"/>
              <w:textAlignment w:val="center"/>
              <w:rPr>
                <w:rFonts w:hint="eastAsia" w:ascii="Times New Roman" w:hAnsi="Times New Roman" w:eastAsia="仿宋_GB2312" w:cs="Times New Roman"/>
                <w:color w:val="auto"/>
                <w:szCs w:val="21"/>
                <w:highlight w:val="none"/>
                <w:lang w:val="en-US" w:eastAsia="zh-CN"/>
              </w:rPr>
            </w:pPr>
          </w:p>
          <w:p w14:paraId="5A5B45FA">
            <w:pPr>
              <w:widowControl/>
              <w:jc w:val="center"/>
              <w:textAlignment w:val="center"/>
              <w:rPr>
                <w:rFonts w:hint="eastAsia" w:ascii="Times New Roman" w:hAnsi="Times New Roman" w:eastAsia="仿宋_GB2312" w:cs="Times New Roman"/>
                <w:color w:val="auto"/>
                <w:szCs w:val="21"/>
                <w:highlight w:val="none"/>
                <w:lang w:val="en-US" w:eastAsia="zh-CN"/>
              </w:rPr>
            </w:pPr>
          </w:p>
          <w:p w14:paraId="04A8AA15">
            <w:pPr>
              <w:widowControl/>
              <w:jc w:val="center"/>
              <w:textAlignment w:val="center"/>
              <w:rPr>
                <w:rFonts w:hint="eastAsia" w:ascii="Times New Roman" w:hAnsi="Times New Roman" w:eastAsia="仿宋_GB2312" w:cs="Times New Roman"/>
                <w:color w:val="auto"/>
                <w:szCs w:val="21"/>
                <w:highlight w:val="none"/>
                <w:lang w:val="en-US" w:eastAsia="zh-CN"/>
              </w:rPr>
            </w:pPr>
          </w:p>
          <w:p w14:paraId="77801187">
            <w:pPr>
              <w:widowControl/>
              <w:jc w:val="center"/>
              <w:textAlignment w:val="center"/>
              <w:rPr>
                <w:rFonts w:hint="eastAsia" w:ascii="Times New Roman" w:hAnsi="Times New Roman" w:eastAsia="仿宋_GB2312" w:cs="Times New Roman"/>
                <w:color w:val="auto"/>
                <w:szCs w:val="21"/>
                <w:highlight w:val="none"/>
                <w:lang w:val="en-US" w:eastAsia="zh-CN"/>
              </w:rPr>
            </w:pPr>
          </w:p>
          <w:p w14:paraId="2D500763">
            <w:pPr>
              <w:widowControl/>
              <w:jc w:val="center"/>
              <w:textAlignment w:val="center"/>
              <w:rPr>
                <w:rFonts w:hint="eastAsia" w:ascii="Times New Roman" w:hAnsi="Times New Roman" w:eastAsia="仿宋_GB2312" w:cs="Times New Roman"/>
                <w:color w:val="auto"/>
                <w:szCs w:val="21"/>
                <w:highlight w:val="none"/>
                <w:lang w:val="en-US" w:eastAsia="zh-CN"/>
              </w:rPr>
            </w:pPr>
          </w:p>
          <w:p w14:paraId="47EA2C9A">
            <w:pPr>
              <w:widowControl/>
              <w:jc w:val="center"/>
              <w:textAlignment w:val="center"/>
              <w:rPr>
                <w:rFonts w:hint="eastAsia" w:ascii="Times New Roman" w:hAnsi="Times New Roman" w:eastAsia="仿宋_GB2312" w:cs="Times New Roman"/>
                <w:color w:val="auto"/>
                <w:szCs w:val="21"/>
                <w:highlight w:val="none"/>
                <w:lang w:val="en-US" w:eastAsia="zh-CN"/>
              </w:rPr>
            </w:pPr>
          </w:p>
          <w:p w14:paraId="48576EFF">
            <w:pPr>
              <w:widowControl/>
              <w:jc w:val="center"/>
              <w:textAlignment w:val="center"/>
              <w:rPr>
                <w:rFonts w:hint="eastAsia" w:ascii="Times New Roman" w:hAnsi="Times New Roman" w:eastAsia="仿宋_GB2312" w:cs="Times New Roman"/>
                <w:color w:val="auto"/>
                <w:szCs w:val="21"/>
                <w:highlight w:val="none"/>
                <w:lang w:val="en-US" w:eastAsia="zh-CN"/>
              </w:rPr>
            </w:pPr>
          </w:p>
          <w:p w14:paraId="2DD5924B">
            <w:pPr>
              <w:widowControl/>
              <w:jc w:val="center"/>
              <w:textAlignment w:val="center"/>
              <w:rPr>
                <w:rFonts w:hint="eastAsia" w:ascii="Times New Roman" w:hAnsi="Times New Roman" w:eastAsia="仿宋_GB2312" w:cs="Times New Roman"/>
                <w:color w:val="auto"/>
                <w:szCs w:val="21"/>
                <w:highlight w:val="none"/>
                <w:lang w:val="en-US" w:eastAsia="zh-CN"/>
              </w:rPr>
            </w:pPr>
          </w:p>
          <w:p w14:paraId="0806492D">
            <w:pPr>
              <w:widowControl/>
              <w:jc w:val="center"/>
              <w:textAlignment w:val="center"/>
              <w:rPr>
                <w:rFonts w:hint="eastAsia" w:ascii="Times New Roman" w:hAnsi="Times New Roman" w:eastAsia="仿宋_GB2312" w:cs="Times New Roman"/>
                <w:color w:val="auto"/>
                <w:szCs w:val="21"/>
                <w:highlight w:val="none"/>
                <w:lang w:val="en-US" w:eastAsia="zh-CN"/>
              </w:rPr>
            </w:pPr>
          </w:p>
          <w:p w14:paraId="6CE04655">
            <w:pPr>
              <w:widowControl/>
              <w:jc w:val="center"/>
              <w:textAlignment w:val="center"/>
              <w:rPr>
                <w:rFonts w:hint="eastAsia" w:ascii="Times New Roman" w:hAnsi="Times New Roman" w:eastAsia="仿宋_GB2312" w:cs="Times New Roman"/>
                <w:color w:val="auto"/>
                <w:szCs w:val="21"/>
                <w:highlight w:val="none"/>
                <w:lang w:val="en-US" w:eastAsia="zh-CN"/>
              </w:rPr>
            </w:pPr>
          </w:p>
          <w:p w14:paraId="5BDE31F0">
            <w:pPr>
              <w:widowControl/>
              <w:jc w:val="center"/>
              <w:textAlignment w:val="center"/>
              <w:rPr>
                <w:rFonts w:hint="eastAsia" w:ascii="Times New Roman" w:hAnsi="Times New Roman" w:eastAsia="仿宋_GB2312" w:cs="Times New Roman"/>
                <w:color w:val="auto"/>
                <w:szCs w:val="21"/>
                <w:highlight w:val="none"/>
                <w:lang w:val="en-US" w:eastAsia="zh-CN"/>
              </w:rPr>
            </w:pPr>
          </w:p>
          <w:p w14:paraId="6E03EE77">
            <w:pPr>
              <w:widowControl/>
              <w:jc w:val="center"/>
              <w:textAlignment w:val="center"/>
              <w:rPr>
                <w:rFonts w:hint="eastAsia" w:ascii="Times New Roman" w:hAnsi="Times New Roman" w:eastAsia="仿宋_GB2312" w:cs="Times New Roman"/>
                <w:color w:val="auto"/>
                <w:szCs w:val="21"/>
                <w:highlight w:val="none"/>
                <w:lang w:val="en-US" w:eastAsia="zh-CN"/>
              </w:rPr>
            </w:pPr>
          </w:p>
          <w:p w14:paraId="7A25E446">
            <w:pPr>
              <w:widowControl/>
              <w:jc w:val="center"/>
              <w:textAlignment w:val="center"/>
              <w:rPr>
                <w:rFonts w:hint="eastAsia" w:ascii="Times New Roman" w:hAnsi="Times New Roman" w:eastAsia="仿宋_GB2312" w:cs="Times New Roman"/>
                <w:color w:val="auto"/>
                <w:szCs w:val="21"/>
                <w:highlight w:val="none"/>
                <w:lang w:val="en-US" w:eastAsia="zh-CN"/>
              </w:rPr>
            </w:pPr>
          </w:p>
          <w:p w14:paraId="0627C3B8">
            <w:pPr>
              <w:widowControl/>
              <w:jc w:val="center"/>
              <w:textAlignment w:val="center"/>
              <w:rPr>
                <w:rFonts w:hint="eastAsia" w:ascii="Times New Roman" w:hAnsi="Times New Roman" w:eastAsia="仿宋_GB2312" w:cs="Times New Roman"/>
                <w:color w:val="auto"/>
                <w:szCs w:val="21"/>
                <w:highlight w:val="none"/>
                <w:lang w:val="en-US" w:eastAsia="zh-CN"/>
              </w:rPr>
            </w:pPr>
          </w:p>
          <w:p w14:paraId="5DFAB5DA">
            <w:pPr>
              <w:widowControl/>
              <w:jc w:val="center"/>
              <w:textAlignment w:val="center"/>
              <w:rPr>
                <w:rFonts w:hint="eastAsia" w:ascii="Times New Roman" w:hAnsi="Times New Roman" w:eastAsia="仿宋_GB2312" w:cs="Times New Roman"/>
                <w:color w:val="auto"/>
                <w:szCs w:val="21"/>
                <w:highlight w:val="none"/>
                <w:lang w:val="en-US" w:eastAsia="zh-CN"/>
              </w:rPr>
            </w:pPr>
          </w:p>
          <w:p w14:paraId="15DC41CF">
            <w:pPr>
              <w:widowControl/>
              <w:jc w:val="center"/>
              <w:textAlignment w:val="center"/>
              <w:rPr>
                <w:rFonts w:hint="eastAsia" w:ascii="Times New Roman" w:hAnsi="Times New Roman" w:eastAsia="仿宋_GB2312" w:cs="Times New Roman"/>
                <w:color w:val="auto"/>
                <w:szCs w:val="21"/>
                <w:highlight w:val="none"/>
                <w:lang w:val="en-US" w:eastAsia="zh-CN"/>
              </w:rPr>
            </w:pPr>
          </w:p>
          <w:p w14:paraId="41D74C6D">
            <w:pPr>
              <w:widowControl/>
              <w:jc w:val="center"/>
              <w:textAlignment w:val="center"/>
              <w:rPr>
                <w:rFonts w:hint="eastAsia" w:ascii="Times New Roman" w:hAnsi="Times New Roman" w:eastAsia="仿宋_GB2312" w:cs="Times New Roman"/>
                <w:color w:val="auto"/>
                <w:szCs w:val="21"/>
                <w:highlight w:val="none"/>
                <w:lang w:val="en-US" w:eastAsia="zh-CN"/>
              </w:rPr>
            </w:pPr>
          </w:p>
          <w:p w14:paraId="05E6663A">
            <w:pPr>
              <w:widowControl/>
              <w:jc w:val="center"/>
              <w:textAlignment w:val="center"/>
              <w:rPr>
                <w:rFonts w:hint="eastAsia" w:ascii="Times New Roman" w:hAnsi="Times New Roman" w:eastAsia="仿宋_GB2312" w:cs="Times New Roman"/>
                <w:color w:val="auto"/>
                <w:szCs w:val="21"/>
                <w:highlight w:val="none"/>
                <w:lang w:val="en-US" w:eastAsia="zh-CN"/>
              </w:rPr>
            </w:pPr>
          </w:p>
          <w:p w14:paraId="2A965075">
            <w:pPr>
              <w:widowControl/>
              <w:jc w:val="center"/>
              <w:textAlignment w:val="center"/>
              <w:rPr>
                <w:rFonts w:hint="eastAsia" w:ascii="Times New Roman" w:hAnsi="Times New Roman" w:eastAsia="仿宋_GB2312" w:cs="Times New Roman"/>
                <w:color w:val="auto"/>
                <w:szCs w:val="21"/>
                <w:highlight w:val="none"/>
                <w:lang w:val="en-US" w:eastAsia="zh-CN"/>
              </w:rPr>
            </w:pPr>
          </w:p>
          <w:p w14:paraId="526F1244">
            <w:pPr>
              <w:widowControl/>
              <w:jc w:val="center"/>
              <w:textAlignment w:val="center"/>
              <w:rPr>
                <w:rFonts w:hint="eastAsia" w:ascii="Times New Roman" w:hAnsi="Times New Roman" w:eastAsia="仿宋_GB2312" w:cs="Times New Roman"/>
                <w:color w:val="auto"/>
                <w:szCs w:val="21"/>
                <w:highlight w:val="none"/>
                <w:lang w:val="en-US" w:eastAsia="zh-CN"/>
              </w:rPr>
            </w:pPr>
          </w:p>
          <w:p w14:paraId="72724D4F">
            <w:pPr>
              <w:widowControl/>
              <w:jc w:val="center"/>
              <w:textAlignment w:val="center"/>
              <w:rPr>
                <w:rFonts w:hint="eastAsia" w:ascii="Times New Roman" w:hAnsi="Times New Roman" w:eastAsia="仿宋_GB2312" w:cs="Times New Roman"/>
                <w:color w:val="auto"/>
                <w:szCs w:val="21"/>
                <w:highlight w:val="none"/>
                <w:lang w:val="en-US" w:eastAsia="zh-CN"/>
              </w:rPr>
            </w:pPr>
          </w:p>
          <w:p w14:paraId="583BACC1">
            <w:pPr>
              <w:widowControl/>
              <w:jc w:val="center"/>
              <w:textAlignment w:val="center"/>
              <w:rPr>
                <w:rFonts w:hint="eastAsia" w:ascii="Times New Roman" w:hAnsi="Times New Roman" w:eastAsia="仿宋_GB2312" w:cs="Times New Roman"/>
                <w:color w:val="auto"/>
                <w:szCs w:val="21"/>
                <w:highlight w:val="none"/>
                <w:lang w:val="en-US" w:eastAsia="zh-CN"/>
              </w:rPr>
            </w:pPr>
          </w:p>
          <w:p w14:paraId="09182C18">
            <w:pPr>
              <w:widowControl/>
              <w:jc w:val="center"/>
              <w:textAlignment w:val="center"/>
              <w:rPr>
                <w:rFonts w:hint="eastAsia" w:ascii="Times New Roman" w:hAnsi="Times New Roman" w:eastAsia="仿宋_GB2312" w:cs="Times New Roman"/>
                <w:color w:val="auto"/>
                <w:szCs w:val="21"/>
                <w:highlight w:val="none"/>
                <w:lang w:val="en-US" w:eastAsia="zh-CN"/>
              </w:rPr>
            </w:pPr>
          </w:p>
          <w:p w14:paraId="59639D19">
            <w:pPr>
              <w:widowControl/>
              <w:jc w:val="center"/>
              <w:textAlignment w:val="center"/>
              <w:rPr>
                <w:rFonts w:hint="eastAsia" w:ascii="Times New Roman" w:hAnsi="Times New Roman" w:eastAsia="仿宋_GB2312" w:cs="Times New Roman"/>
                <w:color w:val="auto"/>
                <w:szCs w:val="21"/>
                <w:highlight w:val="none"/>
                <w:lang w:val="en-US" w:eastAsia="zh-CN"/>
              </w:rPr>
            </w:pPr>
          </w:p>
          <w:p w14:paraId="355F6A17">
            <w:pPr>
              <w:widowControl/>
              <w:jc w:val="center"/>
              <w:textAlignment w:val="center"/>
              <w:rPr>
                <w:rFonts w:hint="eastAsia" w:ascii="Times New Roman" w:hAnsi="Times New Roman" w:eastAsia="仿宋_GB2312" w:cs="Times New Roman"/>
                <w:color w:val="auto"/>
                <w:szCs w:val="21"/>
                <w:highlight w:val="none"/>
                <w:lang w:val="en-US" w:eastAsia="zh-CN"/>
              </w:rPr>
            </w:pPr>
          </w:p>
          <w:p w14:paraId="74736CF3">
            <w:pPr>
              <w:widowControl/>
              <w:jc w:val="center"/>
              <w:textAlignment w:val="center"/>
              <w:rPr>
                <w:rFonts w:hint="eastAsia" w:ascii="Times New Roman" w:hAnsi="Times New Roman" w:eastAsia="仿宋_GB2312" w:cs="Times New Roman"/>
                <w:color w:val="auto"/>
                <w:szCs w:val="21"/>
                <w:highlight w:val="none"/>
                <w:lang w:val="en-US" w:eastAsia="zh-CN"/>
              </w:rPr>
            </w:pPr>
          </w:p>
          <w:p w14:paraId="1F732706">
            <w:pPr>
              <w:widowControl/>
              <w:jc w:val="center"/>
              <w:textAlignment w:val="center"/>
              <w:rPr>
                <w:rFonts w:hint="default"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蔬菜</w:t>
            </w:r>
          </w:p>
        </w:tc>
        <w:tc>
          <w:tcPr>
            <w:tcW w:w="274" w:type="pct"/>
            <w:noWrap w:val="0"/>
            <w:vAlign w:val="center"/>
          </w:tcPr>
          <w:p w14:paraId="45CB1478">
            <w:pPr>
              <w:widowControl/>
              <w:jc w:val="center"/>
              <w:textAlignment w:val="center"/>
              <w:rPr>
                <w:rFonts w:hint="eastAsia" w:ascii="Times New Roman" w:hAnsi="Times New Roman" w:eastAsia="仿宋_GB2312" w:cs="Times New Roman"/>
                <w:color w:val="auto"/>
                <w:szCs w:val="21"/>
                <w:highlight w:val="none"/>
                <w:lang w:eastAsia="zh-CN"/>
              </w:rPr>
            </w:pPr>
            <w:r>
              <w:rPr>
                <w:rFonts w:hint="eastAsia" w:ascii="Times New Roman" w:hAnsi="Times New Roman" w:eastAsia="仿宋_GB2312" w:cs="Times New Roman"/>
                <w:color w:val="auto"/>
                <w:szCs w:val="21"/>
                <w:highlight w:val="none"/>
                <w:lang w:eastAsia="zh-CN"/>
              </w:rPr>
              <w:t>豆芽</w:t>
            </w:r>
          </w:p>
        </w:tc>
        <w:tc>
          <w:tcPr>
            <w:tcW w:w="391" w:type="pct"/>
            <w:noWrap w:val="0"/>
            <w:vAlign w:val="center"/>
          </w:tcPr>
          <w:p w14:paraId="51EC57D3">
            <w:pPr>
              <w:widowControl/>
              <w:jc w:val="center"/>
              <w:textAlignment w:val="center"/>
              <w:rPr>
                <w:rFonts w:hint="default"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eastAsia="zh-CN"/>
              </w:rPr>
              <w:t>豆芽</w:t>
            </w:r>
            <w:r>
              <w:rPr>
                <w:rFonts w:hint="eastAsia" w:ascii="Times New Roman" w:hAnsi="Times New Roman" w:eastAsia="仿宋_GB2312" w:cs="Times New Roman"/>
                <w:color w:val="auto"/>
                <w:szCs w:val="21"/>
                <w:highlight w:val="none"/>
                <w:lang w:val="en-US" w:eastAsia="zh-CN"/>
              </w:rPr>
              <w:t>*</w:t>
            </w:r>
          </w:p>
        </w:tc>
        <w:tc>
          <w:tcPr>
            <w:tcW w:w="257" w:type="pct"/>
            <w:noWrap w:val="0"/>
            <w:vAlign w:val="center"/>
          </w:tcPr>
          <w:p w14:paraId="78458B4E">
            <w:pPr>
              <w:widowControl/>
              <w:jc w:val="center"/>
              <w:textAlignment w:val="center"/>
              <w:rPr>
                <w:rFonts w:hint="eastAsia" w:ascii="Times New Roman" w:hAnsi="Times New Roman" w:eastAsia="仿宋_GB2312" w:cs="Times New Roman"/>
                <w:color w:val="auto"/>
                <w:szCs w:val="21"/>
                <w:highlight w:val="none"/>
                <w:lang w:eastAsia="zh-CN"/>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1CD66F45">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4 -氯苯氧乙酸钠（以4 -氯苯氧乙酸计）、6 -苄基腺嘌呤（6-BA）、亚硫酸盐（以SO</w:t>
            </w:r>
            <w:r>
              <w:rPr>
                <w:rFonts w:hint="default" w:ascii="Times New Roman" w:hAnsi="Times New Roman" w:eastAsia="仿宋_GB2312" w:cs="Times New Roman"/>
                <w:color w:val="auto"/>
                <w:szCs w:val="21"/>
                <w:highlight w:val="none"/>
                <w:vertAlign w:val="subscript"/>
                <w:lang w:val="en-US" w:eastAsia="zh-CN"/>
              </w:rPr>
              <w:t>2</w:t>
            </w:r>
            <w:r>
              <w:rPr>
                <w:rFonts w:hint="default" w:ascii="Times New Roman" w:hAnsi="Times New Roman" w:eastAsia="仿宋_GB2312" w:cs="Times New Roman"/>
                <w:color w:val="auto"/>
                <w:szCs w:val="21"/>
                <w:highlight w:val="none"/>
                <w:lang w:val="en-US" w:eastAsia="zh-CN"/>
              </w:rPr>
              <w:t>计）、总汞（以Hg计）</w:t>
            </w:r>
          </w:p>
        </w:tc>
        <w:tc>
          <w:tcPr>
            <w:tcW w:w="1190" w:type="pct"/>
            <w:noWrap w:val="0"/>
            <w:vAlign w:val="center"/>
          </w:tcPr>
          <w:p w14:paraId="71667DA9">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铅（以Pb计）</w:t>
            </w:r>
          </w:p>
        </w:tc>
      </w:tr>
      <w:tr w14:paraId="63E2B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3CAB2D06">
            <w:pPr>
              <w:widowControl/>
              <w:jc w:val="center"/>
              <w:textAlignment w:val="center"/>
              <w:rPr>
                <w:rFonts w:hint="default" w:ascii="Times New Roman" w:hAnsi="Times New Roman" w:eastAsia="仿宋_GB2312" w:cs="Times New Roman"/>
                <w:color w:val="auto"/>
                <w:szCs w:val="21"/>
                <w:highlight w:val="none"/>
                <w:lang w:val="en-US" w:eastAsia="zh-CN"/>
              </w:rPr>
            </w:pPr>
          </w:p>
        </w:tc>
        <w:tc>
          <w:tcPr>
            <w:tcW w:w="375" w:type="pct"/>
            <w:vMerge w:val="continue"/>
            <w:noWrap w:val="0"/>
            <w:vAlign w:val="center"/>
          </w:tcPr>
          <w:p w14:paraId="1BAF0EAF">
            <w:pPr>
              <w:widowControl/>
              <w:jc w:val="center"/>
              <w:textAlignment w:val="center"/>
              <w:rPr>
                <w:rFonts w:hint="default" w:ascii="Times New Roman" w:hAnsi="Times New Roman" w:eastAsia="仿宋_GB2312" w:cs="Times New Roman"/>
                <w:color w:val="auto"/>
                <w:szCs w:val="21"/>
                <w:highlight w:val="none"/>
              </w:rPr>
            </w:pPr>
          </w:p>
        </w:tc>
        <w:tc>
          <w:tcPr>
            <w:tcW w:w="315" w:type="pct"/>
            <w:vMerge w:val="continue"/>
            <w:noWrap w:val="0"/>
            <w:vAlign w:val="center"/>
          </w:tcPr>
          <w:p w14:paraId="74E70F8F">
            <w:pPr>
              <w:widowControl/>
              <w:jc w:val="center"/>
              <w:textAlignment w:val="center"/>
              <w:rPr>
                <w:rFonts w:hint="eastAsia" w:ascii="Times New Roman" w:hAnsi="Times New Roman" w:eastAsia="仿宋_GB2312" w:cs="Times New Roman"/>
                <w:color w:val="auto"/>
                <w:szCs w:val="21"/>
                <w:highlight w:val="none"/>
                <w:lang w:eastAsia="zh-CN"/>
              </w:rPr>
            </w:pPr>
          </w:p>
        </w:tc>
        <w:tc>
          <w:tcPr>
            <w:tcW w:w="274" w:type="pct"/>
            <w:vMerge w:val="restart"/>
            <w:noWrap w:val="0"/>
            <w:vAlign w:val="center"/>
          </w:tcPr>
          <w:p w14:paraId="64161708">
            <w:pPr>
              <w:widowControl/>
              <w:jc w:val="center"/>
              <w:textAlignment w:val="center"/>
              <w:rPr>
                <w:rFonts w:hint="eastAsia" w:ascii="Times New Roman" w:hAnsi="Times New Roman" w:eastAsia="仿宋_GB2312" w:cs="Times New Roman"/>
                <w:color w:val="auto"/>
                <w:szCs w:val="21"/>
                <w:highlight w:val="none"/>
                <w:lang w:eastAsia="zh-CN"/>
              </w:rPr>
            </w:pPr>
            <w:r>
              <w:rPr>
                <w:rFonts w:hint="eastAsia" w:ascii="Times New Roman" w:hAnsi="Times New Roman" w:eastAsia="仿宋_GB2312" w:cs="Times New Roman"/>
                <w:color w:val="auto"/>
                <w:szCs w:val="21"/>
                <w:highlight w:val="none"/>
                <w:lang w:eastAsia="zh-CN"/>
              </w:rPr>
              <w:t>鳞茎类蔬菜</w:t>
            </w:r>
          </w:p>
        </w:tc>
        <w:tc>
          <w:tcPr>
            <w:tcW w:w="391" w:type="pct"/>
            <w:noWrap w:val="0"/>
            <w:vAlign w:val="center"/>
          </w:tcPr>
          <w:p w14:paraId="0E2A5822">
            <w:pPr>
              <w:widowControl/>
              <w:jc w:val="center"/>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葱*</w:t>
            </w:r>
          </w:p>
        </w:tc>
        <w:tc>
          <w:tcPr>
            <w:tcW w:w="257" w:type="pct"/>
            <w:noWrap w:val="0"/>
            <w:vAlign w:val="center"/>
          </w:tcPr>
          <w:p w14:paraId="1978130F">
            <w:pPr>
              <w:widowControl/>
              <w:jc w:val="center"/>
              <w:textAlignment w:val="center"/>
              <w:rPr>
                <w:rFonts w:hint="default" w:ascii="Times New Roman" w:hAnsi="Times New Roman" w:eastAsia="仿宋_GB2312" w:cs="Times New Roman"/>
                <w:color w:val="auto"/>
                <w:szCs w:val="21"/>
                <w:highlight w:val="none"/>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66929DCB">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噻虫嗪、丙环唑、戊唑醇、镉（以Cd计）、毒死蜱、氯氟氰菊酯和高效氯氟氰菊酯</w:t>
            </w:r>
          </w:p>
        </w:tc>
        <w:tc>
          <w:tcPr>
            <w:tcW w:w="1190" w:type="pct"/>
            <w:noWrap w:val="0"/>
            <w:vAlign w:val="center"/>
          </w:tcPr>
          <w:p w14:paraId="71EA6C1E">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氟虫腈、 甲基异柳磷、克百威、乐果、水胺硫磷、氧乐果</w:t>
            </w:r>
          </w:p>
        </w:tc>
      </w:tr>
      <w:tr w14:paraId="06B7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5E50D84D">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2F90E9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A9B22B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D345C3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05E74F6">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韭菜*</w:t>
            </w:r>
          </w:p>
        </w:tc>
        <w:tc>
          <w:tcPr>
            <w:tcW w:w="257" w:type="pct"/>
            <w:noWrap w:val="0"/>
            <w:vAlign w:val="center"/>
          </w:tcPr>
          <w:p w14:paraId="0C7A56B5">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1D45FDA0">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镉（以Cd计）、毒死蜱、氯氟氰菊酯和高效氯氟氰菊酯、克百威、氧乐果、乙酰甲胺磷</w:t>
            </w:r>
          </w:p>
        </w:tc>
        <w:tc>
          <w:tcPr>
            <w:tcW w:w="1190" w:type="pct"/>
            <w:noWrap w:val="0"/>
            <w:vAlign w:val="center"/>
          </w:tcPr>
          <w:p w14:paraId="60BEB8FC">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多菌灵、腐霉利</w:t>
            </w:r>
          </w:p>
        </w:tc>
      </w:tr>
      <w:tr w14:paraId="7EA0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279" w:type="pct"/>
            <w:vMerge w:val="continue"/>
            <w:noWrap w:val="0"/>
            <w:vAlign w:val="center"/>
          </w:tcPr>
          <w:p w14:paraId="6A8D778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4B7A4B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63412A8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restart"/>
            <w:noWrap w:val="0"/>
            <w:vAlign w:val="center"/>
          </w:tcPr>
          <w:p w14:paraId="45D97E7A">
            <w:pPr>
              <w:widowControl/>
              <w:jc w:val="center"/>
              <w:textAlignment w:val="center"/>
              <w:rPr>
                <w:rFonts w:ascii="FangSong_GB2312" w:hAnsi="FangSong_GB2312" w:eastAsia="FangSong_GB2312" w:cs="FangSong_GB2312"/>
                <w:color w:val="auto"/>
                <w:spacing w:val="3"/>
                <w:sz w:val="20"/>
                <w:szCs w:val="20"/>
                <w:highlight w:val="none"/>
              </w:rPr>
            </w:pPr>
          </w:p>
          <w:p w14:paraId="6C48B17A">
            <w:pPr>
              <w:widowControl/>
              <w:jc w:val="center"/>
              <w:textAlignment w:val="center"/>
              <w:rPr>
                <w:rFonts w:ascii="FangSong_GB2312" w:hAnsi="FangSong_GB2312" w:eastAsia="FangSong_GB2312" w:cs="FangSong_GB2312"/>
                <w:color w:val="auto"/>
                <w:spacing w:val="3"/>
                <w:sz w:val="20"/>
                <w:szCs w:val="20"/>
                <w:highlight w:val="none"/>
              </w:rPr>
            </w:pPr>
            <w:r>
              <w:rPr>
                <w:rFonts w:ascii="FangSong_GB2312" w:hAnsi="FangSong_GB2312" w:eastAsia="FangSong_GB2312" w:cs="FangSong_GB2312"/>
                <w:color w:val="auto"/>
                <w:spacing w:val="3"/>
                <w:sz w:val="20"/>
                <w:szCs w:val="20"/>
                <w:highlight w:val="none"/>
              </w:rPr>
              <w:t>叶菜类蔬菜</w:t>
            </w:r>
          </w:p>
          <w:p w14:paraId="2B76B5A1">
            <w:pPr>
              <w:widowControl/>
              <w:jc w:val="center"/>
              <w:textAlignment w:val="center"/>
              <w:rPr>
                <w:rFonts w:ascii="FangSong_GB2312" w:hAnsi="FangSong_GB2312" w:eastAsia="FangSong_GB2312" w:cs="FangSong_GB2312"/>
                <w:color w:val="auto"/>
                <w:spacing w:val="3"/>
                <w:sz w:val="20"/>
                <w:szCs w:val="20"/>
                <w:highlight w:val="none"/>
              </w:rPr>
            </w:pPr>
          </w:p>
          <w:p w14:paraId="2185F28C">
            <w:pPr>
              <w:widowControl/>
              <w:jc w:val="center"/>
              <w:textAlignment w:val="center"/>
              <w:rPr>
                <w:rFonts w:ascii="FangSong_GB2312" w:hAnsi="FangSong_GB2312" w:eastAsia="FangSong_GB2312" w:cs="FangSong_GB2312"/>
                <w:color w:val="auto"/>
                <w:spacing w:val="3"/>
                <w:sz w:val="20"/>
                <w:szCs w:val="20"/>
                <w:highlight w:val="none"/>
              </w:rPr>
            </w:pPr>
          </w:p>
          <w:p w14:paraId="15692BB8">
            <w:pPr>
              <w:widowControl/>
              <w:jc w:val="center"/>
              <w:textAlignment w:val="center"/>
              <w:rPr>
                <w:rFonts w:ascii="FangSong_GB2312" w:hAnsi="FangSong_GB2312" w:eastAsia="FangSong_GB2312" w:cs="FangSong_GB2312"/>
                <w:color w:val="auto"/>
                <w:spacing w:val="3"/>
                <w:sz w:val="20"/>
                <w:szCs w:val="20"/>
                <w:highlight w:val="none"/>
              </w:rPr>
            </w:pPr>
          </w:p>
          <w:p w14:paraId="67567689">
            <w:pPr>
              <w:widowControl/>
              <w:jc w:val="center"/>
              <w:textAlignment w:val="center"/>
              <w:rPr>
                <w:rFonts w:ascii="FangSong_GB2312" w:hAnsi="FangSong_GB2312" w:eastAsia="FangSong_GB2312" w:cs="FangSong_GB2312"/>
                <w:color w:val="auto"/>
                <w:spacing w:val="3"/>
                <w:sz w:val="20"/>
                <w:szCs w:val="20"/>
                <w:highlight w:val="none"/>
              </w:rPr>
            </w:pPr>
          </w:p>
          <w:p w14:paraId="790C5C8C">
            <w:pPr>
              <w:widowControl/>
              <w:jc w:val="center"/>
              <w:textAlignment w:val="center"/>
              <w:rPr>
                <w:rFonts w:ascii="FangSong_GB2312" w:hAnsi="FangSong_GB2312" w:eastAsia="FangSong_GB2312" w:cs="FangSong_GB2312"/>
                <w:color w:val="auto"/>
                <w:spacing w:val="3"/>
                <w:sz w:val="20"/>
                <w:szCs w:val="20"/>
                <w:highlight w:val="none"/>
              </w:rPr>
            </w:pPr>
          </w:p>
          <w:p w14:paraId="0332165A">
            <w:pPr>
              <w:widowControl/>
              <w:jc w:val="center"/>
              <w:textAlignment w:val="center"/>
              <w:rPr>
                <w:rFonts w:ascii="FangSong_GB2312" w:hAnsi="FangSong_GB2312" w:eastAsia="FangSong_GB2312" w:cs="FangSong_GB2312"/>
                <w:color w:val="auto"/>
                <w:spacing w:val="3"/>
                <w:sz w:val="20"/>
                <w:szCs w:val="20"/>
                <w:highlight w:val="none"/>
              </w:rPr>
            </w:pPr>
          </w:p>
          <w:p w14:paraId="315DC054">
            <w:pPr>
              <w:widowControl/>
              <w:jc w:val="center"/>
              <w:textAlignment w:val="center"/>
              <w:rPr>
                <w:rFonts w:ascii="FangSong_GB2312" w:hAnsi="FangSong_GB2312" w:eastAsia="FangSong_GB2312" w:cs="FangSong_GB2312"/>
                <w:color w:val="auto"/>
                <w:spacing w:val="3"/>
                <w:sz w:val="20"/>
                <w:szCs w:val="20"/>
                <w:highlight w:val="none"/>
              </w:rPr>
            </w:pPr>
          </w:p>
          <w:p w14:paraId="4681422A">
            <w:pPr>
              <w:widowControl/>
              <w:jc w:val="center"/>
              <w:textAlignment w:val="center"/>
              <w:rPr>
                <w:rFonts w:ascii="FangSong_GB2312" w:hAnsi="FangSong_GB2312" w:eastAsia="FangSong_GB2312" w:cs="FangSong_GB2312"/>
                <w:color w:val="auto"/>
                <w:spacing w:val="3"/>
                <w:sz w:val="20"/>
                <w:szCs w:val="20"/>
                <w:highlight w:val="none"/>
              </w:rPr>
            </w:pPr>
          </w:p>
          <w:p w14:paraId="7FBFE613">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Fonts w:ascii="FangSong_GB2312" w:hAnsi="FangSong_GB2312" w:eastAsia="FangSong_GB2312" w:cs="FangSong_GB2312"/>
                <w:color w:val="auto"/>
                <w:spacing w:val="3"/>
                <w:sz w:val="20"/>
                <w:szCs w:val="20"/>
                <w:highlight w:val="none"/>
              </w:rPr>
              <w:t>叶菜类蔬菜</w:t>
            </w:r>
          </w:p>
        </w:tc>
        <w:tc>
          <w:tcPr>
            <w:tcW w:w="391" w:type="pct"/>
            <w:noWrap w:val="0"/>
            <w:vAlign w:val="center"/>
          </w:tcPr>
          <w:p w14:paraId="070D7F60">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菠菜*</w:t>
            </w:r>
          </w:p>
        </w:tc>
        <w:tc>
          <w:tcPr>
            <w:tcW w:w="257" w:type="pct"/>
            <w:noWrap w:val="0"/>
            <w:vAlign w:val="center"/>
          </w:tcPr>
          <w:p w14:paraId="42CA478D">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77F4DA73">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毒死蜱、铬（以Cr计）、镉（以Cd计）、阿维菌素</w:t>
            </w:r>
          </w:p>
        </w:tc>
        <w:tc>
          <w:tcPr>
            <w:tcW w:w="1190" w:type="pct"/>
            <w:noWrap w:val="0"/>
            <w:vAlign w:val="center"/>
          </w:tcPr>
          <w:p w14:paraId="00823B0D">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克百威、铅（以Pb计）</w:t>
            </w:r>
          </w:p>
        </w:tc>
      </w:tr>
      <w:tr w14:paraId="6342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9" w:type="pct"/>
            <w:vMerge w:val="continue"/>
            <w:noWrap w:val="0"/>
            <w:vAlign w:val="center"/>
          </w:tcPr>
          <w:p w14:paraId="5FCAE52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406941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63C203EC">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974141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45232F2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default" w:ascii="Times New Roman" w:hAnsi="Times New Roman" w:eastAsia="仿宋_GB2312" w:cs="Times New Roman"/>
                <w:color w:val="auto"/>
                <w:sz w:val="21"/>
                <w:szCs w:val="21"/>
                <w:highlight w:val="none"/>
                <w:lang w:bidi="ar"/>
              </w:rPr>
              <w:t>大白菜</w:t>
            </w:r>
          </w:p>
        </w:tc>
        <w:tc>
          <w:tcPr>
            <w:tcW w:w="257" w:type="pct"/>
            <w:noWrap w:val="0"/>
            <w:vAlign w:val="center"/>
          </w:tcPr>
          <w:p w14:paraId="074D5C2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67286DD1">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镉（以Cd 计）、阿维菌素、氟虫腈、氯氟氰菊酯和高效氯氟氰菊酯、克百威、毒死蜱</w:t>
            </w:r>
          </w:p>
        </w:tc>
        <w:tc>
          <w:tcPr>
            <w:tcW w:w="1190" w:type="pct"/>
            <w:noWrap w:val="0"/>
            <w:vAlign w:val="center"/>
          </w:tcPr>
          <w:p w14:paraId="067BA164">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氧乐果、吡虫啉</w:t>
            </w:r>
          </w:p>
        </w:tc>
      </w:tr>
      <w:tr w14:paraId="3D5D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79" w:type="pct"/>
            <w:vMerge w:val="restart"/>
            <w:noWrap w:val="0"/>
            <w:vAlign w:val="center"/>
          </w:tcPr>
          <w:p w14:paraId="59FD0852">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2</w:t>
            </w:r>
          </w:p>
        </w:tc>
        <w:tc>
          <w:tcPr>
            <w:tcW w:w="375" w:type="pct"/>
            <w:vMerge w:val="continue"/>
            <w:noWrap w:val="0"/>
            <w:vAlign w:val="center"/>
          </w:tcPr>
          <w:p w14:paraId="33B4A5E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219BF8D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1509AF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85C573F">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普通白菜*（小白菜、小油菜、青菜）</w:t>
            </w:r>
          </w:p>
        </w:tc>
        <w:tc>
          <w:tcPr>
            <w:tcW w:w="257" w:type="pct"/>
            <w:noWrap w:val="0"/>
            <w:vAlign w:val="center"/>
          </w:tcPr>
          <w:p w14:paraId="715EA63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06E4A405">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毒死蜱、啶虫脒、氟虫腈、阿维菌素、吡虫啉</w:t>
            </w:r>
          </w:p>
        </w:tc>
        <w:tc>
          <w:tcPr>
            <w:tcW w:w="1190" w:type="pct"/>
            <w:noWrap w:val="0"/>
            <w:vAlign w:val="center"/>
          </w:tcPr>
          <w:p w14:paraId="64B50D3E">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镉（以Cd计）、氧乐果</w:t>
            </w:r>
          </w:p>
        </w:tc>
      </w:tr>
      <w:tr w14:paraId="270F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30DB95D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11AE10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F6252A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0925FFA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62CC35B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芹菜*</w:t>
            </w:r>
          </w:p>
        </w:tc>
        <w:tc>
          <w:tcPr>
            <w:tcW w:w="257" w:type="pct"/>
            <w:noWrap w:val="0"/>
            <w:vAlign w:val="center"/>
          </w:tcPr>
          <w:p w14:paraId="5B6CB7C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1349B283">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噻虫胺、毒死蜱、氧乐果、甲拌磷、噻虫嗪、氯氟氰菊酯和高效氯氟氰菊酯、辛硫磷</w:t>
            </w:r>
          </w:p>
        </w:tc>
        <w:tc>
          <w:tcPr>
            <w:tcW w:w="1190" w:type="pct"/>
            <w:noWrap w:val="0"/>
            <w:vAlign w:val="center"/>
          </w:tcPr>
          <w:p w14:paraId="3CD20A48">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铅（以Pb计）、镉（以Cd计）、阿维菌素、百菌清、啶虫脒、氟虫腈、甲基异柳磷、克百威</w:t>
            </w:r>
          </w:p>
        </w:tc>
      </w:tr>
      <w:tr w14:paraId="3064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177EE16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E4D6E2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008918A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AADCB35">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45795DFF">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叶芥菜</w:t>
            </w:r>
          </w:p>
        </w:tc>
        <w:tc>
          <w:tcPr>
            <w:tcW w:w="257" w:type="pct"/>
            <w:noWrap w:val="0"/>
            <w:vAlign w:val="center"/>
          </w:tcPr>
          <w:p w14:paraId="1699AF4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339092F3">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啶虫脒、氧乐果、氯氰菊酯和高效氯氰菊酯、联苯菊酯、阿维菌素、毒死蜱</w:t>
            </w:r>
          </w:p>
        </w:tc>
        <w:tc>
          <w:tcPr>
            <w:tcW w:w="1190" w:type="pct"/>
            <w:noWrap w:val="0"/>
            <w:vAlign w:val="center"/>
          </w:tcPr>
          <w:p w14:paraId="42436C76">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噻虫胺</w:t>
            </w:r>
          </w:p>
        </w:tc>
      </w:tr>
      <w:tr w14:paraId="48A7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2EB10F13">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42392C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515C02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3600E4E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72E2D64C">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蕹菜</w:t>
            </w:r>
          </w:p>
        </w:tc>
        <w:tc>
          <w:tcPr>
            <w:tcW w:w="257" w:type="pct"/>
            <w:noWrap w:val="0"/>
            <w:vAlign w:val="center"/>
          </w:tcPr>
          <w:p w14:paraId="0E62C444">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63A6F1DA">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氟虫腈、毒死蜱、甲氨基阿维菌素苯甲酸盐、倍硫磷、甲拌磷、氧乐果</w:t>
            </w:r>
          </w:p>
        </w:tc>
        <w:tc>
          <w:tcPr>
            <w:tcW w:w="1190" w:type="pct"/>
            <w:noWrap w:val="0"/>
            <w:vAlign w:val="center"/>
          </w:tcPr>
          <w:p w14:paraId="6A13C147">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阿维菌素</w:t>
            </w:r>
          </w:p>
        </w:tc>
      </w:tr>
      <w:tr w14:paraId="0957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279" w:type="pct"/>
            <w:vMerge w:val="continue"/>
            <w:noWrap w:val="0"/>
            <w:vAlign w:val="center"/>
          </w:tcPr>
          <w:p w14:paraId="251B117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BDE6D7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01C57D4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A28343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5CC254E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油麦菜*</w:t>
            </w:r>
          </w:p>
        </w:tc>
        <w:tc>
          <w:tcPr>
            <w:tcW w:w="257" w:type="pct"/>
            <w:noWrap w:val="0"/>
            <w:vAlign w:val="center"/>
          </w:tcPr>
          <w:p w14:paraId="5C221F5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Fonts w:hint="eastAsia" w:ascii="Times New Roman" w:hAnsi="Times New Roman" w:eastAsia="仿宋_GB2312" w:cs="Times New Roman"/>
                <w:color w:val="auto"/>
                <w:szCs w:val="21"/>
                <w:highlight w:val="none"/>
                <w:lang w:eastAsia="zh-CN"/>
              </w:rPr>
              <w:t>较高</w:t>
            </w:r>
          </w:p>
        </w:tc>
        <w:tc>
          <w:tcPr>
            <w:tcW w:w="1916" w:type="pct"/>
            <w:noWrap w:val="0"/>
            <w:vAlign w:val="center"/>
          </w:tcPr>
          <w:p w14:paraId="36822583">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阿维菌素、甲氨基阿维菌素苯甲酸盐、腈菌唑、毒死蜱</w:t>
            </w:r>
          </w:p>
        </w:tc>
        <w:tc>
          <w:tcPr>
            <w:tcW w:w="1190" w:type="pct"/>
            <w:noWrap w:val="0"/>
            <w:vAlign w:val="center"/>
          </w:tcPr>
          <w:p w14:paraId="4264709D">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氟虫腈、氧乐果、乙酰甲胺磷</w:t>
            </w:r>
          </w:p>
        </w:tc>
      </w:tr>
      <w:tr w14:paraId="134F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79" w:type="pct"/>
            <w:vMerge w:val="continue"/>
            <w:noWrap w:val="0"/>
            <w:vAlign w:val="center"/>
          </w:tcPr>
          <w:p w14:paraId="26F84D87">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757629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6AE8B92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restart"/>
            <w:noWrap w:val="0"/>
            <w:vAlign w:val="center"/>
          </w:tcPr>
          <w:p w14:paraId="56E91CA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茄果类蔬菜</w:t>
            </w:r>
          </w:p>
        </w:tc>
        <w:tc>
          <w:tcPr>
            <w:tcW w:w="391" w:type="pct"/>
            <w:noWrap w:val="0"/>
            <w:vAlign w:val="center"/>
          </w:tcPr>
          <w:p w14:paraId="7C59027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辣椒*</w:t>
            </w:r>
          </w:p>
        </w:tc>
        <w:tc>
          <w:tcPr>
            <w:tcW w:w="257" w:type="pct"/>
            <w:noWrap w:val="0"/>
            <w:vAlign w:val="center"/>
          </w:tcPr>
          <w:p w14:paraId="4651D59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88B4679">
            <w:pPr>
              <w:pStyle w:val="179"/>
              <w:spacing w:before="64" w:line="245" w:lineRule="auto"/>
              <w:ind w:right="207" w:rightChars="0"/>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噻虫胺、镉（以Cd计）、啶虫脒、毒死蜱、呋虫胺、氧乐果、噻虫嗪、倍硫磷</w:t>
            </w:r>
          </w:p>
        </w:tc>
        <w:tc>
          <w:tcPr>
            <w:tcW w:w="1190" w:type="pct"/>
            <w:noWrap w:val="0"/>
            <w:vAlign w:val="center"/>
          </w:tcPr>
          <w:p w14:paraId="7DC049B3">
            <w:pPr>
              <w:spacing w:before="211" w:line="222"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氟吡菌胺、克百威、乙酰甲胺磷</w:t>
            </w:r>
          </w:p>
        </w:tc>
      </w:tr>
      <w:tr w14:paraId="3DE7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79" w:type="pct"/>
            <w:vMerge w:val="continue"/>
            <w:noWrap w:val="0"/>
            <w:vAlign w:val="center"/>
          </w:tcPr>
          <w:p w14:paraId="3990740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661CDBB">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7715940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continue"/>
            <w:noWrap w:val="0"/>
            <w:vAlign w:val="center"/>
          </w:tcPr>
          <w:p w14:paraId="23CA336C">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91" w:type="pct"/>
            <w:noWrap w:val="0"/>
            <w:vAlign w:val="center"/>
          </w:tcPr>
          <w:p w14:paraId="26DFAC6F">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茄子*</w:t>
            </w:r>
          </w:p>
        </w:tc>
        <w:tc>
          <w:tcPr>
            <w:tcW w:w="257" w:type="pct"/>
            <w:noWrap w:val="0"/>
            <w:vAlign w:val="center"/>
          </w:tcPr>
          <w:p w14:paraId="5470EBBB">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5310B32C">
            <w:pPr>
              <w:pStyle w:val="179"/>
              <w:spacing w:before="63" w:line="245" w:lineRule="auto"/>
              <w:ind w:right="207" w:rightChars="0"/>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镉（以Cd计）、噻虫胺、噻虫嗪、氧乐果、毒死蜱</w:t>
            </w:r>
          </w:p>
        </w:tc>
        <w:tc>
          <w:tcPr>
            <w:tcW w:w="1190" w:type="pct"/>
            <w:noWrap w:val="0"/>
            <w:vAlign w:val="center"/>
          </w:tcPr>
          <w:p w14:paraId="327090FA">
            <w:pPr>
              <w:spacing w:before="211" w:line="222"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克百威、水胺硫磷</w:t>
            </w:r>
          </w:p>
        </w:tc>
      </w:tr>
      <w:tr w14:paraId="02FAA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79" w:type="pct"/>
            <w:vMerge w:val="continue"/>
            <w:noWrap w:val="0"/>
            <w:vAlign w:val="center"/>
          </w:tcPr>
          <w:p w14:paraId="5B94599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EEA083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0BF9F71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continue"/>
            <w:noWrap w:val="0"/>
            <w:vAlign w:val="center"/>
          </w:tcPr>
          <w:p w14:paraId="45675BF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91" w:type="pct"/>
            <w:noWrap w:val="0"/>
            <w:vAlign w:val="center"/>
          </w:tcPr>
          <w:p w14:paraId="740C5A81">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番茄</w:t>
            </w:r>
          </w:p>
        </w:tc>
        <w:tc>
          <w:tcPr>
            <w:tcW w:w="257" w:type="pct"/>
            <w:noWrap w:val="0"/>
            <w:vAlign w:val="center"/>
          </w:tcPr>
          <w:p w14:paraId="114A5DDC">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2C41ADE6">
            <w:pPr>
              <w:pStyle w:val="179"/>
              <w:spacing w:before="64" w:line="245" w:lineRule="auto"/>
              <w:ind w:right="250" w:rightChars="0"/>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镉（以Cd计）、毒死蜱、乙酰甲胺磷、克百威、氯氟氰菊酯和高效氯氟氰菊酯、氧乐果</w:t>
            </w:r>
          </w:p>
        </w:tc>
        <w:tc>
          <w:tcPr>
            <w:tcW w:w="1190" w:type="pct"/>
            <w:noWrap w:val="0"/>
            <w:vAlign w:val="center"/>
          </w:tcPr>
          <w:p w14:paraId="2A27A492">
            <w:pPr>
              <w:spacing w:before="214" w:line="223"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噻虫胺、啶虫脒</w:t>
            </w:r>
          </w:p>
        </w:tc>
      </w:tr>
      <w:tr w14:paraId="69ED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79" w:type="pct"/>
            <w:vMerge w:val="continue"/>
            <w:noWrap w:val="0"/>
            <w:vAlign w:val="center"/>
          </w:tcPr>
          <w:p w14:paraId="363E614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4B73F2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58142CAC">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continue"/>
            <w:noWrap w:val="0"/>
            <w:vAlign w:val="center"/>
          </w:tcPr>
          <w:p w14:paraId="3D7BDF1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91" w:type="pct"/>
            <w:noWrap w:val="0"/>
            <w:vAlign w:val="center"/>
          </w:tcPr>
          <w:p w14:paraId="57E2ADD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樱桃番茄</w:t>
            </w:r>
          </w:p>
        </w:tc>
        <w:tc>
          <w:tcPr>
            <w:tcW w:w="257" w:type="pct"/>
            <w:noWrap w:val="0"/>
            <w:vAlign w:val="center"/>
          </w:tcPr>
          <w:p w14:paraId="04F7C5B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0B807C52">
            <w:pPr>
              <w:pStyle w:val="179"/>
              <w:spacing w:before="64" w:line="245" w:lineRule="auto"/>
              <w:ind w:right="250" w:rightChars="0"/>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镉（以Cd计）、毒死蜱、乙酰甲胺磷、克百威、氯氟氰菊酯和高效氯氟氰菊酯、氧乐果</w:t>
            </w:r>
          </w:p>
        </w:tc>
        <w:tc>
          <w:tcPr>
            <w:tcW w:w="1190" w:type="pct"/>
            <w:noWrap w:val="0"/>
            <w:vAlign w:val="center"/>
          </w:tcPr>
          <w:p w14:paraId="7A9A68B7">
            <w:pPr>
              <w:spacing w:before="213" w:line="223"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噻虫胺、啶虫脒</w:t>
            </w:r>
          </w:p>
        </w:tc>
      </w:tr>
      <w:tr w14:paraId="680A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79" w:type="pct"/>
            <w:vMerge w:val="continue"/>
            <w:noWrap w:val="0"/>
            <w:vAlign w:val="center"/>
          </w:tcPr>
          <w:p w14:paraId="2D453322">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0700A2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04857E0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continue"/>
            <w:noWrap w:val="0"/>
            <w:vAlign w:val="center"/>
          </w:tcPr>
          <w:p w14:paraId="5638CF0B">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91" w:type="pct"/>
            <w:noWrap w:val="0"/>
            <w:vAlign w:val="center"/>
          </w:tcPr>
          <w:p w14:paraId="2E6FC81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甜椒*</w:t>
            </w:r>
          </w:p>
        </w:tc>
        <w:tc>
          <w:tcPr>
            <w:tcW w:w="257" w:type="pct"/>
            <w:noWrap w:val="0"/>
            <w:vAlign w:val="center"/>
          </w:tcPr>
          <w:p w14:paraId="0A1A091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38BB82A5">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噻虫胺、吡虫啉、毒死蜱、噻虫嗪</w:t>
            </w:r>
          </w:p>
        </w:tc>
        <w:tc>
          <w:tcPr>
            <w:tcW w:w="1190" w:type="pct"/>
            <w:noWrap w:val="0"/>
            <w:vAlign w:val="center"/>
          </w:tcPr>
          <w:p w14:paraId="70225DB6">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阿维菌素、氟啶虫酰胺、氧乐果</w:t>
            </w:r>
          </w:p>
        </w:tc>
      </w:tr>
      <w:tr w14:paraId="07FEA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79" w:type="pct"/>
            <w:vMerge w:val="restart"/>
            <w:noWrap w:val="0"/>
            <w:vAlign w:val="center"/>
          </w:tcPr>
          <w:p w14:paraId="6896101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2</w:t>
            </w:r>
          </w:p>
          <w:p w14:paraId="35D8723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DE26A5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03929893">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restart"/>
            <w:noWrap w:val="0"/>
            <w:vAlign w:val="center"/>
          </w:tcPr>
          <w:p w14:paraId="433C6B46">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瓜类蔬菜</w:t>
            </w:r>
          </w:p>
        </w:tc>
        <w:tc>
          <w:tcPr>
            <w:tcW w:w="391" w:type="pct"/>
            <w:noWrap w:val="0"/>
            <w:vAlign w:val="center"/>
          </w:tcPr>
          <w:p w14:paraId="1214E770">
            <w:pPr>
              <w:widowControl/>
              <w:jc w:val="center"/>
              <w:textAlignment w:val="center"/>
              <w:rPr>
                <w:rStyle w:val="183"/>
                <w:rFonts w:hint="default" w:ascii="Times New Roman" w:hAnsi="Times New Roman" w:eastAsia="仿宋_GB2312" w:cs="Times New Roman"/>
                <w:color w:val="auto"/>
                <w:sz w:val="21"/>
                <w:szCs w:val="21"/>
                <w:highlight w:val="none"/>
                <w:lang w:val="en-US" w:bidi="ar"/>
              </w:rPr>
            </w:pPr>
            <w:r>
              <w:rPr>
                <w:rStyle w:val="183"/>
                <w:rFonts w:hint="default" w:ascii="Times New Roman" w:hAnsi="Times New Roman" w:eastAsia="仿宋_GB2312" w:cs="Times New Roman"/>
                <w:color w:val="auto"/>
                <w:sz w:val="21"/>
                <w:szCs w:val="21"/>
                <w:highlight w:val="none"/>
                <w:lang w:val="en-US" w:eastAsia="zh-CN" w:bidi="ar"/>
              </w:rPr>
              <w:t>黄瓜</w:t>
            </w:r>
            <w:r>
              <w:rPr>
                <w:rStyle w:val="183"/>
                <w:rFonts w:hint="eastAsia" w:ascii="Times New Roman" w:hAnsi="Times New Roman" w:eastAsia="仿宋_GB2312" w:cs="Times New Roman"/>
                <w:color w:val="auto"/>
                <w:sz w:val="21"/>
                <w:szCs w:val="21"/>
                <w:highlight w:val="none"/>
                <w:lang w:val="en-US" w:eastAsia="zh-CN" w:bidi="ar"/>
              </w:rPr>
              <w:t>*</w:t>
            </w:r>
          </w:p>
        </w:tc>
        <w:tc>
          <w:tcPr>
            <w:tcW w:w="257" w:type="pct"/>
            <w:noWrap w:val="0"/>
            <w:vAlign w:val="center"/>
          </w:tcPr>
          <w:p w14:paraId="5D74D667">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4254B9E">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噻虫嗪、乙螨唑、阿维菌素、毒死蜱、哒螨灵</w:t>
            </w:r>
          </w:p>
        </w:tc>
        <w:tc>
          <w:tcPr>
            <w:tcW w:w="1190" w:type="pct"/>
            <w:noWrap w:val="0"/>
            <w:vAlign w:val="center"/>
          </w:tcPr>
          <w:p w14:paraId="20780DA3">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甲氨基阿维菌素苯甲酸盐、氧乐果</w:t>
            </w:r>
          </w:p>
        </w:tc>
      </w:tr>
      <w:tr w14:paraId="0D20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79" w:type="pct"/>
            <w:vMerge w:val="continue"/>
            <w:noWrap w:val="0"/>
            <w:vAlign w:val="center"/>
          </w:tcPr>
          <w:p w14:paraId="12B04DB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57852B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016346B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B01BE8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6A474E37">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苦瓜</w:t>
            </w:r>
          </w:p>
        </w:tc>
        <w:tc>
          <w:tcPr>
            <w:tcW w:w="257" w:type="pct"/>
            <w:noWrap w:val="0"/>
            <w:vAlign w:val="center"/>
          </w:tcPr>
          <w:p w14:paraId="1CF32352">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BD2B63F">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毒死蜱、氯氟氰菊酯和高效氯氟氰菊酯、氧乐果、甲胺磷、水胺硫磷</w:t>
            </w:r>
          </w:p>
        </w:tc>
        <w:tc>
          <w:tcPr>
            <w:tcW w:w="1190" w:type="pct"/>
            <w:noWrap w:val="0"/>
            <w:vAlign w:val="center"/>
          </w:tcPr>
          <w:p w14:paraId="3CB5BBA6">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啶虫脒、噻虫嗪</w:t>
            </w:r>
          </w:p>
        </w:tc>
      </w:tr>
      <w:tr w14:paraId="3C3B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79" w:type="pct"/>
            <w:vMerge w:val="continue"/>
            <w:noWrap w:val="0"/>
            <w:vAlign w:val="center"/>
          </w:tcPr>
          <w:p w14:paraId="69E04C3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B610E7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578404C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8902D6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864FC39">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节瓜</w:t>
            </w:r>
          </w:p>
        </w:tc>
        <w:tc>
          <w:tcPr>
            <w:tcW w:w="257" w:type="pct"/>
            <w:noWrap w:val="0"/>
            <w:vAlign w:val="center"/>
          </w:tcPr>
          <w:p w14:paraId="22138933">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30B9CBE">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氯氟氰菊酯和高效氯氟氰菊酯、毒死蜱、啶虫脒、噻虫嗪、克百威</w:t>
            </w:r>
          </w:p>
        </w:tc>
        <w:tc>
          <w:tcPr>
            <w:tcW w:w="1190" w:type="pct"/>
            <w:noWrap w:val="0"/>
            <w:vAlign w:val="center"/>
          </w:tcPr>
          <w:p w14:paraId="5C46CDF4">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ascii="Times New Roman" w:hAnsi="Times New Roman" w:eastAsia="仿宋_GB2312" w:cs="Times New Roman"/>
                <w:color w:val="auto"/>
                <w:kern w:val="2"/>
                <w:sz w:val="21"/>
                <w:szCs w:val="21"/>
                <w:highlight w:val="none"/>
                <w:lang w:val="en-US" w:eastAsia="zh-CN" w:bidi="ar"/>
              </w:rPr>
              <w:t>甲氨基阿维菌素苯甲酸盐、霜霉威和霜霉威盐酸盐</w:t>
            </w:r>
          </w:p>
        </w:tc>
      </w:tr>
      <w:tr w14:paraId="6497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279" w:type="pct"/>
            <w:vMerge w:val="continue"/>
            <w:noWrap w:val="0"/>
            <w:vAlign w:val="center"/>
          </w:tcPr>
          <w:p w14:paraId="7074379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8F8A0A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45CF79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restart"/>
            <w:noWrap w:val="0"/>
            <w:vAlign w:val="center"/>
          </w:tcPr>
          <w:p w14:paraId="7C69766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豆类蔬菜</w:t>
            </w:r>
          </w:p>
        </w:tc>
        <w:tc>
          <w:tcPr>
            <w:tcW w:w="391" w:type="pct"/>
            <w:noWrap w:val="0"/>
            <w:vAlign w:val="center"/>
          </w:tcPr>
          <w:p w14:paraId="24BF32F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菜豆*</w:t>
            </w:r>
          </w:p>
        </w:tc>
        <w:tc>
          <w:tcPr>
            <w:tcW w:w="257" w:type="pct"/>
            <w:noWrap w:val="0"/>
            <w:vAlign w:val="center"/>
          </w:tcPr>
          <w:p w14:paraId="734B4D7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11DD0F50">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噻虫胺、乙酰甲胺磷、甲胺磷、氧乐果、甲氨基阿维菌素苯甲酸盐</w:t>
            </w:r>
          </w:p>
        </w:tc>
        <w:tc>
          <w:tcPr>
            <w:tcW w:w="1190" w:type="pct"/>
            <w:noWrap w:val="0"/>
            <w:vAlign w:val="center"/>
          </w:tcPr>
          <w:p w14:paraId="05A1708E">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毒死蜱、多菌灵、水胺硫磷</w:t>
            </w:r>
          </w:p>
        </w:tc>
      </w:tr>
      <w:tr w14:paraId="4862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107C800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100178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60F6D24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50F950D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91" w:type="pct"/>
            <w:noWrap w:val="0"/>
            <w:vAlign w:val="center"/>
          </w:tcPr>
          <w:p w14:paraId="5CA35E5B">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豇豆*</w:t>
            </w:r>
          </w:p>
        </w:tc>
        <w:tc>
          <w:tcPr>
            <w:tcW w:w="257" w:type="pct"/>
            <w:noWrap w:val="0"/>
            <w:vAlign w:val="center"/>
          </w:tcPr>
          <w:p w14:paraId="0DB173E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58BC2739">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噻虫胺、噻虫嗪、倍硫磷、氧乐果、灭蝇胺、克百威、啶虫脒、毒死蜱</w:t>
            </w:r>
          </w:p>
        </w:tc>
        <w:tc>
          <w:tcPr>
            <w:tcW w:w="1190" w:type="pct"/>
            <w:noWrap w:val="0"/>
            <w:vAlign w:val="center"/>
          </w:tcPr>
          <w:p w14:paraId="25F4009B">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氟虫腈、甲氨基阿维菌素苯甲酸盐、甲基异柳磷、氯氟氰菊酯和高效氯氟氰菊酯、三唑磷、水胺硫磷、乙酰甲胺磷</w:t>
            </w:r>
          </w:p>
        </w:tc>
      </w:tr>
      <w:tr w14:paraId="0195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5C3645E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AE6519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233303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75B58BFF">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91" w:type="pct"/>
            <w:noWrap w:val="0"/>
            <w:vAlign w:val="center"/>
          </w:tcPr>
          <w:p w14:paraId="4DCC2B0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食荚豌豆*</w:t>
            </w:r>
          </w:p>
        </w:tc>
        <w:tc>
          <w:tcPr>
            <w:tcW w:w="257" w:type="pct"/>
            <w:noWrap w:val="0"/>
            <w:vAlign w:val="center"/>
          </w:tcPr>
          <w:p w14:paraId="0DC80AC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79F381D">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吡唑醚菌酯、多菌灵、噻虫胺、烯酰吗啉、乙酰甲胺磷、氧乐果</w:t>
            </w:r>
          </w:p>
        </w:tc>
        <w:tc>
          <w:tcPr>
            <w:tcW w:w="1190" w:type="pct"/>
            <w:noWrap w:val="0"/>
            <w:vAlign w:val="center"/>
          </w:tcPr>
          <w:p w14:paraId="6B59D873">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苯醚甲环唑、毒死蜱、甲胺磷、噻虫嗪</w:t>
            </w:r>
          </w:p>
        </w:tc>
      </w:tr>
      <w:tr w14:paraId="0D45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6D46F847">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E593DF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0AFDCB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restart"/>
            <w:noWrap w:val="0"/>
            <w:vAlign w:val="center"/>
          </w:tcPr>
          <w:p w14:paraId="2921FE9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根茎类和薯芋类蔬菜</w:t>
            </w:r>
          </w:p>
        </w:tc>
        <w:tc>
          <w:tcPr>
            <w:tcW w:w="391" w:type="pct"/>
            <w:noWrap w:val="0"/>
            <w:vAlign w:val="center"/>
          </w:tcPr>
          <w:p w14:paraId="13159FB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甘薯*</w:t>
            </w:r>
          </w:p>
        </w:tc>
        <w:tc>
          <w:tcPr>
            <w:tcW w:w="257" w:type="pct"/>
            <w:noWrap w:val="0"/>
            <w:vAlign w:val="center"/>
          </w:tcPr>
          <w:p w14:paraId="6994D12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3C714798">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氯氟氰菊酯和高效氯氟氰菊酯、毒死蜱、氯氰菊酯和高效氯氰菊酯、噻虫嗪</w:t>
            </w:r>
          </w:p>
        </w:tc>
        <w:tc>
          <w:tcPr>
            <w:tcW w:w="1190" w:type="pct"/>
            <w:noWrap w:val="0"/>
            <w:vAlign w:val="center"/>
          </w:tcPr>
          <w:p w14:paraId="60249D64">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苯醚甲环唑、氟虫腈、甲拌磷、联苯菊酯</w:t>
            </w:r>
          </w:p>
        </w:tc>
      </w:tr>
      <w:tr w14:paraId="231C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08D9F67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11CD065">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D6091F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59E7F77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91" w:type="pct"/>
            <w:noWrap w:val="0"/>
            <w:vAlign w:val="center"/>
          </w:tcPr>
          <w:p w14:paraId="2DE3A7A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胡萝卜*</w:t>
            </w:r>
          </w:p>
        </w:tc>
        <w:tc>
          <w:tcPr>
            <w:tcW w:w="257" w:type="pct"/>
            <w:noWrap w:val="0"/>
            <w:vAlign w:val="center"/>
          </w:tcPr>
          <w:p w14:paraId="10F1017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70AEF70F">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噻虫胺、甲拌磷、氟虫腈、氯氟氰菊酯和高效氯氟氰菊酯、毒死蜱</w:t>
            </w:r>
          </w:p>
        </w:tc>
        <w:tc>
          <w:tcPr>
            <w:tcW w:w="1190" w:type="pct"/>
            <w:noWrap w:val="0"/>
            <w:vAlign w:val="center"/>
          </w:tcPr>
          <w:p w14:paraId="7CB1BD4A">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铅（以Pb计）、腈菌唑、乐果、噻虫嗪、辛硫磷</w:t>
            </w:r>
          </w:p>
        </w:tc>
      </w:tr>
      <w:tr w14:paraId="4C33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40ECCF32">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70328E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B8A900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4114008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91" w:type="pct"/>
            <w:noWrap w:val="0"/>
            <w:vAlign w:val="center"/>
          </w:tcPr>
          <w:p w14:paraId="412A199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姜*</w:t>
            </w:r>
          </w:p>
        </w:tc>
        <w:tc>
          <w:tcPr>
            <w:tcW w:w="257" w:type="pct"/>
            <w:noWrap w:val="0"/>
            <w:vAlign w:val="center"/>
          </w:tcPr>
          <w:p w14:paraId="76AED55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086652CA">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噻虫胺、铅（以Pb计）、镉（以Cd计）、噻虫嗪、毒死蜱、吡虫啉、二氧化硫残留量</w:t>
            </w:r>
          </w:p>
        </w:tc>
        <w:tc>
          <w:tcPr>
            <w:tcW w:w="1190" w:type="pct"/>
            <w:noWrap w:val="0"/>
            <w:vAlign w:val="center"/>
          </w:tcPr>
          <w:p w14:paraId="72058092">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甲拌磷、氯氰菊酯和高效氯氰菊酯</w:t>
            </w:r>
          </w:p>
        </w:tc>
      </w:tr>
      <w:tr w14:paraId="6702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restart"/>
            <w:noWrap w:val="0"/>
            <w:vAlign w:val="center"/>
          </w:tcPr>
          <w:p w14:paraId="3F54EDB5">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2</w:t>
            </w:r>
          </w:p>
          <w:p w14:paraId="3C7184E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p w14:paraId="5235C5A2">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60FEF6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93BD79B">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restart"/>
            <w:noWrap w:val="0"/>
            <w:vAlign w:val="center"/>
          </w:tcPr>
          <w:p w14:paraId="528CF7A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根茎类和薯芋类蔬菜</w:t>
            </w:r>
          </w:p>
        </w:tc>
        <w:tc>
          <w:tcPr>
            <w:tcW w:w="391" w:type="pct"/>
            <w:noWrap w:val="0"/>
            <w:vAlign w:val="center"/>
          </w:tcPr>
          <w:p w14:paraId="578D24B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萝卜*</w:t>
            </w:r>
          </w:p>
        </w:tc>
        <w:tc>
          <w:tcPr>
            <w:tcW w:w="257" w:type="pct"/>
            <w:noWrap w:val="0"/>
            <w:vAlign w:val="center"/>
          </w:tcPr>
          <w:p w14:paraId="4B11879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09E0978E">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噻虫嗪、氯氟氰菊酯和高效氯氟氰菊酯、毒死蜱</w:t>
            </w:r>
          </w:p>
        </w:tc>
        <w:tc>
          <w:tcPr>
            <w:tcW w:w="1190" w:type="pct"/>
            <w:noWrap w:val="0"/>
            <w:vAlign w:val="center"/>
          </w:tcPr>
          <w:p w14:paraId="27248F89">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甲拌磷、噻虫胺</w:t>
            </w:r>
          </w:p>
        </w:tc>
      </w:tr>
      <w:tr w14:paraId="083F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3F83EDD8">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A07E0A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688B25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3D4BB34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91" w:type="pct"/>
            <w:noWrap w:val="0"/>
            <w:vAlign w:val="center"/>
          </w:tcPr>
          <w:p w14:paraId="391A1E6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马铃薯*</w:t>
            </w:r>
          </w:p>
        </w:tc>
        <w:tc>
          <w:tcPr>
            <w:tcW w:w="257" w:type="pct"/>
            <w:noWrap w:val="0"/>
            <w:vAlign w:val="center"/>
          </w:tcPr>
          <w:p w14:paraId="2568CCC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3903B352">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毒死蜱、噻虫嗪、氯氟氰菊酯和高效氯氟氰菊酯、镉（以Cd计）、 甲拌磷</w:t>
            </w:r>
          </w:p>
        </w:tc>
        <w:tc>
          <w:tcPr>
            <w:tcW w:w="1190" w:type="pct"/>
            <w:noWrap w:val="0"/>
            <w:vAlign w:val="center"/>
          </w:tcPr>
          <w:p w14:paraId="4C40FDEB">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铅（以Pb计）、二氧化硫残留量</w:t>
            </w:r>
          </w:p>
        </w:tc>
      </w:tr>
      <w:tr w14:paraId="7AEC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0E923546">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EDEB62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2F12663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5580310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91" w:type="pct"/>
            <w:noWrap w:val="0"/>
            <w:vAlign w:val="center"/>
          </w:tcPr>
          <w:p w14:paraId="49DEBE5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山药*</w:t>
            </w:r>
          </w:p>
        </w:tc>
        <w:tc>
          <w:tcPr>
            <w:tcW w:w="257" w:type="pct"/>
            <w:noWrap w:val="0"/>
            <w:vAlign w:val="center"/>
          </w:tcPr>
          <w:p w14:paraId="6307BF8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1C5FBACC">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咪鲜胺和咪鲜胺锰盐、涕灭威、毒死蜱</w:t>
            </w:r>
          </w:p>
        </w:tc>
        <w:tc>
          <w:tcPr>
            <w:tcW w:w="1190" w:type="pct"/>
            <w:noWrap w:val="0"/>
            <w:vAlign w:val="center"/>
          </w:tcPr>
          <w:p w14:paraId="304AEE89">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铅（以Pb计）、氯氟氰菊酯和高效氯氟氰菊酯</w:t>
            </w:r>
          </w:p>
        </w:tc>
      </w:tr>
      <w:tr w14:paraId="1FAF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7D23700B">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5060F6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01643A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7B85920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91" w:type="pct"/>
            <w:noWrap w:val="0"/>
            <w:vAlign w:val="center"/>
          </w:tcPr>
          <w:p w14:paraId="502EE18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芋</w:t>
            </w:r>
          </w:p>
        </w:tc>
        <w:tc>
          <w:tcPr>
            <w:tcW w:w="257" w:type="pct"/>
            <w:noWrap w:val="0"/>
            <w:vAlign w:val="center"/>
          </w:tcPr>
          <w:p w14:paraId="63CB0C1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487F0B5">
            <w:pPr>
              <w:widowControl/>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镉（以Cd计）、铅（以Pb计）、氯氟氰菊酯和高效氯氟氰菊酯、毒死蜱、克百威</w:t>
            </w:r>
          </w:p>
        </w:tc>
        <w:tc>
          <w:tcPr>
            <w:tcW w:w="1190" w:type="pct"/>
            <w:noWrap w:val="0"/>
            <w:vAlign w:val="center"/>
          </w:tcPr>
          <w:p w14:paraId="416E35F5">
            <w:pPr>
              <w:widowControl/>
              <w:jc w:val="left"/>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甲拌磷</w:t>
            </w:r>
          </w:p>
        </w:tc>
      </w:tr>
      <w:tr w14:paraId="65A4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279" w:type="pct"/>
            <w:vMerge w:val="continue"/>
            <w:noWrap w:val="0"/>
            <w:vAlign w:val="center"/>
          </w:tcPr>
          <w:p w14:paraId="1AB3CAC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A77A3C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52150E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noWrap w:val="0"/>
            <w:vAlign w:val="center"/>
          </w:tcPr>
          <w:p w14:paraId="2B263FB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茎类蔬菜</w:t>
            </w:r>
          </w:p>
        </w:tc>
        <w:tc>
          <w:tcPr>
            <w:tcW w:w="391" w:type="pct"/>
            <w:noWrap w:val="0"/>
            <w:vAlign w:val="center"/>
          </w:tcPr>
          <w:p w14:paraId="4439045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茎用莴笋</w:t>
            </w:r>
          </w:p>
        </w:tc>
        <w:tc>
          <w:tcPr>
            <w:tcW w:w="257" w:type="pct"/>
            <w:noWrap w:val="0"/>
            <w:vAlign w:val="center"/>
          </w:tcPr>
          <w:p w14:paraId="2F312C8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3AEF52CD">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氯氟氰菊酯和高效氯氟氰菊酯、氧乐果、甲胺磷、氟虫腈、啶虫脒</w:t>
            </w:r>
          </w:p>
        </w:tc>
        <w:tc>
          <w:tcPr>
            <w:tcW w:w="1190" w:type="pct"/>
            <w:noWrap w:val="0"/>
            <w:vAlign w:val="center"/>
          </w:tcPr>
          <w:p w14:paraId="362DC83B">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毒死蜱、克百威</w:t>
            </w:r>
          </w:p>
        </w:tc>
      </w:tr>
      <w:tr w14:paraId="3228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79" w:type="pct"/>
            <w:vMerge w:val="continue"/>
            <w:noWrap w:val="0"/>
            <w:vAlign w:val="center"/>
          </w:tcPr>
          <w:p w14:paraId="12DDE62D">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AC2EBB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330013A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noWrap w:val="0"/>
            <w:vAlign w:val="center"/>
          </w:tcPr>
          <w:p w14:paraId="5BE9ED5B">
            <w:pPr>
              <w:widowControl/>
              <w:jc w:val="center"/>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水生类蔬菜</w:t>
            </w:r>
          </w:p>
        </w:tc>
        <w:tc>
          <w:tcPr>
            <w:tcW w:w="391" w:type="pct"/>
            <w:noWrap w:val="0"/>
            <w:vAlign w:val="center"/>
          </w:tcPr>
          <w:p w14:paraId="281B784A">
            <w:pPr>
              <w:widowControl/>
              <w:jc w:val="center"/>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莲藕</w:t>
            </w:r>
          </w:p>
        </w:tc>
        <w:tc>
          <w:tcPr>
            <w:tcW w:w="257" w:type="pct"/>
            <w:noWrap w:val="0"/>
            <w:vAlign w:val="center"/>
          </w:tcPr>
          <w:p w14:paraId="367798C7">
            <w:pPr>
              <w:widowControl/>
              <w:jc w:val="center"/>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5E9931F">
            <w:pPr>
              <w:widowControl/>
              <w:jc w:val="both"/>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铅（以Pb计）、镉（以Cd计）、克百威、氧乐果、毒死蜱</w:t>
            </w:r>
          </w:p>
        </w:tc>
        <w:tc>
          <w:tcPr>
            <w:tcW w:w="1190" w:type="pct"/>
            <w:noWrap w:val="0"/>
            <w:vAlign w:val="center"/>
          </w:tcPr>
          <w:p w14:paraId="52752BDD">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多菌灵</w:t>
            </w:r>
          </w:p>
        </w:tc>
      </w:tr>
      <w:tr w14:paraId="098F8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79" w:type="pct"/>
            <w:vMerge w:val="continue"/>
            <w:noWrap w:val="0"/>
            <w:vAlign w:val="center"/>
          </w:tcPr>
          <w:p w14:paraId="646A56D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514413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159FBC9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restart"/>
            <w:noWrap w:val="0"/>
            <w:vAlign w:val="center"/>
          </w:tcPr>
          <w:p w14:paraId="45F5FA33">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芸薹属类蔬菜</w:t>
            </w:r>
          </w:p>
          <w:p w14:paraId="2F7625C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F0D4960">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菜薹</w:t>
            </w:r>
          </w:p>
        </w:tc>
        <w:tc>
          <w:tcPr>
            <w:tcW w:w="257" w:type="pct"/>
            <w:noWrap w:val="0"/>
            <w:vAlign w:val="center"/>
          </w:tcPr>
          <w:p w14:paraId="547EFF6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4CCDCEDF">
            <w:pPr>
              <w:widowControl/>
              <w:jc w:val="both"/>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镉（以Cd计）、噻虫胺、噻虫嗪、毒死蜱、克百威、氧乐果</w:t>
            </w:r>
          </w:p>
        </w:tc>
        <w:tc>
          <w:tcPr>
            <w:tcW w:w="1190" w:type="pct"/>
            <w:noWrap w:val="0"/>
            <w:vAlign w:val="center"/>
          </w:tcPr>
          <w:p w14:paraId="712194E2">
            <w:pPr>
              <w:widowControl/>
              <w:jc w:val="both"/>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氟虫腈、阿维菌素</w:t>
            </w:r>
          </w:p>
        </w:tc>
      </w:tr>
      <w:tr w14:paraId="72C31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79" w:type="pct"/>
            <w:vMerge w:val="continue"/>
            <w:noWrap w:val="0"/>
            <w:vAlign w:val="center"/>
          </w:tcPr>
          <w:p w14:paraId="14F7F16D">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8711FF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5817E03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vMerge w:val="continue"/>
            <w:noWrap w:val="0"/>
            <w:vAlign w:val="center"/>
          </w:tcPr>
          <w:p w14:paraId="027BF35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47483F2A">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val="en-US" w:eastAsia="zh-CN" w:bidi="ar"/>
              </w:rPr>
              <w:t>结球甘蓝</w:t>
            </w:r>
          </w:p>
        </w:tc>
        <w:tc>
          <w:tcPr>
            <w:tcW w:w="257" w:type="pct"/>
            <w:noWrap w:val="0"/>
            <w:vAlign w:val="center"/>
          </w:tcPr>
          <w:p w14:paraId="3DD361A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67D7A9C">
            <w:pPr>
              <w:widowControl/>
              <w:jc w:val="both"/>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噻虫嗪、苯醚甲环唑、乙酰甲胺磷、毒死蜱、克百威、甲基异柳磷</w:t>
            </w:r>
          </w:p>
        </w:tc>
        <w:tc>
          <w:tcPr>
            <w:tcW w:w="1190" w:type="pct"/>
            <w:noWrap w:val="0"/>
            <w:vAlign w:val="center"/>
          </w:tcPr>
          <w:p w14:paraId="0E516666">
            <w:pPr>
              <w:widowControl/>
              <w:jc w:val="both"/>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氟虫腈、阿维菌素</w:t>
            </w:r>
          </w:p>
        </w:tc>
      </w:tr>
      <w:tr w14:paraId="58362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79" w:type="pct"/>
            <w:vMerge w:val="continue"/>
            <w:noWrap w:val="0"/>
            <w:vAlign w:val="center"/>
          </w:tcPr>
          <w:p w14:paraId="5006B5DB">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ACC35F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37EC14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noWrap w:val="0"/>
            <w:vAlign w:val="center"/>
          </w:tcPr>
          <w:p w14:paraId="274FB4C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鲜食用菌</w:t>
            </w:r>
          </w:p>
        </w:tc>
        <w:tc>
          <w:tcPr>
            <w:tcW w:w="391" w:type="pct"/>
            <w:noWrap w:val="0"/>
            <w:vAlign w:val="center"/>
          </w:tcPr>
          <w:p w14:paraId="40FE763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鲜食用菌</w:t>
            </w:r>
          </w:p>
        </w:tc>
        <w:tc>
          <w:tcPr>
            <w:tcW w:w="257" w:type="pct"/>
            <w:noWrap w:val="0"/>
            <w:vAlign w:val="center"/>
          </w:tcPr>
          <w:p w14:paraId="43A2A67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较高</w:t>
            </w:r>
          </w:p>
        </w:tc>
        <w:tc>
          <w:tcPr>
            <w:tcW w:w="1916" w:type="pct"/>
            <w:noWrap w:val="0"/>
            <w:vAlign w:val="center"/>
          </w:tcPr>
          <w:p w14:paraId="0AB5C354">
            <w:pPr>
              <w:widowControl/>
              <w:jc w:val="both"/>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铅（以Pb计）、镉（以Cd计）、百菌清、除虫脲、氯氟氰菊酯和高效氯氟氰菊酯、氯氰菊酯和高效氯氰菊酯</w:t>
            </w:r>
          </w:p>
        </w:tc>
        <w:tc>
          <w:tcPr>
            <w:tcW w:w="1190" w:type="pct"/>
            <w:noWrap w:val="0"/>
            <w:vAlign w:val="center"/>
          </w:tcPr>
          <w:p w14:paraId="3BB4F67E">
            <w:pPr>
              <w:widowControl/>
              <w:jc w:val="both"/>
              <w:textAlignment w:val="center"/>
              <w:rPr>
                <w:rStyle w:val="183"/>
                <w:rFonts w:hint="default" w:ascii="Times New Roman" w:hAnsi="Times New Roman" w:eastAsia="仿宋_GB2312" w:cs="Times New Roman"/>
                <w:color w:val="auto"/>
                <w:sz w:val="21"/>
                <w:szCs w:val="21"/>
                <w:highlight w:val="none"/>
                <w:lang w:bidi="ar"/>
              </w:rPr>
            </w:pPr>
          </w:p>
        </w:tc>
      </w:tr>
      <w:tr w14:paraId="6419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79" w:type="pct"/>
            <w:vMerge w:val="continue"/>
            <w:noWrap w:val="0"/>
            <w:vAlign w:val="center"/>
          </w:tcPr>
          <w:p w14:paraId="59D8081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B1B015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601763F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274" w:type="pct"/>
            <w:noWrap w:val="0"/>
            <w:vAlign w:val="center"/>
          </w:tcPr>
          <w:p w14:paraId="5736779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去皮蔬菜</w:t>
            </w:r>
          </w:p>
        </w:tc>
        <w:tc>
          <w:tcPr>
            <w:tcW w:w="391" w:type="pct"/>
            <w:noWrap w:val="0"/>
            <w:vAlign w:val="center"/>
          </w:tcPr>
          <w:p w14:paraId="6F5DD38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去皮蔬菜</w:t>
            </w:r>
          </w:p>
        </w:tc>
        <w:tc>
          <w:tcPr>
            <w:tcW w:w="257" w:type="pct"/>
            <w:noWrap w:val="0"/>
            <w:vAlign w:val="center"/>
          </w:tcPr>
          <w:p w14:paraId="5379C9F2">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较高</w:t>
            </w:r>
          </w:p>
        </w:tc>
        <w:tc>
          <w:tcPr>
            <w:tcW w:w="1916" w:type="pct"/>
            <w:noWrap w:val="0"/>
            <w:vAlign w:val="center"/>
          </w:tcPr>
          <w:p w14:paraId="284A878B">
            <w:pPr>
              <w:widowControl/>
              <w:jc w:val="both"/>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val="en-US" w:eastAsia="zh-CN" w:bidi="ar"/>
              </w:rPr>
              <w:t>苯甲酸及其钠盐（ 以苯甲酸计）、山梨酸及其钾盐（以山梨酸计）、脱氢乙酸及其钠盐（以脱氢乙酸计）、二氧化硫残留量、合成着色剂（柠檬黄、日落黄、胭脂红、苋菜红、亮蓝、诱惑红）</w:t>
            </w:r>
          </w:p>
        </w:tc>
        <w:tc>
          <w:tcPr>
            <w:tcW w:w="1190" w:type="pct"/>
            <w:noWrap w:val="0"/>
            <w:vAlign w:val="center"/>
          </w:tcPr>
          <w:p w14:paraId="2ADD9CB6">
            <w:pPr>
              <w:widowControl/>
              <w:jc w:val="both"/>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7530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restart"/>
            <w:noWrap w:val="0"/>
            <w:vAlign w:val="center"/>
          </w:tcPr>
          <w:p w14:paraId="2566E89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3</w:t>
            </w:r>
          </w:p>
          <w:p w14:paraId="4245E23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9216C7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restart"/>
            <w:noWrap w:val="0"/>
            <w:vAlign w:val="center"/>
          </w:tcPr>
          <w:p w14:paraId="0E132E08">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水产品</w:t>
            </w:r>
          </w:p>
        </w:tc>
        <w:tc>
          <w:tcPr>
            <w:tcW w:w="274" w:type="pct"/>
            <w:vMerge w:val="restart"/>
            <w:noWrap w:val="0"/>
            <w:vAlign w:val="center"/>
          </w:tcPr>
          <w:p w14:paraId="23AF1F84">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淡水产品</w:t>
            </w:r>
          </w:p>
        </w:tc>
        <w:tc>
          <w:tcPr>
            <w:tcW w:w="391" w:type="pct"/>
            <w:noWrap w:val="0"/>
            <w:vAlign w:val="center"/>
          </w:tcPr>
          <w:p w14:paraId="021CF751">
            <w:pPr>
              <w:pStyle w:val="179"/>
              <w:spacing w:before="232" w:line="225" w:lineRule="auto"/>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淡水鱼*</w:t>
            </w:r>
          </w:p>
        </w:tc>
        <w:tc>
          <w:tcPr>
            <w:tcW w:w="257" w:type="pct"/>
            <w:noWrap w:val="0"/>
            <w:vAlign w:val="center"/>
          </w:tcPr>
          <w:p w14:paraId="37FFBD90">
            <w:pPr>
              <w:spacing w:before="232" w:line="222" w:lineRule="auto"/>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高</w:t>
            </w:r>
          </w:p>
        </w:tc>
        <w:tc>
          <w:tcPr>
            <w:tcW w:w="1916" w:type="pct"/>
            <w:noWrap w:val="0"/>
            <w:vAlign w:val="center"/>
          </w:tcPr>
          <w:p w14:paraId="1D2F77A2">
            <w:pPr>
              <w:spacing w:before="82" w:line="254" w:lineRule="auto"/>
              <w:ind w:right="42" w:rightChars="0"/>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恩诺沙星、孔雀石绿、磺胺类（总量）、氧氟沙星、呋喃唑酮代谢物</w:t>
            </w:r>
          </w:p>
        </w:tc>
        <w:tc>
          <w:tcPr>
            <w:tcW w:w="1190" w:type="pct"/>
            <w:noWrap w:val="0"/>
            <w:vAlign w:val="center"/>
          </w:tcPr>
          <w:p w14:paraId="2CFB649D">
            <w:pPr>
              <w:spacing w:before="56" w:line="266" w:lineRule="auto"/>
              <w:ind w:right="111" w:rightChars="0"/>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氯霉素、呋喃西林代谢物、五氯酚酸钠（以五氯酚计）、地西泮</w:t>
            </w:r>
          </w:p>
        </w:tc>
      </w:tr>
      <w:tr w14:paraId="7E9D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79" w:type="pct"/>
            <w:vMerge w:val="continue"/>
            <w:noWrap w:val="0"/>
            <w:vAlign w:val="center"/>
          </w:tcPr>
          <w:p w14:paraId="127B7353">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2AD789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E212295">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001ED1F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7D05B3D7">
            <w:pPr>
              <w:pStyle w:val="179"/>
              <w:spacing w:before="64" w:line="224" w:lineRule="auto"/>
              <w:ind w:left="139"/>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淡水虾*（重点品种：罗氏沼虾）</w:t>
            </w:r>
          </w:p>
        </w:tc>
        <w:tc>
          <w:tcPr>
            <w:tcW w:w="257" w:type="pct"/>
            <w:noWrap w:val="0"/>
            <w:vAlign w:val="top"/>
          </w:tcPr>
          <w:p w14:paraId="4AC7DF7F">
            <w:pPr>
              <w:spacing w:before="364" w:line="222" w:lineRule="auto"/>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高</w:t>
            </w:r>
          </w:p>
        </w:tc>
        <w:tc>
          <w:tcPr>
            <w:tcW w:w="1916" w:type="pct"/>
            <w:noWrap w:val="0"/>
            <w:vAlign w:val="top"/>
          </w:tcPr>
          <w:p w14:paraId="304341C4">
            <w:pPr>
              <w:spacing w:before="364" w:line="223"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恩诺沙星、呋喃唑酮代谢物</w:t>
            </w:r>
          </w:p>
        </w:tc>
        <w:tc>
          <w:tcPr>
            <w:tcW w:w="1190" w:type="pct"/>
            <w:noWrap w:val="0"/>
            <w:vAlign w:val="center"/>
          </w:tcPr>
          <w:p w14:paraId="492E0766">
            <w:pPr>
              <w:spacing w:before="188" w:line="294" w:lineRule="auto"/>
              <w:ind w:right="46" w:rightChars="0"/>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呋喃妥因代谢物、磺胺类（总量）、氧氟沙星、诺氟沙星</w:t>
            </w:r>
          </w:p>
        </w:tc>
      </w:tr>
      <w:tr w14:paraId="6241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79" w:type="pct"/>
            <w:vMerge w:val="continue"/>
            <w:noWrap w:val="0"/>
            <w:vAlign w:val="center"/>
          </w:tcPr>
          <w:p w14:paraId="462E32D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CB1E6F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6FE15DF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0977289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6365F0B">
            <w:pPr>
              <w:widowControl/>
              <w:jc w:val="center"/>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淡水蟹</w:t>
            </w:r>
          </w:p>
        </w:tc>
        <w:tc>
          <w:tcPr>
            <w:tcW w:w="257" w:type="pct"/>
            <w:noWrap w:val="0"/>
            <w:vAlign w:val="center"/>
          </w:tcPr>
          <w:p w14:paraId="6096050F">
            <w:pPr>
              <w:widowControl/>
              <w:jc w:val="center"/>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高</w:t>
            </w:r>
          </w:p>
        </w:tc>
        <w:tc>
          <w:tcPr>
            <w:tcW w:w="1916" w:type="pct"/>
            <w:noWrap w:val="0"/>
            <w:vAlign w:val="center"/>
          </w:tcPr>
          <w:p w14:paraId="0566E949">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镉（以Cd 计）、孔雀石绿、氯霉素、五氯酚酸钠（ 以五氯酚计）、呋喃唑酮代谢物</w:t>
            </w:r>
          </w:p>
        </w:tc>
        <w:tc>
          <w:tcPr>
            <w:tcW w:w="1190" w:type="pct"/>
            <w:noWrap w:val="0"/>
            <w:vAlign w:val="center"/>
          </w:tcPr>
          <w:p w14:paraId="0E67EE84">
            <w:pPr>
              <w:widowControl/>
              <w:jc w:val="left"/>
              <w:textAlignment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w:t>
            </w:r>
          </w:p>
        </w:tc>
      </w:tr>
      <w:tr w14:paraId="44AC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79" w:type="pct"/>
            <w:vMerge w:val="continue"/>
            <w:noWrap w:val="0"/>
            <w:vAlign w:val="center"/>
          </w:tcPr>
          <w:p w14:paraId="432D526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318731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9EA032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restart"/>
            <w:noWrap w:val="0"/>
            <w:vAlign w:val="center"/>
          </w:tcPr>
          <w:p w14:paraId="33037087">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海水产品</w:t>
            </w:r>
          </w:p>
        </w:tc>
        <w:tc>
          <w:tcPr>
            <w:tcW w:w="391" w:type="pct"/>
            <w:noWrap w:val="0"/>
            <w:vAlign w:val="center"/>
          </w:tcPr>
          <w:p w14:paraId="1E994215">
            <w:pPr>
              <w:pStyle w:val="179"/>
              <w:spacing w:before="64" w:line="224" w:lineRule="auto"/>
              <w:ind w:left="139"/>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海水鱼*</w:t>
            </w:r>
          </w:p>
        </w:tc>
        <w:tc>
          <w:tcPr>
            <w:tcW w:w="257" w:type="pct"/>
            <w:noWrap w:val="0"/>
            <w:vAlign w:val="center"/>
          </w:tcPr>
          <w:p w14:paraId="17B2CCF9">
            <w:pPr>
              <w:pStyle w:val="179"/>
              <w:spacing w:before="64" w:line="224" w:lineRule="auto"/>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高</w:t>
            </w:r>
          </w:p>
        </w:tc>
        <w:tc>
          <w:tcPr>
            <w:tcW w:w="1916" w:type="pct"/>
            <w:noWrap w:val="0"/>
            <w:vAlign w:val="center"/>
          </w:tcPr>
          <w:p w14:paraId="673FCD47">
            <w:pPr>
              <w:pStyle w:val="179"/>
              <w:spacing w:before="64" w:line="224"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恩诺沙星、呋喃唑酮代谢物、甲硝唑</w:t>
            </w:r>
          </w:p>
        </w:tc>
        <w:tc>
          <w:tcPr>
            <w:tcW w:w="1190" w:type="pct"/>
            <w:noWrap w:val="0"/>
            <w:vAlign w:val="center"/>
          </w:tcPr>
          <w:p w14:paraId="69DBA193">
            <w:pPr>
              <w:pStyle w:val="179"/>
              <w:spacing w:before="64" w:line="224"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合成着色剂（柠檬黄）、氯霉素、五氯酚酸钠（以五氯酚计）、磺胺类（总量）</w:t>
            </w:r>
          </w:p>
        </w:tc>
      </w:tr>
      <w:tr w14:paraId="758A1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79" w:type="pct"/>
            <w:vMerge w:val="continue"/>
            <w:noWrap w:val="0"/>
            <w:vAlign w:val="center"/>
          </w:tcPr>
          <w:p w14:paraId="009C254A">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DFB1E4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D23485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3A9803A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A7DDD35">
            <w:pPr>
              <w:pStyle w:val="179"/>
              <w:spacing w:before="64" w:line="224" w:lineRule="auto"/>
              <w:ind w:left="139"/>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海水虾*</w:t>
            </w:r>
          </w:p>
        </w:tc>
        <w:tc>
          <w:tcPr>
            <w:tcW w:w="257" w:type="pct"/>
            <w:noWrap w:val="0"/>
            <w:vAlign w:val="center"/>
          </w:tcPr>
          <w:p w14:paraId="25A1E436">
            <w:pPr>
              <w:pStyle w:val="179"/>
              <w:spacing w:before="64" w:line="224" w:lineRule="auto"/>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高</w:t>
            </w:r>
          </w:p>
        </w:tc>
        <w:tc>
          <w:tcPr>
            <w:tcW w:w="1916" w:type="pct"/>
            <w:noWrap w:val="0"/>
            <w:vAlign w:val="center"/>
          </w:tcPr>
          <w:p w14:paraId="5A19650C">
            <w:pPr>
              <w:pStyle w:val="179"/>
              <w:spacing w:before="64" w:line="224"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镉（以Cd计）、恩诺沙星、土霉素/金霉素/四环素（组合含量）、二氧化硫残留量、呋喃唑酮代谢物</w:t>
            </w:r>
          </w:p>
        </w:tc>
        <w:tc>
          <w:tcPr>
            <w:tcW w:w="1190" w:type="pct"/>
            <w:noWrap w:val="0"/>
            <w:vAlign w:val="center"/>
          </w:tcPr>
          <w:p w14:paraId="50116876">
            <w:pPr>
              <w:pStyle w:val="179"/>
              <w:spacing w:before="64" w:line="224"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氯霉素、五氯酚酸钠（以五氯酚计）、磺胺类（总量）、诺氟沙星</w:t>
            </w:r>
          </w:p>
        </w:tc>
      </w:tr>
      <w:tr w14:paraId="2F90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0A58357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53CF0F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8F26A8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4A0C25DC">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1D830F0">
            <w:pPr>
              <w:pStyle w:val="179"/>
              <w:spacing w:before="64" w:line="224" w:lineRule="auto"/>
              <w:ind w:left="139"/>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海水蟹</w:t>
            </w:r>
          </w:p>
        </w:tc>
        <w:tc>
          <w:tcPr>
            <w:tcW w:w="257" w:type="pct"/>
            <w:noWrap w:val="0"/>
            <w:vAlign w:val="center"/>
          </w:tcPr>
          <w:p w14:paraId="3457C840">
            <w:pPr>
              <w:pStyle w:val="179"/>
              <w:spacing w:before="64" w:line="224" w:lineRule="auto"/>
              <w:jc w:val="center"/>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高</w:t>
            </w:r>
          </w:p>
        </w:tc>
        <w:tc>
          <w:tcPr>
            <w:tcW w:w="1916" w:type="pct"/>
            <w:noWrap w:val="0"/>
            <w:vAlign w:val="center"/>
          </w:tcPr>
          <w:p w14:paraId="1755D80A">
            <w:pPr>
              <w:pStyle w:val="179"/>
              <w:spacing w:before="64" w:line="224"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镉（以Cd计）、氯霉素、孔雀石绿、呋喃唑酮代谢物、呋喃妥因代谢物、氧氟沙星</w:t>
            </w:r>
          </w:p>
        </w:tc>
        <w:tc>
          <w:tcPr>
            <w:tcW w:w="1190" w:type="pct"/>
            <w:noWrap w:val="0"/>
            <w:vAlign w:val="center"/>
          </w:tcPr>
          <w:p w14:paraId="6F877F90">
            <w:pPr>
              <w:pStyle w:val="179"/>
              <w:spacing w:before="64" w:line="224" w:lineRule="auto"/>
              <w:jc w:val="left"/>
              <w:rPr>
                <w:rStyle w:val="183"/>
                <w:rFonts w:hint="default" w:ascii="Times New Roman" w:hAnsi="Times New Roman" w:eastAsia="仿宋_GB2312" w:cs="Times New Roman"/>
                <w:color w:val="auto"/>
                <w:kern w:val="2"/>
                <w:sz w:val="21"/>
                <w:szCs w:val="21"/>
                <w:highlight w:val="none"/>
                <w:lang w:val="en-US" w:eastAsia="zh-CN" w:bidi="ar"/>
              </w:rPr>
            </w:pPr>
            <w:r>
              <w:rPr>
                <w:rStyle w:val="183"/>
                <w:rFonts w:hint="default" w:ascii="Times New Roman" w:hAnsi="Times New Roman" w:eastAsia="仿宋_GB2312" w:cs="Times New Roman"/>
                <w:color w:val="auto"/>
                <w:kern w:val="2"/>
                <w:sz w:val="21"/>
                <w:szCs w:val="21"/>
                <w:highlight w:val="none"/>
                <w:lang w:val="en-US" w:eastAsia="zh-CN" w:bidi="ar"/>
              </w:rPr>
              <w:t>二氧化硫残留量</w:t>
            </w:r>
          </w:p>
        </w:tc>
      </w:tr>
      <w:tr w14:paraId="246E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279" w:type="pct"/>
            <w:vMerge w:val="continue"/>
            <w:noWrap w:val="0"/>
            <w:vAlign w:val="center"/>
          </w:tcPr>
          <w:p w14:paraId="39F17F17">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2DFA9C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5888C24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noWrap w:val="0"/>
            <w:vAlign w:val="center"/>
          </w:tcPr>
          <w:p w14:paraId="62637776">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贝类</w:t>
            </w:r>
          </w:p>
        </w:tc>
        <w:tc>
          <w:tcPr>
            <w:tcW w:w="391" w:type="pct"/>
            <w:noWrap w:val="0"/>
            <w:vAlign w:val="center"/>
          </w:tcPr>
          <w:p w14:paraId="59541DEB">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bidi="ar"/>
              </w:rPr>
              <w:t>贝类</w:t>
            </w:r>
            <w:r>
              <w:rPr>
                <w:rStyle w:val="183"/>
                <w:rFonts w:hint="eastAsia" w:ascii="Times New Roman" w:hAnsi="Times New Roman" w:eastAsia="仿宋_GB2312" w:cs="Times New Roman"/>
                <w:color w:val="auto"/>
                <w:sz w:val="21"/>
                <w:szCs w:val="21"/>
                <w:highlight w:val="none"/>
                <w:lang w:val="en-US" w:eastAsia="zh-CN" w:bidi="ar"/>
              </w:rPr>
              <w:t>*</w:t>
            </w:r>
          </w:p>
        </w:tc>
        <w:tc>
          <w:tcPr>
            <w:tcW w:w="257" w:type="pct"/>
            <w:noWrap w:val="0"/>
            <w:vAlign w:val="center"/>
          </w:tcPr>
          <w:p w14:paraId="3A093A9E">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kern w:val="2"/>
                <w:sz w:val="21"/>
                <w:szCs w:val="21"/>
                <w:highlight w:val="none"/>
                <w:lang w:val="en-US" w:eastAsia="zh-CN" w:bidi="ar"/>
              </w:rPr>
              <w:t>高</w:t>
            </w:r>
          </w:p>
        </w:tc>
        <w:tc>
          <w:tcPr>
            <w:tcW w:w="1916" w:type="pct"/>
            <w:noWrap w:val="0"/>
            <w:vAlign w:val="center"/>
          </w:tcPr>
          <w:p w14:paraId="69166982">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镉（以Cd计）、氯霉素</w:t>
            </w:r>
          </w:p>
        </w:tc>
        <w:tc>
          <w:tcPr>
            <w:tcW w:w="1190" w:type="pct"/>
            <w:noWrap w:val="0"/>
            <w:vAlign w:val="center"/>
          </w:tcPr>
          <w:p w14:paraId="17666D44">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恩诺沙星、呋喃唑酮代谢物、氟苯尼考、磺胺类（总量）</w:t>
            </w:r>
          </w:p>
        </w:tc>
      </w:tr>
      <w:tr w14:paraId="2265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279" w:type="pct"/>
            <w:vMerge w:val="continue"/>
            <w:noWrap w:val="0"/>
            <w:vAlign w:val="center"/>
          </w:tcPr>
          <w:p w14:paraId="6F284451">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CEE4FA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139E0C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noWrap w:val="0"/>
            <w:vAlign w:val="center"/>
          </w:tcPr>
          <w:p w14:paraId="6B6000AA">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其他水产品</w:t>
            </w:r>
          </w:p>
        </w:tc>
        <w:tc>
          <w:tcPr>
            <w:tcW w:w="391" w:type="pct"/>
            <w:noWrap w:val="0"/>
            <w:vAlign w:val="center"/>
          </w:tcPr>
          <w:p w14:paraId="13AB4A73">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其他水</w:t>
            </w:r>
          </w:p>
          <w:p w14:paraId="0A49ECF3">
            <w:pPr>
              <w:widowControl/>
              <w:jc w:val="center"/>
              <w:textAlignment w:val="center"/>
              <w:rPr>
                <w:rFonts w:hint="eastAsia" w:ascii="Times New Roman" w:hAnsi="Times New Roman" w:eastAsia="仿宋_GB2312" w:cs="Times New Roman"/>
                <w:color w:val="auto"/>
                <w:szCs w:val="21"/>
                <w:highlight w:val="none"/>
                <w:lang w:val="en-US" w:eastAsia="zh-CN"/>
              </w:rPr>
            </w:pPr>
            <w:r>
              <w:rPr>
                <w:rStyle w:val="183"/>
                <w:rFonts w:hint="default" w:ascii="Times New Roman" w:hAnsi="Times New Roman" w:eastAsia="仿宋_GB2312" w:cs="Times New Roman"/>
                <w:color w:val="auto"/>
                <w:sz w:val="21"/>
                <w:szCs w:val="21"/>
                <w:highlight w:val="none"/>
                <w:lang w:bidi="ar"/>
              </w:rPr>
              <w:t>产品</w:t>
            </w:r>
            <w:r>
              <w:rPr>
                <w:rStyle w:val="183"/>
                <w:rFonts w:hint="eastAsia" w:ascii="Times New Roman" w:hAnsi="Times New Roman" w:eastAsia="仿宋_GB2312" w:cs="Times New Roman"/>
                <w:color w:val="auto"/>
                <w:sz w:val="21"/>
                <w:szCs w:val="21"/>
                <w:highlight w:val="none"/>
                <w:lang w:val="en-US" w:eastAsia="zh-CN" w:bidi="ar"/>
              </w:rPr>
              <w:t>*（恩诺沙星、氟苯尼考重点品种：牛蛙；镉重点品种：鱿鱼）</w:t>
            </w:r>
          </w:p>
        </w:tc>
        <w:tc>
          <w:tcPr>
            <w:tcW w:w="257" w:type="pct"/>
            <w:noWrap w:val="0"/>
            <w:vAlign w:val="center"/>
          </w:tcPr>
          <w:p w14:paraId="784085C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高</w:t>
            </w:r>
          </w:p>
        </w:tc>
        <w:tc>
          <w:tcPr>
            <w:tcW w:w="1916" w:type="pct"/>
            <w:noWrap w:val="0"/>
            <w:vAlign w:val="center"/>
          </w:tcPr>
          <w:p w14:paraId="34D6A4FB">
            <w:pPr>
              <w:widowControl/>
              <w:jc w:val="left"/>
              <w:textAlignment w:val="center"/>
              <w:rPr>
                <w:rFonts w:hint="eastAsia"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szCs w:val="21"/>
                <w:highlight w:val="none"/>
              </w:rPr>
              <w:t>恩诺沙星、氟苯尼考、氧氟沙星、呋喃唑酮代谢物</w:t>
            </w:r>
            <w:r>
              <w:rPr>
                <w:rFonts w:hint="eastAsia" w:ascii="Times New Roman" w:hAnsi="Times New Roman" w:eastAsia="仿宋_GB2312" w:cs="Times New Roman"/>
                <w:color w:val="auto"/>
                <w:szCs w:val="21"/>
                <w:highlight w:val="none"/>
                <w:lang w:eastAsia="zh-CN"/>
              </w:rPr>
              <w:t>、镉（以Cd计）</w:t>
            </w:r>
          </w:p>
        </w:tc>
        <w:tc>
          <w:tcPr>
            <w:tcW w:w="1190" w:type="pct"/>
            <w:noWrap w:val="0"/>
            <w:vAlign w:val="center"/>
          </w:tcPr>
          <w:p w14:paraId="0E90A99B">
            <w:pPr>
              <w:widowControl/>
              <w:jc w:val="left"/>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氯霉素、呋喃西林代谢物、诺氟沙星</w:t>
            </w:r>
          </w:p>
        </w:tc>
      </w:tr>
      <w:tr w14:paraId="356A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restart"/>
            <w:noWrap w:val="0"/>
            <w:vAlign w:val="center"/>
          </w:tcPr>
          <w:p w14:paraId="2CDBA07E">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4</w:t>
            </w:r>
          </w:p>
          <w:p w14:paraId="4DEEDF62">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restart"/>
            <w:noWrap w:val="0"/>
            <w:vAlign w:val="center"/>
          </w:tcPr>
          <w:p w14:paraId="64E405C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FD1693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B2D721B">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D42BEC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577920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25DA5A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800C4C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0534C32">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8BA0E3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29F636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5069F8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FAF983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768CB8F">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504B26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CA3041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69FA449">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水果类</w:t>
            </w:r>
          </w:p>
          <w:p w14:paraId="1241149D">
            <w:pPr>
              <w:pStyle w:val="180"/>
              <w:jc w:val="center"/>
              <w:rPr>
                <w:rStyle w:val="183"/>
                <w:rFonts w:hint="eastAsia" w:ascii="Times New Roman" w:hAnsi="Times New Roman" w:eastAsia="仿宋_GB2312" w:cs="Times New Roman"/>
                <w:color w:val="auto"/>
                <w:sz w:val="21"/>
                <w:szCs w:val="21"/>
                <w:highlight w:val="none"/>
                <w:lang w:eastAsia="zh-CN" w:bidi="ar"/>
              </w:rPr>
            </w:pPr>
          </w:p>
          <w:p w14:paraId="2C58D58B">
            <w:pPr>
              <w:pStyle w:val="180"/>
              <w:jc w:val="center"/>
              <w:rPr>
                <w:rStyle w:val="183"/>
                <w:rFonts w:hint="eastAsia" w:ascii="Times New Roman" w:hAnsi="Times New Roman" w:eastAsia="仿宋_GB2312" w:cs="Times New Roman"/>
                <w:color w:val="auto"/>
                <w:sz w:val="21"/>
                <w:szCs w:val="21"/>
                <w:highlight w:val="none"/>
                <w:lang w:eastAsia="zh-CN" w:bidi="ar"/>
              </w:rPr>
            </w:pPr>
          </w:p>
          <w:p w14:paraId="37FB5BC9">
            <w:pPr>
              <w:pStyle w:val="180"/>
              <w:jc w:val="center"/>
              <w:rPr>
                <w:rStyle w:val="183"/>
                <w:rFonts w:hint="eastAsia" w:ascii="Times New Roman" w:hAnsi="Times New Roman" w:eastAsia="仿宋_GB2312" w:cs="Times New Roman"/>
                <w:color w:val="auto"/>
                <w:sz w:val="21"/>
                <w:szCs w:val="21"/>
                <w:highlight w:val="none"/>
                <w:lang w:eastAsia="zh-CN" w:bidi="ar"/>
              </w:rPr>
            </w:pPr>
          </w:p>
          <w:p w14:paraId="1CA3460D">
            <w:pPr>
              <w:pStyle w:val="180"/>
              <w:jc w:val="center"/>
              <w:rPr>
                <w:rStyle w:val="183"/>
                <w:rFonts w:hint="eastAsia" w:ascii="Times New Roman" w:hAnsi="Times New Roman" w:eastAsia="仿宋_GB2312" w:cs="Times New Roman"/>
                <w:color w:val="auto"/>
                <w:sz w:val="21"/>
                <w:szCs w:val="21"/>
                <w:highlight w:val="none"/>
                <w:lang w:eastAsia="zh-CN" w:bidi="ar"/>
              </w:rPr>
            </w:pPr>
          </w:p>
          <w:p w14:paraId="2D2C0BB1">
            <w:pPr>
              <w:pStyle w:val="180"/>
              <w:jc w:val="center"/>
              <w:rPr>
                <w:rStyle w:val="183"/>
                <w:rFonts w:hint="eastAsia" w:ascii="Times New Roman" w:hAnsi="Times New Roman" w:eastAsia="仿宋_GB2312" w:cs="Times New Roman"/>
                <w:color w:val="auto"/>
                <w:sz w:val="21"/>
                <w:szCs w:val="21"/>
                <w:highlight w:val="none"/>
                <w:lang w:eastAsia="zh-CN" w:bidi="ar"/>
              </w:rPr>
            </w:pPr>
          </w:p>
          <w:p w14:paraId="6324A958">
            <w:pPr>
              <w:pStyle w:val="180"/>
              <w:jc w:val="center"/>
              <w:rPr>
                <w:rStyle w:val="183"/>
                <w:rFonts w:hint="eastAsia" w:ascii="Times New Roman" w:hAnsi="Times New Roman" w:eastAsia="仿宋_GB2312" w:cs="Times New Roman"/>
                <w:color w:val="auto"/>
                <w:sz w:val="21"/>
                <w:szCs w:val="21"/>
                <w:highlight w:val="none"/>
                <w:lang w:eastAsia="zh-CN" w:bidi="ar"/>
              </w:rPr>
            </w:pPr>
          </w:p>
          <w:p w14:paraId="17795102">
            <w:pPr>
              <w:pStyle w:val="180"/>
              <w:jc w:val="center"/>
              <w:rPr>
                <w:rStyle w:val="183"/>
                <w:rFonts w:hint="eastAsia" w:ascii="Times New Roman" w:hAnsi="Times New Roman" w:eastAsia="仿宋_GB2312" w:cs="Times New Roman"/>
                <w:color w:val="auto"/>
                <w:sz w:val="21"/>
                <w:szCs w:val="21"/>
                <w:highlight w:val="none"/>
                <w:lang w:eastAsia="zh-CN" w:bidi="ar"/>
              </w:rPr>
            </w:pPr>
          </w:p>
          <w:p w14:paraId="2331F36C">
            <w:pPr>
              <w:pStyle w:val="180"/>
              <w:jc w:val="center"/>
              <w:rPr>
                <w:rStyle w:val="183"/>
                <w:rFonts w:hint="eastAsia" w:ascii="Times New Roman" w:hAnsi="Times New Roman" w:eastAsia="仿宋_GB2312" w:cs="Times New Roman"/>
                <w:color w:val="auto"/>
                <w:sz w:val="21"/>
                <w:szCs w:val="21"/>
                <w:highlight w:val="none"/>
                <w:lang w:eastAsia="zh-CN" w:bidi="ar"/>
              </w:rPr>
            </w:pPr>
          </w:p>
          <w:p w14:paraId="21F9CC38">
            <w:pPr>
              <w:pStyle w:val="180"/>
              <w:jc w:val="center"/>
              <w:rPr>
                <w:rStyle w:val="183"/>
                <w:rFonts w:hint="eastAsia" w:ascii="Times New Roman" w:hAnsi="Times New Roman" w:eastAsia="仿宋_GB2312" w:cs="Times New Roman"/>
                <w:color w:val="auto"/>
                <w:sz w:val="21"/>
                <w:szCs w:val="21"/>
                <w:highlight w:val="none"/>
                <w:lang w:eastAsia="zh-CN" w:bidi="ar"/>
              </w:rPr>
            </w:pPr>
          </w:p>
          <w:p w14:paraId="7D8A4B5C">
            <w:pPr>
              <w:pStyle w:val="180"/>
              <w:jc w:val="center"/>
              <w:rPr>
                <w:rStyle w:val="183"/>
                <w:rFonts w:hint="eastAsia" w:ascii="Times New Roman" w:hAnsi="Times New Roman" w:eastAsia="仿宋_GB2312" w:cs="Times New Roman"/>
                <w:color w:val="auto"/>
                <w:sz w:val="21"/>
                <w:szCs w:val="21"/>
                <w:highlight w:val="none"/>
                <w:lang w:eastAsia="zh-CN" w:bidi="ar"/>
              </w:rPr>
            </w:pPr>
          </w:p>
          <w:p w14:paraId="12CAAD6C">
            <w:pPr>
              <w:pStyle w:val="180"/>
              <w:jc w:val="center"/>
              <w:rPr>
                <w:rStyle w:val="183"/>
                <w:rFonts w:hint="eastAsia" w:ascii="Times New Roman" w:hAnsi="Times New Roman" w:eastAsia="仿宋_GB2312" w:cs="Times New Roman"/>
                <w:color w:val="auto"/>
                <w:sz w:val="21"/>
                <w:szCs w:val="21"/>
                <w:highlight w:val="none"/>
                <w:lang w:eastAsia="zh-CN" w:bidi="ar"/>
              </w:rPr>
            </w:pPr>
          </w:p>
          <w:p w14:paraId="2E86B91D">
            <w:pPr>
              <w:pStyle w:val="180"/>
              <w:jc w:val="center"/>
              <w:rPr>
                <w:rStyle w:val="183"/>
                <w:rFonts w:hint="eastAsia" w:ascii="Times New Roman" w:hAnsi="Times New Roman" w:eastAsia="仿宋_GB2312" w:cs="Times New Roman"/>
                <w:color w:val="auto"/>
                <w:sz w:val="21"/>
                <w:szCs w:val="21"/>
                <w:highlight w:val="none"/>
                <w:lang w:eastAsia="zh-CN" w:bidi="ar"/>
              </w:rPr>
            </w:pPr>
          </w:p>
          <w:p w14:paraId="02ACA5E0">
            <w:pPr>
              <w:pStyle w:val="180"/>
              <w:jc w:val="center"/>
              <w:rPr>
                <w:rStyle w:val="183"/>
                <w:rFonts w:hint="eastAsia" w:ascii="Times New Roman" w:hAnsi="Times New Roman" w:eastAsia="仿宋_GB2312" w:cs="Times New Roman"/>
                <w:color w:val="auto"/>
                <w:sz w:val="21"/>
                <w:szCs w:val="21"/>
                <w:highlight w:val="none"/>
                <w:lang w:eastAsia="zh-CN" w:bidi="ar"/>
              </w:rPr>
            </w:pPr>
          </w:p>
          <w:p w14:paraId="01023799">
            <w:pPr>
              <w:pStyle w:val="180"/>
              <w:jc w:val="center"/>
              <w:rPr>
                <w:rStyle w:val="183"/>
                <w:rFonts w:hint="eastAsia" w:ascii="Times New Roman" w:hAnsi="Times New Roman" w:eastAsia="仿宋_GB2312" w:cs="Times New Roman"/>
                <w:color w:val="auto"/>
                <w:sz w:val="21"/>
                <w:szCs w:val="21"/>
                <w:highlight w:val="none"/>
                <w:lang w:eastAsia="zh-CN" w:bidi="ar"/>
              </w:rPr>
            </w:pPr>
          </w:p>
          <w:p w14:paraId="52D7EE19">
            <w:pPr>
              <w:pStyle w:val="180"/>
              <w:jc w:val="center"/>
              <w:rPr>
                <w:rStyle w:val="183"/>
                <w:rFonts w:hint="eastAsia" w:ascii="Times New Roman" w:hAnsi="Times New Roman" w:eastAsia="仿宋_GB2312" w:cs="Times New Roman"/>
                <w:color w:val="auto"/>
                <w:sz w:val="21"/>
                <w:szCs w:val="21"/>
                <w:highlight w:val="none"/>
                <w:lang w:eastAsia="zh-CN" w:bidi="ar"/>
              </w:rPr>
            </w:pPr>
          </w:p>
          <w:p w14:paraId="4991EBC0">
            <w:pPr>
              <w:pStyle w:val="180"/>
              <w:jc w:val="center"/>
              <w:rPr>
                <w:rStyle w:val="183"/>
                <w:rFonts w:hint="eastAsia" w:ascii="Times New Roman" w:hAnsi="Times New Roman" w:eastAsia="仿宋_GB2312" w:cs="Times New Roman"/>
                <w:color w:val="auto"/>
                <w:sz w:val="21"/>
                <w:szCs w:val="21"/>
                <w:highlight w:val="none"/>
                <w:lang w:eastAsia="zh-CN" w:bidi="ar"/>
              </w:rPr>
            </w:pPr>
          </w:p>
          <w:p w14:paraId="0AC459F7">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B5F0035">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4897F0C9">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69E40919">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6911EAE7">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291D7270">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1191660D">
            <w:pPr>
              <w:pStyle w:val="180"/>
              <w:ind w:left="0" w:leftChars="0" w:firstLine="0" w:firstLineChars="0"/>
              <w:jc w:val="center"/>
              <w:rPr>
                <w:rStyle w:val="183"/>
                <w:rFonts w:hint="eastAsia" w:ascii="Times New Roman" w:hAnsi="Times New Roman" w:eastAsia="仿宋_GB2312" w:cs="Times New Roman"/>
                <w:color w:val="auto"/>
                <w:sz w:val="21"/>
                <w:szCs w:val="21"/>
                <w:highlight w:val="none"/>
                <w:lang w:eastAsia="zh-CN" w:bidi="ar"/>
              </w:rPr>
            </w:pPr>
          </w:p>
          <w:p w14:paraId="3092DFC5">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3D23982C">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1163EC8B">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6283DD98">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5F2F9614">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6CC57797">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7DED069F">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191DD0CE">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470BD67C">
            <w:pPr>
              <w:pStyle w:val="180"/>
              <w:ind w:left="0" w:leftChars="0" w:firstLine="210" w:firstLineChars="100"/>
              <w:jc w:val="both"/>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水果类</w:t>
            </w:r>
          </w:p>
          <w:p w14:paraId="1FA329BC">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64EE1296">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4D0AC190">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55137D2C">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014F7DF7">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5E2EA264">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78434187">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291C4606">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297A42FC">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248F3101">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79A6FD30">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49F56EA7">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270793B5">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42FEF38A">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42061056">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0F85B739">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7326C4F2">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519950B3">
            <w:pPr>
              <w:pStyle w:val="180"/>
              <w:ind w:left="0" w:leftChars="0" w:firstLine="210" w:firstLineChars="100"/>
              <w:jc w:val="center"/>
              <w:rPr>
                <w:rStyle w:val="183"/>
                <w:rFonts w:hint="eastAsia" w:ascii="Times New Roman" w:hAnsi="Times New Roman" w:eastAsia="仿宋_GB2312" w:cs="Times New Roman"/>
                <w:color w:val="auto"/>
                <w:sz w:val="21"/>
                <w:szCs w:val="21"/>
                <w:highlight w:val="none"/>
                <w:lang w:eastAsia="zh-CN" w:bidi="ar"/>
              </w:rPr>
            </w:pPr>
          </w:p>
          <w:p w14:paraId="3E9FE8D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4B8AEDC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7AF2431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6B60548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3F7662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704F91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水果类</w:t>
            </w:r>
          </w:p>
        </w:tc>
        <w:tc>
          <w:tcPr>
            <w:tcW w:w="315" w:type="pct"/>
            <w:vMerge w:val="restart"/>
            <w:noWrap w:val="0"/>
            <w:vAlign w:val="center"/>
          </w:tcPr>
          <w:p w14:paraId="6BBE669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水果类</w:t>
            </w:r>
          </w:p>
        </w:tc>
        <w:tc>
          <w:tcPr>
            <w:tcW w:w="274" w:type="pct"/>
            <w:vMerge w:val="restart"/>
            <w:noWrap w:val="0"/>
            <w:vAlign w:val="center"/>
          </w:tcPr>
          <w:p w14:paraId="241D4C6B">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仁果类水果</w:t>
            </w:r>
          </w:p>
        </w:tc>
        <w:tc>
          <w:tcPr>
            <w:tcW w:w="391" w:type="pct"/>
            <w:noWrap w:val="0"/>
            <w:vAlign w:val="center"/>
          </w:tcPr>
          <w:p w14:paraId="37FCA5AD">
            <w:pPr>
              <w:widowControl/>
              <w:jc w:val="center"/>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苹果</w:t>
            </w:r>
          </w:p>
        </w:tc>
        <w:tc>
          <w:tcPr>
            <w:tcW w:w="257" w:type="pct"/>
            <w:noWrap w:val="0"/>
            <w:vAlign w:val="center"/>
          </w:tcPr>
          <w:p w14:paraId="139F533E">
            <w:pPr>
              <w:widowControl/>
              <w:jc w:val="center"/>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较高</w:t>
            </w:r>
          </w:p>
        </w:tc>
        <w:tc>
          <w:tcPr>
            <w:tcW w:w="1916" w:type="pct"/>
            <w:noWrap w:val="0"/>
            <w:vAlign w:val="center"/>
          </w:tcPr>
          <w:p w14:paraId="7674FF12">
            <w:pPr>
              <w:widowControl/>
              <w:jc w:val="both"/>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rPr>
              <w:t>敌敌畏、甲拌磷、克百威、氧乐果、三氯杀螨醇</w:t>
            </w:r>
          </w:p>
        </w:tc>
        <w:tc>
          <w:tcPr>
            <w:tcW w:w="1190" w:type="pct"/>
            <w:noWrap w:val="0"/>
            <w:vAlign w:val="center"/>
          </w:tcPr>
          <w:p w14:paraId="247A3F16">
            <w:pPr>
              <w:widowControl/>
              <w:jc w:val="both"/>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rPr>
              <w:t>/</w:t>
            </w:r>
          </w:p>
        </w:tc>
      </w:tr>
      <w:tr w14:paraId="0753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79" w:type="pct"/>
            <w:vMerge w:val="continue"/>
            <w:noWrap w:val="0"/>
            <w:vAlign w:val="center"/>
          </w:tcPr>
          <w:p w14:paraId="68C95D2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730BD7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4224A69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17E9530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top"/>
          </w:tcPr>
          <w:p w14:paraId="38300825">
            <w:pPr>
              <w:pStyle w:val="179"/>
              <w:spacing w:before="212" w:line="222" w:lineRule="auto"/>
              <w:jc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梨*</w:t>
            </w:r>
          </w:p>
        </w:tc>
        <w:tc>
          <w:tcPr>
            <w:tcW w:w="257" w:type="pct"/>
            <w:noWrap w:val="0"/>
            <w:vAlign w:val="top"/>
          </w:tcPr>
          <w:p w14:paraId="73979DDE">
            <w:pPr>
              <w:spacing w:before="212" w:line="222" w:lineRule="auto"/>
              <w:jc w:val="center"/>
              <w:rPr>
                <w:rFonts w:hint="default" w:ascii="Times New Roman" w:hAnsi="Times New Roman" w:eastAsia="仿宋_GB2312" w:cs="Times New Roman"/>
                <w:color w:val="auto"/>
                <w:kern w:val="2"/>
                <w:sz w:val="21"/>
                <w:szCs w:val="21"/>
                <w:highlight w:val="none"/>
                <w:lang w:val="en-US" w:eastAsia="zh-CN" w:bidi="ar-SA"/>
              </w:rPr>
            </w:pPr>
            <w:r>
              <w:rPr>
                <w:rFonts w:hint="eastAsia" w:ascii="Times New Roman" w:hAnsi="Times New Roman" w:eastAsia="仿宋_GB2312" w:cs="Times New Roman"/>
                <w:color w:val="auto"/>
                <w:kern w:val="2"/>
                <w:sz w:val="21"/>
                <w:szCs w:val="21"/>
                <w:highlight w:val="none"/>
                <w:lang w:val="en-US" w:eastAsia="zh-CN" w:bidi="ar-SA"/>
              </w:rPr>
              <w:t>较</w:t>
            </w:r>
            <w:r>
              <w:rPr>
                <w:rFonts w:hint="default" w:ascii="Times New Roman" w:hAnsi="Times New Roman" w:eastAsia="仿宋_GB2312" w:cs="Times New Roman"/>
                <w:color w:val="auto"/>
                <w:kern w:val="2"/>
                <w:sz w:val="21"/>
                <w:szCs w:val="21"/>
                <w:highlight w:val="none"/>
                <w:lang w:val="en-US" w:eastAsia="zh-CN" w:bidi="ar-SA"/>
              </w:rPr>
              <w:t>高</w:t>
            </w:r>
          </w:p>
        </w:tc>
        <w:tc>
          <w:tcPr>
            <w:tcW w:w="1916" w:type="pct"/>
            <w:noWrap w:val="0"/>
            <w:vAlign w:val="center"/>
          </w:tcPr>
          <w:p w14:paraId="4631114A">
            <w:pPr>
              <w:spacing w:before="62" w:line="246" w:lineRule="auto"/>
              <w:ind w:right="147" w:rightChars="0"/>
              <w:jc w:val="both"/>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乙螨唑、咪鲜胺和咪鲜胺锰盐、苯醚甲环唑、氯氟氰菊酯和高效氯氟氰菊酯</w:t>
            </w:r>
          </w:p>
        </w:tc>
        <w:tc>
          <w:tcPr>
            <w:tcW w:w="1190" w:type="pct"/>
            <w:noWrap w:val="0"/>
            <w:vAlign w:val="center"/>
          </w:tcPr>
          <w:p w14:paraId="761C426F">
            <w:pPr>
              <w:spacing w:before="61" w:line="222" w:lineRule="auto"/>
              <w:jc w:val="both"/>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阿维菌素、氧乐果</w:t>
            </w:r>
          </w:p>
        </w:tc>
      </w:tr>
      <w:tr w14:paraId="0CC3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79" w:type="pct"/>
            <w:vMerge w:val="continue"/>
            <w:noWrap w:val="0"/>
            <w:vAlign w:val="center"/>
          </w:tcPr>
          <w:p w14:paraId="597875F0">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79342C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05F2474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0EE7B55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7AEF24F">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枇杷</w:t>
            </w:r>
          </w:p>
        </w:tc>
        <w:tc>
          <w:tcPr>
            <w:tcW w:w="257" w:type="pct"/>
            <w:noWrap w:val="0"/>
            <w:vAlign w:val="center"/>
          </w:tcPr>
          <w:p w14:paraId="24C499D1">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78A340CD">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甲胺磷、氧乐果、水胺硫磷、氯氰菊酯和高效氯氰菊</w:t>
            </w:r>
          </w:p>
        </w:tc>
        <w:tc>
          <w:tcPr>
            <w:tcW w:w="1190" w:type="pct"/>
            <w:noWrap w:val="0"/>
            <w:vAlign w:val="center"/>
          </w:tcPr>
          <w:p w14:paraId="0DC5C532">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w:t>
            </w:r>
          </w:p>
        </w:tc>
      </w:tr>
      <w:tr w14:paraId="0331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279" w:type="pct"/>
            <w:vMerge w:val="continue"/>
            <w:noWrap w:val="0"/>
            <w:vAlign w:val="center"/>
          </w:tcPr>
          <w:p w14:paraId="0461F55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39D422B">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738D4EDB">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restart"/>
            <w:noWrap w:val="0"/>
            <w:vAlign w:val="center"/>
          </w:tcPr>
          <w:p w14:paraId="02D0A263">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核果类水果</w:t>
            </w:r>
          </w:p>
        </w:tc>
        <w:tc>
          <w:tcPr>
            <w:tcW w:w="391" w:type="pct"/>
            <w:noWrap w:val="0"/>
            <w:vAlign w:val="center"/>
          </w:tcPr>
          <w:p w14:paraId="3E408286">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枣</w:t>
            </w:r>
          </w:p>
        </w:tc>
        <w:tc>
          <w:tcPr>
            <w:tcW w:w="257" w:type="pct"/>
            <w:noWrap w:val="0"/>
            <w:vAlign w:val="center"/>
          </w:tcPr>
          <w:p w14:paraId="3907C1D3">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721ED1BE">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氧乐果、氟虫腈、多菌灵、糖精钠（以糖精计）、甜蜜素（以环己基氨基磺酸计）</w:t>
            </w:r>
          </w:p>
        </w:tc>
        <w:tc>
          <w:tcPr>
            <w:tcW w:w="1190" w:type="pct"/>
            <w:noWrap w:val="0"/>
            <w:vAlign w:val="center"/>
          </w:tcPr>
          <w:p w14:paraId="434309E3">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w:t>
            </w:r>
          </w:p>
        </w:tc>
      </w:tr>
      <w:tr w14:paraId="0CF8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79" w:type="pct"/>
            <w:vMerge w:val="continue"/>
            <w:noWrap w:val="0"/>
            <w:vAlign w:val="center"/>
          </w:tcPr>
          <w:p w14:paraId="07EBF949">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79C62D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41D3EBA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30C2C5C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1106DE4">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桃</w:t>
            </w:r>
          </w:p>
        </w:tc>
        <w:tc>
          <w:tcPr>
            <w:tcW w:w="257" w:type="pct"/>
            <w:noWrap w:val="0"/>
            <w:vAlign w:val="center"/>
          </w:tcPr>
          <w:p w14:paraId="7051C6A4">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42FD2499">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克百威、氯氟氰菊酯和高效氯氟氰菊酯、苯醚甲环唑、噻虫胺、多菌灵、甲氨基阿维菌素苯甲酸盐</w:t>
            </w:r>
          </w:p>
        </w:tc>
        <w:tc>
          <w:tcPr>
            <w:tcW w:w="1190" w:type="pct"/>
            <w:noWrap w:val="0"/>
            <w:vAlign w:val="center"/>
          </w:tcPr>
          <w:p w14:paraId="0098C15F">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溴氰菊酯、吡虫啉</w:t>
            </w:r>
          </w:p>
        </w:tc>
      </w:tr>
      <w:tr w14:paraId="1E23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79" w:type="pct"/>
            <w:vMerge w:val="continue"/>
            <w:noWrap w:val="0"/>
            <w:vAlign w:val="center"/>
          </w:tcPr>
          <w:p w14:paraId="156B54EB">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9CE5B7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1E78268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634AE19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891088E">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油桃*</w:t>
            </w:r>
          </w:p>
        </w:tc>
        <w:tc>
          <w:tcPr>
            <w:tcW w:w="257" w:type="pct"/>
            <w:noWrap w:val="0"/>
            <w:vAlign w:val="center"/>
          </w:tcPr>
          <w:p w14:paraId="128D942D">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35886F11">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噻虫胺、克百威</w:t>
            </w:r>
          </w:p>
        </w:tc>
        <w:tc>
          <w:tcPr>
            <w:tcW w:w="1190" w:type="pct"/>
            <w:noWrap w:val="0"/>
            <w:vAlign w:val="center"/>
          </w:tcPr>
          <w:p w14:paraId="04F9D678">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甲胺磷、氧乐果、敌敌畏、苯醚甲环唑</w:t>
            </w:r>
          </w:p>
        </w:tc>
      </w:tr>
      <w:tr w14:paraId="719A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79" w:type="pct"/>
            <w:vMerge w:val="continue"/>
            <w:noWrap w:val="0"/>
            <w:vAlign w:val="center"/>
          </w:tcPr>
          <w:p w14:paraId="0BD418C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F34984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4FE3348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10513D2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649E3718">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李子</w:t>
            </w:r>
          </w:p>
        </w:tc>
        <w:tc>
          <w:tcPr>
            <w:tcW w:w="257" w:type="pct"/>
            <w:noWrap w:val="0"/>
            <w:vAlign w:val="center"/>
          </w:tcPr>
          <w:p w14:paraId="32355529">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75F5C736">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苯醚甲环唑、多菌灵、氯氟氰菊酯和高效氯氟氰菊酯、水胺硫磷、克百威</w:t>
            </w:r>
          </w:p>
        </w:tc>
        <w:tc>
          <w:tcPr>
            <w:tcW w:w="1190" w:type="pct"/>
            <w:noWrap w:val="0"/>
            <w:vAlign w:val="center"/>
          </w:tcPr>
          <w:p w14:paraId="7EE5F9EC">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w:t>
            </w:r>
          </w:p>
        </w:tc>
      </w:tr>
      <w:tr w14:paraId="7DBC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279" w:type="pct"/>
            <w:vMerge w:val="continue"/>
            <w:noWrap w:val="0"/>
            <w:vAlign w:val="center"/>
          </w:tcPr>
          <w:p w14:paraId="6EBAFD1D">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4B9144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5826CAD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continue"/>
            <w:noWrap w:val="0"/>
            <w:vAlign w:val="center"/>
          </w:tcPr>
          <w:p w14:paraId="1606BD8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E9D8871">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樱桃</w:t>
            </w:r>
          </w:p>
        </w:tc>
        <w:tc>
          <w:tcPr>
            <w:tcW w:w="257" w:type="pct"/>
            <w:noWrap w:val="0"/>
            <w:vAlign w:val="center"/>
          </w:tcPr>
          <w:p w14:paraId="07C9130C">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632D016F">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氟虫腈、啶虫脒、克百威、氧乐果、噻虫胺、噻虫嗪</w:t>
            </w:r>
          </w:p>
        </w:tc>
        <w:tc>
          <w:tcPr>
            <w:tcW w:w="1190" w:type="pct"/>
            <w:noWrap w:val="0"/>
            <w:vAlign w:val="center"/>
          </w:tcPr>
          <w:p w14:paraId="417CA0F1">
            <w:pPr>
              <w:widowControl/>
              <w:jc w:val="both"/>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w:t>
            </w:r>
          </w:p>
        </w:tc>
      </w:tr>
      <w:tr w14:paraId="394E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79" w:type="pct"/>
            <w:vMerge w:val="continue"/>
            <w:noWrap w:val="0"/>
            <w:vAlign w:val="center"/>
          </w:tcPr>
          <w:p w14:paraId="1C87E891">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C76282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60F3FA1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restart"/>
            <w:noWrap w:val="0"/>
            <w:vAlign w:val="center"/>
          </w:tcPr>
          <w:p w14:paraId="39901389">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柑橘类水果</w:t>
            </w:r>
          </w:p>
        </w:tc>
        <w:tc>
          <w:tcPr>
            <w:tcW w:w="391" w:type="pct"/>
            <w:noWrap w:val="0"/>
            <w:vAlign w:val="center"/>
          </w:tcPr>
          <w:p w14:paraId="06FA9E49">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柑、橘*</w:t>
            </w:r>
          </w:p>
        </w:tc>
        <w:tc>
          <w:tcPr>
            <w:tcW w:w="257" w:type="pct"/>
            <w:noWrap w:val="0"/>
            <w:vAlign w:val="center"/>
          </w:tcPr>
          <w:p w14:paraId="0CE2D312">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1C5B7702">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联苯菊酯、苯醚甲环唑、丙溴磷、2</w:t>
            </w:r>
            <w:r>
              <w:rPr>
                <w:rFonts w:hint="eastAsia" w:ascii="Times New Roman" w:hAnsi="Times New Roman"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rPr>
              <w:t>4</w:t>
            </w:r>
            <w:r>
              <w:rPr>
                <w:rFonts w:hint="eastAsia" w:ascii="Times New Roman" w:hAnsi="Times New Roman" w:eastAsia="仿宋_GB2312" w:cs="Times New Roman"/>
                <w:color w:val="auto"/>
                <w:szCs w:val="21"/>
                <w:highlight w:val="none"/>
                <w:lang w:eastAsia="zh-CN"/>
              </w:rPr>
              <w:t>－</w:t>
            </w:r>
            <w:r>
              <w:rPr>
                <w:rFonts w:hint="default" w:ascii="Times New Roman" w:hAnsi="Times New Roman" w:eastAsia="仿宋_GB2312" w:cs="Times New Roman"/>
                <w:color w:val="auto"/>
                <w:szCs w:val="21"/>
                <w:highlight w:val="none"/>
              </w:rPr>
              <w:t>滴和2</w:t>
            </w:r>
            <w:r>
              <w:rPr>
                <w:rFonts w:hint="eastAsia" w:ascii="Times New Roman" w:hAnsi="Times New Roman"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rPr>
              <w:t>4-滴钠盐、氯氟氰菊酯和高效氯氟氰菊酯、三唑磷</w:t>
            </w:r>
          </w:p>
        </w:tc>
        <w:tc>
          <w:tcPr>
            <w:tcW w:w="1190" w:type="pct"/>
            <w:noWrap w:val="0"/>
            <w:vAlign w:val="center"/>
          </w:tcPr>
          <w:p w14:paraId="03EBD43C">
            <w:pPr>
              <w:widowControl/>
              <w:jc w:val="left"/>
              <w:textAlignment w:val="center"/>
              <w:rPr>
                <w:rStyle w:val="184"/>
                <w:rFonts w:hint="default" w:ascii="Times New Roman" w:hAnsi="Times New Roman" w:eastAsia="仿宋_GB2312" w:cs="Times New Roman"/>
                <w:color w:val="auto"/>
                <w:sz w:val="21"/>
                <w:szCs w:val="21"/>
                <w:highlight w:val="none"/>
                <w:lang w:bidi="ar"/>
              </w:rPr>
            </w:pPr>
            <w:r>
              <w:rPr>
                <w:rStyle w:val="184"/>
                <w:rFonts w:hint="default" w:ascii="Times New Roman" w:hAnsi="Times New Roman" w:eastAsia="仿宋_GB2312" w:cs="Times New Roman"/>
                <w:color w:val="auto"/>
                <w:sz w:val="21"/>
                <w:szCs w:val="21"/>
                <w:highlight w:val="none"/>
                <w:lang w:bidi="ar"/>
              </w:rPr>
              <w:t>氯唑磷、克百威、噻虫胺</w:t>
            </w:r>
          </w:p>
        </w:tc>
      </w:tr>
      <w:tr w14:paraId="0994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79" w:type="pct"/>
            <w:vMerge w:val="continue"/>
            <w:noWrap w:val="0"/>
            <w:vAlign w:val="center"/>
          </w:tcPr>
          <w:p w14:paraId="43660396">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2767DE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5BCA3A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48435C9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03B3CBF1">
            <w:pPr>
              <w:widowControl/>
              <w:jc w:val="center"/>
              <w:textAlignment w:val="center"/>
              <w:rPr>
                <w:rFonts w:hint="default"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柚</w:t>
            </w:r>
          </w:p>
        </w:tc>
        <w:tc>
          <w:tcPr>
            <w:tcW w:w="257" w:type="pct"/>
            <w:noWrap w:val="0"/>
            <w:vAlign w:val="center"/>
          </w:tcPr>
          <w:p w14:paraId="6957FE94">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40D90F2A">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水胺硫磷、联苯菊酯、氯氟氰菊酯和高效氯氟氰菊酯、氯唑磷、毒死蜱、噻虫胺</w:t>
            </w:r>
          </w:p>
        </w:tc>
        <w:tc>
          <w:tcPr>
            <w:tcW w:w="1190" w:type="pct"/>
            <w:noWrap w:val="0"/>
            <w:vAlign w:val="center"/>
          </w:tcPr>
          <w:p w14:paraId="119C1974">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多菌灵、克百威</w:t>
            </w:r>
          </w:p>
        </w:tc>
      </w:tr>
      <w:tr w14:paraId="56BE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279" w:type="pct"/>
            <w:vMerge w:val="continue"/>
            <w:noWrap w:val="0"/>
            <w:vAlign w:val="center"/>
          </w:tcPr>
          <w:p w14:paraId="5BF7055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436709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31F5C5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3892042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850C19C">
            <w:pPr>
              <w:widowControl/>
              <w:jc w:val="center"/>
              <w:textAlignment w:val="center"/>
              <w:rPr>
                <w:rFonts w:hint="eastAsia" w:ascii="Times New Roman" w:hAnsi="Times New Roman" w:eastAsia="仿宋_GB2312" w:cs="Times New Roman"/>
                <w:color w:val="auto"/>
                <w:kern w:val="2"/>
                <w:sz w:val="21"/>
                <w:szCs w:val="21"/>
                <w:highlight w:val="none"/>
                <w:lang w:val="en-US" w:eastAsia="zh-CN" w:bidi="ar-SA"/>
              </w:rPr>
            </w:pPr>
            <w:r>
              <w:rPr>
                <w:rFonts w:hint="default" w:ascii="Times New Roman" w:hAnsi="Times New Roman" w:eastAsia="仿宋_GB2312" w:cs="Times New Roman"/>
                <w:color w:val="auto"/>
                <w:kern w:val="2"/>
                <w:sz w:val="21"/>
                <w:szCs w:val="21"/>
                <w:highlight w:val="none"/>
                <w:lang w:val="en-US" w:eastAsia="zh-CN" w:bidi="ar-SA"/>
              </w:rPr>
              <w:t>柠檬</w:t>
            </w:r>
          </w:p>
        </w:tc>
        <w:tc>
          <w:tcPr>
            <w:tcW w:w="257" w:type="pct"/>
            <w:noWrap w:val="0"/>
            <w:vAlign w:val="center"/>
          </w:tcPr>
          <w:p w14:paraId="5C5768F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140FBE4B">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联苯菊酯、多菌灵、克百威、水胺硫磷、乙螨唑、氯唑磷</w:t>
            </w:r>
          </w:p>
        </w:tc>
        <w:tc>
          <w:tcPr>
            <w:tcW w:w="1190" w:type="pct"/>
            <w:noWrap w:val="0"/>
            <w:vAlign w:val="center"/>
          </w:tcPr>
          <w:p w14:paraId="02CC3919">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毒死蜱</w:t>
            </w:r>
          </w:p>
        </w:tc>
      </w:tr>
      <w:tr w14:paraId="6723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406772FC">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FCC540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46BC098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461BD73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3C58C015">
            <w:pPr>
              <w:widowControl/>
              <w:jc w:val="center"/>
              <w:textAlignment w:val="center"/>
              <w:rPr>
                <w:rFonts w:hint="eastAsia" w:ascii="Times New Roman" w:hAnsi="Times New Roman" w:eastAsia="仿宋_GB2312" w:cs="Times New Roman"/>
                <w:color w:val="auto"/>
                <w:szCs w:val="21"/>
                <w:highlight w:val="none"/>
                <w:lang w:eastAsia="zh-CN"/>
              </w:rPr>
            </w:pPr>
            <w:r>
              <w:rPr>
                <w:rFonts w:hint="eastAsia" w:ascii="Times New Roman" w:hAnsi="Times New Roman" w:eastAsia="仿宋_GB2312" w:cs="Times New Roman"/>
                <w:color w:val="auto"/>
                <w:szCs w:val="21"/>
                <w:highlight w:val="none"/>
                <w:lang w:eastAsia="zh-CN"/>
              </w:rPr>
              <w:t>橙*</w:t>
            </w:r>
          </w:p>
        </w:tc>
        <w:tc>
          <w:tcPr>
            <w:tcW w:w="257" w:type="pct"/>
            <w:noWrap w:val="0"/>
            <w:vAlign w:val="center"/>
          </w:tcPr>
          <w:p w14:paraId="3828EA5B">
            <w:pPr>
              <w:widowControl/>
              <w:jc w:val="center"/>
              <w:textAlignment w:val="center"/>
              <w:rPr>
                <w:rFonts w:hint="eastAsia"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2B01FB53">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氯唑磷、联苯菊酯、苯醚甲环唑、丙溴磷、2</w:t>
            </w:r>
            <w:r>
              <w:rPr>
                <w:rFonts w:hint="eastAsia" w:ascii="Times New Roman" w:hAnsi="Times New Roman"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rPr>
              <w:t>4-滴和2</w:t>
            </w:r>
            <w:r>
              <w:rPr>
                <w:rFonts w:hint="eastAsia" w:ascii="Times New Roman" w:hAnsi="Times New Roman" w:eastAsia="仿宋_GB2312" w:cs="Times New Roman"/>
                <w:color w:val="auto"/>
                <w:szCs w:val="21"/>
                <w:highlight w:val="none"/>
                <w:lang w:val="en-US" w:eastAsia="zh-CN"/>
              </w:rPr>
              <w:t>.</w:t>
            </w:r>
            <w:r>
              <w:rPr>
                <w:rFonts w:hint="default" w:ascii="Times New Roman" w:hAnsi="Times New Roman" w:eastAsia="仿宋_GB2312" w:cs="Times New Roman"/>
                <w:color w:val="auto"/>
                <w:szCs w:val="21"/>
                <w:highlight w:val="none"/>
              </w:rPr>
              <w:t>4</w:t>
            </w:r>
            <w:r>
              <w:rPr>
                <w:rFonts w:hint="eastAsia" w:ascii="Times New Roman" w:hAnsi="Times New Roman" w:eastAsia="仿宋_GB2312" w:cs="Times New Roman"/>
                <w:color w:val="auto"/>
                <w:szCs w:val="21"/>
                <w:highlight w:val="none"/>
                <w:lang w:eastAsia="zh-CN"/>
              </w:rPr>
              <w:t>－</w:t>
            </w:r>
            <w:r>
              <w:rPr>
                <w:rFonts w:hint="default" w:ascii="Times New Roman" w:hAnsi="Times New Roman" w:eastAsia="仿宋_GB2312" w:cs="Times New Roman"/>
                <w:color w:val="auto"/>
                <w:szCs w:val="21"/>
                <w:highlight w:val="none"/>
              </w:rPr>
              <w:t>滴钠盐</w:t>
            </w:r>
          </w:p>
        </w:tc>
        <w:tc>
          <w:tcPr>
            <w:tcW w:w="1190" w:type="pct"/>
            <w:noWrap w:val="0"/>
            <w:vAlign w:val="center"/>
          </w:tcPr>
          <w:p w14:paraId="22BF5709">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克百威、 三唑磷</w:t>
            </w:r>
          </w:p>
        </w:tc>
      </w:tr>
      <w:tr w14:paraId="21F8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79" w:type="pct"/>
            <w:vMerge w:val="continue"/>
            <w:noWrap w:val="0"/>
            <w:vAlign w:val="center"/>
          </w:tcPr>
          <w:p w14:paraId="7BCC0D1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7CA826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62ECC9C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30B07A0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A9AD957">
            <w:pPr>
              <w:widowControl/>
              <w:jc w:val="center"/>
              <w:textAlignment w:val="center"/>
              <w:rPr>
                <w:rFonts w:hint="eastAsia" w:ascii="Times New Roman" w:hAnsi="Times New Roman" w:eastAsia="仿宋_GB2312" w:cs="Times New Roman"/>
                <w:color w:val="auto"/>
                <w:szCs w:val="21"/>
                <w:highlight w:val="none"/>
                <w:lang w:eastAsia="zh-CN"/>
              </w:rPr>
            </w:pPr>
            <w:r>
              <w:rPr>
                <w:rFonts w:hint="eastAsia" w:ascii="Times New Roman" w:hAnsi="Times New Roman" w:eastAsia="仿宋_GB2312" w:cs="Times New Roman"/>
                <w:color w:val="auto"/>
                <w:szCs w:val="21"/>
                <w:highlight w:val="none"/>
                <w:lang w:eastAsia="zh-CN"/>
              </w:rPr>
              <w:t>金橘</w:t>
            </w:r>
          </w:p>
        </w:tc>
        <w:tc>
          <w:tcPr>
            <w:tcW w:w="257" w:type="pct"/>
            <w:noWrap w:val="0"/>
            <w:vAlign w:val="center"/>
          </w:tcPr>
          <w:p w14:paraId="2F34CBA0">
            <w:pPr>
              <w:widowControl/>
              <w:jc w:val="center"/>
              <w:textAlignment w:val="center"/>
              <w:rPr>
                <w:rFonts w:hint="eastAsia" w:ascii="Times New Roman" w:hAnsi="Times New Roman" w:eastAsia="仿宋_GB2312" w:cs="Times New Roman"/>
                <w:color w:val="auto"/>
                <w:szCs w:val="21"/>
                <w:highlight w:val="none"/>
                <w:lang w:eastAsia="zh-CN"/>
              </w:rPr>
            </w:pPr>
            <w:r>
              <w:rPr>
                <w:rFonts w:hint="default" w:ascii="Times New Roman" w:hAnsi="Times New Roman" w:eastAsia="仿宋_GB2312" w:cs="Times New Roman"/>
                <w:color w:val="auto"/>
                <w:kern w:val="2"/>
                <w:sz w:val="21"/>
                <w:szCs w:val="21"/>
                <w:highlight w:val="none"/>
                <w:lang w:val="en-US" w:eastAsia="zh-CN" w:bidi="ar-SA"/>
              </w:rPr>
              <w:t>较高</w:t>
            </w:r>
          </w:p>
        </w:tc>
        <w:tc>
          <w:tcPr>
            <w:tcW w:w="1916" w:type="pct"/>
            <w:noWrap w:val="0"/>
            <w:vAlign w:val="center"/>
          </w:tcPr>
          <w:p w14:paraId="2D2BAC3D">
            <w:pPr>
              <w:widowControl/>
              <w:jc w:val="left"/>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乙螨唑、噻虫胺、氯氰菊酯和高效氯氰菊酯、苯醚甲环唑、阿维菌素、溴氰菊酯</w:t>
            </w:r>
          </w:p>
        </w:tc>
        <w:tc>
          <w:tcPr>
            <w:tcW w:w="1190" w:type="pct"/>
            <w:noWrap w:val="0"/>
            <w:vAlign w:val="center"/>
          </w:tcPr>
          <w:p w14:paraId="49FAD45C">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707A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279" w:type="pct"/>
            <w:vMerge w:val="restart"/>
            <w:noWrap w:val="0"/>
            <w:vAlign w:val="center"/>
          </w:tcPr>
          <w:p w14:paraId="5A19D2B6">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4</w:t>
            </w:r>
          </w:p>
          <w:p w14:paraId="2126277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0012D43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restart"/>
            <w:noWrap w:val="0"/>
            <w:vAlign w:val="center"/>
          </w:tcPr>
          <w:p w14:paraId="694A425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642B54E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8FB2DA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471B0F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5CC8078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40EC724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4C6CDAB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2519FB4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7D7C80A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5E40C64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4005863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FBCE14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7471C63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9323A3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298827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43D0D49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水果类</w:t>
            </w:r>
          </w:p>
          <w:p w14:paraId="734E2E8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475754A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04D09C23">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F6DFED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533AE9E7">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3CBA01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89B4B9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78DFBA2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67B7EC7F">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19089B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6AD8A92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7C73BE6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5AF8B16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66B5692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73A35CF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BF4068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FCA967B">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62E693D7">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478D809F">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7390779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C69726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37DD5B6B">
            <w:pPr>
              <w:widowControl/>
              <w:jc w:val="both"/>
              <w:textAlignment w:val="center"/>
              <w:rPr>
                <w:rStyle w:val="183"/>
                <w:rFonts w:hint="eastAsia" w:ascii="Times New Roman" w:hAnsi="Times New Roman" w:eastAsia="仿宋_GB2312" w:cs="Times New Roman"/>
                <w:color w:val="auto"/>
                <w:sz w:val="21"/>
                <w:szCs w:val="21"/>
                <w:highlight w:val="none"/>
                <w:lang w:eastAsia="zh-CN" w:bidi="ar"/>
              </w:rPr>
            </w:pPr>
          </w:p>
          <w:p w14:paraId="6E1C855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p w14:paraId="1294C56F">
            <w:pPr>
              <w:widowControl/>
              <w:jc w:val="both"/>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水果类</w:t>
            </w:r>
          </w:p>
          <w:p w14:paraId="7274A86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restart"/>
            <w:noWrap w:val="0"/>
            <w:vAlign w:val="center"/>
          </w:tcPr>
          <w:p w14:paraId="3C50DD0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浆果和其他小型水果</w:t>
            </w:r>
          </w:p>
        </w:tc>
        <w:tc>
          <w:tcPr>
            <w:tcW w:w="391" w:type="pct"/>
            <w:noWrap w:val="0"/>
            <w:vAlign w:val="center"/>
          </w:tcPr>
          <w:p w14:paraId="4BF2116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葡萄</w:t>
            </w:r>
          </w:p>
        </w:tc>
        <w:tc>
          <w:tcPr>
            <w:tcW w:w="257" w:type="pct"/>
            <w:noWrap w:val="0"/>
            <w:vAlign w:val="center"/>
          </w:tcPr>
          <w:p w14:paraId="79B3B7B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0FEC6A74">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苯醚甲环唑、己唑醇、腈苯唑、氯吡脲、氯氰菊酯和高效氯氰菊酯、氧乐果</w:t>
            </w:r>
          </w:p>
        </w:tc>
        <w:tc>
          <w:tcPr>
            <w:tcW w:w="1190" w:type="pct"/>
            <w:noWrap w:val="0"/>
            <w:vAlign w:val="center"/>
          </w:tcPr>
          <w:p w14:paraId="59613823">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联苯菊酯、氟虫腈</w:t>
            </w:r>
          </w:p>
        </w:tc>
      </w:tr>
      <w:tr w14:paraId="1FC6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79" w:type="pct"/>
            <w:vMerge w:val="continue"/>
            <w:noWrap w:val="0"/>
            <w:vAlign w:val="center"/>
          </w:tcPr>
          <w:p w14:paraId="1BDD9424">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10D04E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203DF9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8F47E0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04755ED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草莓</w:t>
            </w:r>
          </w:p>
        </w:tc>
        <w:tc>
          <w:tcPr>
            <w:tcW w:w="257" w:type="pct"/>
            <w:noWrap w:val="0"/>
            <w:vAlign w:val="center"/>
          </w:tcPr>
          <w:p w14:paraId="35AC449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469A5C30">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烯酰吗啉、克百威、毒死蜱、多菌灵、草甘膦</w:t>
            </w:r>
          </w:p>
        </w:tc>
        <w:tc>
          <w:tcPr>
            <w:tcW w:w="1190" w:type="pct"/>
            <w:noWrap w:val="0"/>
            <w:vAlign w:val="center"/>
          </w:tcPr>
          <w:p w14:paraId="4A4D06D8">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镉、敌敌畏、敌百虫、噻虫嗪、氯氟氰菊酯和高效氯氟氰菊酯</w:t>
            </w:r>
          </w:p>
        </w:tc>
      </w:tr>
      <w:tr w14:paraId="3503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67B8FF3C">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847239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0B92E3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BB92A1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44EEF8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猕猴桃</w:t>
            </w:r>
          </w:p>
        </w:tc>
        <w:tc>
          <w:tcPr>
            <w:tcW w:w="257" w:type="pct"/>
            <w:noWrap w:val="0"/>
            <w:vAlign w:val="center"/>
          </w:tcPr>
          <w:p w14:paraId="5E4515D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7041CEB4">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氯吡脲、氧乐果、敌敌畏、多菌灵、吡唑醚菌酯</w:t>
            </w:r>
          </w:p>
        </w:tc>
        <w:tc>
          <w:tcPr>
            <w:tcW w:w="1190" w:type="pct"/>
            <w:noWrap w:val="0"/>
            <w:vAlign w:val="center"/>
          </w:tcPr>
          <w:p w14:paraId="35EA9898">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w:t>
            </w:r>
          </w:p>
        </w:tc>
      </w:tr>
      <w:tr w14:paraId="7DF2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79" w:type="pct"/>
            <w:vMerge w:val="continue"/>
            <w:noWrap w:val="0"/>
            <w:vAlign w:val="center"/>
          </w:tcPr>
          <w:p w14:paraId="2308ED03">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D1FFAD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0098FD1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675C363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73BB544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桑葚*</w:t>
            </w:r>
          </w:p>
        </w:tc>
        <w:tc>
          <w:tcPr>
            <w:tcW w:w="257" w:type="pct"/>
            <w:noWrap w:val="0"/>
            <w:vAlign w:val="center"/>
          </w:tcPr>
          <w:p w14:paraId="3E652F8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22BED6ED">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脱氢乙酸及其钠盐（以脱氢乙酸计）、糖精钠（以糖精计）、甜蜜素（以环己基氨基磺酸计）、多菌灵</w:t>
            </w:r>
          </w:p>
        </w:tc>
        <w:tc>
          <w:tcPr>
            <w:tcW w:w="1190" w:type="pct"/>
            <w:noWrap w:val="0"/>
            <w:vAlign w:val="center"/>
          </w:tcPr>
          <w:p w14:paraId="6AC820E8">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苯甲酸及其钠盐（以苯甲酸计）、山梨酸及其钾盐（以山梨酸计）、三氯蔗糖、纽甜</w:t>
            </w:r>
          </w:p>
        </w:tc>
      </w:tr>
      <w:tr w14:paraId="71FA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79" w:type="pct"/>
            <w:vMerge w:val="continue"/>
            <w:noWrap w:val="0"/>
            <w:vAlign w:val="center"/>
          </w:tcPr>
          <w:p w14:paraId="6DD8482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BF285B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0B00CDC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6205E66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5CD8CE1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西番莲 （百香果）</w:t>
            </w:r>
          </w:p>
        </w:tc>
        <w:tc>
          <w:tcPr>
            <w:tcW w:w="257" w:type="pct"/>
            <w:noWrap w:val="0"/>
            <w:vAlign w:val="center"/>
          </w:tcPr>
          <w:p w14:paraId="292ECFBF">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53C6A06">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苯醚甲环唑、噻虫胺、氧乐果、镉（以Cd计）、戊唑醇、乙酰甲胺磷</w:t>
            </w:r>
          </w:p>
        </w:tc>
        <w:tc>
          <w:tcPr>
            <w:tcW w:w="1190" w:type="pct"/>
            <w:noWrap w:val="0"/>
            <w:vAlign w:val="center"/>
          </w:tcPr>
          <w:p w14:paraId="49A37743">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w:t>
            </w:r>
          </w:p>
        </w:tc>
      </w:tr>
      <w:tr w14:paraId="2C31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79" w:type="pct"/>
            <w:vMerge w:val="continue"/>
            <w:noWrap w:val="0"/>
            <w:vAlign w:val="center"/>
          </w:tcPr>
          <w:p w14:paraId="4C4BB67C">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637D43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8C5B09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restart"/>
            <w:noWrap w:val="0"/>
            <w:vAlign w:val="center"/>
          </w:tcPr>
          <w:p w14:paraId="784B003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7CEC6D0">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39B6E0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E0BF85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3FC1304">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900426B">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8B151AA">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31985151">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8F02640">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6267CC2">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热带和亚热带水果</w:t>
            </w:r>
          </w:p>
          <w:p w14:paraId="48122A75">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59A6AB8B">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EC7572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21A42523">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423A3149">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0C7EEDC">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643D7928">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75F22F7D">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741079E">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0760E2F7">
            <w:pPr>
              <w:widowControl/>
              <w:jc w:val="center"/>
              <w:textAlignment w:val="center"/>
              <w:rPr>
                <w:rStyle w:val="183"/>
                <w:rFonts w:hint="default" w:ascii="Times New Roman" w:hAnsi="Times New Roman" w:eastAsia="仿宋_GB2312" w:cs="Times New Roman"/>
                <w:color w:val="auto"/>
                <w:sz w:val="21"/>
                <w:szCs w:val="21"/>
                <w:highlight w:val="none"/>
                <w:lang w:bidi="ar"/>
              </w:rPr>
            </w:pPr>
          </w:p>
          <w:p w14:paraId="150447AD">
            <w:pPr>
              <w:widowControl/>
              <w:jc w:val="both"/>
              <w:textAlignment w:val="center"/>
              <w:rPr>
                <w:rStyle w:val="183"/>
                <w:rFonts w:hint="default" w:ascii="Times New Roman" w:hAnsi="Times New Roman" w:eastAsia="仿宋_GB2312" w:cs="Times New Roman"/>
                <w:color w:val="auto"/>
                <w:sz w:val="21"/>
                <w:szCs w:val="21"/>
                <w:highlight w:val="none"/>
                <w:lang w:bidi="ar"/>
              </w:rPr>
            </w:pPr>
          </w:p>
          <w:p w14:paraId="5E4F0E0B">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热带和亚热带水果</w:t>
            </w:r>
          </w:p>
        </w:tc>
        <w:tc>
          <w:tcPr>
            <w:tcW w:w="391" w:type="pct"/>
            <w:noWrap w:val="0"/>
            <w:vAlign w:val="center"/>
          </w:tcPr>
          <w:p w14:paraId="18EA459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香蕉*</w:t>
            </w:r>
          </w:p>
        </w:tc>
        <w:tc>
          <w:tcPr>
            <w:tcW w:w="257" w:type="pct"/>
            <w:noWrap w:val="0"/>
            <w:vAlign w:val="center"/>
          </w:tcPr>
          <w:p w14:paraId="6652F45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6B1059D8">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吡虫啉、噻虫嗪、噻虫胺、腈苯唑、氟唑菌酰胺</w:t>
            </w:r>
          </w:p>
        </w:tc>
        <w:tc>
          <w:tcPr>
            <w:tcW w:w="1190" w:type="pct"/>
            <w:noWrap w:val="0"/>
            <w:vAlign w:val="center"/>
          </w:tcPr>
          <w:p w14:paraId="229BA572">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吡唑醚菌酯、苯醚甲环唑、氧乐果、氯氟氰菊酯和高效氯氟氰菊</w:t>
            </w:r>
          </w:p>
        </w:tc>
      </w:tr>
      <w:tr w14:paraId="058A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279" w:type="pct"/>
            <w:vMerge w:val="continue"/>
            <w:noWrap w:val="0"/>
            <w:vAlign w:val="center"/>
          </w:tcPr>
          <w:p w14:paraId="5282DC88">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EB2563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61FB8C8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67DDF8E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0E5F7B5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芒果*</w:t>
            </w:r>
          </w:p>
        </w:tc>
        <w:tc>
          <w:tcPr>
            <w:tcW w:w="257" w:type="pct"/>
            <w:noWrap w:val="0"/>
            <w:vAlign w:val="center"/>
          </w:tcPr>
          <w:p w14:paraId="64B93672">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375BB972">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吡唑醚菌酯、噻虫胺、戊唑醇、苯醚甲环唑、乙酰甲胺磷、噻嗪酮、吡虫啉</w:t>
            </w:r>
          </w:p>
        </w:tc>
        <w:tc>
          <w:tcPr>
            <w:tcW w:w="1190" w:type="pct"/>
            <w:noWrap w:val="0"/>
            <w:vAlign w:val="center"/>
          </w:tcPr>
          <w:p w14:paraId="79789982">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氧乐果、克百威、氯氟氰菊酯和高效氯氟氰菊酯</w:t>
            </w:r>
          </w:p>
        </w:tc>
      </w:tr>
      <w:tr w14:paraId="5DA9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79" w:type="pct"/>
            <w:vMerge w:val="continue"/>
            <w:noWrap w:val="0"/>
            <w:vAlign w:val="center"/>
          </w:tcPr>
          <w:p w14:paraId="7557568F">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1CC9BA3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AFA51F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4CA6327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5E7D572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火龙果</w:t>
            </w:r>
          </w:p>
        </w:tc>
        <w:tc>
          <w:tcPr>
            <w:tcW w:w="257" w:type="pct"/>
            <w:noWrap w:val="0"/>
            <w:vAlign w:val="center"/>
          </w:tcPr>
          <w:p w14:paraId="6D67312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5C6F2FB6">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乙酰甲胺磷、克百威、氧乐果、甲胺磷、噻虫嗪、咪鲜胺和咪鲜胺锰盐</w:t>
            </w:r>
          </w:p>
        </w:tc>
        <w:tc>
          <w:tcPr>
            <w:tcW w:w="1190" w:type="pct"/>
            <w:noWrap w:val="0"/>
            <w:vAlign w:val="center"/>
          </w:tcPr>
          <w:p w14:paraId="7A522F76">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w:t>
            </w:r>
          </w:p>
        </w:tc>
      </w:tr>
      <w:tr w14:paraId="4549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79" w:type="pct"/>
            <w:vMerge w:val="continue"/>
            <w:noWrap w:val="0"/>
            <w:vAlign w:val="center"/>
          </w:tcPr>
          <w:p w14:paraId="4AAAC0F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E1076C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230AE66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05CD883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3ABF854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荔枝*</w:t>
            </w:r>
          </w:p>
        </w:tc>
        <w:tc>
          <w:tcPr>
            <w:tcW w:w="257" w:type="pct"/>
            <w:noWrap w:val="0"/>
            <w:vAlign w:val="center"/>
          </w:tcPr>
          <w:p w14:paraId="1B69647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32C37885">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氯氟氰菊酯和高效氯氟氰菊酯、吡唑醚菌酯、除虫脲、苯醚甲环唑、氰霜唑</w:t>
            </w:r>
          </w:p>
        </w:tc>
        <w:tc>
          <w:tcPr>
            <w:tcW w:w="1190" w:type="pct"/>
            <w:noWrap w:val="0"/>
            <w:vAlign w:val="center"/>
          </w:tcPr>
          <w:p w14:paraId="1E201E85">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氯氰菊酯和高效氯氰菊酯、氟吗啉、溴氰菊酯、氧乐果</w:t>
            </w:r>
          </w:p>
        </w:tc>
      </w:tr>
      <w:tr w14:paraId="6E75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279" w:type="pct"/>
            <w:vMerge w:val="continue"/>
            <w:noWrap w:val="0"/>
            <w:vAlign w:val="center"/>
          </w:tcPr>
          <w:p w14:paraId="49A00E8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6DAF623">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2586B3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41F9FC0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0306ABF7">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杨梅*</w:t>
            </w:r>
          </w:p>
        </w:tc>
        <w:tc>
          <w:tcPr>
            <w:tcW w:w="257" w:type="pct"/>
            <w:noWrap w:val="0"/>
            <w:vAlign w:val="center"/>
          </w:tcPr>
          <w:p w14:paraId="3662CF1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492C4E1F">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脱氢乙酸及其钠盐（以脱氢乙酸计）、糖精钠（以糖精计） 、甜蜜素（以环己基氨基磺酸计）、啶虫脒</w:t>
            </w:r>
          </w:p>
        </w:tc>
        <w:tc>
          <w:tcPr>
            <w:tcW w:w="1190" w:type="pct"/>
            <w:noWrap w:val="0"/>
            <w:vAlign w:val="center"/>
          </w:tcPr>
          <w:p w14:paraId="61EBD582">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山梨酸及其钾盐（以山梨酸计）、阿维菌素、纽甜、三氯蔗糖</w:t>
            </w:r>
          </w:p>
        </w:tc>
      </w:tr>
      <w:tr w14:paraId="2912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79" w:type="pct"/>
            <w:vMerge w:val="continue"/>
            <w:noWrap w:val="0"/>
            <w:vAlign w:val="center"/>
          </w:tcPr>
          <w:p w14:paraId="59DD12F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567566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2D9CCBB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341B4FD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3F172B07">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龙眼*</w:t>
            </w:r>
          </w:p>
        </w:tc>
        <w:tc>
          <w:tcPr>
            <w:tcW w:w="257" w:type="pct"/>
            <w:noWrap w:val="0"/>
            <w:vAlign w:val="center"/>
          </w:tcPr>
          <w:p w14:paraId="2017D25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1BA987A7">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二氧化硫残留量、氧乐果、氯氰菊酯和高效氯氰菊酯</w:t>
            </w:r>
          </w:p>
        </w:tc>
        <w:tc>
          <w:tcPr>
            <w:tcW w:w="1190" w:type="pct"/>
            <w:noWrap w:val="0"/>
            <w:vAlign w:val="center"/>
          </w:tcPr>
          <w:p w14:paraId="17FA8A94">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氟虫腈、克百威</w:t>
            </w:r>
          </w:p>
        </w:tc>
      </w:tr>
      <w:tr w14:paraId="1AFE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79" w:type="pct"/>
            <w:vMerge w:val="continue"/>
            <w:noWrap w:val="0"/>
            <w:vAlign w:val="center"/>
          </w:tcPr>
          <w:p w14:paraId="36051A2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A17BA6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AE3D77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6E83986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2227666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橄榄</w:t>
            </w:r>
          </w:p>
        </w:tc>
        <w:tc>
          <w:tcPr>
            <w:tcW w:w="257" w:type="pct"/>
            <w:noWrap w:val="0"/>
            <w:vAlign w:val="center"/>
          </w:tcPr>
          <w:p w14:paraId="1AE58481">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76393352">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三氯蔗糖、多菌灵、甲胺磷、戊唑醇、乙酰甲胺磷</w:t>
            </w:r>
          </w:p>
        </w:tc>
        <w:tc>
          <w:tcPr>
            <w:tcW w:w="1190" w:type="pct"/>
            <w:noWrap w:val="0"/>
            <w:vAlign w:val="center"/>
          </w:tcPr>
          <w:p w14:paraId="0B81DB7A">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w:t>
            </w:r>
          </w:p>
        </w:tc>
      </w:tr>
      <w:tr w14:paraId="2930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79" w:type="pct"/>
            <w:vMerge w:val="continue"/>
            <w:noWrap w:val="0"/>
            <w:vAlign w:val="center"/>
          </w:tcPr>
          <w:p w14:paraId="0B087F30">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325053E">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4E9122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39CBD0E1">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BFD03E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番木瓜*</w:t>
            </w:r>
          </w:p>
        </w:tc>
        <w:tc>
          <w:tcPr>
            <w:tcW w:w="257" w:type="pct"/>
            <w:noWrap w:val="0"/>
            <w:vAlign w:val="center"/>
          </w:tcPr>
          <w:p w14:paraId="3DA10FC0">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1E4952E6">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噻虫胺、噻虫嗪、乙酰甲胺磷</w:t>
            </w:r>
          </w:p>
        </w:tc>
        <w:tc>
          <w:tcPr>
            <w:tcW w:w="1190" w:type="pct"/>
            <w:noWrap w:val="0"/>
            <w:vAlign w:val="center"/>
          </w:tcPr>
          <w:p w14:paraId="4C0345B6">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克百威、氧乐果</w:t>
            </w:r>
          </w:p>
        </w:tc>
      </w:tr>
      <w:tr w14:paraId="203E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79" w:type="pct"/>
            <w:vMerge w:val="restart"/>
            <w:noWrap w:val="0"/>
            <w:vAlign w:val="center"/>
          </w:tcPr>
          <w:p w14:paraId="5A0C1C33">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4</w:t>
            </w:r>
          </w:p>
          <w:p w14:paraId="33B2C931">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713D327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5E44246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51E8A2C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90541B9">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柿子</w:t>
            </w:r>
          </w:p>
        </w:tc>
        <w:tc>
          <w:tcPr>
            <w:tcW w:w="257" w:type="pct"/>
            <w:noWrap w:val="0"/>
            <w:vAlign w:val="center"/>
          </w:tcPr>
          <w:p w14:paraId="4D68556D">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39183BBD">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吡唑醚菌酯、氧乐果、甲胺磷、啶虫脒、水胺硫磷、克百威</w:t>
            </w:r>
          </w:p>
        </w:tc>
        <w:tc>
          <w:tcPr>
            <w:tcW w:w="1190" w:type="pct"/>
            <w:noWrap w:val="0"/>
            <w:vAlign w:val="center"/>
          </w:tcPr>
          <w:p w14:paraId="71F43EBE">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w:t>
            </w:r>
          </w:p>
        </w:tc>
      </w:tr>
      <w:tr w14:paraId="35FC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279" w:type="pct"/>
            <w:vMerge w:val="continue"/>
            <w:noWrap w:val="0"/>
            <w:vAlign w:val="center"/>
          </w:tcPr>
          <w:p w14:paraId="7B81E80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FACA0A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7EFB244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27254CC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75811CC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菠萝</w:t>
            </w:r>
          </w:p>
        </w:tc>
        <w:tc>
          <w:tcPr>
            <w:tcW w:w="257" w:type="pct"/>
            <w:noWrap w:val="0"/>
            <w:vAlign w:val="center"/>
          </w:tcPr>
          <w:p w14:paraId="38B6BD6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0BA1FD5A">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甜蜜素（以环己基氨基磺酸计）、柠檬黄、脱氢乙酸及其钠盐（以脱氢乙酸计）、三氯蔗糖、糖精钠（以糖精计）、苯醚甲环唑</w:t>
            </w:r>
          </w:p>
        </w:tc>
        <w:tc>
          <w:tcPr>
            <w:tcW w:w="1190" w:type="pct"/>
            <w:noWrap w:val="0"/>
            <w:vAlign w:val="center"/>
          </w:tcPr>
          <w:p w14:paraId="4F687A1C">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多菌灵、咪鲜胺和咪鲜胺锰盐</w:t>
            </w:r>
          </w:p>
        </w:tc>
      </w:tr>
      <w:tr w14:paraId="60CE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279" w:type="pct"/>
            <w:vMerge w:val="continue"/>
            <w:noWrap w:val="0"/>
            <w:vAlign w:val="center"/>
          </w:tcPr>
          <w:p w14:paraId="4FD02A5E">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C788E1F">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76D8CB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108FB025">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34938CA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黄皮</w:t>
            </w:r>
          </w:p>
        </w:tc>
        <w:tc>
          <w:tcPr>
            <w:tcW w:w="257" w:type="pct"/>
            <w:noWrap w:val="0"/>
            <w:vAlign w:val="center"/>
          </w:tcPr>
          <w:p w14:paraId="34CBEE35">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57C9F707">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甲胺磷、氧乐果、甲拌磷、甲基异柳磷</w:t>
            </w:r>
          </w:p>
        </w:tc>
        <w:tc>
          <w:tcPr>
            <w:tcW w:w="1190" w:type="pct"/>
            <w:noWrap w:val="0"/>
            <w:vAlign w:val="center"/>
          </w:tcPr>
          <w:p w14:paraId="5B05800F">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w:t>
            </w:r>
          </w:p>
        </w:tc>
      </w:tr>
      <w:tr w14:paraId="5328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279" w:type="pct"/>
            <w:vMerge w:val="continue"/>
            <w:noWrap w:val="0"/>
            <w:vAlign w:val="center"/>
          </w:tcPr>
          <w:p w14:paraId="2EF9DAD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FF5D9EB">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17F21A4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76BE6AE9">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3666FDF5">
            <w:pPr>
              <w:widowControl/>
              <w:jc w:val="center"/>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榴莲</w:t>
            </w:r>
          </w:p>
        </w:tc>
        <w:tc>
          <w:tcPr>
            <w:tcW w:w="257" w:type="pct"/>
            <w:noWrap w:val="0"/>
            <w:vAlign w:val="center"/>
          </w:tcPr>
          <w:p w14:paraId="3C25B2A2">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4AA6932C">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氯氰菊酯和高效氯氰菊酯、甲胺磷、甲拌磷、氧乐果、镉（以Cd计）</w:t>
            </w:r>
          </w:p>
        </w:tc>
        <w:tc>
          <w:tcPr>
            <w:tcW w:w="1190" w:type="pct"/>
            <w:noWrap w:val="0"/>
            <w:vAlign w:val="center"/>
          </w:tcPr>
          <w:p w14:paraId="4DEFE718">
            <w:pPr>
              <w:widowControl/>
              <w:jc w:val="both"/>
              <w:textAlignment w:val="center"/>
              <w:rPr>
                <w:rStyle w:val="183"/>
                <w:rFonts w:hint="default"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w:t>
            </w:r>
          </w:p>
        </w:tc>
      </w:tr>
      <w:tr w14:paraId="5B3CF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279" w:type="pct"/>
            <w:vMerge w:val="continue"/>
            <w:noWrap w:val="0"/>
            <w:vAlign w:val="center"/>
          </w:tcPr>
          <w:p w14:paraId="5302E1E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443B74CB">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315" w:type="pct"/>
            <w:vMerge w:val="continue"/>
            <w:noWrap w:val="0"/>
            <w:vAlign w:val="center"/>
          </w:tcPr>
          <w:p w14:paraId="42E0C78C">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p>
        </w:tc>
        <w:tc>
          <w:tcPr>
            <w:tcW w:w="274" w:type="pct"/>
            <w:vMerge w:val="restart"/>
            <w:noWrap w:val="0"/>
            <w:vAlign w:val="center"/>
          </w:tcPr>
          <w:p w14:paraId="3C37EDE4">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瓜果类水果</w:t>
            </w:r>
          </w:p>
        </w:tc>
        <w:tc>
          <w:tcPr>
            <w:tcW w:w="391" w:type="pct"/>
            <w:noWrap w:val="0"/>
            <w:vAlign w:val="center"/>
          </w:tcPr>
          <w:p w14:paraId="25F4C1D8">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西瓜</w:t>
            </w:r>
          </w:p>
        </w:tc>
        <w:tc>
          <w:tcPr>
            <w:tcW w:w="257" w:type="pct"/>
            <w:noWrap w:val="0"/>
            <w:vAlign w:val="center"/>
          </w:tcPr>
          <w:p w14:paraId="6B2900EA">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747DB361">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克百威、噻虫嗪、氧乐果、乙酰甲胺磷、苯醚甲环唑、氯氟氰菊酯和高效氯氟氰菊酯</w:t>
            </w:r>
          </w:p>
        </w:tc>
        <w:tc>
          <w:tcPr>
            <w:tcW w:w="1190" w:type="pct"/>
            <w:noWrap w:val="0"/>
            <w:vAlign w:val="center"/>
          </w:tcPr>
          <w:p w14:paraId="3AFFE4B0">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bidi="ar"/>
              </w:rPr>
              <w:br w:type="textWrapping"/>
            </w:r>
            <w:r>
              <w:rPr>
                <w:rStyle w:val="183"/>
                <w:rFonts w:hint="eastAsia" w:ascii="Times New Roman" w:hAnsi="Times New Roman" w:eastAsia="仿宋_GB2312" w:cs="Times New Roman"/>
                <w:color w:val="auto"/>
                <w:sz w:val="21"/>
                <w:szCs w:val="21"/>
                <w:highlight w:val="none"/>
                <w:lang w:val="en-US" w:eastAsia="zh-CN" w:bidi="ar"/>
              </w:rPr>
              <w:t>/</w:t>
            </w:r>
          </w:p>
        </w:tc>
      </w:tr>
      <w:tr w14:paraId="6CB8D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79" w:type="pct"/>
            <w:vMerge w:val="continue"/>
            <w:noWrap w:val="0"/>
            <w:vAlign w:val="center"/>
          </w:tcPr>
          <w:p w14:paraId="213EA6F2">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55ADFB15">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396268C8">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6DB14356">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1D2C9A16">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甜瓜类</w:t>
            </w:r>
          </w:p>
        </w:tc>
        <w:tc>
          <w:tcPr>
            <w:tcW w:w="257" w:type="pct"/>
            <w:noWrap w:val="0"/>
            <w:vAlign w:val="center"/>
          </w:tcPr>
          <w:p w14:paraId="3447AC5E">
            <w:pPr>
              <w:widowControl/>
              <w:jc w:val="center"/>
              <w:textAlignment w:val="center"/>
              <w:rPr>
                <w:rStyle w:val="183"/>
                <w:rFonts w:hint="eastAsia" w:ascii="Times New Roman" w:hAnsi="Times New Roman" w:eastAsia="仿宋_GB2312" w:cs="Times New Roman"/>
                <w:color w:val="auto"/>
                <w:sz w:val="21"/>
                <w:szCs w:val="21"/>
                <w:highlight w:val="none"/>
                <w:lang w:eastAsia="zh-CN" w:bidi="ar"/>
              </w:rPr>
            </w:pPr>
            <w:r>
              <w:rPr>
                <w:rStyle w:val="183"/>
                <w:rFonts w:hint="eastAsia" w:ascii="Times New Roman" w:hAnsi="Times New Roman" w:eastAsia="仿宋_GB2312" w:cs="Times New Roman"/>
                <w:color w:val="auto"/>
                <w:sz w:val="21"/>
                <w:szCs w:val="21"/>
                <w:highlight w:val="none"/>
                <w:lang w:eastAsia="zh-CN" w:bidi="ar"/>
              </w:rPr>
              <w:t>较高</w:t>
            </w:r>
          </w:p>
        </w:tc>
        <w:tc>
          <w:tcPr>
            <w:tcW w:w="1916" w:type="pct"/>
            <w:noWrap w:val="0"/>
            <w:vAlign w:val="center"/>
          </w:tcPr>
          <w:p w14:paraId="53CFDD20">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乙酰甲胺磷、烯酰吗啉、氧乐果、克百威</w:t>
            </w:r>
          </w:p>
        </w:tc>
        <w:tc>
          <w:tcPr>
            <w:tcW w:w="1190" w:type="pct"/>
            <w:noWrap w:val="0"/>
            <w:vAlign w:val="center"/>
          </w:tcPr>
          <w:p w14:paraId="54E21A41">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32705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279" w:type="pct"/>
            <w:vMerge w:val="restart"/>
            <w:noWrap w:val="0"/>
            <w:vAlign w:val="center"/>
          </w:tcPr>
          <w:p w14:paraId="5456B24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5</w:t>
            </w:r>
          </w:p>
        </w:tc>
        <w:tc>
          <w:tcPr>
            <w:tcW w:w="375" w:type="pct"/>
            <w:vMerge w:val="restart"/>
            <w:noWrap w:val="0"/>
            <w:vAlign w:val="center"/>
          </w:tcPr>
          <w:p w14:paraId="0AA5D254">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鲜蛋</w:t>
            </w:r>
          </w:p>
        </w:tc>
        <w:tc>
          <w:tcPr>
            <w:tcW w:w="315" w:type="pct"/>
            <w:vMerge w:val="restart"/>
            <w:noWrap w:val="0"/>
            <w:vAlign w:val="center"/>
          </w:tcPr>
          <w:p w14:paraId="7968E19F">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鲜蛋</w:t>
            </w:r>
          </w:p>
        </w:tc>
        <w:tc>
          <w:tcPr>
            <w:tcW w:w="274" w:type="pct"/>
            <w:vMerge w:val="restart"/>
            <w:noWrap w:val="0"/>
            <w:vAlign w:val="center"/>
          </w:tcPr>
          <w:p w14:paraId="21920B56">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鲜蛋</w:t>
            </w:r>
          </w:p>
        </w:tc>
        <w:tc>
          <w:tcPr>
            <w:tcW w:w="391" w:type="pct"/>
            <w:noWrap w:val="0"/>
            <w:vAlign w:val="center"/>
          </w:tcPr>
          <w:p w14:paraId="6FFEAA7B">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bidi="ar"/>
              </w:rPr>
              <w:t>鸡蛋</w:t>
            </w:r>
            <w:r>
              <w:rPr>
                <w:rStyle w:val="183"/>
                <w:rFonts w:hint="eastAsia" w:ascii="Times New Roman" w:hAnsi="Times New Roman" w:eastAsia="仿宋_GB2312" w:cs="Times New Roman"/>
                <w:color w:val="auto"/>
                <w:sz w:val="21"/>
                <w:szCs w:val="21"/>
                <w:highlight w:val="none"/>
                <w:lang w:val="en-US" w:eastAsia="zh-CN" w:bidi="ar"/>
              </w:rPr>
              <w:t>*</w:t>
            </w:r>
          </w:p>
        </w:tc>
        <w:tc>
          <w:tcPr>
            <w:tcW w:w="257" w:type="pct"/>
            <w:noWrap w:val="0"/>
            <w:vAlign w:val="center"/>
          </w:tcPr>
          <w:p w14:paraId="2D45CB09">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高</w:t>
            </w:r>
          </w:p>
        </w:tc>
        <w:tc>
          <w:tcPr>
            <w:tcW w:w="1916" w:type="pct"/>
            <w:noWrap w:val="0"/>
            <w:vAlign w:val="center"/>
          </w:tcPr>
          <w:p w14:paraId="205A012A">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多西环素、甲氧苄啶、磺胺类（总量）、甲硝唑、氟苯尼考、地美硝唑、恩诺沙星、托曲珠利</w:t>
            </w:r>
          </w:p>
        </w:tc>
        <w:tc>
          <w:tcPr>
            <w:tcW w:w="1190" w:type="pct"/>
            <w:noWrap w:val="0"/>
            <w:vAlign w:val="center"/>
          </w:tcPr>
          <w:p w14:paraId="313DBDDB">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氯霉素、氧氟沙星、沙拉沙星</w:t>
            </w:r>
          </w:p>
        </w:tc>
      </w:tr>
      <w:tr w14:paraId="3EB4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79" w:type="pct"/>
            <w:vMerge w:val="continue"/>
            <w:noWrap w:val="0"/>
            <w:vAlign w:val="center"/>
          </w:tcPr>
          <w:p w14:paraId="4DB256C5">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27B8FA6A">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5F1844D4">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48B9D53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91" w:type="pct"/>
            <w:noWrap w:val="0"/>
            <w:vAlign w:val="center"/>
          </w:tcPr>
          <w:p w14:paraId="7AEE01A1">
            <w:pPr>
              <w:widowControl/>
              <w:jc w:val="center"/>
              <w:textAlignment w:val="center"/>
              <w:rPr>
                <w:rFonts w:hint="default" w:ascii="Times New Roman" w:hAnsi="Times New Roman" w:eastAsia="仿宋_GB2312" w:cs="Times New Roman"/>
                <w:color w:val="auto"/>
                <w:szCs w:val="21"/>
                <w:highlight w:val="none"/>
                <w:lang w:val="en-US"/>
              </w:rPr>
            </w:pPr>
            <w:r>
              <w:rPr>
                <w:rFonts w:hint="default" w:ascii="Times New Roman" w:hAnsi="Times New Roman" w:eastAsia="仿宋_GB2312" w:cs="Times New Roman"/>
                <w:color w:val="auto"/>
                <w:szCs w:val="21"/>
                <w:highlight w:val="none"/>
                <w:lang w:val="en-US" w:eastAsia="zh-CN"/>
              </w:rPr>
              <w:t>其他禽蛋</w:t>
            </w:r>
            <w:r>
              <w:rPr>
                <w:rFonts w:hint="eastAsia" w:ascii="Times New Roman" w:hAnsi="Times New Roman" w:eastAsia="仿宋_GB2312" w:cs="Times New Roman"/>
                <w:color w:val="auto"/>
                <w:szCs w:val="21"/>
                <w:highlight w:val="none"/>
                <w:lang w:val="en-US" w:eastAsia="zh-CN"/>
              </w:rPr>
              <w:t>*</w:t>
            </w:r>
          </w:p>
        </w:tc>
        <w:tc>
          <w:tcPr>
            <w:tcW w:w="257" w:type="pct"/>
            <w:noWrap w:val="0"/>
            <w:vAlign w:val="center"/>
          </w:tcPr>
          <w:p w14:paraId="7D454598">
            <w:pPr>
              <w:widowControl/>
              <w:jc w:val="center"/>
              <w:textAlignment w:val="center"/>
              <w:rPr>
                <w:rFonts w:hint="default"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高</w:t>
            </w:r>
          </w:p>
        </w:tc>
        <w:tc>
          <w:tcPr>
            <w:tcW w:w="1916" w:type="pct"/>
            <w:noWrap w:val="0"/>
            <w:vAlign w:val="center"/>
          </w:tcPr>
          <w:p w14:paraId="11102AE5">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磺胺类（总量）、多西环素</w:t>
            </w:r>
          </w:p>
        </w:tc>
        <w:tc>
          <w:tcPr>
            <w:tcW w:w="1190" w:type="pct"/>
            <w:noWrap w:val="0"/>
            <w:vAlign w:val="center"/>
          </w:tcPr>
          <w:p w14:paraId="45C37893">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呋喃唑酮代谢物、呋喃西林代谢物、氯霉素</w:t>
            </w:r>
          </w:p>
        </w:tc>
      </w:tr>
      <w:tr w14:paraId="5064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79" w:type="pct"/>
            <w:noWrap w:val="0"/>
            <w:vAlign w:val="center"/>
          </w:tcPr>
          <w:p w14:paraId="539D806B">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6</w:t>
            </w:r>
          </w:p>
        </w:tc>
        <w:tc>
          <w:tcPr>
            <w:tcW w:w="375" w:type="pct"/>
            <w:noWrap w:val="0"/>
            <w:vAlign w:val="center"/>
          </w:tcPr>
          <w:p w14:paraId="15BEC0AC">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豆类</w:t>
            </w:r>
          </w:p>
        </w:tc>
        <w:tc>
          <w:tcPr>
            <w:tcW w:w="315" w:type="pct"/>
            <w:noWrap w:val="0"/>
            <w:vAlign w:val="center"/>
          </w:tcPr>
          <w:p w14:paraId="274C5600">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豆类</w:t>
            </w:r>
          </w:p>
        </w:tc>
        <w:tc>
          <w:tcPr>
            <w:tcW w:w="274" w:type="pct"/>
            <w:noWrap w:val="0"/>
            <w:vAlign w:val="center"/>
          </w:tcPr>
          <w:p w14:paraId="3A85E6B2">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豆类</w:t>
            </w:r>
          </w:p>
        </w:tc>
        <w:tc>
          <w:tcPr>
            <w:tcW w:w="391" w:type="pct"/>
            <w:noWrap w:val="0"/>
            <w:vAlign w:val="center"/>
          </w:tcPr>
          <w:p w14:paraId="69B2A62C">
            <w:pPr>
              <w:widowControl/>
              <w:jc w:val="center"/>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豆类</w:t>
            </w:r>
          </w:p>
        </w:tc>
        <w:tc>
          <w:tcPr>
            <w:tcW w:w="257" w:type="pct"/>
            <w:noWrap w:val="0"/>
            <w:vAlign w:val="center"/>
          </w:tcPr>
          <w:p w14:paraId="6838CCE6">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一般</w:t>
            </w:r>
          </w:p>
        </w:tc>
        <w:tc>
          <w:tcPr>
            <w:tcW w:w="1916" w:type="pct"/>
            <w:noWrap w:val="0"/>
            <w:vAlign w:val="center"/>
          </w:tcPr>
          <w:p w14:paraId="3DA89C10">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铅（以Pb计）、铬（以Cr计）、赭曲霉毒素A、吡虫啉、环丙唑醇、噻虫胺、噻虫嗪</w:t>
            </w:r>
          </w:p>
        </w:tc>
        <w:tc>
          <w:tcPr>
            <w:tcW w:w="1190" w:type="pct"/>
            <w:noWrap w:val="0"/>
            <w:vAlign w:val="center"/>
          </w:tcPr>
          <w:p w14:paraId="7E6D530F">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2D0D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279" w:type="pct"/>
            <w:vMerge w:val="restart"/>
            <w:noWrap w:val="0"/>
            <w:vAlign w:val="center"/>
          </w:tcPr>
          <w:p w14:paraId="03D4019A">
            <w:pPr>
              <w:widowControl/>
              <w:jc w:val="center"/>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7</w:t>
            </w:r>
          </w:p>
        </w:tc>
        <w:tc>
          <w:tcPr>
            <w:tcW w:w="375" w:type="pct"/>
            <w:vMerge w:val="restart"/>
            <w:noWrap w:val="0"/>
            <w:vAlign w:val="center"/>
          </w:tcPr>
          <w:p w14:paraId="7D61CA7E">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生干坚果</w:t>
            </w:r>
          </w:p>
          <w:p w14:paraId="4C4C5565">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default" w:ascii="Times New Roman" w:hAnsi="Times New Roman" w:eastAsia="仿宋_GB2312" w:cs="Times New Roman"/>
                <w:color w:val="auto"/>
                <w:sz w:val="21"/>
                <w:szCs w:val="21"/>
                <w:highlight w:val="none"/>
                <w:lang w:bidi="ar"/>
              </w:rPr>
              <w:t>与籽类食</w:t>
            </w:r>
            <w:r>
              <w:rPr>
                <w:rStyle w:val="183"/>
                <w:rFonts w:hint="eastAsia" w:ascii="Times New Roman" w:hAnsi="Times New Roman" w:eastAsia="仿宋_GB2312" w:cs="Times New Roman"/>
                <w:color w:val="auto"/>
                <w:sz w:val="21"/>
                <w:szCs w:val="21"/>
                <w:highlight w:val="none"/>
                <w:lang w:eastAsia="zh-CN" w:bidi="ar"/>
              </w:rPr>
              <w:t>品</w:t>
            </w:r>
          </w:p>
        </w:tc>
        <w:tc>
          <w:tcPr>
            <w:tcW w:w="315" w:type="pct"/>
            <w:vMerge w:val="restart"/>
            <w:noWrap w:val="0"/>
            <w:vAlign w:val="center"/>
          </w:tcPr>
          <w:p w14:paraId="1156025C">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生</w:t>
            </w:r>
            <w:r>
              <w:rPr>
                <w:rFonts w:hint="default" w:ascii="Times New Roman" w:hAnsi="Times New Roman" w:eastAsia="仿宋_GB2312" w:cs="Times New Roman"/>
                <w:color w:val="auto"/>
                <w:szCs w:val="21"/>
                <w:highlight w:val="none"/>
                <w:lang w:val="en-US" w:eastAsia="zh-CN"/>
              </w:rPr>
              <w:t>干坚果与籽类食</w:t>
            </w:r>
            <w:r>
              <w:rPr>
                <w:rFonts w:hint="eastAsia" w:ascii="Times New Roman" w:hAnsi="Times New Roman" w:eastAsia="仿宋_GB2312" w:cs="Times New Roman"/>
                <w:color w:val="auto"/>
                <w:szCs w:val="21"/>
                <w:highlight w:val="none"/>
                <w:lang w:val="en-US" w:eastAsia="zh-CN"/>
              </w:rPr>
              <w:t>品</w:t>
            </w:r>
          </w:p>
        </w:tc>
        <w:tc>
          <w:tcPr>
            <w:tcW w:w="274" w:type="pct"/>
            <w:vMerge w:val="restart"/>
            <w:noWrap w:val="0"/>
            <w:vAlign w:val="center"/>
          </w:tcPr>
          <w:p w14:paraId="415786E4">
            <w:pPr>
              <w:widowControl/>
              <w:jc w:val="center"/>
              <w:textAlignment w:val="center"/>
              <w:rPr>
                <w:rStyle w:val="183"/>
                <w:rFonts w:hint="default" w:ascii="Times New Roman" w:hAnsi="Times New Roman" w:eastAsia="仿宋_GB2312" w:cs="Times New Roman"/>
                <w:color w:val="auto"/>
                <w:sz w:val="21"/>
                <w:szCs w:val="21"/>
                <w:highlight w:val="none"/>
                <w:lang w:bidi="ar"/>
              </w:rPr>
            </w:pPr>
            <w:r>
              <w:rPr>
                <w:rFonts w:hint="default" w:ascii="Times New Roman" w:hAnsi="Times New Roman" w:eastAsia="仿宋_GB2312" w:cs="Times New Roman"/>
                <w:color w:val="auto"/>
                <w:szCs w:val="21"/>
                <w:highlight w:val="none"/>
                <w:lang w:val="en-US" w:eastAsia="zh-CN"/>
              </w:rPr>
              <w:t>生干坚果与籽类食</w:t>
            </w:r>
            <w:r>
              <w:rPr>
                <w:rFonts w:hint="eastAsia" w:ascii="Times New Roman" w:hAnsi="Times New Roman" w:eastAsia="仿宋_GB2312" w:cs="Times New Roman"/>
                <w:color w:val="auto"/>
                <w:szCs w:val="21"/>
                <w:highlight w:val="none"/>
                <w:lang w:val="en-US" w:eastAsia="zh-CN"/>
              </w:rPr>
              <w:t>品</w:t>
            </w:r>
          </w:p>
        </w:tc>
        <w:tc>
          <w:tcPr>
            <w:tcW w:w="391" w:type="pct"/>
            <w:noWrap w:val="0"/>
            <w:vAlign w:val="center"/>
          </w:tcPr>
          <w:p w14:paraId="23E71E13">
            <w:pPr>
              <w:widowControl/>
              <w:jc w:val="center"/>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生干坚果</w:t>
            </w:r>
          </w:p>
        </w:tc>
        <w:tc>
          <w:tcPr>
            <w:tcW w:w="257" w:type="pct"/>
            <w:noWrap w:val="0"/>
            <w:vAlign w:val="center"/>
          </w:tcPr>
          <w:p w14:paraId="48C67893">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一般</w:t>
            </w:r>
          </w:p>
        </w:tc>
        <w:tc>
          <w:tcPr>
            <w:tcW w:w="1916" w:type="pct"/>
            <w:noWrap w:val="0"/>
            <w:vAlign w:val="center"/>
          </w:tcPr>
          <w:p w14:paraId="50BD6D74">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酸价（以脂肪计）（KOH）、过氧化值（以脂肪计）、二氧化硫残留量、吡虫啉</w:t>
            </w:r>
          </w:p>
        </w:tc>
        <w:tc>
          <w:tcPr>
            <w:tcW w:w="1190" w:type="pct"/>
            <w:noWrap w:val="0"/>
            <w:vAlign w:val="center"/>
          </w:tcPr>
          <w:p w14:paraId="343213A2">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0391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279" w:type="pct"/>
            <w:vMerge w:val="continue"/>
            <w:noWrap w:val="0"/>
            <w:vAlign w:val="center"/>
          </w:tcPr>
          <w:p w14:paraId="0815E8D4">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6077F410">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0DBE43D7">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37177F50">
            <w:pPr>
              <w:widowControl/>
              <w:jc w:val="center"/>
              <w:textAlignment w:val="center"/>
              <w:rPr>
                <w:rFonts w:hint="default" w:ascii="Times New Roman" w:hAnsi="Times New Roman" w:eastAsia="仿宋_GB2312" w:cs="Times New Roman"/>
                <w:color w:val="auto"/>
                <w:szCs w:val="21"/>
                <w:highlight w:val="none"/>
                <w:lang w:val="en-US" w:eastAsia="zh-CN"/>
              </w:rPr>
            </w:pPr>
          </w:p>
        </w:tc>
        <w:tc>
          <w:tcPr>
            <w:tcW w:w="391" w:type="pct"/>
            <w:noWrap w:val="0"/>
            <w:vAlign w:val="center"/>
          </w:tcPr>
          <w:p w14:paraId="6C71F0E5">
            <w:pPr>
              <w:widowControl/>
              <w:jc w:val="center"/>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花生*</w:t>
            </w:r>
          </w:p>
        </w:tc>
        <w:tc>
          <w:tcPr>
            <w:tcW w:w="257" w:type="pct"/>
            <w:noWrap w:val="0"/>
            <w:vAlign w:val="center"/>
          </w:tcPr>
          <w:p w14:paraId="4CFB76A7">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一般</w:t>
            </w:r>
          </w:p>
        </w:tc>
        <w:tc>
          <w:tcPr>
            <w:tcW w:w="1916" w:type="pct"/>
            <w:noWrap w:val="0"/>
            <w:vAlign w:val="center"/>
          </w:tcPr>
          <w:p w14:paraId="321B61B2">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酸价（以脂肪计）（KOH）、黄曲霉毒素B</w:t>
            </w:r>
            <w:r>
              <w:rPr>
                <w:rFonts w:hint="default" w:ascii="Times New Roman" w:hAnsi="Times New Roman" w:eastAsia="仿宋_GB2312" w:cs="Times New Roman"/>
                <w:color w:val="auto"/>
                <w:szCs w:val="21"/>
                <w:highlight w:val="none"/>
                <w:vertAlign w:val="subscript"/>
              </w:rPr>
              <w:t>1</w:t>
            </w:r>
          </w:p>
        </w:tc>
        <w:tc>
          <w:tcPr>
            <w:tcW w:w="1190" w:type="pct"/>
            <w:noWrap w:val="0"/>
            <w:vAlign w:val="center"/>
          </w:tcPr>
          <w:p w14:paraId="1738735E">
            <w:pPr>
              <w:widowControl/>
              <w:jc w:val="left"/>
              <w:textAlignment w:val="center"/>
              <w:rPr>
                <w:rStyle w:val="183"/>
                <w:rFonts w:hint="default" w:ascii="Times New Roman" w:hAnsi="Times New Roman" w:eastAsia="仿宋_GB2312" w:cs="Times New Roman"/>
                <w:color w:val="auto"/>
                <w:sz w:val="21"/>
                <w:szCs w:val="21"/>
                <w:highlight w:val="none"/>
                <w:lang w:bidi="ar"/>
              </w:rPr>
            </w:pPr>
            <w:r>
              <w:rPr>
                <w:rStyle w:val="183"/>
                <w:rFonts w:hint="default" w:ascii="Times New Roman" w:hAnsi="Times New Roman" w:eastAsia="仿宋_GB2312" w:cs="Times New Roman"/>
                <w:color w:val="auto"/>
                <w:sz w:val="21"/>
                <w:szCs w:val="21"/>
                <w:highlight w:val="none"/>
                <w:lang w:bidi="ar"/>
              </w:rPr>
              <w:t>铅 （ 以Pb计）、镉（以Cd计）、噻虫嗪 、噻虫胺、过氧化值（以脂肪计）</w:t>
            </w:r>
          </w:p>
        </w:tc>
      </w:tr>
      <w:tr w14:paraId="3305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279" w:type="pct"/>
            <w:vMerge w:val="continue"/>
            <w:noWrap w:val="0"/>
            <w:vAlign w:val="center"/>
          </w:tcPr>
          <w:p w14:paraId="3DEEDDCC">
            <w:pPr>
              <w:widowControl/>
              <w:jc w:val="center"/>
              <w:textAlignment w:val="center"/>
              <w:rPr>
                <w:rStyle w:val="183"/>
                <w:rFonts w:hint="eastAsia" w:ascii="Times New Roman" w:hAnsi="Times New Roman" w:eastAsia="仿宋_GB2312" w:cs="Times New Roman"/>
                <w:color w:val="auto"/>
                <w:sz w:val="21"/>
                <w:szCs w:val="21"/>
                <w:highlight w:val="none"/>
                <w:lang w:val="en-US" w:eastAsia="zh-CN" w:bidi="ar"/>
              </w:rPr>
            </w:pPr>
          </w:p>
        </w:tc>
        <w:tc>
          <w:tcPr>
            <w:tcW w:w="375" w:type="pct"/>
            <w:vMerge w:val="continue"/>
            <w:noWrap w:val="0"/>
            <w:vAlign w:val="center"/>
          </w:tcPr>
          <w:p w14:paraId="3C32A06D">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315" w:type="pct"/>
            <w:vMerge w:val="continue"/>
            <w:noWrap w:val="0"/>
            <w:vAlign w:val="center"/>
          </w:tcPr>
          <w:p w14:paraId="59A09492">
            <w:pPr>
              <w:widowControl/>
              <w:jc w:val="center"/>
              <w:textAlignment w:val="center"/>
              <w:rPr>
                <w:rStyle w:val="183"/>
                <w:rFonts w:hint="default" w:ascii="Times New Roman" w:hAnsi="Times New Roman" w:eastAsia="仿宋_GB2312" w:cs="Times New Roman"/>
                <w:color w:val="auto"/>
                <w:sz w:val="21"/>
                <w:szCs w:val="21"/>
                <w:highlight w:val="none"/>
                <w:lang w:bidi="ar"/>
              </w:rPr>
            </w:pPr>
          </w:p>
        </w:tc>
        <w:tc>
          <w:tcPr>
            <w:tcW w:w="274" w:type="pct"/>
            <w:vMerge w:val="continue"/>
            <w:noWrap w:val="0"/>
            <w:vAlign w:val="center"/>
          </w:tcPr>
          <w:p w14:paraId="4D63E895">
            <w:pPr>
              <w:widowControl/>
              <w:jc w:val="center"/>
              <w:textAlignment w:val="center"/>
              <w:rPr>
                <w:rFonts w:hint="default" w:ascii="Times New Roman" w:hAnsi="Times New Roman" w:eastAsia="仿宋_GB2312" w:cs="Times New Roman"/>
                <w:color w:val="auto"/>
                <w:szCs w:val="21"/>
                <w:highlight w:val="none"/>
                <w:lang w:val="en-US" w:eastAsia="zh-CN"/>
              </w:rPr>
            </w:pPr>
          </w:p>
        </w:tc>
        <w:tc>
          <w:tcPr>
            <w:tcW w:w="391" w:type="pct"/>
            <w:noWrap w:val="0"/>
            <w:vAlign w:val="center"/>
          </w:tcPr>
          <w:p w14:paraId="05C56913">
            <w:pPr>
              <w:widowControl/>
              <w:jc w:val="center"/>
              <w:textAlignment w:val="center"/>
              <w:rPr>
                <w:rFonts w:hint="default" w:ascii="Times New Roman" w:hAnsi="Times New Roman" w:eastAsia="仿宋_GB2312" w:cs="Times New Roman"/>
                <w:color w:val="auto"/>
                <w:szCs w:val="21"/>
                <w:highlight w:val="none"/>
                <w:lang w:val="en-US" w:eastAsia="zh-CN"/>
              </w:rPr>
            </w:pPr>
            <w:r>
              <w:rPr>
                <w:rFonts w:hint="default" w:ascii="Times New Roman" w:hAnsi="Times New Roman" w:eastAsia="仿宋_GB2312" w:cs="Times New Roman"/>
                <w:color w:val="auto"/>
                <w:szCs w:val="21"/>
                <w:highlight w:val="none"/>
                <w:lang w:val="en-US" w:eastAsia="zh-CN"/>
              </w:rPr>
              <w:t>其他籽类</w:t>
            </w:r>
          </w:p>
        </w:tc>
        <w:tc>
          <w:tcPr>
            <w:tcW w:w="257" w:type="pct"/>
            <w:noWrap w:val="0"/>
            <w:vAlign w:val="center"/>
          </w:tcPr>
          <w:p w14:paraId="44606CD3">
            <w:pPr>
              <w:widowControl/>
              <w:jc w:val="center"/>
              <w:textAlignment w:val="center"/>
              <w:rPr>
                <w:rFonts w:hint="eastAsia" w:ascii="Times New Roman" w:hAnsi="Times New Roman" w:eastAsia="仿宋_GB2312" w:cs="Times New Roman"/>
                <w:color w:val="auto"/>
                <w:szCs w:val="21"/>
                <w:highlight w:val="none"/>
                <w:lang w:val="en-US" w:eastAsia="zh-CN"/>
              </w:rPr>
            </w:pPr>
            <w:r>
              <w:rPr>
                <w:rFonts w:hint="eastAsia" w:ascii="Times New Roman" w:hAnsi="Times New Roman" w:eastAsia="仿宋_GB2312" w:cs="Times New Roman"/>
                <w:color w:val="auto"/>
                <w:szCs w:val="21"/>
                <w:highlight w:val="none"/>
                <w:lang w:val="en-US" w:eastAsia="zh-CN"/>
              </w:rPr>
              <w:t>一般</w:t>
            </w:r>
          </w:p>
        </w:tc>
        <w:tc>
          <w:tcPr>
            <w:tcW w:w="1916" w:type="pct"/>
            <w:noWrap w:val="0"/>
            <w:vAlign w:val="center"/>
          </w:tcPr>
          <w:p w14:paraId="59D08933">
            <w:pPr>
              <w:widowControl/>
              <w:jc w:val="left"/>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szCs w:val="21"/>
                <w:highlight w:val="none"/>
              </w:rPr>
              <w:t>酸价（以脂肪计）（KOH）、过氧化值（以脂肪计）、铅（以Pb计）、噻虫嗪 、噻虫胺</w:t>
            </w:r>
          </w:p>
        </w:tc>
        <w:tc>
          <w:tcPr>
            <w:tcW w:w="1190" w:type="pct"/>
            <w:noWrap w:val="0"/>
            <w:vAlign w:val="center"/>
          </w:tcPr>
          <w:p w14:paraId="58FCC753">
            <w:pPr>
              <w:widowControl/>
              <w:jc w:val="left"/>
              <w:textAlignment w:val="center"/>
              <w:rPr>
                <w:rStyle w:val="183"/>
                <w:rFonts w:hint="eastAsia" w:ascii="Times New Roman" w:hAnsi="Times New Roman" w:eastAsia="仿宋_GB2312" w:cs="Times New Roman"/>
                <w:color w:val="auto"/>
                <w:sz w:val="21"/>
                <w:szCs w:val="21"/>
                <w:highlight w:val="none"/>
                <w:lang w:val="en-US" w:eastAsia="zh-CN" w:bidi="ar"/>
              </w:rPr>
            </w:pPr>
            <w:r>
              <w:rPr>
                <w:rStyle w:val="183"/>
                <w:rFonts w:hint="eastAsia" w:ascii="Times New Roman" w:hAnsi="Times New Roman" w:eastAsia="仿宋_GB2312" w:cs="Times New Roman"/>
                <w:color w:val="auto"/>
                <w:sz w:val="21"/>
                <w:szCs w:val="21"/>
                <w:highlight w:val="none"/>
                <w:lang w:val="en-US" w:eastAsia="zh-CN" w:bidi="ar"/>
              </w:rPr>
              <w:t>/</w:t>
            </w:r>
          </w:p>
        </w:tc>
      </w:tr>
      <w:tr w14:paraId="4C14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6" w:hRule="atLeast"/>
        </w:trPr>
        <w:tc>
          <w:tcPr>
            <w:tcW w:w="5000" w:type="pct"/>
            <w:gridSpan w:val="8"/>
            <w:noWrap w:val="0"/>
            <w:vAlign w:val="center"/>
          </w:tcPr>
          <w:p w14:paraId="71B24345">
            <w:pPr>
              <w:widowControl/>
              <w:jc w:val="left"/>
              <w:textAlignment w:val="center"/>
              <w:rPr>
                <w:rStyle w:val="183"/>
                <w:rFonts w:hint="eastAsia" w:ascii="仿宋_GB2312" w:hAnsi="仿宋_GB2312" w:eastAsia="仿宋_GB2312" w:cs="仿宋_GB2312"/>
                <w:color w:val="auto"/>
                <w:sz w:val="24"/>
                <w:szCs w:val="24"/>
                <w:highlight w:val="none"/>
                <w:lang w:val="en-US" w:eastAsia="zh-CN" w:bidi="ar"/>
              </w:rPr>
            </w:pPr>
            <w:r>
              <w:rPr>
                <w:rStyle w:val="183"/>
                <w:rFonts w:hint="eastAsia" w:ascii="仿宋_GB2312" w:hAnsi="仿宋_GB2312" w:eastAsia="仿宋_GB2312" w:cs="仿宋_GB2312"/>
                <w:color w:val="auto"/>
                <w:sz w:val="24"/>
                <w:szCs w:val="24"/>
                <w:highlight w:val="none"/>
                <w:lang w:val="en-US" w:eastAsia="zh-CN" w:bidi="ar"/>
              </w:rPr>
              <w:t>注：1.带*的食品细类为必检品种，各市县必须开展该品种抽检，必检项目全项检测，选检项目检测至少选2项。不带*的食品细类不做强制抽检要求，若抽检，必检项目全项检测，选检项目不做强制要求。</w:t>
            </w:r>
          </w:p>
          <w:p w14:paraId="43D41A64">
            <w:pPr>
              <w:widowControl/>
              <w:ind w:firstLine="480" w:firstLineChars="200"/>
              <w:jc w:val="left"/>
              <w:textAlignment w:val="center"/>
              <w:rPr>
                <w:rStyle w:val="183"/>
                <w:rFonts w:hint="eastAsia" w:ascii="仿宋_GB2312" w:hAnsi="仿宋_GB2312" w:eastAsia="仿宋_GB2312" w:cs="仿宋_GB2312"/>
                <w:color w:val="auto"/>
                <w:sz w:val="24"/>
                <w:szCs w:val="24"/>
                <w:highlight w:val="none"/>
                <w:lang w:val="en-US" w:eastAsia="zh-CN" w:bidi="ar"/>
              </w:rPr>
            </w:pPr>
            <w:r>
              <w:rPr>
                <w:rStyle w:val="183"/>
                <w:rFonts w:hint="eastAsia" w:ascii="仿宋_GB2312" w:hAnsi="仿宋_GB2312" w:eastAsia="仿宋_GB2312" w:cs="仿宋_GB2312"/>
                <w:color w:val="auto"/>
                <w:sz w:val="24"/>
                <w:szCs w:val="24"/>
                <w:highlight w:val="none"/>
                <w:lang w:val="en-US" w:eastAsia="zh-CN" w:bidi="ar"/>
              </w:rPr>
              <w:t>2.部分项目检测结果说明：恩诺沙星检验结果以恩诺沙星与环丙沙星之和计；孔雀石绿检验结果以孔雀石绿与隐色孔雀石绿之和计，以孔雀石绿表示；磺胺类（总量）包含的具体磺胺药物按食品安全监督抽检实施细则（2026年版）中相应食品类别要求检验。</w:t>
            </w:r>
          </w:p>
          <w:p w14:paraId="205AEA0C">
            <w:pPr>
              <w:widowControl/>
              <w:ind w:firstLine="480" w:firstLineChars="200"/>
              <w:jc w:val="left"/>
              <w:textAlignment w:val="center"/>
              <w:rPr>
                <w:rStyle w:val="183"/>
                <w:rFonts w:hint="eastAsia" w:ascii="仿宋_GB2312" w:hAnsi="仿宋_GB2312" w:eastAsia="仿宋_GB2312" w:cs="仿宋_GB2312"/>
                <w:color w:val="auto"/>
                <w:sz w:val="24"/>
                <w:szCs w:val="24"/>
                <w:highlight w:val="none"/>
                <w:lang w:val="en-US" w:eastAsia="zh-CN" w:bidi="ar"/>
              </w:rPr>
            </w:pPr>
            <w:r>
              <w:rPr>
                <w:rStyle w:val="183"/>
                <w:rFonts w:hint="eastAsia" w:ascii="仿宋_GB2312" w:hAnsi="仿宋_GB2312" w:eastAsia="仿宋_GB2312" w:cs="仿宋_GB2312"/>
                <w:color w:val="auto"/>
                <w:sz w:val="24"/>
                <w:szCs w:val="24"/>
                <w:highlight w:val="none"/>
                <w:lang w:val="en-US" w:eastAsia="zh-CN" w:bidi="ar"/>
              </w:rPr>
              <w:t>3.脂肪含量低的莲子、板栗类等食品，其酸价、过氧化值不作要求。</w:t>
            </w:r>
          </w:p>
          <w:p w14:paraId="75334986">
            <w:pPr>
              <w:widowControl/>
              <w:ind w:firstLine="480" w:firstLineChars="200"/>
              <w:jc w:val="left"/>
              <w:textAlignment w:val="center"/>
              <w:rPr>
                <w:rStyle w:val="183"/>
                <w:rFonts w:hint="default" w:ascii="Times New Roman" w:hAnsi="Times New Roman" w:eastAsia="仿宋_GB2312" w:cs="Times New Roman"/>
                <w:color w:val="auto"/>
                <w:sz w:val="21"/>
                <w:szCs w:val="21"/>
                <w:highlight w:val="none"/>
                <w:lang w:val="en-US" w:eastAsia="zh-CN" w:bidi="ar"/>
              </w:rPr>
            </w:pPr>
            <w:r>
              <w:rPr>
                <w:rStyle w:val="183"/>
                <w:rFonts w:hint="eastAsia" w:ascii="仿宋_GB2312" w:hAnsi="仿宋_GB2312" w:eastAsia="仿宋_GB2312" w:cs="仿宋_GB2312"/>
                <w:color w:val="auto"/>
                <w:sz w:val="24"/>
                <w:szCs w:val="24"/>
                <w:highlight w:val="none"/>
                <w:lang w:val="en-US" w:eastAsia="zh-CN" w:bidi="ar"/>
              </w:rPr>
              <w:t>4.因其他水产品中包含除重点品种牛蛙、鱿鱼外的其他水产品，其他禽蛋包含除鸭蛋、鹅蛋外的其他禽蛋无适用的多西环素检测方法，因此“国抽信息系统 ”不作必检项限制，但各承检机构应按必检项目要求实施检验，不得漏检漏报。</w:t>
            </w:r>
          </w:p>
        </w:tc>
      </w:tr>
    </w:tbl>
    <w:p w14:paraId="18E3CD97">
      <w:pPr>
        <w:rPr>
          <w:color w:val="auto"/>
          <w:szCs w:val="21"/>
          <w:highlight w:val="none"/>
        </w:rPr>
      </w:pPr>
      <w:r>
        <w:rPr>
          <w:color w:val="auto"/>
          <w:szCs w:val="21"/>
          <w:highlight w:val="none"/>
        </w:rPr>
        <w:br w:type="page"/>
      </w:r>
    </w:p>
    <w:p w14:paraId="580D211B">
      <w:pPr>
        <w:spacing w:line="528" w:lineRule="exact"/>
        <w:ind w:firstLine="280" w:firstLineChars="100"/>
        <w:rPr>
          <w:color w:val="auto"/>
          <w:sz w:val="28"/>
          <w:szCs w:val="28"/>
          <w:highlight w:val="none"/>
        </w:rPr>
      </w:pPr>
      <w:r>
        <w:rPr>
          <w:rFonts w:hint="eastAsia"/>
          <w:color w:val="auto"/>
          <w:sz w:val="28"/>
          <w:szCs w:val="28"/>
          <w:highlight w:val="none"/>
        </w:rPr>
        <w:t>附件</w:t>
      </w:r>
      <w:r>
        <w:rPr>
          <w:rFonts w:hint="eastAsia"/>
          <w:color w:val="auto"/>
          <w:sz w:val="28"/>
          <w:szCs w:val="28"/>
          <w:highlight w:val="none"/>
          <w:lang w:val="en-US" w:eastAsia="zh-CN"/>
        </w:rPr>
        <w:t>3</w:t>
      </w:r>
      <w:r>
        <w:rPr>
          <w:rFonts w:hint="eastAsia"/>
          <w:color w:val="auto"/>
          <w:sz w:val="28"/>
          <w:szCs w:val="28"/>
          <w:highlight w:val="none"/>
        </w:rPr>
        <w:t xml:space="preserve">： </w:t>
      </w:r>
      <w:r>
        <w:rPr>
          <w:color w:val="auto"/>
          <w:sz w:val="28"/>
          <w:szCs w:val="28"/>
          <w:highlight w:val="none"/>
        </w:rPr>
        <w:t xml:space="preserve">               </w:t>
      </w:r>
    </w:p>
    <w:p w14:paraId="0DF72D8D">
      <w:pPr>
        <w:spacing w:line="528" w:lineRule="exact"/>
        <w:ind w:firstLine="280" w:firstLineChars="100"/>
        <w:jc w:val="center"/>
        <w:rPr>
          <w:color w:val="auto"/>
          <w:sz w:val="28"/>
          <w:szCs w:val="28"/>
          <w:highlight w:val="none"/>
        </w:rPr>
      </w:pPr>
      <w:r>
        <w:rPr>
          <w:rFonts w:hint="eastAsia"/>
          <w:color w:val="auto"/>
          <w:sz w:val="28"/>
          <w:szCs w:val="28"/>
          <w:highlight w:val="none"/>
        </w:rPr>
        <w:t>中小微企业划型标准</w:t>
      </w:r>
    </w:p>
    <w:tbl>
      <w:tblPr>
        <w:tblStyle w:val="51"/>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02D3DE5E">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1EE3B400">
            <w:pPr>
              <w:widowControl/>
              <w:jc w:val="left"/>
              <w:rPr>
                <w:color w:val="auto"/>
                <w:szCs w:val="21"/>
                <w:highlight w:val="none"/>
              </w:rPr>
            </w:pPr>
            <w:r>
              <w:rPr>
                <w:rFonts w:hint="eastAsia"/>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4342F8B0">
            <w:pPr>
              <w:widowControl/>
              <w:jc w:val="left"/>
              <w:rPr>
                <w:color w:val="auto"/>
                <w:szCs w:val="21"/>
                <w:highlight w:val="none"/>
              </w:rPr>
            </w:pPr>
            <w:r>
              <w:rPr>
                <w:rFonts w:hint="eastAsia"/>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736E8D28">
            <w:pPr>
              <w:widowControl/>
              <w:jc w:val="left"/>
              <w:rPr>
                <w:color w:val="auto"/>
                <w:szCs w:val="21"/>
                <w:highlight w:val="none"/>
              </w:rPr>
            </w:pPr>
            <w:r>
              <w:rPr>
                <w:rFonts w:hint="eastAsia"/>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FAB73FC">
            <w:pPr>
              <w:widowControl/>
              <w:jc w:val="left"/>
              <w:rPr>
                <w:color w:val="auto"/>
                <w:szCs w:val="21"/>
                <w:highlight w:val="none"/>
              </w:rPr>
            </w:pPr>
            <w:r>
              <w:rPr>
                <w:rFonts w:hint="eastAsia"/>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282BEF2C">
            <w:pPr>
              <w:widowControl/>
              <w:jc w:val="left"/>
              <w:rPr>
                <w:color w:val="auto"/>
                <w:szCs w:val="21"/>
                <w:highlight w:val="none"/>
              </w:rPr>
            </w:pPr>
            <w:r>
              <w:rPr>
                <w:rFonts w:hint="eastAsia"/>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6267340A">
            <w:pPr>
              <w:widowControl/>
              <w:jc w:val="left"/>
              <w:rPr>
                <w:color w:val="auto"/>
                <w:szCs w:val="21"/>
                <w:highlight w:val="none"/>
              </w:rPr>
            </w:pPr>
            <w:r>
              <w:rPr>
                <w:rFonts w:hint="eastAsia"/>
                <w:color w:val="auto"/>
                <w:szCs w:val="21"/>
                <w:highlight w:val="none"/>
              </w:rPr>
              <w:t>微型</w:t>
            </w:r>
          </w:p>
        </w:tc>
      </w:tr>
      <w:tr w14:paraId="7C77F475">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5A379455">
            <w:pPr>
              <w:widowControl/>
              <w:jc w:val="center"/>
              <w:rPr>
                <w:color w:val="auto"/>
                <w:szCs w:val="21"/>
                <w:highlight w:val="none"/>
              </w:rPr>
            </w:pPr>
            <w:r>
              <w:rPr>
                <w:rFonts w:hint="eastAsia"/>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41C588BE">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5712CB7">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372167B">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6CD6180E">
            <w:pPr>
              <w:widowControl/>
              <w:jc w:val="left"/>
              <w:rPr>
                <w:color w:val="auto"/>
                <w:szCs w:val="21"/>
                <w:highlight w:val="none"/>
              </w:rPr>
            </w:pPr>
            <w:r>
              <w:rPr>
                <w:rFonts w:hint="eastAsia"/>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DCB1ED5">
            <w:pPr>
              <w:widowControl/>
              <w:jc w:val="left"/>
              <w:rPr>
                <w:color w:val="auto"/>
                <w:szCs w:val="21"/>
                <w:highlight w:val="none"/>
              </w:rPr>
            </w:pPr>
            <w:r>
              <w:rPr>
                <w:rFonts w:hint="eastAsia"/>
                <w:color w:val="auto"/>
                <w:szCs w:val="21"/>
                <w:highlight w:val="none"/>
              </w:rPr>
              <w:t>Y＜50</w:t>
            </w:r>
          </w:p>
        </w:tc>
      </w:tr>
      <w:tr w14:paraId="31F20DF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39E049D">
            <w:pPr>
              <w:widowControl/>
              <w:jc w:val="center"/>
              <w:rPr>
                <w:color w:val="auto"/>
                <w:szCs w:val="21"/>
                <w:highlight w:val="none"/>
              </w:rPr>
            </w:pPr>
            <w:r>
              <w:rPr>
                <w:rFonts w:hint="eastAsia"/>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0807E54E">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360765D1">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62DE701">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768D709B">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78638560">
            <w:pPr>
              <w:widowControl/>
              <w:jc w:val="left"/>
              <w:rPr>
                <w:color w:val="auto"/>
                <w:szCs w:val="21"/>
                <w:highlight w:val="none"/>
              </w:rPr>
            </w:pPr>
            <w:r>
              <w:rPr>
                <w:rFonts w:hint="eastAsia"/>
                <w:color w:val="auto"/>
                <w:szCs w:val="21"/>
                <w:highlight w:val="none"/>
              </w:rPr>
              <w:t>X＜20</w:t>
            </w:r>
          </w:p>
        </w:tc>
      </w:tr>
      <w:tr w14:paraId="673A16A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07A7D78">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EF3CFD">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31E9FBC">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3BD0693">
            <w:pPr>
              <w:widowControl/>
              <w:jc w:val="left"/>
              <w:rPr>
                <w:color w:val="auto"/>
                <w:szCs w:val="21"/>
                <w:highlight w:val="none"/>
              </w:rPr>
            </w:pPr>
            <w:r>
              <w:rPr>
                <w:rFonts w:hint="eastAsia"/>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333357D4">
            <w:pPr>
              <w:widowControl/>
              <w:jc w:val="left"/>
              <w:rPr>
                <w:color w:val="auto"/>
                <w:szCs w:val="21"/>
                <w:highlight w:val="none"/>
              </w:rPr>
            </w:pPr>
            <w:r>
              <w:rPr>
                <w:rFonts w:hint="eastAsia"/>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1063CE96">
            <w:pPr>
              <w:widowControl/>
              <w:jc w:val="left"/>
              <w:rPr>
                <w:color w:val="auto"/>
                <w:szCs w:val="21"/>
                <w:highlight w:val="none"/>
              </w:rPr>
            </w:pPr>
            <w:r>
              <w:rPr>
                <w:rFonts w:hint="eastAsia"/>
                <w:color w:val="auto"/>
                <w:szCs w:val="21"/>
                <w:highlight w:val="none"/>
              </w:rPr>
              <w:t>Y＜300</w:t>
            </w:r>
          </w:p>
        </w:tc>
      </w:tr>
      <w:tr w14:paraId="0A10D5F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0D1C8BA">
            <w:pPr>
              <w:widowControl/>
              <w:jc w:val="center"/>
              <w:rPr>
                <w:color w:val="auto"/>
                <w:szCs w:val="21"/>
                <w:highlight w:val="none"/>
              </w:rPr>
            </w:pPr>
            <w:r>
              <w:rPr>
                <w:rFonts w:hint="eastAsia"/>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7990A3FD">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87E8C6D">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DFB2CFD">
            <w:pPr>
              <w:widowControl/>
              <w:jc w:val="left"/>
              <w:rPr>
                <w:color w:val="auto"/>
                <w:szCs w:val="21"/>
                <w:highlight w:val="none"/>
              </w:rPr>
            </w:pPr>
            <w:r>
              <w:rPr>
                <w:rFonts w:hint="eastAsia"/>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1AF77343">
            <w:pPr>
              <w:widowControl/>
              <w:jc w:val="left"/>
              <w:rPr>
                <w:color w:val="auto"/>
                <w:szCs w:val="21"/>
                <w:highlight w:val="none"/>
              </w:rPr>
            </w:pPr>
            <w:r>
              <w:rPr>
                <w:rFonts w:hint="eastAsia"/>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0D390F0">
            <w:pPr>
              <w:widowControl/>
              <w:jc w:val="left"/>
              <w:rPr>
                <w:color w:val="auto"/>
                <w:szCs w:val="21"/>
                <w:highlight w:val="none"/>
              </w:rPr>
            </w:pPr>
            <w:r>
              <w:rPr>
                <w:rFonts w:hint="eastAsia"/>
                <w:color w:val="auto"/>
                <w:szCs w:val="21"/>
                <w:highlight w:val="none"/>
              </w:rPr>
              <w:t>Y＜300</w:t>
            </w:r>
          </w:p>
        </w:tc>
      </w:tr>
      <w:tr w14:paraId="6362E23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9A62F25">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3AF596A">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4385E1D5">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52CA30">
            <w:pPr>
              <w:widowControl/>
              <w:jc w:val="left"/>
              <w:rPr>
                <w:color w:val="auto"/>
                <w:szCs w:val="21"/>
                <w:highlight w:val="none"/>
              </w:rPr>
            </w:pPr>
            <w:r>
              <w:rPr>
                <w:rFonts w:hint="eastAsia"/>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57C842E9">
            <w:pPr>
              <w:widowControl/>
              <w:jc w:val="left"/>
              <w:rPr>
                <w:color w:val="auto"/>
                <w:szCs w:val="21"/>
                <w:highlight w:val="none"/>
              </w:rPr>
            </w:pPr>
            <w:r>
              <w:rPr>
                <w:rFonts w:hint="eastAsia"/>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23490A1B">
            <w:pPr>
              <w:widowControl/>
              <w:jc w:val="left"/>
              <w:rPr>
                <w:color w:val="auto"/>
                <w:szCs w:val="21"/>
                <w:highlight w:val="none"/>
              </w:rPr>
            </w:pPr>
            <w:r>
              <w:rPr>
                <w:rFonts w:hint="eastAsia"/>
                <w:color w:val="auto"/>
                <w:szCs w:val="21"/>
                <w:highlight w:val="none"/>
              </w:rPr>
              <w:t>Z＜300</w:t>
            </w:r>
          </w:p>
        </w:tc>
      </w:tr>
      <w:tr w14:paraId="187628DC">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78FBCC9">
            <w:pPr>
              <w:widowControl/>
              <w:ind w:firstLine="315" w:firstLineChars="150"/>
              <w:rPr>
                <w:color w:val="auto"/>
                <w:szCs w:val="21"/>
                <w:highlight w:val="none"/>
              </w:rPr>
            </w:pPr>
            <w:r>
              <w:rPr>
                <w:rFonts w:hint="eastAsia"/>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164BA4BC">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EA6FB08">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604BF92">
            <w:pPr>
              <w:widowControl/>
              <w:jc w:val="left"/>
              <w:rPr>
                <w:color w:val="auto"/>
                <w:szCs w:val="21"/>
                <w:highlight w:val="none"/>
              </w:rPr>
            </w:pPr>
            <w:r>
              <w:rPr>
                <w:rFonts w:hint="eastAsia"/>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2FAE626C">
            <w:pPr>
              <w:widowControl/>
              <w:jc w:val="left"/>
              <w:rPr>
                <w:color w:val="auto"/>
                <w:szCs w:val="21"/>
                <w:highlight w:val="none"/>
              </w:rPr>
            </w:pPr>
            <w:r>
              <w:rPr>
                <w:rFonts w:hint="eastAsia"/>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2F99C582">
            <w:pPr>
              <w:widowControl/>
              <w:jc w:val="left"/>
              <w:rPr>
                <w:color w:val="auto"/>
                <w:szCs w:val="21"/>
                <w:highlight w:val="none"/>
              </w:rPr>
            </w:pPr>
            <w:r>
              <w:rPr>
                <w:rFonts w:hint="eastAsia"/>
                <w:color w:val="auto"/>
                <w:szCs w:val="21"/>
                <w:highlight w:val="none"/>
              </w:rPr>
              <w:t>X＜5</w:t>
            </w:r>
          </w:p>
        </w:tc>
      </w:tr>
      <w:tr w14:paraId="713466D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E0A8543">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1AE10FF">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F8D1032">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F31E03E">
            <w:pPr>
              <w:widowControl/>
              <w:jc w:val="left"/>
              <w:rPr>
                <w:color w:val="auto"/>
                <w:szCs w:val="21"/>
                <w:highlight w:val="none"/>
              </w:rPr>
            </w:pPr>
            <w:r>
              <w:rPr>
                <w:rFonts w:hint="eastAsia"/>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18063566">
            <w:pPr>
              <w:widowControl/>
              <w:jc w:val="left"/>
              <w:rPr>
                <w:color w:val="auto"/>
                <w:szCs w:val="21"/>
                <w:highlight w:val="none"/>
              </w:rPr>
            </w:pPr>
            <w:r>
              <w:rPr>
                <w:rFonts w:hint="eastAsia"/>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643980A8">
            <w:pPr>
              <w:widowControl/>
              <w:jc w:val="left"/>
              <w:rPr>
                <w:color w:val="auto"/>
                <w:szCs w:val="21"/>
                <w:highlight w:val="none"/>
              </w:rPr>
            </w:pPr>
            <w:r>
              <w:rPr>
                <w:rFonts w:hint="eastAsia"/>
                <w:color w:val="auto"/>
                <w:szCs w:val="21"/>
                <w:highlight w:val="none"/>
              </w:rPr>
              <w:t>Y＜1000</w:t>
            </w:r>
          </w:p>
        </w:tc>
      </w:tr>
      <w:tr w14:paraId="7D43D1B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B93F414">
            <w:pPr>
              <w:widowControl/>
              <w:jc w:val="center"/>
              <w:rPr>
                <w:color w:val="auto"/>
                <w:szCs w:val="21"/>
                <w:highlight w:val="none"/>
              </w:rPr>
            </w:pPr>
            <w:r>
              <w:rPr>
                <w:rFonts w:hint="eastAsia"/>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32D18296">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48EB00B">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B182DE7">
            <w:pPr>
              <w:widowControl/>
              <w:jc w:val="left"/>
              <w:rPr>
                <w:color w:val="auto"/>
                <w:szCs w:val="21"/>
                <w:highlight w:val="none"/>
              </w:rPr>
            </w:pPr>
            <w:r>
              <w:rPr>
                <w:rFonts w:hint="eastAsia"/>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1BE1B686">
            <w:pPr>
              <w:widowControl/>
              <w:jc w:val="left"/>
              <w:rPr>
                <w:color w:val="auto"/>
                <w:szCs w:val="21"/>
                <w:highlight w:val="none"/>
              </w:rPr>
            </w:pPr>
            <w:r>
              <w:rPr>
                <w:rFonts w:hint="eastAsia"/>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F43A8A3">
            <w:pPr>
              <w:widowControl/>
              <w:jc w:val="left"/>
              <w:rPr>
                <w:color w:val="auto"/>
                <w:szCs w:val="21"/>
                <w:highlight w:val="none"/>
              </w:rPr>
            </w:pPr>
            <w:r>
              <w:rPr>
                <w:rFonts w:hint="eastAsia"/>
                <w:color w:val="auto"/>
                <w:szCs w:val="21"/>
                <w:highlight w:val="none"/>
              </w:rPr>
              <w:t>X＜10</w:t>
            </w:r>
          </w:p>
        </w:tc>
      </w:tr>
      <w:tr w14:paraId="1AB2B6B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584168F">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9E0A8CC">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52AA3">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C952BCF">
            <w:pPr>
              <w:widowControl/>
              <w:jc w:val="left"/>
              <w:rPr>
                <w:color w:val="auto"/>
                <w:szCs w:val="21"/>
                <w:highlight w:val="none"/>
              </w:rPr>
            </w:pPr>
            <w:r>
              <w:rPr>
                <w:rFonts w:hint="eastAsia"/>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76F2C2F5">
            <w:pPr>
              <w:widowControl/>
              <w:jc w:val="left"/>
              <w:rPr>
                <w:color w:val="auto"/>
                <w:szCs w:val="21"/>
                <w:highlight w:val="none"/>
              </w:rPr>
            </w:pPr>
            <w:r>
              <w:rPr>
                <w:rFonts w:hint="eastAsia"/>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0442ED7B">
            <w:pPr>
              <w:widowControl/>
              <w:jc w:val="left"/>
              <w:rPr>
                <w:color w:val="auto"/>
                <w:szCs w:val="21"/>
                <w:highlight w:val="none"/>
              </w:rPr>
            </w:pPr>
            <w:r>
              <w:rPr>
                <w:rFonts w:hint="eastAsia"/>
                <w:color w:val="auto"/>
                <w:szCs w:val="21"/>
                <w:highlight w:val="none"/>
              </w:rPr>
              <w:t>Y＜100</w:t>
            </w:r>
          </w:p>
        </w:tc>
      </w:tr>
      <w:tr w14:paraId="221BE45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CFB431C">
            <w:pPr>
              <w:widowControl/>
              <w:jc w:val="center"/>
              <w:rPr>
                <w:color w:val="auto"/>
                <w:szCs w:val="21"/>
                <w:highlight w:val="none"/>
              </w:rPr>
            </w:pPr>
            <w:r>
              <w:rPr>
                <w:rFonts w:hint="eastAsia"/>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52E81699">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47CC027">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CF605BA">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539D812">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7E555A21">
            <w:pPr>
              <w:widowControl/>
              <w:jc w:val="left"/>
              <w:rPr>
                <w:color w:val="auto"/>
                <w:szCs w:val="21"/>
                <w:highlight w:val="none"/>
              </w:rPr>
            </w:pPr>
            <w:r>
              <w:rPr>
                <w:rFonts w:hint="eastAsia"/>
                <w:color w:val="auto"/>
                <w:szCs w:val="21"/>
                <w:highlight w:val="none"/>
              </w:rPr>
              <w:t>X＜20</w:t>
            </w:r>
          </w:p>
        </w:tc>
      </w:tr>
      <w:tr w14:paraId="4B7FB02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C3C4459">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EEEB3E">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93D83A9">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C465B8F">
            <w:pPr>
              <w:widowControl/>
              <w:jc w:val="left"/>
              <w:rPr>
                <w:color w:val="auto"/>
                <w:szCs w:val="21"/>
                <w:highlight w:val="none"/>
              </w:rPr>
            </w:pPr>
            <w:r>
              <w:rPr>
                <w:rFonts w:hint="eastAsia"/>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774BC9CF">
            <w:pPr>
              <w:widowControl/>
              <w:jc w:val="left"/>
              <w:rPr>
                <w:color w:val="auto"/>
                <w:szCs w:val="21"/>
                <w:highlight w:val="none"/>
              </w:rPr>
            </w:pPr>
            <w:r>
              <w:rPr>
                <w:rFonts w:hint="eastAsia"/>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6A8AB0EE">
            <w:pPr>
              <w:widowControl/>
              <w:jc w:val="left"/>
              <w:rPr>
                <w:color w:val="auto"/>
                <w:szCs w:val="21"/>
                <w:highlight w:val="none"/>
              </w:rPr>
            </w:pPr>
            <w:r>
              <w:rPr>
                <w:rFonts w:hint="eastAsia"/>
                <w:color w:val="auto"/>
                <w:szCs w:val="21"/>
                <w:highlight w:val="none"/>
              </w:rPr>
              <w:t>Y＜200</w:t>
            </w:r>
          </w:p>
        </w:tc>
      </w:tr>
      <w:tr w14:paraId="7E248D6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2FD7063">
            <w:pPr>
              <w:widowControl/>
              <w:jc w:val="center"/>
              <w:rPr>
                <w:color w:val="auto"/>
                <w:szCs w:val="21"/>
                <w:highlight w:val="none"/>
              </w:rPr>
            </w:pPr>
            <w:r>
              <w:rPr>
                <w:rFonts w:hint="eastAsia"/>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47E1C112">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E8B6C7">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4D275A0">
            <w:pPr>
              <w:widowControl/>
              <w:jc w:val="left"/>
              <w:rPr>
                <w:color w:val="auto"/>
                <w:szCs w:val="21"/>
                <w:highlight w:val="none"/>
              </w:rPr>
            </w:pPr>
            <w:r>
              <w:rPr>
                <w:rFonts w:hint="eastAsia"/>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02DF72C5">
            <w:pPr>
              <w:widowControl/>
              <w:jc w:val="left"/>
              <w:rPr>
                <w:color w:val="auto"/>
                <w:szCs w:val="21"/>
                <w:highlight w:val="none"/>
              </w:rPr>
            </w:pPr>
            <w:r>
              <w:rPr>
                <w:rFonts w:hint="eastAsia"/>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30A32F4A">
            <w:pPr>
              <w:widowControl/>
              <w:jc w:val="left"/>
              <w:rPr>
                <w:color w:val="auto"/>
                <w:szCs w:val="21"/>
                <w:highlight w:val="none"/>
              </w:rPr>
            </w:pPr>
            <w:r>
              <w:rPr>
                <w:rFonts w:hint="eastAsia"/>
                <w:color w:val="auto"/>
                <w:szCs w:val="21"/>
                <w:highlight w:val="none"/>
              </w:rPr>
              <w:t>X＜20</w:t>
            </w:r>
          </w:p>
        </w:tc>
      </w:tr>
      <w:tr w14:paraId="514F1197">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909BC45">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BD6E5A3">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B7F5C78">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49130E0">
            <w:pPr>
              <w:widowControl/>
              <w:jc w:val="left"/>
              <w:rPr>
                <w:color w:val="auto"/>
                <w:szCs w:val="21"/>
                <w:highlight w:val="none"/>
              </w:rPr>
            </w:pPr>
            <w:r>
              <w:rPr>
                <w:rFonts w:hint="eastAsia"/>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2F49F9D6">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6EF995EA">
            <w:pPr>
              <w:widowControl/>
              <w:jc w:val="left"/>
              <w:rPr>
                <w:color w:val="auto"/>
                <w:szCs w:val="21"/>
                <w:highlight w:val="none"/>
              </w:rPr>
            </w:pPr>
            <w:r>
              <w:rPr>
                <w:rFonts w:hint="eastAsia"/>
                <w:color w:val="auto"/>
                <w:szCs w:val="21"/>
                <w:highlight w:val="none"/>
              </w:rPr>
              <w:t>Y＜100</w:t>
            </w:r>
          </w:p>
        </w:tc>
      </w:tr>
      <w:tr w14:paraId="7EDF854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ED17122">
            <w:pPr>
              <w:widowControl/>
              <w:jc w:val="center"/>
              <w:rPr>
                <w:color w:val="auto"/>
                <w:szCs w:val="21"/>
                <w:highlight w:val="none"/>
              </w:rPr>
            </w:pPr>
            <w:r>
              <w:rPr>
                <w:rFonts w:hint="eastAsia"/>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003125E">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85F19D5">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5ABBFF2">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71A50C4">
            <w:pPr>
              <w:widowControl/>
              <w:jc w:val="left"/>
              <w:rPr>
                <w:color w:val="auto"/>
                <w:szCs w:val="21"/>
                <w:highlight w:val="none"/>
              </w:rPr>
            </w:pPr>
            <w:r>
              <w:rPr>
                <w:rFonts w:hint="eastAsia"/>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71F2F042">
            <w:pPr>
              <w:widowControl/>
              <w:jc w:val="left"/>
              <w:rPr>
                <w:color w:val="auto"/>
                <w:szCs w:val="21"/>
                <w:highlight w:val="none"/>
              </w:rPr>
            </w:pPr>
            <w:r>
              <w:rPr>
                <w:rFonts w:hint="eastAsia"/>
                <w:color w:val="auto"/>
                <w:szCs w:val="21"/>
                <w:highlight w:val="none"/>
              </w:rPr>
              <w:t>X＜20</w:t>
            </w:r>
          </w:p>
        </w:tc>
      </w:tr>
      <w:tr w14:paraId="4C6A1E2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930AEBF">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FB6BC64">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B4725EE">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0397E23">
            <w:pPr>
              <w:widowControl/>
              <w:jc w:val="left"/>
              <w:rPr>
                <w:color w:val="auto"/>
                <w:szCs w:val="21"/>
                <w:highlight w:val="none"/>
              </w:rPr>
            </w:pPr>
            <w:r>
              <w:rPr>
                <w:rFonts w:hint="eastAsia"/>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376CA124">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FFB372A">
            <w:pPr>
              <w:widowControl/>
              <w:jc w:val="left"/>
              <w:rPr>
                <w:color w:val="auto"/>
                <w:szCs w:val="21"/>
                <w:highlight w:val="none"/>
              </w:rPr>
            </w:pPr>
            <w:r>
              <w:rPr>
                <w:rFonts w:hint="eastAsia"/>
                <w:color w:val="auto"/>
                <w:szCs w:val="21"/>
                <w:highlight w:val="none"/>
              </w:rPr>
              <w:t>Y＜100</w:t>
            </w:r>
          </w:p>
        </w:tc>
      </w:tr>
      <w:tr w14:paraId="2C4F123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19F5042">
            <w:pPr>
              <w:widowControl/>
              <w:jc w:val="center"/>
              <w:rPr>
                <w:color w:val="auto"/>
                <w:szCs w:val="21"/>
                <w:highlight w:val="none"/>
              </w:rPr>
            </w:pPr>
            <w:r>
              <w:rPr>
                <w:rFonts w:hint="eastAsia"/>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60F77EEE">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3237DE2">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BE2CFE3">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55155B6D">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E242A69">
            <w:pPr>
              <w:widowControl/>
              <w:jc w:val="left"/>
              <w:rPr>
                <w:color w:val="auto"/>
                <w:szCs w:val="21"/>
                <w:highlight w:val="none"/>
              </w:rPr>
            </w:pPr>
            <w:r>
              <w:rPr>
                <w:rFonts w:hint="eastAsia"/>
                <w:color w:val="auto"/>
                <w:szCs w:val="21"/>
                <w:highlight w:val="none"/>
              </w:rPr>
              <w:t>X＜10</w:t>
            </w:r>
          </w:p>
        </w:tc>
      </w:tr>
      <w:tr w14:paraId="6AE8935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C5821B4">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4B64951">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0374B59">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34BF939">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1E27F196">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01A44701">
            <w:pPr>
              <w:widowControl/>
              <w:jc w:val="left"/>
              <w:rPr>
                <w:color w:val="auto"/>
                <w:szCs w:val="21"/>
                <w:highlight w:val="none"/>
              </w:rPr>
            </w:pPr>
            <w:r>
              <w:rPr>
                <w:rFonts w:hint="eastAsia"/>
                <w:color w:val="auto"/>
                <w:szCs w:val="21"/>
                <w:highlight w:val="none"/>
              </w:rPr>
              <w:t>Y＜100</w:t>
            </w:r>
          </w:p>
        </w:tc>
      </w:tr>
      <w:tr w14:paraId="0F67262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FBA1425">
            <w:pPr>
              <w:widowControl/>
              <w:jc w:val="center"/>
              <w:rPr>
                <w:color w:val="auto"/>
                <w:szCs w:val="21"/>
                <w:highlight w:val="none"/>
              </w:rPr>
            </w:pPr>
            <w:r>
              <w:rPr>
                <w:rFonts w:hint="eastAsia"/>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1BA091CA">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5EEE551">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1DB8EB6">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7222C110">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0238020B">
            <w:pPr>
              <w:widowControl/>
              <w:jc w:val="left"/>
              <w:rPr>
                <w:color w:val="auto"/>
                <w:szCs w:val="21"/>
                <w:highlight w:val="none"/>
              </w:rPr>
            </w:pPr>
            <w:r>
              <w:rPr>
                <w:rFonts w:hint="eastAsia"/>
                <w:color w:val="auto"/>
                <w:szCs w:val="21"/>
                <w:highlight w:val="none"/>
              </w:rPr>
              <w:t>X＜10</w:t>
            </w:r>
          </w:p>
        </w:tc>
      </w:tr>
      <w:tr w14:paraId="4FF1423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D7B9364">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6D818AB">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7BB210C4">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0D98BAB">
            <w:pPr>
              <w:widowControl/>
              <w:jc w:val="left"/>
              <w:rPr>
                <w:color w:val="auto"/>
                <w:szCs w:val="21"/>
                <w:highlight w:val="none"/>
              </w:rPr>
            </w:pPr>
            <w:r>
              <w:rPr>
                <w:rFonts w:hint="eastAsia"/>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726A76AA">
            <w:pPr>
              <w:widowControl/>
              <w:jc w:val="left"/>
              <w:rPr>
                <w:color w:val="auto"/>
                <w:szCs w:val="21"/>
                <w:highlight w:val="none"/>
              </w:rPr>
            </w:pPr>
            <w:r>
              <w:rPr>
                <w:rFonts w:hint="eastAsia"/>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5E0D4898">
            <w:pPr>
              <w:widowControl/>
              <w:jc w:val="left"/>
              <w:rPr>
                <w:color w:val="auto"/>
                <w:szCs w:val="21"/>
                <w:highlight w:val="none"/>
              </w:rPr>
            </w:pPr>
            <w:r>
              <w:rPr>
                <w:rFonts w:hint="eastAsia"/>
                <w:color w:val="auto"/>
                <w:szCs w:val="21"/>
                <w:highlight w:val="none"/>
              </w:rPr>
              <w:t>Y＜100</w:t>
            </w:r>
          </w:p>
        </w:tc>
      </w:tr>
      <w:tr w14:paraId="5FE4CE5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ADD37A3">
            <w:pPr>
              <w:widowControl/>
              <w:jc w:val="center"/>
              <w:rPr>
                <w:color w:val="auto"/>
                <w:szCs w:val="21"/>
                <w:highlight w:val="none"/>
              </w:rPr>
            </w:pPr>
            <w:r>
              <w:rPr>
                <w:rFonts w:hint="eastAsia"/>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5E7BF9A3">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3DC98B8">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25181820">
            <w:pPr>
              <w:widowControl/>
              <w:jc w:val="left"/>
              <w:rPr>
                <w:color w:val="auto"/>
                <w:szCs w:val="21"/>
                <w:highlight w:val="none"/>
              </w:rPr>
            </w:pPr>
            <w:r>
              <w:rPr>
                <w:rFonts w:hint="eastAsia"/>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0BDD41A4">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13E1FE68">
            <w:pPr>
              <w:widowControl/>
              <w:jc w:val="left"/>
              <w:rPr>
                <w:color w:val="auto"/>
                <w:szCs w:val="21"/>
                <w:highlight w:val="none"/>
              </w:rPr>
            </w:pPr>
            <w:r>
              <w:rPr>
                <w:rFonts w:hint="eastAsia"/>
                <w:color w:val="auto"/>
                <w:szCs w:val="21"/>
                <w:highlight w:val="none"/>
              </w:rPr>
              <w:t>X＜10</w:t>
            </w:r>
          </w:p>
        </w:tc>
      </w:tr>
      <w:tr w14:paraId="77399E2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798FF91">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2D0C65AA">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F75DC56">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7208A6">
            <w:pPr>
              <w:widowControl/>
              <w:jc w:val="left"/>
              <w:rPr>
                <w:color w:val="auto"/>
                <w:szCs w:val="21"/>
                <w:highlight w:val="none"/>
              </w:rPr>
            </w:pPr>
            <w:r>
              <w:rPr>
                <w:rFonts w:hint="eastAsia"/>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2404AF41">
            <w:pPr>
              <w:widowControl/>
              <w:jc w:val="left"/>
              <w:rPr>
                <w:color w:val="auto"/>
                <w:szCs w:val="21"/>
                <w:highlight w:val="none"/>
              </w:rPr>
            </w:pPr>
            <w:r>
              <w:rPr>
                <w:rFonts w:hint="eastAsia"/>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194C3217">
            <w:pPr>
              <w:widowControl/>
              <w:jc w:val="left"/>
              <w:rPr>
                <w:color w:val="auto"/>
                <w:szCs w:val="21"/>
                <w:highlight w:val="none"/>
              </w:rPr>
            </w:pPr>
            <w:r>
              <w:rPr>
                <w:rFonts w:hint="eastAsia"/>
                <w:color w:val="auto"/>
                <w:szCs w:val="21"/>
                <w:highlight w:val="none"/>
              </w:rPr>
              <w:t>Y＜100</w:t>
            </w:r>
          </w:p>
        </w:tc>
      </w:tr>
      <w:tr w14:paraId="3A220C6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E155019">
            <w:pPr>
              <w:widowControl/>
              <w:jc w:val="center"/>
              <w:rPr>
                <w:color w:val="auto"/>
                <w:szCs w:val="21"/>
                <w:highlight w:val="none"/>
              </w:rPr>
            </w:pPr>
            <w:r>
              <w:rPr>
                <w:rFonts w:hint="eastAsia"/>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60487F57">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EBE57FD">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5DDD7728">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6ED6027A">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2ACB1760">
            <w:pPr>
              <w:widowControl/>
              <w:jc w:val="left"/>
              <w:rPr>
                <w:color w:val="auto"/>
                <w:szCs w:val="21"/>
                <w:highlight w:val="none"/>
              </w:rPr>
            </w:pPr>
            <w:r>
              <w:rPr>
                <w:rFonts w:hint="eastAsia"/>
                <w:color w:val="auto"/>
                <w:szCs w:val="21"/>
                <w:highlight w:val="none"/>
              </w:rPr>
              <w:t>X＜10</w:t>
            </w:r>
          </w:p>
        </w:tc>
      </w:tr>
      <w:tr w14:paraId="035D5E6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5E6484A">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ED18BE4">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4E458DE">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DEAFE24">
            <w:pPr>
              <w:widowControl/>
              <w:jc w:val="left"/>
              <w:rPr>
                <w:color w:val="auto"/>
                <w:szCs w:val="21"/>
                <w:highlight w:val="none"/>
              </w:rPr>
            </w:pPr>
            <w:r>
              <w:rPr>
                <w:rFonts w:hint="eastAsia"/>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262B810">
            <w:pPr>
              <w:widowControl/>
              <w:jc w:val="left"/>
              <w:rPr>
                <w:color w:val="auto"/>
                <w:szCs w:val="21"/>
                <w:highlight w:val="none"/>
              </w:rPr>
            </w:pPr>
            <w:r>
              <w:rPr>
                <w:rFonts w:hint="eastAsia"/>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73390357">
            <w:pPr>
              <w:widowControl/>
              <w:jc w:val="left"/>
              <w:rPr>
                <w:color w:val="auto"/>
                <w:szCs w:val="21"/>
                <w:highlight w:val="none"/>
              </w:rPr>
            </w:pPr>
            <w:r>
              <w:rPr>
                <w:rFonts w:hint="eastAsia"/>
                <w:color w:val="auto"/>
                <w:szCs w:val="21"/>
                <w:highlight w:val="none"/>
              </w:rPr>
              <w:t>Y＜50</w:t>
            </w:r>
          </w:p>
        </w:tc>
      </w:tr>
      <w:tr w14:paraId="67B544C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8281780">
            <w:pPr>
              <w:widowControl/>
              <w:jc w:val="center"/>
              <w:rPr>
                <w:color w:val="auto"/>
                <w:szCs w:val="21"/>
                <w:highlight w:val="none"/>
              </w:rPr>
            </w:pPr>
            <w:r>
              <w:rPr>
                <w:rFonts w:hint="eastAsia"/>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357E13D9">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E4B55C5">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A25BA67">
            <w:pPr>
              <w:widowControl/>
              <w:jc w:val="left"/>
              <w:rPr>
                <w:color w:val="auto"/>
                <w:szCs w:val="21"/>
                <w:highlight w:val="none"/>
              </w:rPr>
            </w:pPr>
            <w:r>
              <w:rPr>
                <w:rFonts w:hint="eastAsia"/>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66AD3E3A">
            <w:pPr>
              <w:widowControl/>
              <w:jc w:val="left"/>
              <w:rPr>
                <w:color w:val="auto"/>
                <w:szCs w:val="21"/>
                <w:highlight w:val="none"/>
              </w:rPr>
            </w:pPr>
            <w:r>
              <w:rPr>
                <w:rFonts w:hint="eastAsia"/>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5599964B">
            <w:pPr>
              <w:widowControl/>
              <w:jc w:val="left"/>
              <w:rPr>
                <w:color w:val="auto"/>
                <w:szCs w:val="21"/>
                <w:highlight w:val="none"/>
              </w:rPr>
            </w:pPr>
            <w:r>
              <w:rPr>
                <w:rFonts w:hint="eastAsia"/>
                <w:color w:val="auto"/>
                <w:szCs w:val="21"/>
                <w:highlight w:val="none"/>
              </w:rPr>
              <w:t>X＜100</w:t>
            </w:r>
          </w:p>
        </w:tc>
      </w:tr>
      <w:tr w14:paraId="5E05978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8B2658F">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E7F7CE">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0D57CEC6">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33266B1">
            <w:pPr>
              <w:widowControl/>
              <w:jc w:val="left"/>
              <w:rPr>
                <w:color w:val="auto"/>
                <w:szCs w:val="21"/>
                <w:highlight w:val="none"/>
              </w:rPr>
            </w:pPr>
            <w:r>
              <w:rPr>
                <w:rFonts w:hint="eastAsia"/>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5CB25E8D">
            <w:pPr>
              <w:widowControl/>
              <w:jc w:val="left"/>
              <w:rPr>
                <w:color w:val="auto"/>
                <w:szCs w:val="21"/>
                <w:highlight w:val="none"/>
              </w:rPr>
            </w:pPr>
            <w:r>
              <w:rPr>
                <w:rFonts w:hint="eastAsia"/>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33E0D629">
            <w:pPr>
              <w:widowControl/>
              <w:jc w:val="left"/>
              <w:rPr>
                <w:color w:val="auto"/>
                <w:szCs w:val="21"/>
                <w:highlight w:val="none"/>
              </w:rPr>
            </w:pPr>
            <w:r>
              <w:rPr>
                <w:rFonts w:hint="eastAsia"/>
                <w:color w:val="auto"/>
                <w:szCs w:val="21"/>
                <w:highlight w:val="none"/>
              </w:rPr>
              <w:t>Y＜2000</w:t>
            </w:r>
          </w:p>
        </w:tc>
      </w:tr>
      <w:tr w14:paraId="545F361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6B2E18C">
            <w:pPr>
              <w:widowControl/>
              <w:jc w:val="center"/>
              <w:rPr>
                <w:color w:val="auto"/>
                <w:szCs w:val="21"/>
                <w:highlight w:val="none"/>
              </w:rPr>
            </w:pPr>
            <w:r>
              <w:rPr>
                <w:rFonts w:hint="eastAsia"/>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402B367C">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55F954A">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507F6D97">
            <w:pPr>
              <w:widowControl/>
              <w:jc w:val="left"/>
              <w:rPr>
                <w:color w:val="auto"/>
                <w:szCs w:val="21"/>
                <w:highlight w:val="none"/>
              </w:rPr>
            </w:pPr>
            <w:r>
              <w:rPr>
                <w:rFonts w:hint="eastAsia"/>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D0AEDC">
            <w:pPr>
              <w:widowControl/>
              <w:jc w:val="left"/>
              <w:rPr>
                <w:color w:val="auto"/>
                <w:szCs w:val="21"/>
                <w:highlight w:val="none"/>
              </w:rPr>
            </w:pPr>
            <w:r>
              <w:rPr>
                <w:rFonts w:hint="eastAsia"/>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73FFCF7B">
            <w:pPr>
              <w:widowControl/>
              <w:jc w:val="left"/>
              <w:rPr>
                <w:color w:val="auto"/>
                <w:szCs w:val="21"/>
                <w:highlight w:val="none"/>
              </w:rPr>
            </w:pPr>
            <w:r>
              <w:rPr>
                <w:rFonts w:hint="eastAsia"/>
                <w:color w:val="auto"/>
                <w:szCs w:val="21"/>
                <w:highlight w:val="none"/>
              </w:rPr>
              <w:t>X＜100</w:t>
            </w:r>
          </w:p>
        </w:tc>
      </w:tr>
      <w:tr w14:paraId="4B40E1B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A75065C">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4D73E23">
            <w:pPr>
              <w:widowControl/>
              <w:jc w:val="left"/>
              <w:rPr>
                <w:color w:val="auto"/>
                <w:szCs w:val="21"/>
                <w:highlight w:val="none"/>
              </w:rPr>
            </w:pPr>
            <w:r>
              <w:rPr>
                <w:rFonts w:hint="eastAsia"/>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338927">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23EC69B">
            <w:pPr>
              <w:widowControl/>
              <w:jc w:val="left"/>
              <w:rPr>
                <w:color w:val="auto"/>
                <w:szCs w:val="21"/>
                <w:highlight w:val="none"/>
              </w:rPr>
            </w:pPr>
            <w:r>
              <w:rPr>
                <w:rFonts w:hint="eastAsia"/>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FF73EE">
            <w:pPr>
              <w:widowControl/>
              <w:jc w:val="left"/>
              <w:rPr>
                <w:color w:val="auto"/>
                <w:szCs w:val="21"/>
                <w:highlight w:val="none"/>
              </w:rPr>
            </w:pPr>
            <w:r>
              <w:rPr>
                <w:rFonts w:hint="eastAsia"/>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210CD79B">
            <w:pPr>
              <w:widowControl/>
              <w:jc w:val="left"/>
              <w:rPr>
                <w:color w:val="auto"/>
                <w:szCs w:val="21"/>
                <w:highlight w:val="none"/>
              </w:rPr>
            </w:pPr>
            <w:r>
              <w:rPr>
                <w:rFonts w:hint="eastAsia"/>
                <w:color w:val="auto"/>
                <w:szCs w:val="21"/>
                <w:highlight w:val="none"/>
              </w:rPr>
              <w:t>Y＜500</w:t>
            </w:r>
          </w:p>
        </w:tc>
      </w:tr>
      <w:tr w14:paraId="4F020F5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0C48FB9">
            <w:pPr>
              <w:widowControl/>
              <w:jc w:val="center"/>
              <w:rPr>
                <w:color w:val="auto"/>
                <w:szCs w:val="21"/>
                <w:highlight w:val="none"/>
              </w:rPr>
            </w:pPr>
            <w:r>
              <w:rPr>
                <w:rFonts w:hint="eastAsia"/>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50AB0C1F">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BBC852">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29128CC8">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51E9879">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05CE622E">
            <w:pPr>
              <w:widowControl/>
              <w:jc w:val="left"/>
              <w:rPr>
                <w:color w:val="auto"/>
                <w:szCs w:val="21"/>
                <w:highlight w:val="none"/>
              </w:rPr>
            </w:pPr>
            <w:r>
              <w:rPr>
                <w:rFonts w:hint="eastAsia"/>
                <w:color w:val="auto"/>
                <w:szCs w:val="21"/>
                <w:highlight w:val="none"/>
              </w:rPr>
              <w:t>X＜10</w:t>
            </w:r>
          </w:p>
        </w:tc>
      </w:tr>
      <w:tr w14:paraId="1EB90A4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761FED6">
            <w:pPr>
              <w:widowControl/>
              <w:jc w:val="left"/>
              <w:rPr>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318D7D3">
            <w:pPr>
              <w:widowControl/>
              <w:jc w:val="left"/>
              <w:rPr>
                <w:color w:val="auto"/>
                <w:szCs w:val="21"/>
                <w:highlight w:val="none"/>
              </w:rPr>
            </w:pPr>
            <w:r>
              <w:rPr>
                <w:rFonts w:hint="eastAsia"/>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7148EA0E">
            <w:pPr>
              <w:widowControl/>
              <w:jc w:val="left"/>
              <w:rPr>
                <w:color w:val="auto"/>
                <w:szCs w:val="21"/>
                <w:highlight w:val="none"/>
              </w:rPr>
            </w:pPr>
            <w:r>
              <w:rPr>
                <w:rFonts w:hint="eastAsia"/>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2E6FEE9">
            <w:pPr>
              <w:widowControl/>
              <w:jc w:val="left"/>
              <w:rPr>
                <w:color w:val="auto"/>
                <w:szCs w:val="21"/>
                <w:highlight w:val="none"/>
              </w:rPr>
            </w:pPr>
            <w:r>
              <w:rPr>
                <w:rFonts w:hint="eastAsia"/>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02BDE845">
            <w:pPr>
              <w:widowControl/>
              <w:jc w:val="left"/>
              <w:rPr>
                <w:color w:val="auto"/>
                <w:szCs w:val="21"/>
                <w:highlight w:val="none"/>
              </w:rPr>
            </w:pPr>
            <w:r>
              <w:rPr>
                <w:rFonts w:hint="eastAsia"/>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3FD84233">
            <w:pPr>
              <w:widowControl/>
              <w:jc w:val="left"/>
              <w:rPr>
                <w:color w:val="auto"/>
                <w:szCs w:val="21"/>
                <w:highlight w:val="none"/>
              </w:rPr>
            </w:pPr>
            <w:r>
              <w:rPr>
                <w:rFonts w:hint="eastAsia"/>
                <w:color w:val="auto"/>
                <w:szCs w:val="21"/>
                <w:highlight w:val="none"/>
              </w:rPr>
              <w:t>Y＜100</w:t>
            </w:r>
          </w:p>
        </w:tc>
      </w:tr>
      <w:tr w14:paraId="2B9C8CEC">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74F79F51">
            <w:pPr>
              <w:widowControl/>
              <w:jc w:val="center"/>
              <w:rPr>
                <w:color w:val="auto"/>
                <w:szCs w:val="21"/>
                <w:highlight w:val="none"/>
              </w:rPr>
            </w:pPr>
            <w:r>
              <w:rPr>
                <w:rFonts w:hint="eastAsia"/>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4E72AB3B">
            <w:pPr>
              <w:widowControl/>
              <w:jc w:val="left"/>
              <w:rPr>
                <w:color w:val="auto"/>
                <w:szCs w:val="21"/>
                <w:highlight w:val="none"/>
              </w:rPr>
            </w:pPr>
            <w:r>
              <w:rPr>
                <w:rFonts w:hint="eastAsia"/>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7250AF7">
            <w:pPr>
              <w:widowControl/>
              <w:jc w:val="left"/>
              <w:rPr>
                <w:color w:val="auto"/>
                <w:szCs w:val="21"/>
                <w:highlight w:val="none"/>
              </w:rPr>
            </w:pPr>
            <w:r>
              <w:rPr>
                <w:rFonts w:hint="eastAsia"/>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6141DA51">
            <w:pPr>
              <w:widowControl/>
              <w:jc w:val="left"/>
              <w:rPr>
                <w:color w:val="auto"/>
                <w:szCs w:val="21"/>
                <w:highlight w:val="none"/>
              </w:rPr>
            </w:pPr>
            <w:r>
              <w:rPr>
                <w:rFonts w:hint="eastAsia"/>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783A9582">
            <w:pPr>
              <w:widowControl/>
              <w:jc w:val="left"/>
              <w:rPr>
                <w:color w:val="auto"/>
                <w:szCs w:val="21"/>
                <w:highlight w:val="none"/>
              </w:rPr>
            </w:pPr>
            <w:r>
              <w:rPr>
                <w:rFonts w:hint="eastAsia"/>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4C71F426">
            <w:pPr>
              <w:widowControl/>
              <w:jc w:val="left"/>
              <w:rPr>
                <w:color w:val="auto"/>
                <w:szCs w:val="21"/>
                <w:highlight w:val="none"/>
              </w:rPr>
            </w:pPr>
            <w:r>
              <w:rPr>
                <w:rFonts w:hint="eastAsia"/>
                <w:color w:val="auto"/>
                <w:szCs w:val="21"/>
                <w:highlight w:val="none"/>
              </w:rPr>
              <w:t>X＜10</w:t>
            </w:r>
          </w:p>
        </w:tc>
      </w:tr>
    </w:tbl>
    <w:p w14:paraId="0E1FE365">
      <w:pPr>
        <w:spacing w:line="360" w:lineRule="auto"/>
        <w:ind w:firstLine="525" w:firstLineChars="250"/>
        <w:rPr>
          <w:color w:val="auto"/>
          <w:szCs w:val="21"/>
          <w:highlight w:val="none"/>
        </w:rPr>
      </w:pPr>
      <w:r>
        <w:rPr>
          <w:rFonts w:hint="eastAsia"/>
          <w:color w:val="auto"/>
          <w:szCs w:val="21"/>
          <w:highlight w:val="none"/>
        </w:rPr>
        <w:t>说明：上述标准参照《关于印发中小企业划型标准规定的通知》（工信部联企业</w:t>
      </w:r>
      <w:r>
        <w:rPr>
          <w:rFonts w:hint="eastAsia"/>
          <w:color w:val="auto"/>
          <w:szCs w:val="21"/>
          <w:highlight w:val="none"/>
          <w:lang w:eastAsia="zh-CN"/>
        </w:rPr>
        <w:t>〔2011〕300号</w:t>
      </w:r>
      <w:r>
        <w:rPr>
          <w:rFonts w:hint="eastAsia"/>
          <w:color w:val="auto"/>
          <w:szCs w:val="21"/>
          <w:highlight w:val="none"/>
        </w:rPr>
        <w:t>），大型、中型和小型企业须同时满足所列指标的下限，否则下划一档；微型企业只须满足所列指标中的一项即可。</w:t>
      </w:r>
    </w:p>
    <w:p w14:paraId="4E45ABD7">
      <w:pPr>
        <w:spacing w:line="360" w:lineRule="auto"/>
        <w:rPr>
          <w:color w:val="auto"/>
          <w:sz w:val="28"/>
          <w:szCs w:val="28"/>
          <w:highlight w:val="none"/>
        </w:rPr>
      </w:pPr>
      <w:r>
        <w:rPr>
          <w:color w:val="auto"/>
          <w:szCs w:val="21"/>
          <w:highlight w:val="none"/>
        </w:rPr>
        <w:br w:type="page"/>
      </w:r>
      <w:r>
        <w:rPr>
          <w:rFonts w:hint="eastAsia"/>
          <w:color w:val="auto"/>
          <w:sz w:val="28"/>
          <w:szCs w:val="28"/>
          <w:highlight w:val="none"/>
        </w:rPr>
        <w:t>附件</w:t>
      </w:r>
      <w:r>
        <w:rPr>
          <w:rFonts w:hint="eastAsia"/>
          <w:color w:val="auto"/>
          <w:sz w:val="28"/>
          <w:szCs w:val="28"/>
          <w:highlight w:val="none"/>
          <w:lang w:val="en-US" w:eastAsia="zh-CN"/>
        </w:rPr>
        <w:t>4</w:t>
      </w:r>
      <w:r>
        <w:rPr>
          <w:rFonts w:hint="eastAsia"/>
          <w:color w:val="auto"/>
          <w:sz w:val="28"/>
          <w:szCs w:val="28"/>
          <w:highlight w:val="none"/>
        </w:rPr>
        <w:t>：</w:t>
      </w:r>
    </w:p>
    <w:p w14:paraId="6C42B64E">
      <w:pPr>
        <w:spacing w:line="360" w:lineRule="auto"/>
        <w:rPr>
          <w:rFonts w:hint="eastAsia"/>
          <w:color w:val="auto"/>
          <w:szCs w:val="21"/>
          <w:highlight w:val="none"/>
        </w:rPr>
        <w:sectPr>
          <w:footerReference r:id="rId16" w:type="first"/>
          <w:headerReference r:id="rId15" w:type="default"/>
          <w:pgSz w:w="11906" w:h="16838"/>
          <w:pgMar w:top="851" w:right="1133" w:bottom="1246" w:left="1418" w:header="851" w:footer="797" w:gutter="0"/>
          <w:pgNumType w:fmt="decimal"/>
          <w:cols w:space="720" w:num="1"/>
          <w:docGrid w:linePitch="312" w:charSpace="0"/>
        </w:sectPr>
      </w:pPr>
      <w:r>
        <w:rPr>
          <w:rFonts w:ascii="宋体" w:hAnsi="宋体" w:cs="宋体"/>
          <w:color w:val="auto"/>
          <w:position w:val="-335"/>
          <w:sz w:val="20"/>
          <w:szCs w:val="20"/>
          <w:highlight w:val="none"/>
        </w:rPr>
        <w:drawing>
          <wp:anchor distT="0" distB="0" distL="114300" distR="114300" simplePos="0" relativeHeight="251659264" behindDoc="0" locked="0" layoutInCell="1" allowOverlap="1">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2"/>
                    <a:stretch>
                      <a:fillRect/>
                    </a:stretch>
                  </pic:blipFill>
                  <pic:spPr>
                    <a:xfrm>
                      <a:off x="0" y="0"/>
                      <a:ext cx="5573395" cy="8125460"/>
                    </a:xfrm>
                    <a:prstGeom prst="rect">
                      <a:avLst/>
                    </a:prstGeom>
                    <a:noFill/>
                    <a:ln>
                      <a:noFill/>
                    </a:ln>
                  </pic:spPr>
                </pic:pic>
              </a:graphicData>
            </a:graphic>
          </wp:anchor>
        </w:drawing>
      </w:r>
    </w:p>
    <w:bookmarkEnd w:id="12"/>
    <w:bookmarkEnd w:id="13"/>
    <w:p w14:paraId="41A765A5">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14" w:name="_Toc31014"/>
      <w:r>
        <w:rPr>
          <w:rFonts w:ascii="Times New Roman" w:hAnsi="Times New Roman" w:cs="Times New Roman"/>
          <w:color w:val="auto"/>
          <w:sz w:val="32"/>
          <w:szCs w:val="32"/>
          <w:highlight w:val="none"/>
        </w:rPr>
        <w:t>第三章  供应商须知</w:t>
      </w:r>
      <w:bookmarkEnd w:id="14"/>
      <w:bookmarkStart w:id="15" w:name="_Toc254970526"/>
      <w:bookmarkStart w:id="16" w:name="_Toc254970667"/>
    </w:p>
    <w:p w14:paraId="43665C3B">
      <w:pPr>
        <w:pStyle w:val="3"/>
        <w:spacing w:before="40" w:after="40"/>
        <w:jc w:val="center"/>
        <w:rPr>
          <w:rFonts w:ascii="Times New Roman" w:hAnsi="Times New Roman" w:eastAsia="宋体"/>
          <w:color w:val="auto"/>
          <w:sz w:val="24"/>
          <w:szCs w:val="24"/>
          <w:highlight w:val="none"/>
        </w:rPr>
      </w:pPr>
      <w:r>
        <w:rPr>
          <w:rFonts w:ascii="Times New Roman" w:hAnsi="Times New Roman" w:eastAsia="宋体"/>
          <w:color w:val="auto"/>
          <w:sz w:val="24"/>
          <w:szCs w:val="24"/>
          <w:highlight w:val="none"/>
        </w:rPr>
        <w:t>供应商须知前附表</w:t>
      </w:r>
      <w:bookmarkEnd w:id="15"/>
      <w:bookmarkEnd w:id="16"/>
      <w:bookmarkStart w:id="17" w:name="_投标人须知前附表"/>
      <w:bookmarkEnd w:id="17"/>
      <w:bookmarkStart w:id="18" w:name="_Hlk19088833"/>
    </w:p>
    <w:tbl>
      <w:tblPr>
        <w:tblStyle w:val="51"/>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48"/>
        <w:gridCol w:w="7229"/>
      </w:tblGrid>
      <w:tr w14:paraId="1EB70C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230DA2E3">
            <w:pPr>
              <w:jc w:val="center"/>
              <w:rPr>
                <w:b/>
                <w:color w:val="auto"/>
                <w:szCs w:val="21"/>
                <w:highlight w:val="none"/>
              </w:rPr>
            </w:pPr>
            <w:r>
              <w:rPr>
                <w:b/>
                <w:color w:val="auto"/>
                <w:szCs w:val="21"/>
                <w:highlight w:val="none"/>
              </w:rPr>
              <w:t>条款号</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0E459D09">
            <w:pPr>
              <w:jc w:val="center"/>
              <w:rPr>
                <w:b/>
                <w:color w:val="auto"/>
                <w:szCs w:val="21"/>
                <w:highlight w:val="none"/>
              </w:rPr>
            </w:pPr>
            <w:r>
              <w:rPr>
                <w:b/>
                <w:color w:val="auto"/>
                <w:szCs w:val="21"/>
                <w:highlight w:val="none"/>
              </w:rPr>
              <w:t>要点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DA11DBB">
            <w:pPr>
              <w:jc w:val="center"/>
              <w:rPr>
                <w:b/>
                <w:color w:val="auto"/>
                <w:szCs w:val="21"/>
                <w:highlight w:val="none"/>
              </w:rPr>
            </w:pPr>
            <w:r>
              <w:rPr>
                <w:b/>
                <w:color w:val="auto"/>
                <w:szCs w:val="21"/>
                <w:highlight w:val="none"/>
              </w:rPr>
              <w:t>内容、要求</w:t>
            </w:r>
          </w:p>
        </w:tc>
      </w:tr>
      <w:tr w14:paraId="6DBAED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63010B7C">
            <w:pPr>
              <w:spacing w:line="300" w:lineRule="exact"/>
              <w:jc w:val="center"/>
              <w:rPr>
                <w:b/>
                <w:color w:val="auto"/>
                <w:szCs w:val="21"/>
                <w:highlight w:val="none"/>
              </w:rPr>
            </w:pPr>
            <w:r>
              <w:rPr>
                <w:b/>
                <w:color w:val="auto"/>
                <w:szCs w:val="21"/>
                <w:highlight w:val="none"/>
              </w:rPr>
              <w:t>1.3.1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06D01DC">
            <w:pPr>
              <w:spacing w:line="300" w:lineRule="exact"/>
              <w:jc w:val="center"/>
              <w:rPr>
                <w:color w:val="auto"/>
                <w:szCs w:val="21"/>
                <w:highlight w:val="none"/>
              </w:rPr>
            </w:pPr>
            <w:r>
              <w:rPr>
                <w:color w:val="auto"/>
                <w:szCs w:val="21"/>
                <w:highlight w:val="none"/>
              </w:rPr>
              <w:t>项目基本信息</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17DD429">
            <w:pPr>
              <w:spacing w:line="300" w:lineRule="exact"/>
              <w:jc w:val="left"/>
              <w:rPr>
                <w:rFonts w:hint="eastAsia"/>
                <w:color w:val="auto"/>
                <w:szCs w:val="21"/>
                <w:highlight w:val="none"/>
              </w:rPr>
            </w:pPr>
            <w:r>
              <w:rPr>
                <w:color w:val="auto"/>
                <w:szCs w:val="21"/>
                <w:highlight w:val="none"/>
              </w:rPr>
              <w:t>项目名称：</w:t>
            </w:r>
            <w:r>
              <w:rPr>
                <w:rFonts w:hint="eastAsia"/>
                <w:color w:val="auto"/>
                <w:szCs w:val="21"/>
                <w:highlight w:val="none"/>
                <w:lang w:eastAsia="zh-CN"/>
              </w:rPr>
              <w:t>防城港市市场监督管理局2026年食品安全监督抽检服务</w:t>
            </w:r>
          </w:p>
          <w:p w14:paraId="38D62AD7">
            <w:pPr>
              <w:spacing w:line="300" w:lineRule="exact"/>
              <w:jc w:val="left"/>
              <w:rPr>
                <w:rFonts w:hint="eastAsia" w:eastAsia="宋体"/>
                <w:color w:val="auto"/>
                <w:szCs w:val="21"/>
                <w:highlight w:val="none"/>
                <w:lang w:eastAsia="zh-CN"/>
              </w:rPr>
            </w:pPr>
            <w:r>
              <w:rPr>
                <w:color w:val="auto"/>
                <w:szCs w:val="21"/>
                <w:highlight w:val="none"/>
              </w:rPr>
              <w:t>项目编号：</w:t>
            </w:r>
            <w:r>
              <w:rPr>
                <w:rFonts w:hint="eastAsia"/>
                <w:color w:val="auto"/>
                <w:szCs w:val="21"/>
                <w:highlight w:val="none"/>
                <w:lang w:eastAsia="zh-CN"/>
              </w:rPr>
              <w:t>FCZC2026-C3-990126-JDZB</w:t>
            </w:r>
          </w:p>
          <w:p w14:paraId="455B81B2">
            <w:pPr>
              <w:spacing w:line="300" w:lineRule="exact"/>
              <w:jc w:val="left"/>
              <w:rPr>
                <w:color w:val="auto"/>
                <w:szCs w:val="21"/>
                <w:highlight w:val="none"/>
              </w:rPr>
            </w:pPr>
            <w:r>
              <w:rPr>
                <w:rFonts w:hint="eastAsia"/>
                <w:color w:val="auto"/>
                <w:szCs w:val="21"/>
                <w:highlight w:val="none"/>
              </w:rPr>
              <w:t>采购计划号：FCGCG[2026]1752号</w:t>
            </w:r>
          </w:p>
        </w:tc>
      </w:tr>
      <w:tr w14:paraId="4E5C74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1E220FE0">
            <w:pPr>
              <w:spacing w:line="300" w:lineRule="exact"/>
              <w:jc w:val="center"/>
              <w:rPr>
                <w:b/>
                <w:color w:val="auto"/>
                <w:szCs w:val="21"/>
                <w:highlight w:val="none"/>
              </w:rPr>
            </w:pPr>
            <w:r>
              <w:rPr>
                <w:b/>
                <w:color w:val="auto"/>
                <w:szCs w:val="21"/>
                <w:highlight w:val="none"/>
              </w:rPr>
              <w:t>1.3.2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664188A7">
            <w:pPr>
              <w:spacing w:line="300" w:lineRule="exact"/>
              <w:jc w:val="center"/>
              <w:rPr>
                <w:color w:val="auto"/>
                <w:szCs w:val="21"/>
                <w:highlight w:val="none"/>
                <w:lang w:val="zh-CN"/>
              </w:rPr>
            </w:pPr>
            <w:r>
              <w:rPr>
                <w:rFonts w:hint="eastAsia"/>
                <w:color w:val="auto"/>
                <w:szCs w:val="21"/>
                <w:highlight w:val="none"/>
                <w:lang w:val="zh-CN"/>
              </w:rPr>
              <w:t>采购方式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398293C">
            <w:pPr>
              <w:spacing w:line="300" w:lineRule="exact"/>
              <w:jc w:val="left"/>
              <w:rPr>
                <w:color w:val="auto"/>
                <w:szCs w:val="21"/>
                <w:highlight w:val="none"/>
              </w:rPr>
            </w:pPr>
            <w:r>
              <w:rPr>
                <w:rFonts w:hint="eastAsia"/>
                <w:color w:val="auto"/>
                <w:szCs w:val="21"/>
                <w:highlight w:val="none"/>
              </w:rPr>
              <w:t>竞争性磋商。</w:t>
            </w:r>
          </w:p>
        </w:tc>
      </w:tr>
      <w:tr w14:paraId="4DEF31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0"/>
            <w:vAlign w:val="center"/>
          </w:tcPr>
          <w:p w14:paraId="12DC6952">
            <w:pPr>
              <w:spacing w:line="300" w:lineRule="exact"/>
              <w:jc w:val="center"/>
              <w:rPr>
                <w:b/>
                <w:color w:val="auto"/>
                <w:szCs w:val="21"/>
                <w:highlight w:val="none"/>
              </w:rPr>
            </w:pPr>
            <w:r>
              <w:rPr>
                <w:b/>
                <w:color w:val="auto"/>
                <w:szCs w:val="21"/>
                <w:highlight w:val="none"/>
              </w:rPr>
              <w:t>1.4</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8DB1EAE">
            <w:pPr>
              <w:spacing w:line="300" w:lineRule="exact"/>
              <w:jc w:val="center"/>
              <w:rPr>
                <w:rFonts w:hint="eastAsia"/>
                <w:color w:val="auto"/>
                <w:szCs w:val="21"/>
                <w:highlight w:val="none"/>
                <w:lang w:val="zh-CN"/>
              </w:rPr>
            </w:pPr>
            <w:r>
              <w:rPr>
                <w:rFonts w:hint="eastAsia"/>
                <w:color w:val="auto"/>
                <w:szCs w:val="21"/>
                <w:highlight w:val="none"/>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495D1E9">
            <w:pPr>
              <w:spacing w:line="300" w:lineRule="exact"/>
              <w:jc w:val="left"/>
              <w:rPr>
                <w:color w:val="auto"/>
                <w:szCs w:val="21"/>
                <w:highlight w:val="none"/>
              </w:rPr>
            </w:pPr>
            <w:r>
              <w:rPr>
                <w:rFonts w:hint="eastAsia"/>
                <w:color w:val="auto"/>
                <w:szCs w:val="21"/>
                <w:highlight w:val="none"/>
              </w:rPr>
              <w:t>本项目（</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lang w:val="en-US" w:eastAsia="zh-CN"/>
              </w:rPr>
              <w:t>四、</w:t>
            </w:r>
            <w:r>
              <w:rPr>
                <w:color w:val="auto"/>
                <w:szCs w:val="21"/>
                <w:highlight w:val="none"/>
                <w:u w:val="single"/>
              </w:rPr>
              <w:t xml:space="preserve"> </w:t>
            </w:r>
            <w:r>
              <w:rPr>
                <w:rFonts w:hint="eastAsia"/>
                <w:color w:val="auto"/>
                <w:szCs w:val="21"/>
                <w:highlight w:val="none"/>
                <w:u w:val="single"/>
                <w:lang w:val="en-US" w:eastAsia="zh-CN"/>
              </w:rPr>
              <w:t>五</w:t>
            </w:r>
            <w:r>
              <w:rPr>
                <w:color w:val="auto"/>
                <w:szCs w:val="21"/>
                <w:highlight w:val="none"/>
                <w:u w:val="single"/>
              </w:rPr>
              <w:t xml:space="preserve">  </w:t>
            </w:r>
            <w:r>
              <w:rPr>
                <w:rFonts w:hint="eastAsia"/>
                <w:color w:val="auto"/>
                <w:szCs w:val="21"/>
                <w:highlight w:val="none"/>
              </w:rPr>
              <w:t>标段）专门面向中小微企业采购。</w:t>
            </w:r>
          </w:p>
          <w:p w14:paraId="460CD948">
            <w:pPr>
              <w:spacing w:line="300" w:lineRule="exact"/>
              <w:jc w:val="left"/>
              <w:rPr>
                <w:rFonts w:hint="eastAsia"/>
                <w:color w:val="auto"/>
                <w:szCs w:val="21"/>
                <w:highlight w:val="none"/>
              </w:rPr>
            </w:pPr>
          </w:p>
        </w:tc>
      </w:tr>
      <w:tr w14:paraId="01BCE2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0"/>
            <w:vAlign w:val="center"/>
          </w:tcPr>
          <w:p w14:paraId="3EF7BEC4">
            <w:pPr>
              <w:spacing w:line="300" w:lineRule="exact"/>
              <w:jc w:val="center"/>
              <w:rPr>
                <w:b/>
                <w:color w:val="auto"/>
                <w:szCs w:val="21"/>
                <w:highlight w:val="none"/>
              </w:rPr>
            </w:pPr>
            <w:r>
              <w:rPr>
                <w:b/>
                <w:color w:val="auto"/>
                <w:szCs w:val="21"/>
                <w:highlight w:val="none"/>
              </w:rPr>
              <w:t>1.5.1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F93DF52">
            <w:pPr>
              <w:spacing w:line="300" w:lineRule="exact"/>
              <w:jc w:val="center"/>
              <w:rPr>
                <w:color w:val="auto"/>
                <w:szCs w:val="21"/>
                <w:highlight w:val="none"/>
              </w:rPr>
            </w:pPr>
            <w:r>
              <w:rPr>
                <w:color w:val="auto"/>
                <w:szCs w:val="21"/>
                <w:highlight w:val="none"/>
                <w:lang w:val="zh-CN"/>
              </w:rPr>
              <w:t>供应商资格条件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F38C80F">
            <w:pPr>
              <w:spacing w:line="300" w:lineRule="exact"/>
              <w:jc w:val="left"/>
              <w:rPr>
                <w:color w:val="auto"/>
                <w:szCs w:val="21"/>
                <w:highlight w:val="none"/>
              </w:rPr>
            </w:pPr>
            <w:r>
              <w:rPr>
                <w:rFonts w:hint="eastAsia"/>
                <w:color w:val="auto"/>
                <w:szCs w:val="21"/>
                <w:highlight w:val="none"/>
              </w:rPr>
              <w:t>详</w:t>
            </w:r>
            <w:r>
              <w:rPr>
                <w:color w:val="auto"/>
                <w:szCs w:val="21"/>
                <w:highlight w:val="none"/>
              </w:rPr>
              <w:t>见</w:t>
            </w:r>
            <w:r>
              <w:rPr>
                <w:rFonts w:hint="eastAsia"/>
                <w:color w:val="auto"/>
                <w:szCs w:val="21"/>
                <w:highlight w:val="none"/>
              </w:rPr>
              <w:t>磋商</w:t>
            </w:r>
            <w:r>
              <w:rPr>
                <w:color w:val="auto"/>
                <w:szCs w:val="21"/>
                <w:highlight w:val="none"/>
              </w:rPr>
              <w:t>公告</w:t>
            </w:r>
            <w:r>
              <w:rPr>
                <w:rFonts w:hint="eastAsia"/>
                <w:color w:val="auto"/>
                <w:szCs w:val="21"/>
                <w:highlight w:val="none"/>
              </w:rPr>
              <w:t>。</w:t>
            </w:r>
          </w:p>
        </w:tc>
      </w:tr>
      <w:tr w14:paraId="3A960F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37" w:type="dxa"/>
            <w:tcBorders>
              <w:top w:val="single" w:color="auto" w:sz="4" w:space="0"/>
              <w:left w:val="single" w:color="auto" w:sz="4" w:space="0"/>
              <w:right w:val="single" w:color="auto" w:sz="4" w:space="0"/>
            </w:tcBorders>
            <w:noWrap w:val="0"/>
            <w:vAlign w:val="center"/>
          </w:tcPr>
          <w:p w14:paraId="6F810BFC">
            <w:pPr>
              <w:spacing w:line="300" w:lineRule="exact"/>
              <w:jc w:val="center"/>
              <w:rPr>
                <w:b/>
                <w:color w:val="auto"/>
                <w:szCs w:val="21"/>
                <w:highlight w:val="none"/>
              </w:rPr>
            </w:pPr>
            <w:bookmarkStart w:id="19" w:name="_Hlk85555568"/>
            <w:r>
              <w:rPr>
                <w:b/>
                <w:color w:val="auto"/>
                <w:szCs w:val="21"/>
                <w:highlight w:val="none"/>
              </w:rPr>
              <w:t>1.5.3</w:t>
            </w:r>
          </w:p>
        </w:tc>
        <w:tc>
          <w:tcPr>
            <w:tcW w:w="1248" w:type="dxa"/>
            <w:tcBorders>
              <w:top w:val="single" w:color="auto" w:sz="4" w:space="0"/>
              <w:left w:val="single" w:color="auto" w:sz="4" w:space="0"/>
              <w:right w:val="single" w:color="auto" w:sz="4" w:space="0"/>
            </w:tcBorders>
            <w:noWrap w:val="0"/>
            <w:vAlign w:val="center"/>
          </w:tcPr>
          <w:p w14:paraId="123D9D77">
            <w:pPr>
              <w:spacing w:line="300" w:lineRule="exact"/>
              <w:jc w:val="center"/>
              <w:rPr>
                <w:color w:val="auto"/>
                <w:szCs w:val="21"/>
                <w:highlight w:val="none"/>
              </w:rPr>
            </w:pPr>
            <w:r>
              <w:rPr>
                <w:rFonts w:hint="eastAsia"/>
                <w:color w:val="auto"/>
                <w:szCs w:val="21"/>
                <w:highlight w:val="none"/>
              </w:rPr>
              <w:t>联合体</w:t>
            </w:r>
          </w:p>
        </w:tc>
        <w:tc>
          <w:tcPr>
            <w:tcW w:w="7229" w:type="dxa"/>
            <w:tcBorders>
              <w:top w:val="single" w:color="auto" w:sz="4" w:space="0"/>
              <w:left w:val="single" w:color="auto" w:sz="4" w:space="0"/>
              <w:right w:val="single" w:color="auto" w:sz="4" w:space="0"/>
            </w:tcBorders>
            <w:noWrap w:val="0"/>
            <w:vAlign w:val="center"/>
          </w:tcPr>
          <w:p w14:paraId="3152445C">
            <w:pPr>
              <w:spacing w:line="300" w:lineRule="exact"/>
              <w:jc w:val="left"/>
              <w:rPr>
                <w:color w:val="auto"/>
                <w:szCs w:val="21"/>
                <w:highlight w:val="none"/>
              </w:rPr>
            </w:pPr>
            <w:r>
              <w:rPr>
                <w:rFonts w:hint="eastAsia"/>
                <w:color w:val="auto"/>
                <w:szCs w:val="21"/>
                <w:highlight w:val="none"/>
              </w:rPr>
              <w:t>是否接受联合体详见磋商公告</w:t>
            </w:r>
          </w:p>
        </w:tc>
      </w:tr>
      <w:bookmarkEnd w:id="19"/>
      <w:tr w14:paraId="76C304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0"/>
            <w:vAlign w:val="center"/>
          </w:tcPr>
          <w:p w14:paraId="34B48009">
            <w:pPr>
              <w:spacing w:line="300" w:lineRule="exact"/>
              <w:jc w:val="center"/>
              <w:rPr>
                <w:b/>
                <w:color w:val="auto"/>
                <w:szCs w:val="21"/>
                <w:highlight w:val="none"/>
              </w:rPr>
            </w:pPr>
            <w:r>
              <w:rPr>
                <w:b/>
                <w:color w:val="auto"/>
                <w:szCs w:val="21"/>
                <w:highlight w:val="none"/>
              </w:rPr>
              <w:t>1.6</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56AECBF">
            <w:pPr>
              <w:spacing w:line="300" w:lineRule="exact"/>
              <w:jc w:val="center"/>
              <w:rPr>
                <w:color w:val="auto"/>
                <w:szCs w:val="21"/>
                <w:highlight w:val="none"/>
              </w:rPr>
            </w:pPr>
            <w:r>
              <w:rPr>
                <w:rFonts w:hint="eastAsia"/>
                <w:color w:val="auto"/>
                <w:szCs w:val="21"/>
                <w:highlight w:val="none"/>
              </w:rPr>
              <w:t>踏勘</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B142834">
            <w:pPr>
              <w:pStyle w:val="17"/>
              <w:rPr>
                <w:rFonts w:hint="eastAsia"/>
                <w:color w:val="auto"/>
                <w:szCs w:val="21"/>
                <w:highlight w:val="none"/>
              </w:rPr>
            </w:pPr>
            <w:r>
              <w:rPr>
                <w:color w:val="auto"/>
                <w:szCs w:val="21"/>
                <w:highlight w:val="none"/>
              </w:rPr>
              <w:sym w:font="Wingdings 2" w:char="0052"/>
            </w:r>
            <w:r>
              <w:rPr>
                <w:rFonts w:hint="eastAsia"/>
                <w:color w:val="auto"/>
                <w:szCs w:val="21"/>
                <w:highlight w:val="none"/>
                <w:lang w:val="en-US" w:eastAsia="zh-CN"/>
              </w:rPr>
              <w:t>不组织</w:t>
            </w:r>
            <w:r>
              <w:rPr>
                <w:rFonts w:hint="eastAsia"/>
                <w:color w:val="auto"/>
                <w:szCs w:val="21"/>
                <w:highlight w:val="none"/>
              </w:rPr>
              <w:t xml:space="preserve"> </w:t>
            </w:r>
          </w:p>
          <w:p w14:paraId="0A3DE578">
            <w:pPr>
              <w:pStyle w:val="17"/>
              <w:rPr>
                <w:rFonts w:hint="eastAsia" w:eastAsia="宋体"/>
                <w:color w:val="auto"/>
                <w:szCs w:val="21"/>
                <w:highlight w:val="none"/>
                <w:lang w:val="en-US" w:eastAsia="zh-CN"/>
              </w:rPr>
            </w:pPr>
            <w:r>
              <w:rPr>
                <w:rFonts w:hint="eastAsia"/>
                <w:color w:val="auto"/>
                <w:szCs w:val="21"/>
                <w:highlight w:val="none"/>
              </w:rPr>
              <w:t>□</w:t>
            </w:r>
            <w:r>
              <w:rPr>
                <w:rFonts w:hint="eastAsia"/>
                <w:color w:val="auto"/>
                <w:szCs w:val="21"/>
                <w:highlight w:val="none"/>
                <w:lang w:val="en-US" w:eastAsia="zh-CN"/>
              </w:rPr>
              <w:t>组织</w:t>
            </w:r>
          </w:p>
          <w:p w14:paraId="09F4F1B3">
            <w:pP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踏勘时间：              </w:t>
            </w:r>
          </w:p>
          <w:p w14:paraId="6396230D">
            <w:pP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踏勘</w:t>
            </w:r>
            <w:r>
              <w:rPr>
                <w:rFonts w:hint="eastAsia" w:cs="Times New Roman"/>
                <w:color w:val="auto"/>
                <w:kern w:val="2"/>
                <w:sz w:val="21"/>
                <w:szCs w:val="21"/>
                <w:highlight w:val="none"/>
                <w:lang w:val="en-US" w:eastAsia="zh-CN" w:bidi="ar-SA"/>
              </w:rPr>
              <w:t>集中</w:t>
            </w:r>
            <w:r>
              <w:rPr>
                <w:rFonts w:hint="eastAsia" w:ascii="Times New Roman" w:hAnsi="Times New Roman" w:eastAsia="宋体" w:cs="Times New Roman"/>
                <w:color w:val="auto"/>
                <w:kern w:val="2"/>
                <w:sz w:val="21"/>
                <w:szCs w:val="21"/>
                <w:highlight w:val="none"/>
                <w:lang w:val="en-US" w:eastAsia="zh-CN" w:bidi="ar-SA"/>
              </w:rPr>
              <w:t xml:space="preserve">地点：           </w:t>
            </w:r>
          </w:p>
          <w:p w14:paraId="454EB154">
            <w:pPr>
              <w:pStyle w:val="17"/>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联系人及电话</w:t>
            </w:r>
            <w:r>
              <w:rPr>
                <w:rFonts w:hint="eastAsia" w:ascii="Times New Roman" w:hAnsi="Times New Roman" w:eastAsia="宋体" w:cs="Times New Roman"/>
                <w:color w:val="auto"/>
                <w:kern w:val="2"/>
                <w:sz w:val="21"/>
                <w:szCs w:val="21"/>
                <w:highlight w:val="none"/>
                <w:lang w:val="en-US" w:eastAsia="zh-CN" w:bidi="ar-SA"/>
              </w:rPr>
              <w:t>：</w:t>
            </w:r>
          </w:p>
          <w:p w14:paraId="44788C41">
            <w:pPr>
              <w:pStyle w:val="17"/>
              <w:rPr>
                <w:color w:val="auto"/>
                <w:szCs w:val="21"/>
                <w:highlight w:val="none"/>
              </w:rPr>
            </w:pPr>
            <w:r>
              <w:rPr>
                <w:rFonts w:hint="eastAsia"/>
                <w:color w:val="auto"/>
                <w:szCs w:val="21"/>
                <w:highlight w:val="none"/>
                <w:lang w:eastAsia="zh-CN"/>
              </w:rPr>
              <w:t>□</w:t>
            </w:r>
            <w:r>
              <w:rPr>
                <w:rFonts w:hint="eastAsia"/>
                <w:color w:val="auto"/>
                <w:szCs w:val="21"/>
                <w:highlight w:val="none"/>
              </w:rPr>
              <w:t>可申请踏勘（如有需要供应商自行与采购人联系申请踏勘）</w:t>
            </w:r>
            <w:r>
              <w:rPr>
                <w:color w:val="auto"/>
                <w:szCs w:val="21"/>
                <w:highlight w:val="none"/>
              </w:rPr>
              <w:t>/</w:t>
            </w:r>
            <w:r>
              <w:rPr>
                <w:rFonts w:hint="eastAsia"/>
                <w:color w:val="auto"/>
                <w:szCs w:val="21"/>
                <w:highlight w:val="none"/>
              </w:rPr>
              <w:t xml:space="preserve">自行踏勘   </w:t>
            </w:r>
          </w:p>
        </w:tc>
      </w:tr>
      <w:tr w14:paraId="5B4CD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3049D9E0">
            <w:pPr>
              <w:spacing w:line="300" w:lineRule="exact"/>
              <w:jc w:val="center"/>
              <w:rPr>
                <w:b/>
                <w:color w:val="auto"/>
                <w:szCs w:val="21"/>
                <w:highlight w:val="none"/>
              </w:rPr>
            </w:pPr>
            <w:r>
              <w:rPr>
                <w:b/>
                <w:color w:val="auto"/>
                <w:szCs w:val="21"/>
                <w:highlight w:val="none"/>
              </w:rPr>
              <w:t>1.7.2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255BD32A">
            <w:pPr>
              <w:spacing w:line="300" w:lineRule="exact"/>
              <w:jc w:val="center"/>
              <w:rPr>
                <w:color w:val="auto"/>
                <w:szCs w:val="21"/>
                <w:highlight w:val="none"/>
              </w:rPr>
            </w:pPr>
            <w:r>
              <w:rPr>
                <w:color w:val="auto"/>
                <w:szCs w:val="21"/>
                <w:highlight w:val="none"/>
              </w:rPr>
              <w:t>分包</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7D1F87E">
            <w:pPr>
              <w:spacing w:line="300" w:lineRule="exact"/>
              <w:jc w:val="left"/>
              <w:rPr>
                <w:color w:val="auto"/>
                <w:szCs w:val="21"/>
                <w:highlight w:val="none"/>
              </w:rPr>
            </w:pPr>
            <w:r>
              <w:rPr>
                <w:rFonts w:hint="eastAsia"/>
                <w:color w:val="auto"/>
                <w:szCs w:val="21"/>
                <w:highlight w:val="none"/>
              </w:rPr>
              <w:t>是否接受分包详见磋商公告</w:t>
            </w:r>
          </w:p>
        </w:tc>
      </w:tr>
      <w:tr w14:paraId="3015D8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1034A7">
            <w:pPr>
              <w:spacing w:line="300" w:lineRule="exact"/>
              <w:jc w:val="center"/>
              <w:rPr>
                <w:rFonts w:hint="default"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lang w:val="en-US" w:eastAsia="zh-CN"/>
              </w:rPr>
              <w:t>1.9</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6A910D">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对本国产品的支持政策</w:t>
            </w:r>
          </w:p>
        </w:tc>
        <w:tc>
          <w:tcPr>
            <w:tcW w:w="72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A98EAF">
            <w:pPr>
              <w:spacing w:line="300" w:lineRule="exact"/>
              <w:jc w:val="left"/>
              <w:rPr>
                <w:rFonts w:hint="eastAsia"/>
                <w:color w:val="auto"/>
                <w:szCs w:val="21"/>
                <w:highlight w:val="none"/>
              </w:rPr>
            </w:pPr>
            <w:r>
              <w:rPr>
                <w:rFonts w:hint="eastAsia"/>
                <w:color w:val="auto"/>
                <w:szCs w:val="21"/>
                <w:highlight w:val="none"/>
              </w:rPr>
              <w:t>□适用</w:t>
            </w:r>
          </w:p>
          <w:p w14:paraId="1CCD34BB">
            <w:pPr>
              <w:spacing w:line="300" w:lineRule="exact"/>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w:t>
            </w:r>
            <w:r>
              <w:rPr>
                <w:rFonts w:hint="eastAsia"/>
                <w:color w:val="auto"/>
                <w:szCs w:val="21"/>
                <w:highlight w:val="none"/>
              </w:rPr>
              <w:t>不适用</w:t>
            </w:r>
          </w:p>
        </w:tc>
      </w:tr>
      <w:tr w14:paraId="6AC72B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0"/>
            <w:vAlign w:val="center"/>
          </w:tcPr>
          <w:p w14:paraId="1F0B4FFB">
            <w:pP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DE26262">
            <w:pPr>
              <w:spacing w:line="300" w:lineRule="exact"/>
              <w:jc w:val="center"/>
              <w:rPr>
                <w:color w:val="auto"/>
                <w:szCs w:val="21"/>
                <w:highlight w:val="none"/>
              </w:rPr>
            </w:pPr>
            <w:r>
              <w:rPr>
                <w:rFonts w:hint="eastAsia"/>
                <w:color w:val="auto"/>
                <w:szCs w:val="21"/>
                <w:highlight w:val="none"/>
              </w:rPr>
              <w:t>采购文件</w:t>
            </w:r>
            <w:r>
              <w:rPr>
                <w:color w:val="auto"/>
                <w:szCs w:val="21"/>
                <w:highlight w:val="none"/>
              </w:rPr>
              <w:t>澄清、修改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3F64008F">
            <w:pPr>
              <w:spacing w:line="300" w:lineRule="exact"/>
              <w:jc w:val="left"/>
              <w:rPr>
                <w:color w:val="auto"/>
                <w:szCs w:val="21"/>
                <w:highlight w:val="none"/>
              </w:rPr>
            </w:pPr>
            <w:r>
              <w:rPr>
                <w:color w:val="auto"/>
                <w:szCs w:val="21"/>
                <w:highlight w:val="none"/>
              </w:rPr>
              <w:t>在</w:t>
            </w:r>
            <w:r>
              <w:rPr>
                <w:rFonts w:hint="eastAsia"/>
                <w:color w:val="auto"/>
                <w:szCs w:val="21"/>
                <w:highlight w:val="none"/>
              </w:rPr>
              <w:t>磋商</w:t>
            </w:r>
            <w:r>
              <w:rPr>
                <w:color w:val="auto"/>
                <w:szCs w:val="21"/>
                <w:highlight w:val="none"/>
              </w:rPr>
              <w:t>公告发布媒介发布</w:t>
            </w:r>
            <w:r>
              <w:rPr>
                <w:rFonts w:hint="eastAsia"/>
                <w:color w:val="auto"/>
                <w:szCs w:val="21"/>
                <w:highlight w:val="none"/>
              </w:rPr>
              <w:t>。</w:t>
            </w:r>
          </w:p>
        </w:tc>
      </w:tr>
      <w:tr w14:paraId="08C0C0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3D42954D">
            <w:pPr>
              <w:spacing w:line="300" w:lineRule="exact"/>
              <w:jc w:val="center"/>
              <w:rPr>
                <w:b/>
                <w:color w:val="auto"/>
                <w:szCs w:val="21"/>
                <w:highlight w:val="none"/>
              </w:rPr>
            </w:pPr>
            <w:r>
              <w:rPr>
                <w:b/>
                <w:color w:val="auto"/>
                <w:szCs w:val="21"/>
                <w:highlight w:val="none"/>
              </w:rPr>
              <w:t>2.3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64FF0837">
            <w:pPr>
              <w:spacing w:line="300" w:lineRule="exact"/>
              <w:jc w:val="center"/>
              <w:rPr>
                <w:color w:val="auto"/>
                <w:szCs w:val="21"/>
                <w:highlight w:val="none"/>
              </w:rPr>
            </w:pPr>
            <w:r>
              <w:rPr>
                <w:color w:val="auto"/>
                <w:szCs w:val="21"/>
                <w:highlight w:val="none"/>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42CA4DAB">
            <w:pPr>
              <w:spacing w:line="300" w:lineRule="exact"/>
              <w:jc w:val="left"/>
              <w:rPr>
                <w:color w:val="auto"/>
                <w:szCs w:val="21"/>
                <w:highlight w:val="none"/>
              </w:rPr>
            </w:pPr>
            <w:r>
              <w:rPr>
                <w:color w:val="auto"/>
                <w:szCs w:val="21"/>
                <w:highlight w:val="none"/>
              </w:rPr>
              <w:t>澄清、修改文件</w:t>
            </w:r>
            <w:r>
              <w:rPr>
                <w:rFonts w:hint="eastAsia"/>
                <w:color w:val="auto"/>
                <w:szCs w:val="21"/>
                <w:highlight w:val="none"/>
              </w:rPr>
              <w:t>自磋商</w:t>
            </w:r>
            <w:r>
              <w:rPr>
                <w:color w:val="auto"/>
                <w:szCs w:val="21"/>
                <w:highlight w:val="none"/>
              </w:rPr>
              <w:t>公告发布媒</w:t>
            </w:r>
            <w:r>
              <w:rPr>
                <w:rFonts w:hint="eastAsia"/>
                <w:color w:val="auto"/>
                <w:szCs w:val="21"/>
                <w:highlight w:val="none"/>
              </w:rPr>
              <w:t>体</w:t>
            </w:r>
            <w:r>
              <w:rPr>
                <w:color w:val="auto"/>
                <w:szCs w:val="21"/>
                <w:highlight w:val="none"/>
              </w:rPr>
              <w:t>发布之日起，视为供应商已收到该澄清、修改。供应商未及时关注</w:t>
            </w:r>
            <w:r>
              <w:rPr>
                <w:rFonts w:hint="eastAsia"/>
                <w:color w:val="auto"/>
                <w:szCs w:val="21"/>
                <w:highlight w:val="none"/>
              </w:rPr>
              <w:t>磋商</w:t>
            </w:r>
            <w:r>
              <w:rPr>
                <w:color w:val="auto"/>
                <w:szCs w:val="21"/>
                <w:highlight w:val="none"/>
              </w:rPr>
              <w:t>公告发布媒</w:t>
            </w:r>
            <w:r>
              <w:rPr>
                <w:rFonts w:hint="eastAsia"/>
                <w:color w:val="auto"/>
                <w:szCs w:val="21"/>
                <w:highlight w:val="none"/>
              </w:rPr>
              <w:t>体</w:t>
            </w:r>
            <w:r>
              <w:rPr>
                <w:color w:val="auto"/>
                <w:szCs w:val="21"/>
                <w:highlight w:val="none"/>
              </w:rPr>
              <w:t>造成的损失，由供应商自行负责。</w:t>
            </w:r>
          </w:p>
        </w:tc>
      </w:tr>
      <w:tr w14:paraId="6D0A22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277D71E9">
            <w:pPr>
              <w:spacing w:line="300" w:lineRule="exact"/>
              <w:jc w:val="center"/>
              <w:rPr>
                <w:b/>
                <w:color w:val="auto"/>
                <w:szCs w:val="21"/>
                <w:highlight w:val="none"/>
              </w:rPr>
            </w:pPr>
            <w:r>
              <w:rPr>
                <w:b/>
                <w:color w:val="auto"/>
                <w:szCs w:val="21"/>
                <w:highlight w:val="none"/>
              </w:rPr>
              <w:t>3.4.1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BA109B9">
            <w:pPr>
              <w:spacing w:line="300" w:lineRule="exact"/>
              <w:jc w:val="center"/>
              <w:rPr>
                <w:color w:val="auto"/>
                <w:szCs w:val="21"/>
                <w:highlight w:val="none"/>
              </w:rPr>
            </w:pPr>
            <w:r>
              <w:rPr>
                <w:rFonts w:hint="eastAsia"/>
                <w:color w:val="auto"/>
                <w:szCs w:val="21"/>
                <w:highlight w:val="none"/>
              </w:rPr>
              <w:t>响应</w:t>
            </w:r>
            <w:r>
              <w:rPr>
                <w:color w:val="auto"/>
                <w:szCs w:val="21"/>
                <w:highlight w:val="none"/>
              </w:rPr>
              <w:t>有效期</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EE57C22">
            <w:pPr>
              <w:spacing w:line="300" w:lineRule="exact"/>
              <w:jc w:val="left"/>
              <w:rPr>
                <w:color w:val="auto"/>
                <w:szCs w:val="21"/>
                <w:highlight w:val="none"/>
              </w:rPr>
            </w:pPr>
            <w:r>
              <w:rPr>
                <w:color w:val="auto"/>
                <w:szCs w:val="21"/>
                <w:highlight w:val="none"/>
              </w:rPr>
              <w:t>响应截止之日起90天。</w:t>
            </w:r>
          </w:p>
        </w:tc>
      </w:tr>
      <w:tr w14:paraId="4774B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37" w:type="dxa"/>
            <w:tcBorders>
              <w:top w:val="single" w:color="auto" w:sz="4" w:space="0"/>
              <w:left w:val="single" w:color="auto" w:sz="4" w:space="0"/>
              <w:bottom w:val="single" w:color="auto" w:sz="4" w:space="0"/>
              <w:right w:val="single" w:color="auto" w:sz="4" w:space="0"/>
            </w:tcBorders>
            <w:noWrap w:val="0"/>
            <w:vAlign w:val="center"/>
          </w:tcPr>
          <w:p w14:paraId="50EA2976">
            <w:pPr>
              <w:spacing w:line="300" w:lineRule="exact"/>
              <w:jc w:val="center"/>
              <w:rPr>
                <w:b/>
                <w:color w:val="auto"/>
                <w:szCs w:val="21"/>
                <w:highlight w:val="none"/>
              </w:rPr>
            </w:pPr>
            <w:r>
              <w:rPr>
                <w:b/>
                <w:color w:val="auto"/>
                <w:szCs w:val="21"/>
                <w:highlight w:val="none"/>
              </w:rPr>
              <w:t>3.5</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61A2C6D0">
            <w:pPr>
              <w:spacing w:line="300" w:lineRule="exact"/>
              <w:jc w:val="center"/>
              <w:rPr>
                <w:color w:val="auto"/>
                <w:szCs w:val="21"/>
                <w:highlight w:val="none"/>
              </w:rPr>
            </w:pPr>
            <w:r>
              <w:rPr>
                <w:rFonts w:hint="eastAsia"/>
                <w:color w:val="auto"/>
                <w:szCs w:val="21"/>
                <w:highlight w:val="none"/>
              </w:rPr>
              <w:t>磋商</w:t>
            </w:r>
            <w:r>
              <w:rPr>
                <w:color w:val="auto"/>
                <w:szCs w:val="21"/>
                <w:highlight w:val="none"/>
              </w:rPr>
              <w:t>保证金</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D7DBAA6">
            <w:pPr>
              <w:spacing w:line="300" w:lineRule="exact"/>
              <w:jc w:val="left"/>
              <w:rPr>
                <w:rFonts w:hint="default" w:eastAsia="宋体"/>
                <w:b/>
                <w:bCs/>
                <w:color w:val="auto"/>
                <w:szCs w:val="21"/>
                <w:highlight w:val="none"/>
                <w:lang w:val="en-US" w:eastAsia="zh-CN"/>
              </w:rPr>
            </w:pPr>
            <w:r>
              <w:rPr>
                <w:rFonts w:hint="eastAsia"/>
                <w:color w:val="auto"/>
                <w:szCs w:val="21"/>
                <w:highlight w:val="none"/>
                <w:lang w:val="en-US" w:eastAsia="zh-CN"/>
              </w:rPr>
              <w:t>本项目不收取磋商保证金</w:t>
            </w:r>
          </w:p>
        </w:tc>
      </w:tr>
      <w:tr w14:paraId="0EEAAE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37" w:type="dxa"/>
            <w:tcBorders>
              <w:left w:val="single" w:color="auto" w:sz="4" w:space="0"/>
              <w:right w:val="single" w:color="auto" w:sz="4" w:space="0"/>
            </w:tcBorders>
            <w:noWrap w:val="0"/>
            <w:vAlign w:val="center"/>
          </w:tcPr>
          <w:p w14:paraId="5D9CD15A">
            <w:pPr>
              <w:spacing w:line="300" w:lineRule="exact"/>
              <w:jc w:val="center"/>
              <w:rPr>
                <w:b/>
                <w:color w:val="auto"/>
                <w:szCs w:val="21"/>
                <w:highlight w:val="none"/>
              </w:rPr>
            </w:pPr>
            <w:r>
              <w:rPr>
                <w:rFonts w:hint="eastAsia"/>
                <w:b/>
                <w:color w:val="auto"/>
                <w:szCs w:val="21"/>
                <w:highlight w:val="none"/>
              </w:rPr>
              <w:t>3</w:t>
            </w:r>
            <w:r>
              <w:rPr>
                <w:b/>
                <w:color w:val="auto"/>
                <w:szCs w:val="21"/>
                <w:highlight w:val="none"/>
              </w:rPr>
              <w:t>.6</w:t>
            </w:r>
          </w:p>
        </w:tc>
        <w:tc>
          <w:tcPr>
            <w:tcW w:w="1248" w:type="dxa"/>
            <w:tcBorders>
              <w:top w:val="single" w:color="auto" w:sz="4" w:space="0"/>
              <w:left w:val="single" w:color="auto" w:sz="4" w:space="0"/>
              <w:right w:val="single" w:color="auto" w:sz="4" w:space="0"/>
            </w:tcBorders>
            <w:noWrap w:val="0"/>
            <w:vAlign w:val="center"/>
          </w:tcPr>
          <w:p w14:paraId="7391B916">
            <w:pPr>
              <w:spacing w:line="300" w:lineRule="exact"/>
              <w:jc w:val="center"/>
              <w:rPr>
                <w:color w:val="auto"/>
                <w:szCs w:val="21"/>
                <w:highlight w:val="none"/>
              </w:rPr>
            </w:pPr>
            <w:r>
              <w:rPr>
                <w:rFonts w:hint="eastAsia"/>
                <w:color w:val="auto"/>
                <w:szCs w:val="21"/>
                <w:highlight w:val="none"/>
              </w:rPr>
              <w:t>响应文件的编制</w:t>
            </w:r>
          </w:p>
        </w:tc>
        <w:tc>
          <w:tcPr>
            <w:tcW w:w="7229" w:type="dxa"/>
            <w:tcBorders>
              <w:top w:val="single" w:color="auto" w:sz="4" w:space="0"/>
              <w:left w:val="single" w:color="auto" w:sz="4" w:space="0"/>
              <w:right w:val="single" w:color="auto" w:sz="4" w:space="0"/>
            </w:tcBorders>
            <w:noWrap w:val="0"/>
            <w:vAlign w:val="center"/>
          </w:tcPr>
          <w:p w14:paraId="7F8EBC3C">
            <w:pPr>
              <w:spacing w:line="300" w:lineRule="exact"/>
              <w:jc w:val="left"/>
              <w:rPr>
                <w:color w:val="auto"/>
                <w:szCs w:val="21"/>
                <w:highlight w:val="none"/>
              </w:rPr>
            </w:pPr>
            <w:r>
              <w:rPr>
                <w:rFonts w:hint="eastAsia" w:hAnsi="宋体"/>
                <w:color w:val="auto"/>
                <w:szCs w:val="21"/>
                <w:highlight w:val="none"/>
              </w:rPr>
              <w:t>响应文件应按第六章响应文件格式分别编制并使用下载的广西政府采购云平台新版客户端制作并上传。</w:t>
            </w:r>
          </w:p>
        </w:tc>
      </w:tr>
      <w:tr w14:paraId="72B2DA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3315B84E">
            <w:pPr>
              <w:spacing w:line="300" w:lineRule="exact"/>
              <w:jc w:val="center"/>
              <w:rPr>
                <w:b/>
                <w:color w:val="auto"/>
                <w:szCs w:val="21"/>
                <w:highlight w:val="none"/>
              </w:rPr>
            </w:pPr>
            <w:r>
              <w:rPr>
                <w:b/>
                <w:color w:val="auto"/>
                <w:szCs w:val="21"/>
                <w:highlight w:val="none"/>
              </w:rPr>
              <w:t>3.7</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F77F805">
            <w:pPr>
              <w:spacing w:line="300" w:lineRule="exact"/>
              <w:jc w:val="center"/>
              <w:rPr>
                <w:color w:val="auto"/>
                <w:szCs w:val="21"/>
                <w:highlight w:val="none"/>
              </w:rPr>
            </w:pPr>
            <w:r>
              <w:rPr>
                <w:color w:val="auto"/>
                <w:szCs w:val="21"/>
                <w:highlight w:val="none"/>
              </w:rPr>
              <w:t>响应文件递交</w:t>
            </w:r>
            <w:r>
              <w:rPr>
                <w:rFonts w:hint="eastAsia"/>
                <w:color w:val="auto"/>
                <w:szCs w:val="21"/>
                <w:highlight w:val="none"/>
              </w:rPr>
              <w:t>截止时间及截标时间</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AA767C1">
            <w:pPr>
              <w:spacing w:line="300" w:lineRule="exact"/>
              <w:jc w:val="left"/>
              <w:rPr>
                <w:color w:val="auto"/>
                <w:szCs w:val="21"/>
                <w:highlight w:val="none"/>
              </w:rPr>
            </w:pPr>
            <w:r>
              <w:rPr>
                <w:rFonts w:hint="eastAsia"/>
                <w:color w:val="auto"/>
                <w:kern w:val="0"/>
                <w:szCs w:val="21"/>
                <w:highlight w:val="none"/>
              </w:rPr>
              <w:t>见磋商公告要求</w:t>
            </w:r>
            <w:r>
              <w:rPr>
                <w:rFonts w:hint="eastAsia"/>
                <w:color w:val="auto"/>
                <w:szCs w:val="21"/>
                <w:highlight w:val="none"/>
              </w:rPr>
              <w:t>。</w:t>
            </w:r>
          </w:p>
        </w:tc>
      </w:tr>
      <w:tr w14:paraId="0FF681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6A3D97F3">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8D7A4D1">
            <w:pPr>
              <w:spacing w:line="300" w:lineRule="exact"/>
              <w:jc w:val="center"/>
              <w:rPr>
                <w:color w:val="auto"/>
                <w:szCs w:val="20"/>
                <w:highlight w:val="none"/>
              </w:rPr>
            </w:pPr>
            <w:r>
              <w:rPr>
                <w:rFonts w:hint="eastAsia"/>
                <w:color w:val="auto"/>
                <w:szCs w:val="21"/>
                <w:highlight w:val="none"/>
              </w:rPr>
              <w:t>备份响应文件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3BC22FAA">
            <w:pPr>
              <w:spacing w:line="276" w:lineRule="auto"/>
              <w:rPr>
                <w:rFonts w:ascii="宋体" w:hAnsi="宋体"/>
                <w:color w:val="auto"/>
                <w:szCs w:val="21"/>
                <w:highlight w:val="none"/>
              </w:rPr>
            </w:pPr>
            <w:r>
              <w:rPr>
                <w:rFonts w:hint="eastAsia" w:ascii="宋体" w:hAnsi="宋体"/>
                <w:color w:val="auto"/>
                <w:szCs w:val="21"/>
                <w:highlight w:val="none"/>
              </w:rPr>
              <w:t>本项目</w:t>
            </w:r>
            <w:r>
              <w:rPr>
                <w:color w:val="auto"/>
                <w:sz w:val="22"/>
                <w:szCs w:val="22"/>
                <w:highlight w:val="none"/>
              </w:rPr>
              <w:sym w:font="Wingdings 2" w:char="F052"/>
            </w:r>
            <w:r>
              <w:rPr>
                <w:rFonts w:hint="eastAsia"/>
                <w:color w:val="auto"/>
                <w:szCs w:val="21"/>
                <w:highlight w:val="none"/>
              </w:rPr>
              <w:t>接受   □不接受</w:t>
            </w:r>
            <w:r>
              <w:rPr>
                <w:rFonts w:hint="eastAsia" w:ascii="宋体" w:hAnsi="宋体"/>
                <w:color w:val="auto"/>
                <w:szCs w:val="21"/>
                <w:highlight w:val="none"/>
              </w:rPr>
              <w:t>备份响应文件</w:t>
            </w:r>
          </w:p>
          <w:p w14:paraId="575210A9">
            <w:pPr>
              <w:spacing w:line="276" w:lineRule="auto"/>
              <w:rPr>
                <w:rFonts w:hint="eastAsia"/>
                <w:color w:val="auto"/>
                <w:sz w:val="22"/>
                <w:szCs w:val="22"/>
                <w:highlight w:val="none"/>
              </w:rPr>
            </w:pPr>
            <w:r>
              <w:rPr>
                <w:rFonts w:hint="eastAsia" w:ascii="宋体" w:hAnsi="宋体"/>
                <w:color w:val="auto"/>
                <w:szCs w:val="21"/>
                <w:highlight w:val="none"/>
              </w:rPr>
              <w:t>以广西政府采购云平台自动生成的备份文件为依据，当项目允许接受备份响应文件时，供应商才可以按规定上传备份响应文件。</w:t>
            </w:r>
          </w:p>
        </w:tc>
      </w:tr>
      <w:tr w14:paraId="3201E0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724B7DDB">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76B9EE1">
            <w:pPr>
              <w:spacing w:line="300" w:lineRule="exact"/>
              <w:jc w:val="center"/>
              <w:rPr>
                <w:color w:val="auto"/>
                <w:szCs w:val="21"/>
                <w:highlight w:val="none"/>
              </w:rPr>
            </w:pPr>
            <w:r>
              <w:rPr>
                <w:rFonts w:hint="eastAsia"/>
                <w:color w:val="auto"/>
                <w:szCs w:val="20"/>
                <w:highlight w:val="none"/>
              </w:rPr>
              <w:t>演示</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3450FA3">
            <w:pPr>
              <w:spacing w:line="276" w:lineRule="auto"/>
              <w:rPr>
                <w:color w:val="auto"/>
                <w:szCs w:val="21"/>
                <w:highlight w:val="none"/>
              </w:rPr>
            </w:pPr>
            <w:r>
              <w:rPr>
                <w:color w:val="auto"/>
                <w:sz w:val="22"/>
                <w:szCs w:val="22"/>
                <w:highlight w:val="none"/>
              </w:rPr>
              <w:sym w:font="Wingdings 2" w:char="F052"/>
            </w:r>
            <w:r>
              <w:rPr>
                <w:rFonts w:hint="eastAsia"/>
                <w:color w:val="auto"/>
                <w:szCs w:val="21"/>
                <w:highlight w:val="none"/>
              </w:rPr>
              <w:t>否   □是</w:t>
            </w:r>
          </w:p>
          <w:p w14:paraId="3CC928BB">
            <w:pPr>
              <w:spacing w:line="276" w:lineRule="auto"/>
              <w:rPr>
                <w:color w:val="auto"/>
                <w:szCs w:val="21"/>
                <w:highlight w:val="none"/>
                <w:u w:val="single"/>
              </w:rPr>
            </w:pPr>
            <w:r>
              <w:rPr>
                <w:rFonts w:hint="eastAsia"/>
                <w:color w:val="auto"/>
                <w:szCs w:val="21"/>
                <w:highlight w:val="none"/>
              </w:rPr>
              <w:t>演示内容：</w:t>
            </w:r>
            <w:r>
              <w:rPr>
                <w:rFonts w:hint="eastAsia"/>
                <w:color w:val="auto"/>
                <w:szCs w:val="21"/>
                <w:highlight w:val="none"/>
                <w:u w:val="single"/>
              </w:rPr>
              <w:t xml:space="preserve"> </w:t>
            </w:r>
            <w:r>
              <w:rPr>
                <w:color w:val="auto"/>
                <w:szCs w:val="21"/>
                <w:highlight w:val="none"/>
                <w:u w:val="single"/>
              </w:rPr>
              <w:t xml:space="preserve">              </w:t>
            </w:r>
          </w:p>
          <w:p w14:paraId="2E5AF1CF">
            <w:pPr>
              <w:spacing w:line="276" w:lineRule="auto"/>
              <w:rPr>
                <w:color w:val="auto"/>
                <w:szCs w:val="21"/>
                <w:highlight w:val="none"/>
              </w:rPr>
            </w:pPr>
            <w:r>
              <w:rPr>
                <w:rFonts w:hint="eastAsia"/>
                <w:color w:val="auto"/>
                <w:szCs w:val="21"/>
                <w:highlight w:val="none"/>
              </w:rPr>
              <w:t>演示形式：</w:t>
            </w:r>
            <w:r>
              <w:rPr>
                <w:color w:val="auto"/>
                <w:szCs w:val="21"/>
                <w:highlight w:val="none"/>
              </w:rPr>
              <w:t xml:space="preserve"> </w:t>
            </w:r>
          </w:p>
        </w:tc>
      </w:tr>
      <w:tr w14:paraId="1229CD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6877CE34">
            <w:pPr>
              <w:spacing w:line="300" w:lineRule="exact"/>
              <w:jc w:val="center"/>
              <w:rPr>
                <w:b/>
                <w:color w:val="auto"/>
                <w:szCs w:val="21"/>
                <w:highlight w:val="none"/>
              </w:rPr>
            </w:pPr>
            <w:r>
              <w:rPr>
                <w:rFonts w:hint="eastAsia"/>
                <w:b/>
                <w:color w:val="auto"/>
                <w:szCs w:val="21"/>
                <w:highlight w:val="none"/>
              </w:rPr>
              <w:t>4</w:t>
            </w:r>
            <w:r>
              <w:rPr>
                <w:b/>
                <w:color w:val="auto"/>
                <w:szCs w:val="21"/>
                <w:highlight w:val="none"/>
              </w:rPr>
              <w:t>.4</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61390F6">
            <w:pPr>
              <w:spacing w:line="300" w:lineRule="exact"/>
              <w:jc w:val="center"/>
              <w:rPr>
                <w:color w:val="auto"/>
                <w:szCs w:val="21"/>
                <w:highlight w:val="none"/>
              </w:rPr>
            </w:pPr>
            <w:r>
              <w:rPr>
                <w:rFonts w:hint="eastAsia"/>
                <w:color w:val="auto"/>
                <w:szCs w:val="20"/>
                <w:highlight w:val="none"/>
              </w:rPr>
              <w:t>样品</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46045E2">
            <w:pPr>
              <w:spacing w:line="276" w:lineRule="auto"/>
              <w:rPr>
                <w:color w:val="auto"/>
                <w:szCs w:val="21"/>
                <w:highlight w:val="none"/>
              </w:rPr>
            </w:pPr>
            <w:r>
              <w:rPr>
                <w:color w:val="auto"/>
                <w:sz w:val="24"/>
                <w:highlight w:val="none"/>
              </w:rPr>
              <w:sym w:font="Wingdings 2" w:char="F052"/>
            </w:r>
            <w:r>
              <w:rPr>
                <w:rFonts w:hint="eastAsia"/>
                <w:color w:val="auto"/>
                <w:szCs w:val="21"/>
                <w:highlight w:val="none"/>
              </w:rPr>
              <w:t>否   □是</w:t>
            </w:r>
          </w:p>
          <w:p w14:paraId="7B6E0C68">
            <w:pPr>
              <w:spacing w:line="276" w:lineRule="auto"/>
              <w:rPr>
                <w:color w:val="auto"/>
                <w:szCs w:val="21"/>
                <w:highlight w:val="none"/>
                <w:u w:val="single"/>
              </w:rPr>
            </w:pPr>
            <w:r>
              <w:rPr>
                <w:rFonts w:hint="eastAsia"/>
                <w:color w:val="auto"/>
                <w:szCs w:val="21"/>
                <w:highlight w:val="none"/>
              </w:rPr>
              <w:t>样品制作的标准和要求：</w:t>
            </w:r>
            <w:r>
              <w:rPr>
                <w:rFonts w:hint="eastAsia"/>
                <w:color w:val="auto"/>
                <w:szCs w:val="21"/>
                <w:highlight w:val="none"/>
                <w:u w:val="single"/>
              </w:rPr>
              <w:t xml:space="preserve"> </w:t>
            </w:r>
            <w:r>
              <w:rPr>
                <w:color w:val="auto"/>
                <w:szCs w:val="21"/>
                <w:highlight w:val="none"/>
                <w:u w:val="single"/>
              </w:rPr>
              <w:t xml:space="preserve">              </w:t>
            </w:r>
          </w:p>
          <w:p w14:paraId="4737A2B8">
            <w:pPr>
              <w:spacing w:line="276" w:lineRule="auto"/>
              <w:rPr>
                <w:color w:val="auto"/>
                <w:szCs w:val="21"/>
                <w:highlight w:val="none"/>
                <w:u w:val="single"/>
              </w:rPr>
            </w:pPr>
            <w:r>
              <w:rPr>
                <w:rFonts w:hint="eastAsia"/>
                <w:color w:val="auto"/>
                <w:szCs w:val="21"/>
                <w:highlight w:val="none"/>
              </w:rPr>
              <w:t>样品检测机构的要求：</w:t>
            </w:r>
            <w:r>
              <w:rPr>
                <w:rFonts w:hint="eastAsia"/>
                <w:color w:val="auto"/>
                <w:szCs w:val="21"/>
                <w:highlight w:val="none"/>
                <w:u w:val="single"/>
              </w:rPr>
              <w:t xml:space="preserve"> </w:t>
            </w:r>
            <w:r>
              <w:rPr>
                <w:color w:val="auto"/>
                <w:szCs w:val="21"/>
                <w:highlight w:val="none"/>
                <w:u w:val="single"/>
              </w:rPr>
              <w:t xml:space="preserve">               </w:t>
            </w:r>
          </w:p>
          <w:p w14:paraId="2CBBA911">
            <w:pPr>
              <w:spacing w:line="276" w:lineRule="auto"/>
              <w:rPr>
                <w:color w:val="auto"/>
                <w:szCs w:val="21"/>
                <w:highlight w:val="none"/>
                <w:u w:val="single"/>
              </w:rPr>
            </w:pPr>
            <w:r>
              <w:rPr>
                <w:rFonts w:hint="eastAsia"/>
                <w:color w:val="auto"/>
                <w:szCs w:val="21"/>
                <w:highlight w:val="none"/>
              </w:rPr>
              <w:t>检测内容：</w:t>
            </w:r>
            <w:r>
              <w:rPr>
                <w:rFonts w:hint="eastAsia"/>
                <w:color w:val="auto"/>
                <w:szCs w:val="21"/>
                <w:highlight w:val="none"/>
                <w:u w:val="single"/>
              </w:rPr>
              <w:t xml:space="preserve"> </w:t>
            </w:r>
            <w:r>
              <w:rPr>
                <w:color w:val="auto"/>
                <w:szCs w:val="21"/>
                <w:highlight w:val="none"/>
                <w:u w:val="single"/>
              </w:rPr>
              <w:t xml:space="preserve">                    </w:t>
            </w:r>
          </w:p>
          <w:p w14:paraId="6FDF7218">
            <w:pPr>
              <w:spacing w:line="276" w:lineRule="auto"/>
              <w:rPr>
                <w:color w:val="auto"/>
                <w:szCs w:val="21"/>
                <w:highlight w:val="none"/>
              </w:rPr>
            </w:pPr>
            <w:r>
              <w:rPr>
                <w:rFonts w:hint="eastAsia"/>
                <w:color w:val="auto"/>
                <w:szCs w:val="21"/>
                <w:highlight w:val="none"/>
              </w:rPr>
              <w:t>样品递交方式：</w:t>
            </w:r>
            <w:r>
              <w:rPr>
                <w:color w:val="auto"/>
                <w:szCs w:val="21"/>
                <w:highlight w:val="none"/>
              </w:rPr>
              <w:t xml:space="preserve"> </w:t>
            </w:r>
          </w:p>
        </w:tc>
      </w:tr>
      <w:tr w14:paraId="29B4C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21FAD3">
            <w:pPr>
              <w:spacing w:line="300" w:lineRule="exact"/>
              <w:jc w:val="center"/>
              <w:rPr>
                <w:rFonts w:hint="eastAsia"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lang w:val="en-US" w:eastAsia="zh-CN"/>
              </w:rPr>
              <w:t>5.3.1</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085C85">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信用查询</w:t>
            </w:r>
            <w:r>
              <w:rPr>
                <w:rFonts w:hint="eastAsia"/>
                <w:color w:val="auto"/>
                <w:highlight w:val="none"/>
                <w:lang w:val="en-US" w:eastAsia="zh-CN"/>
              </w:rPr>
              <w:t>规则</w:t>
            </w:r>
          </w:p>
        </w:tc>
        <w:tc>
          <w:tcPr>
            <w:tcW w:w="72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6EE297">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磋商小组在资格审查结束前，对</w:t>
            </w:r>
            <w:r>
              <w:rPr>
                <w:rFonts w:hint="eastAsia" w:ascii="宋体" w:hAnsi="宋体"/>
                <w:color w:val="auto"/>
                <w:szCs w:val="21"/>
                <w:highlight w:val="none"/>
                <w:lang w:val="en-US" w:eastAsia="zh-CN"/>
              </w:rPr>
              <w:t>供应商</w:t>
            </w:r>
            <w:r>
              <w:rPr>
                <w:rFonts w:hint="eastAsia" w:ascii="宋体" w:hAnsi="宋体"/>
                <w:color w:val="auto"/>
                <w:szCs w:val="21"/>
                <w:highlight w:val="none"/>
                <w:lang w:eastAsia="zh-CN"/>
              </w:rPr>
              <w:t>进行信用查询。</w:t>
            </w:r>
          </w:p>
          <w:p w14:paraId="3ABBC200">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）查询渠道：</w:t>
            </w:r>
            <w:r>
              <w:rPr>
                <w:rFonts w:hint="eastAsia" w:ascii="宋体" w:hAnsi="宋体"/>
                <w:color w:val="auto"/>
                <w:szCs w:val="21"/>
                <w:highlight w:val="none"/>
                <w:lang w:val="en-US" w:eastAsia="zh-CN"/>
              </w:rPr>
              <w:t>广西政府采购云平台</w:t>
            </w:r>
            <w:r>
              <w:rPr>
                <w:rFonts w:hint="eastAsia" w:ascii="宋体" w:hAnsi="宋体"/>
                <w:color w:val="auto"/>
                <w:szCs w:val="21"/>
                <w:highlight w:val="none"/>
                <w:lang w:eastAsia="zh-CN"/>
              </w:rPr>
              <w:t>“信用中国”网站(www.creditchina.gov.cn) 、中国政府采购网(www.ccgp.gov.cn)</w:t>
            </w:r>
            <w:r>
              <w:rPr>
                <w:rFonts w:hint="eastAsia" w:ascii="宋体" w:hAnsi="宋体"/>
                <w:color w:val="auto"/>
                <w:szCs w:val="21"/>
                <w:highlight w:val="none"/>
                <w:lang w:val="en-US" w:eastAsia="zh-CN"/>
              </w:rPr>
              <w:t>链接入口</w:t>
            </w:r>
            <w:r>
              <w:rPr>
                <w:rFonts w:hint="eastAsia" w:ascii="宋体" w:hAnsi="宋体"/>
                <w:color w:val="auto"/>
                <w:szCs w:val="21"/>
                <w:highlight w:val="none"/>
                <w:lang w:eastAsia="zh-CN"/>
              </w:rPr>
              <w:t>。</w:t>
            </w:r>
          </w:p>
          <w:p w14:paraId="2A86CD94">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）信用查询截止时点：</w:t>
            </w:r>
            <w:r>
              <w:rPr>
                <w:rFonts w:hint="eastAsia" w:ascii="宋体" w:hAnsi="宋体"/>
                <w:color w:val="auto"/>
                <w:szCs w:val="21"/>
                <w:highlight w:val="none"/>
                <w:lang w:val="en-US" w:eastAsia="zh-CN"/>
              </w:rPr>
              <w:t>资</w:t>
            </w:r>
            <w:r>
              <w:rPr>
                <w:rFonts w:hint="eastAsia" w:ascii="宋体" w:hAnsi="宋体"/>
                <w:color w:val="auto"/>
                <w:szCs w:val="21"/>
                <w:highlight w:val="none"/>
                <w:lang w:eastAsia="zh-CN"/>
              </w:rPr>
              <w:t>格审查结束前</w:t>
            </w:r>
          </w:p>
          <w:p w14:paraId="22948140">
            <w:pPr>
              <w:snapToGrid w:val="0"/>
              <w:spacing w:line="380" w:lineRule="exact"/>
              <w:rPr>
                <w:rFonts w:hint="eastAsia" w:ascii="宋体" w:hAnsi="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）查询记录和证据留存方式：在查询网站中直接截图查询记录，截图作为在“广西政府采购云”平台作为附件上传保存。</w:t>
            </w:r>
          </w:p>
          <w:p w14:paraId="30505777">
            <w:pPr>
              <w:snapToGrid w:val="0"/>
              <w:spacing w:line="380" w:lineRule="exac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E0EA3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76F641">
            <w:pPr>
              <w:spacing w:line="300" w:lineRule="exact"/>
              <w:jc w:val="center"/>
              <w:rPr>
                <w:rFonts w:hint="eastAsia" w:ascii="Times New Roman" w:hAnsi="Times New Roman" w:eastAsia="宋体" w:cs="Times New Roman"/>
                <w:b/>
                <w:color w:val="auto"/>
                <w:kern w:val="2"/>
                <w:sz w:val="21"/>
                <w:szCs w:val="21"/>
                <w:highlight w:val="none"/>
                <w:lang w:val="en-US" w:eastAsia="zh-CN" w:bidi="ar-SA"/>
              </w:rPr>
            </w:pPr>
            <w:r>
              <w:rPr>
                <w:rFonts w:hint="eastAsia"/>
                <w:b/>
                <w:color w:val="auto"/>
                <w:szCs w:val="21"/>
                <w:highlight w:val="none"/>
              </w:rPr>
              <w:t>6.</w:t>
            </w:r>
            <w:r>
              <w:rPr>
                <w:b/>
                <w:color w:val="auto"/>
                <w:szCs w:val="21"/>
                <w:highlight w:val="none"/>
              </w:rPr>
              <w:t>3</w:t>
            </w:r>
            <w:r>
              <w:rPr>
                <w:rFonts w:hint="eastAsia"/>
                <w:b/>
                <w:color w:val="auto"/>
                <w:szCs w:val="21"/>
                <w:highlight w:val="none"/>
              </w:rPr>
              <w:t>.</w:t>
            </w:r>
            <w:r>
              <w:rPr>
                <w:b/>
                <w:color w:val="auto"/>
                <w:szCs w:val="21"/>
                <w:highlight w:val="none"/>
              </w:rPr>
              <w:t>5</w:t>
            </w:r>
          </w:p>
        </w:tc>
        <w:tc>
          <w:tcPr>
            <w:tcW w:w="12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20824D">
            <w:pPr>
              <w:spacing w:line="300" w:lineRule="exact"/>
              <w:jc w:val="center"/>
              <w:rPr>
                <w:rFonts w:hint="eastAsia"/>
                <w:color w:val="auto"/>
                <w:szCs w:val="21"/>
                <w:highlight w:val="none"/>
                <w:lang w:val="en-US" w:eastAsia="zh-CN"/>
              </w:rPr>
            </w:pPr>
            <w:r>
              <w:rPr>
                <w:rFonts w:hint="eastAsia"/>
                <w:color w:val="auto"/>
                <w:szCs w:val="21"/>
                <w:highlight w:val="none"/>
                <w:lang w:val="en-US" w:eastAsia="zh-CN"/>
              </w:rPr>
              <w:t>异常低价审查</w:t>
            </w:r>
          </w:p>
          <w:p w14:paraId="26105B1C">
            <w:pPr>
              <w:spacing w:line="300" w:lineRule="exact"/>
              <w:jc w:val="center"/>
              <w:rPr>
                <w:rFonts w:hint="eastAsia" w:ascii="Times New Roman" w:hAnsi="Times New Roman" w:eastAsia="宋体" w:cs="Times New Roman"/>
                <w:color w:val="auto"/>
                <w:kern w:val="2"/>
                <w:sz w:val="21"/>
                <w:szCs w:val="21"/>
                <w:highlight w:val="none"/>
                <w:lang w:val="en-US" w:eastAsia="zh-CN" w:bidi="ar-SA"/>
              </w:rPr>
            </w:pPr>
          </w:p>
        </w:tc>
        <w:tc>
          <w:tcPr>
            <w:tcW w:w="72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AA523E">
            <w:pPr>
              <w:spacing w:line="300" w:lineRule="exact"/>
              <w:jc w:val="left"/>
              <w:rPr>
                <w:rFonts w:hint="eastAsia"/>
                <w:color w:val="auto"/>
                <w:szCs w:val="21"/>
                <w:highlight w:val="none"/>
                <w:lang w:val="en-US" w:eastAsia="zh-CN"/>
              </w:rPr>
            </w:pPr>
            <w:r>
              <w:rPr>
                <w:rFonts w:hint="eastAsia"/>
                <w:color w:val="auto"/>
                <w:szCs w:val="21"/>
                <w:highlight w:val="none"/>
                <w:lang w:eastAsia="zh-CN"/>
              </w:rPr>
              <w:t>☑</w:t>
            </w:r>
            <w:r>
              <w:rPr>
                <w:rFonts w:hint="eastAsia"/>
                <w:color w:val="auto"/>
                <w:szCs w:val="21"/>
                <w:highlight w:val="none"/>
                <w:lang w:val="en-US" w:eastAsia="zh-CN"/>
              </w:rPr>
              <w:t>评审中出现下列情形之一的，评审委员会应当启动异常低价响应审查程序：</w:t>
            </w:r>
          </w:p>
          <w:p w14:paraId="77B060E6">
            <w:pPr>
              <w:spacing w:line="276" w:lineRule="auto"/>
              <w:rPr>
                <w:rFonts w:hint="default"/>
                <w:color w:val="auto"/>
                <w:szCs w:val="21"/>
                <w:highlight w:val="none"/>
                <w:lang w:val="en-US" w:eastAsia="zh-CN"/>
              </w:rPr>
            </w:pPr>
            <w:r>
              <w:rPr>
                <w:rFonts w:hint="eastAsia"/>
                <w:color w:val="auto"/>
                <w:szCs w:val="21"/>
                <w:highlight w:val="none"/>
                <w:lang w:val="en-US" w:eastAsia="zh-CN"/>
              </w:rPr>
              <w:t>（1）投标（响应）报价低于全部通过符合性审查供应商投标（响应）报价平均值50%的，即投标（响应）报价&lt;全部通过符合性审查供应商投标（响应）报价平均值×50%；</w:t>
            </w:r>
          </w:p>
          <w:p w14:paraId="7A2F3C28">
            <w:pPr>
              <w:spacing w:line="276" w:lineRule="auto"/>
              <w:rPr>
                <w:rFonts w:hint="eastAsia"/>
                <w:color w:val="auto"/>
                <w:szCs w:val="21"/>
                <w:highlight w:val="none"/>
                <w:lang w:val="en-US" w:eastAsia="zh-CN"/>
              </w:rPr>
            </w:pPr>
            <w:r>
              <w:rPr>
                <w:rFonts w:hint="eastAsia"/>
                <w:color w:val="auto"/>
                <w:szCs w:val="21"/>
                <w:highlight w:val="none"/>
                <w:lang w:val="en-US" w:eastAsia="zh-CN"/>
              </w:rPr>
              <w:t>（2）投标（响应）报价低于通过符合性审查的次低报价供应商投标（响应）报价50%的，即投标（响应）报价&lt;通过符合性审查的次低报价供应商投标（响应）报价×50%；</w:t>
            </w:r>
          </w:p>
          <w:p w14:paraId="78143647">
            <w:pPr>
              <w:spacing w:line="276" w:lineRule="auto"/>
              <w:rPr>
                <w:rFonts w:hint="eastAsia"/>
                <w:color w:val="auto"/>
                <w:szCs w:val="21"/>
                <w:highlight w:val="none"/>
                <w:lang w:val="en-US" w:eastAsia="zh-CN"/>
              </w:rPr>
            </w:pPr>
            <w:r>
              <w:rPr>
                <w:rFonts w:hint="eastAsia"/>
                <w:color w:val="auto"/>
                <w:szCs w:val="21"/>
                <w:highlight w:val="none"/>
                <w:lang w:val="en-US" w:eastAsia="zh-CN"/>
              </w:rPr>
              <w:t>（3）投标（响应）报价低于采购项目最高限价45%的，即投标（响应）报价&lt;采购项目最高限价×45%；</w:t>
            </w:r>
          </w:p>
          <w:p w14:paraId="6E9BDC9B">
            <w:pPr>
              <w:spacing w:line="276" w:lineRule="auto"/>
              <w:rPr>
                <w:rFonts w:hint="eastAsia"/>
                <w:color w:val="auto"/>
                <w:szCs w:val="21"/>
                <w:highlight w:val="none"/>
                <w:lang w:val="en-US" w:eastAsia="zh-CN"/>
              </w:rPr>
            </w:pPr>
            <w:r>
              <w:rPr>
                <w:rFonts w:hint="eastAsia"/>
                <w:color w:val="auto"/>
                <w:szCs w:val="21"/>
                <w:highlight w:val="none"/>
                <w:lang w:val="en-US" w:eastAsia="zh-CN"/>
              </w:rPr>
              <w:t>（4）评审委员会基于专业判断，认为供应商报价过低，有可能影响产品质量或者不能诚信履约的其他情形。</w:t>
            </w:r>
          </w:p>
          <w:p w14:paraId="48C638CB">
            <w:pPr>
              <w:pStyle w:val="19"/>
              <w:rPr>
                <w:rFonts w:hint="eastAsia"/>
                <w:color w:val="auto"/>
                <w:sz w:val="21"/>
                <w:szCs w:val="21"/>
                <w:highlight w:val="none"/>
                <w:lang w:val="en-US" w:eastAsia="zh-CN"/>
              </w:rPr>
            </w:pPr>
            <w:r>
              <w:rPr>
                <w:color w:val="auto"/>
                <w:sz w:val="21"/>
                <w:szCs w:val="21"/>
                <w:highlight w:val="none"/>
              </w:rPr>
              <w:sym w:font="Wingdings 2" w:char="00A3"/>
            </w:r>
            <w:r>
              <w:rPr>
                <w:rFonts w:hint="eastAsia"/>
                <w:color w:val="auto"/>
                <w:sz w:val="21"/>
                <w:szCs w:val="21"/>
                <w:highlight w:val="none"/>
                <w:lang w:val="en-US" w:eastAsia="zh-CN"/>
              </w:rPr>
              <w:t>评审中出现下列情形之一的，评审委员会应当启动异常低价响应审查程序</w:t>
            </w:r>
            <w:r>
              <w:rPr>
                <w:rFonts w:hint="eastAsia"/>
                <w:color w:val="auto"/>
                <w:sz w:val="21"/>
                <w:szCs w:val="21"/>
                <w:highlight w:val="none"/>
                <w:lang w:eastAsia="zh-CN"/>
              </w:rPr>
              <w:t>：</w:t>
            </w:r>
          </w:p>
          <w:p w14:paraId="6CCF646E">
            <w:pPr>
              <w:pStyle w:val="19"/>
              <w:rPr>
                <w:rFonts w:hint="default"/>
                <w:color w:val="auto"/>
                <w:sz w:val="21"/>
                <w:szCs w:val="21"/>
                <w:highlight w:val="none"/>
                <w:lang w:val="en-US" w:eastAsia="zh-CN"/>
              </w:rPr>
            </w:pPr>
            <w:r>
              <w:rPr>
                <w:rFonts w:hint="eastAsia"/>
                <w:color w:val="auto"/>
                <w:sz w:val="21"/>
                <w:szCs w:val="21"/>
                <w:highlight w:val="none"/>
                <w:lang w:val="en-US" w:eastAsia="zh-CN"/>
              </w:rPr>
              <w:t>（1）投标（响应）报价低于全部通过符合性审查供应商投标（响应）报价平均值</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%的，即投标（响应）报价&lt;全部通过符合性审查供应商投标（响应）报价平均值×</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14:paraId="2E36302B">
            <w:pPr>
              <w:pStyle w:val="19"/>
              <w:rPr>
                <w:rFonts w:hint="eastAsia"/>
                <w:color w:val="auto"/>
                <w:sz w:val="21"/>
                <w:szCs w:val="21"/>
                <w:highlight w:val="none"/>
                <w:lang w:val="en-US" w:eastAsia="zh-CN"/>
              </w:rPr>
            </w:pPr>
            <w:r>
              <w:rPr>
                <w:rFonts w:hint="eastAsia"/>
                <w:color w:val="auto"/>
                <w:sz w:val="21"/>
                <w:szCs w:val="21"/>
                <w:highlight w:val="none"/>
                <w:lang w:val="en-US" w:eastAsia="zh-CN"/>
              </w:rPr>
              <w:t>（2）投标（响应）报价低于通过符合性审查的次低报价供应商投标（响应）报价</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 xml:space="preserve">  %的，即投标（响应）报价&lt;通过符合性审查的次低报价供应商投标（响应）报价×</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14:paraId="483EBE65">
            <w:pPr>
              <w:pStyle w:val="19"/>
              <w:rPr>
                <w:rFonts w:hint="eastAsia"/>
                <w:color w:val="auto"/>
                <w:sz w:val="21"/>
                <w:szCs w:val="21"/>
                <w:highlight w:val="none"/>
                <w:lang w:val="en-US" w:eastAsia="zh-CN"/>
              </w:rPr>
            </w:pPr>
            <w:r>
              <w:rPr>
                <w:rFonts w:hint="eastAsia"/>
                <w:color w:val="auto"/>
                <w:sz w:val="21"/>
                <w:szCs w:val="21"/>
                <w:highlight w:val="none"/>
                <w:lang w:val="en-US" w:eastAsia="zh-CN"/>
              </w:rPr>
              <w:t>（3）投标（响应）报价低于采购项目最高限价</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%的，即投标（响应）报价&lt;采购项目最高限价×</w:t>
            </w:r>
            <w:r>
              <w:rPr>
                <w:rFonts w:hint="eastAsia"/>
                <w:color w:val="auto"/>
                <w:sz w:val="21"/>
                <w:szCs w:val="21"/>
                <w:highlight w:val="none"/>
                <w:u w:val="single"/>
                <w:lang w:val="en-US" w:eastAsia="zh-CN"/>
              </w:rPr>
              <w:t xml:space="preserve">       </w:t>
            </w:r>
            <w:r>
              <w:rPr>
                <w:rFonts w:hint="eastAsia"/>
                <w:color w:val="auto"/>
                <w:sz w:val="21"/>
                <w:szCs w:val="21"/>
                <w:highlight w:val="none"/>
                <w:lang w:val="en-US" w:eastAsia="zh-CN"/>
              </w:rPr>
              <w:t>%；</w:t>
            </w:r>
          </w:p>
          <w:p w14:paraId="6EDAE2D3">
            <w:pPr>
              <w:pStyle w:val="19"/>
              <w:rPr>
                <w:color w:val="auto"/>
                <w:kern w:val="2"/>
                <w:sz w:val="22"/>
                <w:szCs w:val="22"/>
                <w:highlight w:val="none"/>
                <w:lang w:val="en-US" w:eastAsia="zh-CN" w:bidi="ar-SA"/>
              </w:rPr>
            </w:pPr>
            <w:r>
              <w:rPr>
                <w:rFonts w:hint="eastAsia"/>
                <w:color w:val="auto"/>
                <w:sz w:val="21"/>
                <w:szCs w:val="21"/>
                <w:highlight w:val="none"/>
                <w:lang w:val="en-US" w:eastAsia="zh-CN"/>
              </w:rPr>
              <w:t>（4）评审委员会基于专业判断，认为供应商报价过低，有可能影响产品质量或者不能诚信履约的其他情形。</w:t>
            </w:r>
          </w:p>
        </w:tc>
      </w:tr>
      <w:tr w14:paraId="63AE66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75C7CF43">
            <w:pPr>
              <w:spacing w:line="300" w:lineRule="exact"/>
              <w:jc w:val="center"/>
              <w:rPr>
                <w:b/>
                <w:color w:val="auto"/>
                <w:szCs w:val="21"/>
                <w:highlight w:val="none"/>
              </w:rPr>
            </w:pPr>
            <w:r>
              <w:rPr>
                <w:b/>
                <w:color w:val="auto"/>
                <w:szCs w:val="21"/>
                <w:highlight w:val="none"/>
              </w:rPr>
              <w:t>6.5</w:t>
            </w:r>
            <w:r>
              <w:rPr>
                <w:rFonts w:hint="eastAsia"/>
                <w:b/>
                <w:color w:val="auto"/>
                <w:szCs w:val="21"/>
                <w:highlight w:val="none"/>
              </w:rPr>
              <w:t>.1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09C28691">
            <w:pPr>
              <w:spacing w:line="300" w:lineRule="exact"/>
              <w:jc w:val="center"/>
              <w:rPr>
                <w:color w:val="auto"/>
                <w:szCs w:val="21"/>
                <w:highlight w:val="none"/>
              </w:rPr>
            </w:pPr>
            <w:r>
              <w:rPr>
                <w:rFonts w:hint="eastAsia"/>
                <w:color w:val="auto"/>
                <w:szCs w:val="21"/>
                <w:highlight w:val="none"/>
              </w:rPr>
              <w:t>结果</w:t>
            </w:r>
            <w:r>
              <w:rPr>
                <w:color w:val="auto"/>
                <w:szCs w:val="21"/>
                <w:highlight w:val="none"/>
              </w:rPr>
              <w:t>公告</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543A3736">
            <w:pPr>
              <w:spacing w:line="300" w:lineRule="exact"/>
              <w:jc w:val="left"/>
              <w:rPr>
                <w:color w:val="auto"/>
                <w:szCs w:val="21"/>
                <w:highlight w:val="none"/>
              </w:rPr>
            </w:pPr>
            <w:r>
              <w:rPr>
                <w:color w:val="auto"/>
                <w:szCs w:val="21"/>
                <w:highlight w:val="none"/>
              </w:rPr>
              <w:t>采购代理机构在采购人依法确认成交供应商后2个工作日内在磋商公告发布的媒体上发布</w:t>
            </w:r>
            <w:r>
              <w:rPr>
                <w:rFonts w:hint="eastAsia"/>
                <w:color w:val="auto"/>
                <w:szCs w:val="21"/>
                <w:highlight w:val="none"/>
              </w:rPr>
              <w:t>结果</w:t>
            </w:r>
            <w:r>
              <w:rPr>
                <w:color w:val="auto"/>
                <w:szCs w:val="21"/>
                <w:highlight w:val="none"/>
              </w:rPr>
              <w:t>公告</w:t>
            </w:r>
            <w:r>
              <w:rPr>
                <w:rFonts w:hint="eastAsia"/>
                <w:color w:val="auto"/>
                <w:szCs w:val="21"/>
                <w:highlight w:val="none"/>
              </w:rPr>
              <w:t>。</w:t>
            </w:r>
          </w:p>
        </w:tc>
      </w:tr>
      <w:tr w14:paraId="72477A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7748D186">
            <w:pPr>
              <w:spacing w:line="300" w:lineRule="exact"/>
              <w:jc w:val="center"/>
              <w:rPr>
                <w:b/>
                <w:color w:val="auto"/>
                <w:szCs w:val="21"/>
                <w:highlight w:val="none"/>
              </w:rPr>
            </w:pPr>
            <w:r>
              <w:rPr>
                <w:b/>
                <w:color w:val="auto"/>
                <w:szCs w:val="21"/>
                <w:highlight w:val="none"/>
              </w:rPr>
              <w:t>6.5.2</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13498F48">
            <w:pPr>
              <w:spacing w:line="300" w:lineRule="exact"/>
              <w:jc w:val="center"/>
              <w:rPr>
                <w:color w:val="auto"/>
                <w:szCs w:val="21"/>
                <w:highlight w:val="none"/>
              </w:rPr>
            </w:pPr>
            <w:r>
              <w:rPr>
                <w:rFonts w:hint="eastAsia"/>
                <w:color w:val="auto"/>
                <w:szCs w:val="21"/>
                <w:highlight w:val="none"/>
              </w:rPr>
              <w:t>成交通知书</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5FDBD237">
            <w:pPr>
              <w:spacing w:line="300" w:lineRule="exact"/>
              <w:jc w:val="left"/>
              <w:rPr>
                <w:color w:val="auto"/>
                <w:szCs w:val="21"/>
                <w:highlight w:val="none"/>
              </w:rPr>
            </w:pPr>
            <w:r>
              <w:rPr>
                <w:rFonts w:hint="eastAsia"/>
                <w:color w:val="auto"/>
                <w:szCs w:val="21"/>
                <w:highlight w:val="none"/>
              </w:rPr>
              <w:t>采购代理机构通过广西政府采购云平台发出</w:t>
            </w:r>
            <w:r>
              <w:rPr>
                <w:color w:val="auto"/>
                <w:szCs w:val="21"/>
                <w:highlight w:val="none"/>
              </w:rPr>
              <w:t>成交通知书。</w:t>
            </w:r>
          </w:p>
          <w:p w14:paraId="489FA704">
            <w:pPr>
              <w:spacing w:line="300" w:lineRule="exact"/>
              <w:jc w:val="left"/>
              <w:rPr>
                <w:color w:val="auto"/>
                <w:szCs w:val="21"/>
                <w:highlight w:val="none"/>
              </w:rPr>
            </w:pPr>
            <w:r>
              <w:rPr>
                <w:rFonts w:hint="eastAsia"/>
                <w:color w:val="auto"/>
                <w:szCs w:val="21"/>
                <w:highlight w:val="none"/>
              </w:rPr>
              <w:t>成交通知书在广西政府采购云平台推送之日起，视为成交供应商已收到，成交供应商自行承担未及时查收的后果。</w:t>
            </w:r>
          </w:p>
        </w:tc>
      </w:tr>
      <w:tr w14:paraId="00B0B9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365BD402">
            <w:pPr>
              <w:spacing w:line="300" w:lineRule="exact"/>
              <w:jc w:val="center"/>
              <w:rPr>
                <w:b/>
                <w:color w:val="auto"/>
                <w:szCs w:val="21"/>
                <w:highlight w:val="none"/>
              </w:rPr>
            </w:pPr>
            <w:r>
              <w:rPr>
                <w:b/>
                <w:color w:val="auto"/>
                <w:szCs w:val="21"/>
                <w:highlight w:val="none"/>
              </w:rPr>
              <w:t>8.1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4017986B">
            <w:pPr>
              <w:spacing w:line="300" w:lineRule="exact"/>
              <w:jc w:val="center"/>
              <w:rPr>
                <w:color w:val="auto"/>
                <w:szCs w:val="21"/>
                <w:highlight w:val="none"/>
              </w:rPr>
            </w:pPr>
            <w:r>
              <w:rPr>
                <w:rFonts w:hint="eastAsia"/>
                <w:color w:val="auto"/>
                <w:szCs w:val="21"/>
                <w:highlight w:val="none"/>
              </w:rPr>
              <w:t>质疑</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90F1E87">
            <w:pPr>
              <w:spacing w:line="300" w:lineRule="exact"/>
              <w:jc w:val="left"/>
              <w:rPr>
                <w:color w:val="auto"/>
                <w:szCs w:val="21"/>
                <w:highlight w:val="none"/>
              </w:rPr>
            </w:pPr>
            <w:r>
              <w:rPr>
                <w:rFonts w:hint="eastAsia"/>
                <w:color w:val="auto"/>
                <w:szCs w:val="21"/>
                <w:highlight w:val="none"/>
              </w:rPr>
              <w:t>（1）供应商</w:t>
            </w:r>
            <w:r>
              <w:rPr>
                <w:color w:val="auto"/>
                <w:szCs w:val="21"/>
                <w:highlight w:val="none"/>
              </w:rPr>
              <w:t>认为</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w:t>
            </w:r>
            <w:r>
              <w:rPr>
                <w:rFonts w:hint="eastAsia"/>
                <w:color w:val="auto"/>
                <w:szCs w:val="21"/>
                <w:highlight w:val="none"/>
              </w:rPr>
              <w:t>中标或者成交</w:t>
            </w:r>
            <w:r>
              <w:rPr>
                <w:color w:val="auto"/>
                <w:szCs w:val="21"/>
                <w:highlight w:val="none"/>
              </w:rPr>
              <w:t>结果使自己的权益受到损害的，可以在知道或者应知其权益受到损害之日起7个工作日内，</w:t>
            </w:r>
            <w:r>
              <w:rPr>
                <w:rFonts w:hint="eastAsia"/>
                <w:color w:val="auto"/>
                <w:szCs w:val="21"/>
                <w:highlight w:val="none"/>
              </w:rPr>
              <w:t>通过以下方式</w:t>
            </w:r>
            <w:r>
              <w:rPr>
                <w:color w:val="auto"/>
                <w:szCs w:val="21"/>
                <w:highlight w:val="none"/>
              </w:rPr>
              <w:t>向采购人、采购代理机构提出质疑。提出质疑的</w:t>
            </w:r>
            <w:r>
              <w:rPr>
                <w:rFonts w:hint="eastAsia"/>
                <w:color w:val="auto"/>
                <w:szCs w:val="21"/>
                <w:highlight w:val="none"/>
              </w:rPr>
              <w:t>供应商</w:t>
            </w:r>
            <w:r>
              <w:rPr>
                <w:color w:val="auto"/>
                <w:szCs w:val="21"/>
                <w:highlight w:val="none"/>
              </w:rPr>
              <w:t>必须是参与本项目采购活动的供应商</w:t>
            </w:r>
            <w:r>
              <w:rPr>
                <w:rFonts w:hint="eastAsia"/>
                <w:color w:val="auto"/>
                <w:szCs w:val="21"/>
                <w:highlight w:val="none"/>
              </w:rPr>
              <w:t>，并须在</w:t>
            </w:r>
            <w:r>
              <w:rPr>
                <w:color w:val="auto"/>
                <w:szCs w:val="21"/>
                <w:highlight w:val="none"/>
              </w:rPr>
              <w:t>法定质疑期内一次性提出针对同一采购程序环节的质疑。质疑函应使用财政部发布的</w:t>
            </w:r>
            <w:r>
              <w:rPr>
                <w:rFonts w:hint="eastAsia"/>
                <w:color w:val="auto"/>
                <w:szCs w:val="21"/>
                <w:highlight w:val="none"/>
              </w:rPr>
              <w:t>政府采购供应商质疑函范本，并应按照“质疑函制作说明”进行制作。</w:t>
            </w:r>
          </w:p>
          <w:p w14:paraId="2469D862">
            <w:pPr>
              <w:spacing w:line="300" w:lineRule="exact"/>
              <w:jc w:val="left"/>
              <w:rPr>
                <w:rFonts w:hint="eastAsia"/>
                <w:color w:val="auto"/>
                <w:szCs w:val="21"/>
                <w:highlight w:val="none"/>
              </w:rPr>
            </w:pPr>
            <w:r>
              <w:rPr>
                <w:rFonts w:hint="eastAsia"/>
                <w:color w:val="auto"/>
                <w:szCs w:val="21"/>
                <w:highlight w:val="none"/>
              </w:rPr>
              <w:t>（2）</w:t>
            </w:r>
            <w:r>
              <w:rPr>
                <w:color w:val="auto"/>
                <w:szCs w:val="21"/>
                <w:highlight w:val="none"/>
              </w:rPr>
              <w:t>本项目不接受传真、移动通信</w:t>
            </w:r>
            <w:r>
              <w:rPr>
                <w:rFonts w:hint="eastAsia"/>
                <w:color w:val="auto"/>
                <w:szCs w:val="21"/>
                <w:highlight w:val="none"/>
              </w:rPr>
              <w:t>、广西政府采购云平台</w:t>
            </w:r>
            <w:r>
              <w:rPr>
                <w:color w:val="auto"/>
                <w:szCs w:val="21"/>
                <w:highlight w:val="none"/>
              </w:rPr>
              <w:t>等</w:t>
            </w:r>
            <w:r>
              <w:rPr>
                <w:rFonts w:hint="eastAsia"/>
                <w:color w:val="auto"/>
                <w:szCs w:val="21"/>
                <w:highlight w:val="none"/>
              </w:rPr>
              <w:t>方式</w:t>
            </w:r>
            <w:r>
              <w:rPr>
                <w:color w:val="auto"/>
                <w:szCs w:val="21"/>
                <w:highlight w:val="none"/>
              </w:rPr>
              <w:t>送达的质疑材料</w:t>
            </w:r>
            <w:r>
              <w:rPr>
                <w:rFonts w:hint="eastAsia"/>
                <w:color w:val="auto"/>
                <w:szCs w:val="21"/>
                <w:highlight w:val="none"/>
              </w:rPr>
              <w:t>，供应商可通过现场或邮寄方式递交书面质疑材料。供应商应于质疑有效期内将质疑函原件递交或邮寄至磋商公告中采购代理机构信息中的联系人。</w:t>
            </w:r>
          </w:p>
        </w:tc>
      </w:tr>
      <w:tr w14:paraId="68886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8"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2CC4DB2D">
            <w:pPr>
              <w:spacing w:line="300" w:lineRule="exact"/>
              <w:jc w:val="center"/>
              <w:rPr>
                <w:b/>
                <w:color w:val="auto"/>
                <w:szCs w:val="21"/>
                <w:highlight w:val="none"/>
              </w:rPr>
            </w:pPr>
            <w:r>
              <w:rPr>
                <w:b/>
                <w:color w:val="auto"/>
                <w:szCs w:val="21"/>
                <w:highlight w:val="none"/>
              </w:rPr>
              <w:t>9.1</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3D02E2E5">
            <w:pPr>
              <w:spacing w:line="300" w:lineRule="exact"/>
              <w:jc w:val="center"/>
              <w:rPr>
                <w:color w:val="auto"/>
                <w:szCs w:val="21"/>
                <w:highlight w:val="none"/>
              </w:rPr>
            </w:pPr>
            <w:r>
              <w:rPr>
                <w:color w:val="auto"/>
                <w:szCs w:val="20"/>
                <w:highlight w:val="none"/>
              </w:rPr>
              <w:t>代理服务费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3A313E4">
            <w:pPr>
              <w:rPr>
                <w:color w:val="auto"/>
                <w:szCs w:val="21"/>
                <w:highlight w:val="none"/>
              </w:rPr>
            </w:pPr>
            <w:r>
              <w:rPr>
                <w:color w:val="auto"/>
                <w:szCs w:val="21"/>
                <w:highlight w:val="none"/>
              </w:rPr>
              <w:t>（1）</w:t>
            </w:r>
            <w:r>
              <w:rPr>
                <w:color w:val="auto"/>
                <w:szCs w:val="20"/>
                <w:highlight w:val="none"/>
              </w:rPr>
              <w:t>代理服务费</w:t>
            </w:r>
          </w:p>
          <w:p w14:paraId="413D55D3">
            <w:pPr>
              <w:spacing w:line="300" w:lineRule="exact"/>
              <w:jc w:val="left"/>
              <w:rPr>
                <w:color w:val="auto"/>
                <w:szCs w:val="21"/>
                <w:highlight w:val="none"/>
              </w:rPr>
            </w:pPr>
            <w:r>
              <w:rPr>
                <w:color w:val="auto"/>
                <w:szCs w:val="21"/>
                <w:highlight w:val="none"/>
              </w:rPr>
              <w:sym w:font="Wingdings 2" w:char="F052"/>
            </w:r>
            <w:r>
              <w:rPr>
                <w:color w:val="auto"/>
                <w:szCs w:val="21"/>
                <w:highlight w:val="none"/>
              </w:rPr>
              <w:t>采购代理机构向成交供应商收取代理服务费。本项目代理服务费</w:t>
            </w:r>
            <w:r>
              <w:rPr>
                <w:rFonts w:hint="eastAsia"/>
                <w:color w:val="auto"/>
                <w:szCs w:val="21"/>
                <w:highlight w:val="none"/>
              </w:rPr>
              <w:t>按照</w:t>
            </w:r>
            <w:r>
              <w:rPr>
                <w:color w:val="auto"/>
                <w:szCs w:val="21"/>
                <w:highlight w:val="none"/>
              </w:rPr>
              <w:t>《招标代理服务费管理暂行办法》 (计价格﹝2002﹞1980号)、《国家发展改革委关于降低部分建设项目收费标准规范收费行为等有关问题的通知》(发改价格﹝2011﹞534号)</w:t>
            </w:r>
            <w:r>
              <w:rPr>
                <w:rFonts w:hint="eastAsia"/>
                <w:color w:val="auto"/>
                <w:szCs w:val="21"/>
                <w:highlight w:val="none"/>
              </w:rPr>
              <w:t>的</w:t>
            </w:r>
            <w:r>
              <w:rPr>
                <w:color w:val="auto"/>
                <w:szCs w:val="21"/>
                <w:highlight w:val="none"/>
              </w:rPr>
              <w:t>规定</w:t>
            </w:r>
            <w:r>
              <w:rPr>
                <w:rFonts w:hint="eastAsia"/>
                <w:color w:val="auto"/>
                <w:szCs w:val="21"/>
                <w:highlight w:val="none"/>
              </w:rPr>
              <w:t>采用</w:t>
            </w: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rPr>
              <w:t>。</w:t>
            </w:r>
            <w:r>
              <w:rPr>
                <w:color w:val="auto"/>
                <w:szCs w:val="21"/>
                <w:highlight w:val="none"/>
              </w:rPr>
              <w:t>具体费率</w:t>
            </w:r>
            <w:r>
              <w:rPr>
                <w:rFonts w:hint="eastAsia"/>
                <w:color w:val="auto"/>
                <w:szCs w:val="21"/>
                <w:highlight w:val="none"/>
              </w:rPr>
              <w:t>如下：</w:t>
            </w:r>
          </w:p>
          <w:p w14:paraId="3DF80357">
            <w:pPr>
              <w:spacing w:line="300" w:lineRule="exact"/>
              <w:jc w:val="left"/>
              <w:rPr>
                <w:color w:val="auto"/>
                <w:szCs w:val="21"/>
                <w:highlight w:val="none"/>
              </w:rPr>
            </w:pPr>
            <w:r>
              <w:rPr>
                <w:rFonts w:hint="eastAsia"/>
                <w:color w:val="auto"/>
                <w:szCs w:val="21"/>
                <w:highlight w:val="none"/>
              </w:rPr>
              <w:t>①成交金额在1</w:t>
            </w:r>
            <w:r>
              <w:rPr>
                <w:color w:val="auto"/>
                <w:szCs w:val="21"/>
                <w:highlight w:val="none"/>
              </w:rPr>
              <w:t>00</w:t>
            </w:r>
            <w:r>
              <w:rPr>
                <w:rFonts w:hint="eastAsia"/>
                <w:color w:val="auto"/>
                <w:szCs w:val="21"/>
                <w:highlight w:val="none"/>
              </w:rPr>
              <w:t>万元以下的：</w:t>
            </w:r>
          </w:p>
          <w:p w14:paraId="1F861658">
            <w:pPr>
              <w:spacing w:line="300" w:lineRule="exact"/>
              <w:jc w:val="left"/>
              <w:rPr>
                <w:color w:val="auto"/>
                <w:szCs w:val="21"/>
                <w:highlight w:val="none"/>
              </w:rPr>
            </w:pPr>
            <w:r>
              <w:rPr>
                <w:rFonts w:hint="eastAsia"/>
                <w:color w:val="auto"/>
                <w:szCs w:val="21"/>
                <w:highlight w:val="none"/>
              </w:rPr>
              <w:t>货物</w:t>
            </w:r>
            <w:r>
              <w:rPr>
                <w:color w:val="auto"/>
                <w:szCs w:val="21"/>
                <w:highlight w:val="none"/>
              </w:rPr>
              <w:t>1.5％</w:t>
            </w:r>
            <w:r>
              <w:rPr>
                <w:rFonts w:hint="eastAsia"/>
                <w:color w:val="auto"/>
                <w:szCs w:val="21"/>
                <w:highlight w:val="none"/>
              </w:rPr>
              <w:t>；</w:t>
            </w:r>
            <w:r>
              <w:rPr>
                <w:color w:val="auto"/>
                <w:szCs w:val="21"/>
                <w:highlight w:val="none"/>
              </w:rPr>
              <w:t>服务招标1.5％</w:t>
            </w:r>
            <w:r>
              <w:rPr>
                <w:rFonts w:hint="eastAsia"/>
                <w:color w:val="auto"/>
                <w:szCs w:val="21"/>
                <w:highlight w:val="none"/>
              </w:rPr>
              <w:t>；</w:t>
            </w:r>
            <w:r>
              <w:rPr>
                <w:color w:val="auto"/>
                <w:szCs w:val="21"/>
                <w:highlight w:val="none"/>
              </w:rPr>
              <w:t>工程招标1.0％</w:t>
            </w:r>
            <w:r>
              <w:rPr>
                <w:rFonts w:hint="eastAsia"/>
                <w:color w:val="auto"/>
                <w:szCs w:val="21"/>
                <w:highlight w:val="none"/>
              </w:rPr>
              <w:t>；</w:t>
            </w:r>
          </w:p>
          <w:p w14:paraId="68FDBB84">
            <w:pPr>
              <w:spacing w:line="300" w:lineRule="exact"/>
              <w:jc w:val="left"/>
              <w:rPr>
                <w:color w:val="auto"/>
                <w:szCs w:val="21"/>
                <w:highlight w:val="none"/>
              </w:rPr>
            </w:pPr>
            <w:r>
              <w:rPr>
                <w:rFonts w:hint="eastAsia"/>
                <w:color w:val="auto"/>
                <w:szCs w:val="21"/>
                <w:highlight w:val="none"/>
              </w:rPr>
              <w:t>②成交金额在</w:t>
            </w:r>
            <w:r>
              <w:rPr>
                <w:color w:val="auto"/>
                <w:szCs w:val="21"/>
                <w:highlight w:val="none"/>
              </w:rPr>
              <w:t>100-500</w:t>
            </w:r>
            <w:r>
              <w:rPr>
                <w:rFonts w:hint="eastAsia"/>
                <w:color w:val="auto"/>
                <w:szCs w:val="21"/>
                <w:highlight w:val="none"/>
              </w:rPr>
              <w:t>万元之间：</w:t>
            </w:r>
          </w:p>
          <w:p w14:paraId="3960E62E">
            <w:pPr>
              <w:spacing w:line="300" w:lineRule="exact"/>
              <w:jc w:val="left"/>
              <w:rPr>
                <w:color w:val="auto"/>
                <w:szCs w:val="21"/>
                <w:highlight w:val="none"/>
              </w:rPr>
            </w:pPr>
            <w:r>
              <w:rPr>
                <w:rFonts w:hint="eastAsia"/>
                <w:color w:val="auto"/>
                <w:szCs w:val="21"/>
                <w:highlight w:val="none"/>
              </w:rPr>
              <w:t>货物</w:t>
            </w:r>
            <w:r>
              <w:rPr>
                <w:color w:val="auto"/>
                <w:szCs w:val="21"/>
                <w:highlight w:val="none"/>
              </w:rPr>
              <w:t>1.1％</w:t>
            </w:r>
            <w:r>
              <w:rPr>
                <w:rFonts w:hint="eastAsia"/>
                <w:color w:val="auto"/>
                <w:szCs w:val="21"/>
                <w:highlight w:val="none"/>
              </w:rPr>
              <w:t>；</w:t>
            </w:r>
            <w:r>
              <w:rPr>
                <w:color w:val="auto"/>
                <w:szCs w:val="21"/>
                <w:highlight w:val="none"/>
              </w:rPr>
              <w:t>服务招标0.8％</w:t>
            </w:r>
            <w:r>
              <w:rPr>
                <w:rFonts w:hint="eastAsia"/>
                <w:color w:val="auto"/>
                <w:szCs w:val="21"/>
                <w:highlight w:val="none"/>
              </w:rPr>
              <w:t>；</w:t>
            </w:r>
            <w:r>
              <w:rPr>
                <w:color w:val="auto"/>
                <w:szCs w:val="21"/>
                <w:highlight w:val="none"/>
              </w:rPr>
              <w:t>工程招标0.7％</w:t>
            </w:r>
            <w:r>
              <w:rPr>
                <w:rFonts w:hint="eastAsia"/>
                <w:color w:val="auto"/>
                <w:szCs w:val="21"/>
                <w:highlight w:val="none"/>
              </w:rPr>
              <w:t>；</w:t>
            </w:r>
          </w:p>
          <w:p w14:paraId="5FFF7C80">
            <w:pPr>
              <w:spacing w:line="300" w:lineRule="exact"/>
              <w:jc w:val="left"/>
              <w:rPr>
                <w:color w:val="auto"/>
                <w:szCs w:val="21"/>
                <w:highlight w:val="none"/>
              </w:rPr>
            </w:pPr>
            <w:r>
              <w:rPr>
                <w:rFonts w:hint="eastAsia"/>
                <w:color w:val="auto"/>
                <w:szCs w:val="21"/>
                <w:highlight w:val="none"/>
              </w:rPr>
              <w:t>③成交金额在</w:t>
            </w:r>
            <w:r>
              <w:rPr>
                <w:color w:val="auto"/>
                <w:szCs w:val="21"/>
                <w:highlight w:val="none"/>
              </w:rPr>
              <w:t>5</w:t>
            </w:r>
            <w:r>
              <w:rPr>
                <w:rFonts w:hint="eastAsia"/>
                <w:color w:val="auto"/>
                <w:szCs w:val="21"/>
                <w:highlight w:val="none"/>
              </w:rPr>
              <w:t>0</w:t>
            </w:r>
            <w:r>
              <w:rPr>
                <w:color w:val="auto"/>
                <w:szCs w:val="21"/>
                <w:highlight w:val="none"/>
              </w:rPr>
              <w:t>0-1</w:t>
            </w:r>
            <w:r>
              <w:rPr>
                <w:rFonts w:hint="eastAsia"/>
                <w:color w:val="auto"/>
                <w:szCs w:val="21"/>
                <w:highlight w:val="none"/>
              </w:rPr>
              <w:t>00</w:t>
            </w:r>
            <w:r>
              <w:rPr>
                <w:color w:val="auto"/>
                <w:szCs w:val="21"/>
                <w:highlight w:val="none"/>
              </w:rPr>
              <w:t>0</w:t>
            </w:r>
            <w:r>
              <w:rPr>
                <w:rFonts w:hint="eastAsia"/>
                <w:color w:val="auto"/>
                <w:szCs w:val="21"/>
                <w:highlight w:val="none"/>
              </w:rPr>
              <w:t>万元之间：</w:t>
            </w:r>
          </w:p>
          <w:p w14:paraId="1DC5CF5D">
            <w:pPr>
              <w:spacing w:line="300" w:lineRule="exact"/>
              <w:jc w:val="left"/>
              <w:rPr>
                <w:color w:val="auto"/>
                <w:szCs w:val="21"/>
                <w:highlight w:val="none"/>
              </w:rPr>
            </w:pPr>
            <w:r>
              <w:rPr>
                <w:rFonts w:hint="eastAsia"/>
                <w:color w:val="auto"/>
                <w:szCs w:val="21"/>
                <w:highlight w:val="none"/>
              </w:rPr>
              <w:t>货物</w:t>
            </w:r>
            <w:r>
              <w:rPr>
                <w:color w:val="auto"/>
                <w:szCs w:val="21"/>
                <w:highlight w:val="none"/>
              </w:rPr>
              <w:t>0.8％</w:t>
            </w:r>
            <w:r>
              <w:rPr>
                <w:rFonts w:hint="eastAsia"/>
                <w:color w:val="auto"/>
                <w:szCs w:val="21"/>
                <w:highlight w:val="none"/>
              </w:rPr>
              <w:t>；</w:t>
            </w:r>
            <w:r>
              <w:rPr>
                <w:color w:val="auto"/>
                <w:szCs w:val="21"/>
                <w:highlight w:val="none"/>
              </w:rPr>
              <w:t>服务招标0.45％</w:t>
            </w:r>
            <w:r>
              <w:rPr>
                <w:rFonts w:hint="eastAsia"/>
                <w:color w:val="auto"/>
                <w:szCs w:val="21"/>
                <w:highlight w:val="none"/>
              </w:rPr>
              <w:t>；</w:t>
            </w:r>
            <w:r>
              <w:rPr>
                <w:color w:val="auto"/>
                <w:szCs w:val="21"/>
                <w:highlight w:val="none"/>
              </w:rPr>
              <w:t>工程招标0.55％</w:t>
            </w:r>
            <w:r>
              <w:rPr>
                <w:rFonts w:hint="eastAsia"/>
                <w:color w:val="auto"/>
                <w:szCs w:val="21"/>
                <w:highlight w:val="none"/>
              </w:rPr>
              <w:t>；</w:t>
            </w:r>
          </w:p>
          <w:p w14:paraId="59AC805E">
            <w:pPr>
              <w:spacing w:line="300" w:lineRule="exact"/>
              <w:jc w:val="left"/>
              <w:rPr>
                <w:color w:val="auto"/>
                <w:szCs w:val="21"/>
                <w:highlight w:val="none"/>
              </w:rPr>
            </w:pPr>
            <w:r>
              <w:rPr>
                <w:rFonts w:hint="eastAsia"/>
                <w:color w:val="auto"/>
                <w:szCs w:val="21"/>
                <w:highlight w:val="none"/>
              </w:rPr>
              <w:t>④成交金额在</w:t>
            </w:r>
            <w:r>
              <w:rPr>
                <w:color w:val="auto"/>
                <w:szCs w:val="21"/>
                <w:highlight w:val="none"/>
              </w:rPr>
              <w:t>1000-5000</w:t>
            </w:r>
            <w:r>
              <w:rPr>
                <w:rFonts w:hint="eastAsia"/>
                <w:color w:val="auto"/>
                <w:szCs w:val="21"/>
                <w:highlight w:val="none"/>
              </w:rPr>
              <w:t>万元之间：</w:t>
            </w:r>
          </w:p>
          <w:p w14:paraId="75FD97A7">
            <w:pPr>
              <w:spacing w:line="300" w:lineRule="exact"/>
              <w:jc w:val="left"/>
              <w:rPr>
                <w:color w:val="auto"/>
                <w:szCs w:val="21"/>
                <w:highlight w:val="none"/>
              </w:rPr>
            </w:pPr>
            <w:r>
              <w:rPr>
                <w:rFonts w:hint="eastAsia"/>
                <w:color w:val="auto"/>
                <w:szCs w:val="21"/>
                <w:highlight w:val="none"/>
              </w:rPr>
              <w:t>货物</w:t>
            </w:r>
            <w:r>
              <w:rPr>
                <w:color w:val="auto"/>
                <w:szCs w:val="21"/>
                <w:highlight w:val="none"/>
              </w:rPr>
              <w:t>0.5％</w:t>
            </w:r>
            <w:r>
              <w:rPr>
                <w:rFonts w:hint="eastAsia"/>
                <w:color w:val="auto"/>
                <w:szCs w:val="21"/>
                <w:highlight w:val="none"/>
              </w:rPr>
              <w:t>；</w:t>
            </w:r>
            <w:r>
              <w:rPr>
                <w:color w:val="auto"/>
                <w:szCs w:val="21"/>
                <w:highlight w:val="none"/>
              </w:rPr>
              <w:t>服务招标0.25％</w:t>
            </w:r>
            <w:r>
              <w:rPr>
                <w:rFonts w:hint="eastAsia"/>
                <w:color w:val="auto"/>
                <w:szCs w:val="21"/>
                <w:highlight w:val="none"/>
              </w:rPr>
              <w:t>；</w:t>
            </w:r>
            <w:r>
              <w:rPr>
                <w:color w:val="auto"/>
                <w:szCs w:val="21"/>
                <w:highlight w:val="none"/>
              </w:rPr>
              <w:t>工程招标0.35％</w:t>
            </w:r>
            <w:r>
              <w:rPr>
                <w:rFonts w:hint="eastAsia"/>
                <w:color w:val="auto"/>
                <w:szCs w:val="21"/>
                <w:highlight w:val="none"/>
              </w:rPr>
              <w:t>；</w:t>
            </w:r>
          </w:p>
          <w:p w14:paraId="631123FB">
            <w:pPr>
              <w:spacing w:line="300" w:lineRule="exact"/>
              <w:jc w:val="left"/>
              <w:rPr>
                <w:color w:val="auto"/>
                <w:szCs w:val="21"/>
                <w:highlight w:val="none"/>
              </w:rPr>
            </w:pPr>
            <w:r>
              <w:rPr>
                <w:rFonts w:hint="eastAsia"/>
                <w:color w:val="auto"/>
                <w:szCs w:val="21"/>
                <w:highlight w:val="none"/>
              </w:rPr>
              <w:t>……</w:t>
            </w:r>
          </w:p>
          <w:p w14:paraId="42FEDC17">
            <w:pPr>
              <w:spacing w:line="300" w:lineRule="exact"/>
              <w:jc w:val="left"/>
              <w:rPr>
                <w:color w:val="auto"/>
                <w:szCs w:val="21"/>
                <w:highlight w:val="none"/>
              </w:rPr>
            </w:pPr>
            <w:r>
              <w:rPr>
                <w:color w:val="auto"/>
                <w:szCs w:val="21"/>
                <w:highlight w:val="none"/>
              </w:rPr>
              <w:t>差额定率累进</w:t>
            </w:r>
            <w:r>
              <w:rPr>
                <w:rFonts w:hint="eastAsia"/>
                <w:color w:val="auto"/>
                <w:szCs w:val="21"/>
                <w:highlight w:val="none"/>
              </w:rPr>
              <w:t>法</w:t>
            </w:r>
            <w:r>
              <w:rPr>
                <w:color w:val="auto"/>
                <w:szCs w:val="21"/>
                <w:highlight w:val="none"/>
              </w:rPr>
              <w:t>计算</w:t>
            </w:r>
            <w:r>
              <w:rPr>
                <w:rFonts w:hint="eastAsia"/>
                <w:color w:val="auto"/>
                <w:szCs w:val="21"/>
                <w:highlight w:val="none"/>
              </w:rPr>
              <w:t>过程示例：</w:t>
            </w:r>
          </w:p>
          <w:p w14:paraId="50A35CDC">
            <w:pPr>
              <w:spacing w:line="300" w:lineRule="exact"/>
              <w:jc w:val="left"/>
              <w:rPr>
                <w:color w:val="auto"/>
                <w:szCs w:val="21"/>
                <w:highlight w:val="none"/>
              </w:rPr>
            </w:pPr>
            <w:r>
              <w:rPr>
                <w:color w:val="auto"/>
                <w:szCs w:val="21"/>
                <w:highlight w:val="none"/>
              </w:rPr>
              <w:t>例如：某货物招标代理业务成交金额为300万元，招标代理服务费金额按如下计算：</w:t>
            </w:r>
          </w:p>
          <w:p w14:paraId="6C2948B0">
            <w:pPr>
              <w:spacing w:line="300" w:lineRule="exact"/>
              <w:jc w:val="left"/>
              <w:rPr>
                <w:color w:val="auto"/>
                <w:szCs w:val="21"/>
                <w:highlight w:val="none"/>
              </w:rPr>
            </w:pPr>
            <w:r>
              <w:rPr>
                <w:color w:val="auto"/>
                <w:szCs w:val="21"/>
                <w:highlight w:val="none"/>
              </w:rPr>
              <w:t>100万元×1.5%＝1.5万元</w:t>
            </w:r>
          </w:p>
          <w:p w14:paraId="2ED69ACC">
            <w:pPr>
              <w:spacing w:line="300" w:lineRule="exact"/>
              <w:jc w:val="left"/>
              <w:rPr>
                <w:color w:val="auto"/>
                <w:szCs w:val="21"/>
                <w:highlight w:val="none"/>
              </w:rPr>
            </w:pPr>
            <w:r>
              <w:rPr>
                <w:color w:val="auto"/>
                <w:szCs w:val="21"/>
                <w:highlight w:val="none"/>
              </w:rPr>
              <w:t>（300－100）万元×1.1%＝2.2万元</w:t>
            </w:r>
          </w:p>
          <w:p w14:paraId="3139B37E">
            <w:pPr>
              <w:spacing w:line="300" w:lineRule="exact"/>
              <w:jc w:val="left"/>
              <w:rPr>
                <w:color w:val="auto"/>
                <w:szCs w:val="21"/>
                <w:highlight w:val="none"/>
              </w:rPr>
            </w:pPr>
            <w:r>
              <w:rPr>
                <w:color w:val="auto"/>
                <w:szCs w:val="21"/>
                <w:highlight w:val="none"/>
              </w:rPr>
              <w:t>合计收费＝1.5＋2.2=3.7万元</w:t>
            </w:r>
          </w:p>
          <w:p w14:paraId="74E69760">
            <w:pPr>
              <w:spacing w:line="300" w:lineRule="exact"/>
              <w:jc w:val="left"/>
              <w:rPr>
                <w:color w:val="auto"/>
                <w:szCs w:val="21"/>
                <w:highlight w:val="none"/>
                <w:u w:val="single"/>
              </w:rPr>
            </w:pPr>
            <w:r>
              <w:rPr>
                <w:color w:val="auto"/>
                <w:szCs w:val="21"/>
                <w:highlight w:val="none"/>
              </w:rPr>
              <w:sym w:font="Wingdings 2" w:char="F0A3"/>
            </w:r>
            <w:r>
              <w:rPr>
                <w:color w:val="auto"/>
                <w:szCs w:val="21"/>
                <w:highlight w:val="none"/>
              </w:rPr>
              <w:t>采购代理机构</w:t>
            </w:r>
            <w:r>
              <w:rPr>
                <w:color w:val="auto"/>
                <w:szCs w:val="20"/>
                <w:highlight w:val="none"/>
              </w:rPr>
              <w:t>向成交供应商收取代理服务费</w:t>
            </w:r>
            <w:r>
              <w:rPr>
                <w:rFonts w:hint="eastAsia"/>
                <w:color w:val="auto"/>
                <w:szCs w:val="20"/>
                <w:highlight w:val="none"/>
              </w:rPr>
              <w:t>，</w:t>
            </w:r>
            <w:r>
              <w:rPr>
                <w:color w:val="auto"/>
                <w:szCs w:val="20"/>
                <w:highlight w:val="none"/>
              </w:rPr>
              <w:t>具体金额为</w:t>
            </w:r>
            <w:r>
              <w:rPr>
                <w:rFonts w:hint="eastAsia"/>
                <w:color w:val="auto"/>
                <w:szCs w:val="20"/>
                <w:highlight w:val="none"/>
                <w:u w:val="single"/>
              </w:rPr>
              <w:t xml:space="preserve">             </w:t>
            </w:r>
            <w:r>
              <w:rPr>
                <w:rFonts w:hint="eastAsia"/>
                <w:color w:val="auto"/>
                <w:szCs w:val="20"/>
                <w:highlight w:val="none"/>
              </w:rPr>
              <w:t>。</w:t>
            </w:r>
          </w:p>
          <w:p w14:paraId="7955D3A2">
            <w:pPr>
              <w:spacing w:line="300" w:lineRule="exact"/>
              <w:jc w:val="left"/>
              <w:rPr>
                <w:color w:val="auto"/>
                <w:szCs w:val="21"/>
                <w:highlight w:val="none"/>
              </w:rPr>
            </w:pPr>
            <w:r>
              <w:rPr>
                <w:color w:val="auto"/>
                <w:szCs w:val="21"/>
                <w:highlight w:val="none"/>
              </w:rPr>
              <w:t>（2）成交供应商在成交通知书发出前以银行转账或现金形式支付代理服务费；采购代理机构也可以从成交供应商的磋商保证金中扣除上述金额的代理服务费，余款按供应商所汇入磋商保证金的账户原路退回，如无法原路返回，则按《代理服务费承诺书》列明的账户退回。</w:t>
            </w:r>
          </w:p>
          <w:p w14:paraId="6049E887">
            <w:pPr>
              <w:spacing w:line="300" w:lineRule="exact"/>
              <w:jc w:val="left"/>
              <w:rPr>
                <w:rFonts w:hint="eastAsia"/>
                <w:color w:val="auto"/>
                <w:kern w:val="0"/>
                <w:szCs w:val="21"/>
                <w:highlight w:val="none"/>
              </w:rPr>
            </w:pPr>
            <w:r>
              <w:rPr>
                <w:rFonts w:hint="eastAsia"/>
                <w:color w:val="auto"/>
                <w:kern w:val="0"/>
                <w:szCs w:val="21"/>
                <w:highlight w:val="none"/>
              </w:rPr>
              <w:t>开户银行：广西北部湾银行南宁市金湖支行</w:t>
            </w:r>
          </w:p>
          <w:p w14:paraId="6F257145">
            <w:pPr>
              <w:spacing w:line="300" w:lineRule="exact"/>
              <w:jc w:val="left"/>
              <w:rPr>
                <w:rFonts w:hint="eastAsia"/>
                <w:color w:val="auto"/>
                <w:kern w:val="0"/>
                <w:szCs w:val="21"/>
                <w:highlight w:val="none"/>
              </w:rPr>
            </w:pPr>
            <w:r>
              <w:rPr>
                <w:rFonts w:hint="eastAsia"/>
                <w:color w:val="auto"/>
                <w:kern w:val="0"/>
                <w:szCs w:val="21"/>
                <w:highlight w:val="none"/>
              </w:rPr>
              <w:t>（银行地址：南宁市金湖路57号文德大厦1楼）</w:t>
            </w:r>
          </w:p>
          <w:p w14:paraId="7AF4E08B">
            <w:pPr>
              <w:spacing w:line="300" w:lineRule="exact"/>
              <w:jc w:val="left"/>
              <w:rPr>
                <w:rFonts w:hint="eastAsia"/>
                <w:color w:val="auto"/>
                <w:kern w:val="0"/>
                <w:szCs w:val="21"/>
                <w:highlight w:val="none"/>
              </w:rPr>
            </w:pPr>
            <w:r>
              <w:rPr>
                <w:rFonts w:hint="eastAsia"/>
                <w:color w:val="auto"/>
                <w:kern w:val="0"/>
                <w:szCs w:val="21"/>
                <w:highlight w:val="none"/>
              </w:rPr>
              <w:t>开户名称：广西机电设备招标有限公司</w:t>
            </w:r>
          </w:p>
          <w:p w14:paraId="3B0A817D">
            <w:pPr>
              <w:spacing w:line="300" w:lineRule="exact"/>
              <w:jc w:val="left"/>
              <w:rPr>
                <w:rFonts w:hint="eastAsia"/>
                <w:color w:val="auto"/>
                <w:kern w:val="0"/>
                <w:szCs w:val="21"/>
                <w:highlight w:val="none"/>
              </w:rPr>
            </w:pPr>
            <w:r>
              <w:rPr>
                <w:rFonts w:hint="eastAsia"/>
                <w:color w:val="auto"/>
                <w:kern w:val="0"/>
                <w:szCs w:val="21"/>
                <w:highlight w:val="none"/>
              </w:rPr>
              <w:t>银行账号：1705012090027723 (联行号 313611017053)</w:t>
            </w:r>
          </w:p>
          <w:p w14:paraId="2AED0249">
            <w:pPr>
              <w:spacing w:line="300" w:lineRule="exact"/>
              <w:jc w:val="left"/>
              <w:rPr>
                <w:rFonts w:hint="eastAsia"/>
                <w:color w:val="auto"/>
                <w:kern w:val="0"/>
                <w:szCs w:val="21"/>
                <w:highlight w:val="none"/>
              </w:rPr>
            </w:pPr>
            <w:r>
              <w:rPr>
                <w:rFonts w:hint="eastAsia"/>
                <w:color w:val="auto"/>
                <w:kern w:val="0"/>
                <w:szCs w:val="21"/>
                <w:highlight w:val="none"/>
              </w:rPr>
              <w:t>财务联系人：吴茜（电话：0771-2821398）</w:t>
            </w:r>
          </w:p>
        </w:tc>
      </w:tr>
      <w:tr w14:paraId="2FD96A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2E430A0C">
            <w:pPr>
              <w:spacing w:line="300" w:lineRule="exact"/>
              <w:jc w:val="center"/>
              <w:rPr>
                <w:b/>
                <w:color w:val="auto"/>
                <w:szCs w:val="21"/>
                <w:highlight w:val="none"/>
              </w:rPr>
            </w:pPr>
            <w:r>
              <w:rPr>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5B7D6ED7">
            <w:pPr>
              <w:spacing w:line="300" w:lineRule="exact"/>
              <w:jc w:val="center"/>
              <w:rPr>
                <w:color w:val="auto"/>
                <w:szCs w:val="20"/>
                <w:highlight w:val="none"/>
              </w:rPr>
            </w:pPr>
            <w:r>
              <w:rPr>
                <w:rFonts w:hint="eastAsia"/>
                <w:color w:val="auto"/>
                <w:szCs w:val="20"/>
                <w:highlight w:val="none"/>
              </w:rPr>
              <w:t>附件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48FBA952">
            <w:pPr>
              <w:spacing w:line="276" w:lineRule="auto"/>
              <w:rPr>
                <w:color w:val="auto"/>
                <w:szCs w:val="21"/>
                <w:highlight w:val="none"/>
              </w:rPr>
            </w:pPr>
            <w:r>
              <w:rPr>
                <w:color w:val="auto"/>
                <w:sz w:val="22"/>
                <w:szCs w:val="22"/>
                <w:highlight w:val="none"/>
              </w:rPr>
              <w:sym w:font="Wingdings 2" w:char="F052"/>
            </w:r>
            <w:r>
              <w:rPr>
                <w:rFonts w:hint="eastAsia"/>
                <w:color w:val="auto"/>
                <w:szCs w:val="21"/>
                <w:highlight w:val="none"/>
              </w:rPr>
              <w:t>无</w:t>
            </w:r>
          </w:p>
          <w:p w14:paraId="44396FF8">
            <w:pPr>
              <w:spacing w:line="276" w:lineRule="auto"/>
              <w:rPr>
                <w:color w:val="auto"/>
                <w:szCs w:val="21"/>
                <w:highlight w:val="none"/>
                <w:u w:val="single"/>
              </w:rPr>
            </w:pPr>
            <w:r>
              <w:rPr>
                <w:rFonts w:hint="eastAsia"/>
                <w:color w:val="auto"/>
                <w:szCs w:val="21"/>
                <w:highlight w:val="none"/>
              </w:rPr>
              <w:t>□有，详见：</w:t>
            </w:r>
            <w:r>
              <w:rPr>
                <w:rFonts w:hint="eastAsia"/>
                <w:color w:val="auto"/>
                <w:szCs w:val="21"/>
                <w:highlight w:val="none"/>
                <w:u w:val="single"/>
              </w:rPr>
              <w:t xml:space="preserve"> </w:t>
            </w:r>
            <w:r>
              <w:rPr>
                <w:color w:val="auto"/>
                <w:szCs w:val="21"/>
                <w:highlight w:val="none"/>
                <w:u w:val="single"/>
              </w:rPr>
              <w:t xml:space="preserve">         </w:t>
            </w:r>
          </w:p>
        </w:tc>
      </w:tr>
      <w:tr w14:paraId="7D2E0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5C3EBB58">
            <w:pPr>
              <w:spacing w:line="300" w:lineRule="exact"/>
              <w:jc w:val="center"/>
              <w:rPr>
                <w:b/>
                <w:color w:val="auto"/>
                <w:szCs w:val="21"/>
                <w:highlight w:val="none"/>
              </w:rPr>
            </w:pPr>
            <w:r>
              <w:rPr>
                <w:b/>
                <w:color w:val="auto"/>
                <w:szCs w:val="21"/>
                <w:highlight w:val="none"/>
              </w:rPr>
              <w:t>9.3</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A8785EC">
            <w:pPr>
              <w:spacing w:line="300" w:lineRule="exact"/>
              <w:jc w:val="center"/>
              <w:rPr>
                <w:color w:val="auto"/>
                <w:szCs w:val="20"/>
                <w:highlight w:val="none"/>
              </w:rPr>
            </w:pPr>
            <w:r>
              <w:rPr>
                <w:rFonts w:hint="eastAsia"/>
                <w:color w:val="auto"/>
                <w:szCs w:val="20"/>
                <w:highlight w:val="none"/>
              </w:rPr>
              <w:t>图纸</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3904257B">
            <w:pPr>
              <w:spacing w:line="276" w:lineRule="auto"/>
              <w:rPr>
                <w:color w:val="auto"/>
                <w:szCs w:val="21"/>
                <w:highlight w:val="none"/>
              </w:rPr>
            </w:pPr>
            <w:r>
              <w:rPr>
                <w:color w:val="auto"/>
                <w:sz w:val="22"/>
                <w:szCs w:val="22"/>
                <w:highlight w:val="none"/>
              </w:rPr>
              <w:sym w:font="Wingdings 2" w:char="F052"/>
            </w:r>
            <w:r>
              <w:rPr>
                <w:rFonts w:hint="eastAsia"/>
                <w:color w:val="auto"/>
                <w:szCs w:val="21"/>
                <w:highlight w:val="none"/>
              </w:rPr>
              <w:t>无</w:t>
            </w:r>
          </w:p>
          <w:p w14:paraId="6855E386">
            <w:pPr>
              <w:spacing w:line="276" w:lineRule="auto"/>
              <w:rPr>
                <w:color w:val="auto"/>
                <w:szCs w:val="21"/>
                <w:highlight w:val="none"/>
                <w:u w:val="single"/>
              </w:rPr>
            </w:pPr>
            <w:r>
              <w:rPr>
                <w:rFonts w:hint="eastAsia"/>
                <w:color w:val="auto"/>
                <w:szCs w:val="21"/>
                <w:highlight w:val="none"/>
              </w:rPr>
              <w:t>□有，详见：</w:t>
            </w:r>
            <w:r>
              <w:rPr>
                <w:rFonts w:hint="eastAsia"/>
                <w:color w:val="auto"/>
                <w:szCs w:val="21"/>
                <w:highlight w:val="none"/>
                <w:u w:val="single"/>
              </w:rPr>
              <w:t xml:space="preserve"> </w:t>
            </w:r>
            <w:r>
              <w:rPr>
                <w:color w:val="auto"/>
                <w:szCs w:val="21"/>
                <w:highlight w:val="none"/>
                <w:u w:val="single"/>
              </w:rPr>
              <w:t xml:space="preserve">            </w:t>
            </w:r>
          </w:p>
        </w:tc>
      </w:tr>
      <w:tr w14:paraId="72458E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37" w:type="dxa"/>
            <w:tcBorders>
              <w:top w:val="single" w:color="auto" w:sz="4" w:space="0"/>
              <w:left w:val="single" w:color="auto" w:sz="4" w:space="0"/>
              <w:bottom w:val="single" w:color="auto" w:sz="4" w:space="0"/>
              <w:right w:val="single" w:color="auto" w:sz="4" w:space="0"/>
            </w:tcBorders>
            <w:noWrap w:val="0"/>
            <w:vAlign w:val="center"/>
          </w:tcPr>
          <w:p w14:paraId="01643DE0">
            <w:pPr>
              <w:spacing w:line="300" w:lineRule="exact"/>
              <w:jc w:val="center"/>
              <w:rPr>
                <w:b/>
                <w:color w:val="auto"/>
                <w:szCs w:val="21"/>
                <w:highlight w:val="none"/>
              </w:rPr>
            </w:pPr>
            <w:r>
              <w:rPr>
                <w:b/>
                <w:color w:val="auto"/>
                <w:szCs w:val="21"/>
                <w:highlight w:val="none"/>
              </w:rPr>
              <w:t>9.4</w:t>
            </w:r>
          </w:p>
        </w:tc>
        <w:tc>
          <w:tcPr>
            <w:tcW w:w="1248" w:type="dxa"/>
            <w:tcBorders>
              <w:top w:val="single" w:color="auto" w:sz="4" w:space="0"/>
              <w:left w:val="single" w:color="auto" w:sz="4" w:space="0"/>
              <w:bottom w:val="single" w:color="auto" w:sz="4" w:space="0"/>
              <w:right w:val="single" w:color="auto" w:sz="4" w:space="0"/>
            </w:tcBorders>
            <w:noWrap w:val="0"/>
            <w:vAlign w:val="center"/>
          </w:tcPr>
          <w:p w14:paraId="76D1B8B6">
            <w:pPr>
              <w:spacing w:line="300" w:lineRule="exact"/>
              <w:jc w:val="center"/>
              <w:rPr>
                <w:color w:val="auto"/>
                <w:szCs w:val="20"/>
                <w:highlight w:val="none"/>
              </w:rPr>
            </w:pPr>
            <w:r>
              <w:rPr>
                <w:rFonts w:hint="eastAsia"/>
                <w:color w:val="auto"/>
                <w:szCs w:val="20"/>
                <w:highlight w:val="none"/>
              </w:rPr>
              <w:t>其他事项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F3BFA42">
            <w:pPr>
              <w:spacing w:line="276" w:lineRule="auto"/>
              <w:rPr>
                <w:rFonts w:hint="eastAsia"/>
                <w:color w:val="auto"/>
                <w:szCs w:val="21"/>
                <w:highlight w:val="none"/>
              </w:rPr>
            </w:pPr>
            <w:r>
              <w:rPr>
                <w:rFonts w:hint="eastAsia"/>
                <w:color w:val="auto"/>
                <w:szCs w:val="21"/>
                <w:highlight w:val="none"/>
              </w:rPr>
              <w:t>构成本采购文件的各个组成文件应互为解释，互为说明：</w:t>
            </w:r>
          </w:p>
          <w:p w14:paraId="4837DF15">
            <w:pPr>
              <w:spacing w:line="276" w:lineRule="auto"/>
              <w:rPr>
                <w:color w:val="auto"/>
                <w:sz w:val="24"/>
                <w:highlight w:val="none"/>
              </w:rPr>
            </w:pPr>
            <w:r>
              <w:rPr>
                <w:rFonts w:hint="eastAsia"/>
                <w:color w:val="auto"/>
                <w:szCs w:val="21"/>
                <w:highlight w:val="none"/>
              </w:rPr>
              <w:t>除采购文件中有特别规定外，仅适用于招标投标阶段的规定，按更正公告（澄清公告）、磋商公告、采购需求、供应商须知、评审方法及标准、合同条款格式、响应文件格式的先后顺序解释；同一组成文件中就同一事项的规定或者约定不一致的，以编排顺序在后者为准；同一组成文件不同版本之间有不一致的，以形成时间在后者为准；更正公告（澄清公告）与同步更新的采购文件不一致时以更正公告（澄清公告）为准。按本款前述规定仍不能形成结论的，由采购人或者采购代理机构负责解释。</w:t>
            </w:r>
          </w:p>
        </w:tc>
      </w:tr>
    </w:tbl>
    <w:p w14:paraId="5DB0E95E">
      <w:pPr>
        <w:rPr>
          <w:rFonts w:hint="eastAsia"/>
          <w:color w:val="auto"/>
          <w:highlight w:val="none"/>
        </w:rPr>
      </w:pPr>
    </w:p>
    <w:bookmarkEnd w:id="18"/>
    <w:p w14:paraId="13A68B55">
      <w:pPr>
        <w:spacing w:before="120" w:line="320" w:lineRule="atLeast"/>
        <w:outlineLvl w:val="1"/>
        <w:rPr>
          <w:b/>
          <w:bCs/>
          <w:color w:val="auto"/>
          <w:kern w:val="0"/>
          <w:szCs w:val="21"/>
          <w:highlight w:val="none"/>
        </w:rPr>
      </w:pPr>
      <w:r>
        <w:rPr>
          <w:color w:val="auto"/>
          <w:szCs w:val="21"/>
          <w:highlight w:val="none"/>
        </w:rPr>
        <w:br w:type="page"/>
      </w:r>
      <w:r>
        <w:rPr>
          <w:b/>
          <w:bCs/>
          <w:color w:val="auto"/>
          <w:kern w:val="0"/>
          <w:szCs w:val="21"/>
          <w:highlight w:val="none"/>
        </w:rPr>
        <w:t>1．总则</w:t>
      </w:r>
    </w:p>
    <w:p w14:paraId="363396E1">
      <w:pPr>
        <w:spacing w:before="120" w:line="320" w:lineRule="atLeast"/>
        <w:ind w:firstLine="422" w:firstLineChars="200"/>
        <w:outlineLvl w:val="2"/>
        <w:rPr>
          <w:b/>
          <w:bCs/>
          <w:color w:val="auto"/>
          <w:kern w:val="0"/>
          <w:szCs w:val="21"/>
          <w:highlight w:val="none"/>
        </w:rPr>
      </w:pPr>
      <w:bookmarkStart w:id="20" w:name="_Toc254970668"/>
      <w:bookmarkStart w:id="21" w:name="_Toc254970527"/>
      <w:r>
        <w:rPr>
          <w:b/>
          <w:bCs/>
          <w:color w:val="auto"/>
          <w:kern w:val="0"/>
          <w:szCs w:val="21"/>
          <w:highlight w:val="none"/>
        </w:rPr>
        <w:t>1.1适用范围</w:t>
      </w:r>
      <w:bookmarkEnd w:id="20"/>
      <w:bookmarkEnd w:id="21"/>
    </w:p>
    <w:p w14:paraId="469B14B4">
      <w:pPr>
        <w:spacing w:before="120" w:line="320" w:lineRule="atLeast"/>
        <w:ind w:firstLine="420" w:firstLineChars="200"/>
        <w:rPr>
          <w:color w:val="auto"/>
          <w:szCs w:val="21"/>
          <w:highlight w:val="none"/>
        </w:rPr>
      </w:pPr>
      <w:r>
        <w:rPr>
          <w:color w:val="auto"/>
          <w:szCs w:val="21"/>
          <w:highlight w:val="none"/>
        </w:rPr>
        <w:t>本采购文件适用于供应商须知前附表所述项目的</w:t>
      </w:r>
      <w:r>
        <w:rPr>
          <w:rFonts w:hint="eastAsia"/>
          <w:color w:val="auto"/>
          <w:szCs w:val="21"/>
          <w:highlight w:val="none"/>
        </w:rPr>
        <w:t>政府采购活动。</w:t>
      </w:r>
    </w:p>
    <w:p w14:paraId="247612B5">
      <w:pPr>
        <w:spacing w:before="120" w:line="320" w:lineRule="atLeast"/>
        <w:ind w:firstLine="422" w:firstLineChars="200"/>
        <w:outlineLvl w:val="2"/>
        <w:rPr>
          <w:b/>
          <w:bCs/>
          <w:color w:val="auto"/>
          <w:kern w:val="0"/>
          <w:szCs w:val="21"/>
          <w:highlight w:val="none"/>
        </w:rPr>
      </w:pPr>
      <w:bookmarkStart w:id="22" w:name="_Toc254970669"/>
      <w:bookmarkStart w:id="23" w:name="_Toc254970528"/>
      <w:r>
        <w:rPr>
          <w:b/>
          <w:bCs/>
          <w:color w:val="auto"/>
          <w:kern w:val="0"/>
          <w:szCs w:val="21"/>
          <w:highlight w:val="none"/>
        </w:rPr>
        <w:t>1.2定义</w:t>
      </w:r>
      <w:bookmarkEnd w:id="22"/>
      <w:bookmarkEnd w:id="23"/>
    </w:p>
    <w:p w14:paraId="6F5C97C3">
      <w:pPr>
        <w:spacing w:before="120" w:line="320" w:lineRule="atLeast"/>
        <w:ind w:firstLine="420" w:firstLineChars="200"/>
        <w:rPr>
          <w:color w:val="auto"/>
          <w:szCs w:val="21"/>
          <w:highlight w:val="none"/>
        </w:rPr>
      </w:pPr>
      <w:r>
        <w:rPr>
          <w:color w:val="auto"/>
          <w:szCs w:val="21"/>
          <w:highlight w:val="none"/>
        </w:rPr>
        <w:t>1.2.1“采购人”系指依法进行政府采购的国家机关、事业单位、团体组织。</w:t>
      </w:r>
    </w:p>
    <w:p w14:paraId="6C6E219A">
      <w:pPr>
        <w:spacing w:before="120" w:line="320" w:lineRule="atLeast"/>
        <w:ind w:firstLine="420" w:firstLineChars="200"/>
        <w:rPr>
          <w:color w:val="auto"/>
          <w:szCs w:val="21"/>
          <w:highlight w:val="none"/>
        </w:rPr>
      </w:pPr>
      <w:r>
        <w:rPr>
          <w:color w:val="auto"/>
          <w:szCs w:val="21"/>
          <w:highlight w:val="none"/>
        </w:rPr>
        <w:t>1.2.2“供应商”系</w:t>
      </w:r>
      <w:r>
        <w:rPr>
          <w:color w:val="auto"/>
          <w:highlight w:val="none"/>
        </w:rPr>
        <w:t>指响应招标、参加投标竞争的法人、其他组织或者自然人</w:t>
      </w:r>
      <w:r>
        <w:rPr>
          <w:color w:val="auto"/>
          <w:szCs w:val="21"/>
          <w:highlight w:val="none"/>
        </w:rPr>
        <w:t>。</w:t>
      </w:r>
    </w:p>
    <w:p w14:paraId="3349429D">
      <w:pPr>
        <w:spacing w:before="120" w:line="360" w:lineRule="auto"/>
        <w:ind w:firstLine="420" w:firstLineChars="200"/>
        <w:rPr>
          <w:rFonts w:hint="eastAsia"/>
          <w:color w:val="auto"/>
          <w:highlight w:val="none"/>
        </w:rPr>
      </w:pPr>
      <w:r>
        <w:rPr>
          <w:rFonts w:hint="eastAsia"/>
          <w:color w:val="auto"/>
          <w:highlight w:val="none"/>
        </w:rPr>
        <w:t>1.2.3</w:t>
      </w:r>
      <w:r>
        <w:rPr>
          <w:color w:val="auto"/>
          <w:highlight w:val="none"/>
        </w:rPr>
        <w:t>本</w:t>
      </w:r>
      <w:r>
        <w:rPr>
          <w:rFonts w:hint="eastAsia"/>
          <w:color w:val="auto"/>
          <w:highlight w:val="none"/>
        </w:rPr>
        <w:t>文件</w:t>
      </w:r>
      <w:r>
        <w:rPr>
          <w:color w:val="auto"/>
          <w:highlight w:val="none"/>
        </w:rPr>
        <w:t>中的</w:t>
      </w:r>
      <w:r>
        <w:rPr>
          <w:rFonts w:hint="eastAsia"/>
          <w:color w:val="auto"/>
          <w:highlight w:val="none"/>
        </w:rPr>
        <w:t>“法定代表人”若无特别说明，当</w:t>
      </w:r>
      <w:r>
        <w:rPr>
          <w:color w:val="auto"/>
          <w:highlight w:val="none"/>
        </w:rPr>
        <w:t>供应商是</w:t>
      </w:r>
      <w:r>
        <w:rPr>
          <w:rFonts w:hint="eastAsia"/>
          <w:color w:val="auto"/>
          <w:highlight w:val="none"/>
        </w:rPr>
        <w:t>企业的，是指企业法人营业执照上的法定代表人；当</w:t>
      </w:r>
      <w:r>
        <w:rPr>
          <w:color w:val="auto"/>
          <w:highlight w:val="none"/>
        </w:rPr>
        <w:t>供应商是</w:t>
      </w:r>
      <w:r>
        <w:rPr>
          <w:rFonts w:hint="eastAsia"/>
          <w:color w:val="auto"/>
          <w:highlight w:val="none"/>
        </w:rPr>
        <w:t>事业单位的，是指事业单位法人证书上的法定代表人；当</w:t>
      </w:r>
      <w:r>
        <w:rPr>
          <w:color w:val="auto"/>
          <w:highlight w:val="none"/>
        </w:rPr>
        <w:t>供应商是</w:t>
      </w:r>
      <w:r>
        <w:rPr>
          <w:rFonts w:hint="eastAsia"/>
          <w:color w:val="auto"/>
          <w:highlight w:val="none"/>
        </w:rPr>
        <w:t>社会团体、民办非企业的，是指法人登记证书中的法定代表人；当</w:t>
      </w:r>
      <w:r>
        <w:rPr>
          <w:color w:val="auto"/>
          <w:highlight w:val="none"/>
        </w:rPr>
        <w:t>供应商是</w:t>
      </w:r>
      <w:r>
        <w:rPr>
          <w:rFonts w:hint="eastAsia"/>
          <w:color w:val="auto"/>
          <w:highlight w:val="none"/>
        </w:rPr>
        <w:t>个体工商户的，是指个体工商户营业执照上的经营者；</w:t>
      </w:r>
      <w:r>
        <w:rPr>
          <w:color w:val="auto"/>
          <w:highlight w:val="none"/>
        </w:rPr>
        <w:t>当供应商是自然人</w:t>
      </w:r>
      <w:r>
        <w:rPr>
          <w:rFonts w:hint="eastAsia"/>
          <w:color w:val="auto"/>
          <w:highlight w:val="none"/>
        </w:rPr>
        <w:t>的，是指参与本项目响应的自然人本人。</w:t>
      </w:r>
      <w:r>
        <w:rPr>
          <w:color w:val="auto"/>
          <w:highlight w:val="none"/>
        </w:rPr>
        <w:br w:type="textWrapping"/>
      </w:r>
      <w:r>
        <w:rPr>
          <w:color w:val="auto"/>
          <w:highlight w:val="none"/>
        </w:rPr>
        <w:t xml:space="preserve">    </w:t>
      </w:r>
      <w:r>
        <w:rPr>
          <w:rFonts w:hint="eastAsia"/>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449D091A">
      <w:pPr>
        <w:widowControl/>
        <w:spacing w:line="360" w:lineRule="auto"/>
        <w:ind w:firstLine="420" w:firstLineChars="200"/>
        <w:jc w:val="left"/>
        <w:rPr>
          <w:color w:val="auto"/>
          <w:szCs w:val="21"/>
          <w:highlight w:val="none"/>
        </w:rPr>
      </w:pPr>
      <w:r>
        <w:rPr>
          <w:color w:val="auto"/>
          <w:szCs w:val="21"/>
          <w:highlight w:val="none"/>
        </w:rPr>
        <w:t>1.2.</w:t>
      </w:r>
      <w:r>
        <w:rPr>
          <w:rFonts w:hint="eastAsia"/>
          <w:color w:val="auto"/>
          <w:szCs w:val="21"/>
          <w:highlight w:val="none"/>
        </w:rPr>
        <w:t>5</w:t>
      </w:r>
      <w:r>
        <w:rPr>
          <w:color w:val="auto"/>
          <w:szCs w:val="21"/>
          <w:highlight w:val="none"/>
        </w:rPr>
        <w:t>“书面形式”如无特殊规定，</w:t>
      </w:r>
      <w:r>
        <w:rPr>
          <w:rFonts w:hint="eastAsia"/>
          <w:color w:val="auto"/>
          <w:szCs w:val="21"/>
          <w:highlight w:val="none"/>
        </w:rPr>
        <w:t>书面形式是合同书、信件、电报、电传等可以有形地表现所载内容的形式。以电子数据交换、电子邮件等方式能够有形地表现所载内容，并可以随时调取查用的数据电文，视为书面形式。</w:t>
      </w:r>
      <w:r>
        <w:rPr>
          <w:color w:val="auto"/>
          <w:szCs w:val="21"/>
          <w:highlight w:val="none"/>
        </w:rPr>
        <w:t xml:space="preserve">采购文件如有特殊规定，以采购文件规定为准。 </w:t>
      </w:r>
    </w:p>
    <w:p w14:paraId="4078653F">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6本项目的技术商务要求重要性分为“▲”（如有）、“#”（如有）和一般无标识指标。▲代表实质性要求指标，</w:t>
      </w:r>
      <w:r>
        <w:rPr>
          <w:rFonts w:hint="eastAsia"/>
          <w:b/>
          <w:bCs/>
          <w:color w:val="auto"/>
          <w:szCs w:val="21"/>
          <w:highlight w:val="none"/>
        </w:rPr>
        <w:t>不满足该指标项将导致响应被否决</w:t>
      </w:r>
      <w:r>
        <w:rPr>
          <w:rFonts w:hint="eastAsia"/>
          <w:color w:val="auto"/>
          <w:szCs w:val="21"/>
          <w:highlight w:val="none"/>
        </w:rPr>
        <w:t>，#代表重要指标，无标识则表示一般指标项。</w:t>
      </w:r>
    </w:p>
    <w:p w14:paraId="2A7BCF21">
      <w:pPr>
        <w:spacing w:before="120" w:line="320" w:lineRule="atLeast"/>
        <w:ind w:firstLine="420" w:firstLineChars="200"/>
        <w:rPr>
          <w:color w:val="auto"/>
          <w:szCs w:val="21"/>
          <w:highlight w:val="none"/>
        </w:rPr>
      </w:pPr>
      <w:r>
        <w:rPr>
          <w:color w:val="auto"/>
          <w:szCs w:val="21"/>
          <w:highlight w:val="none"/>
        </w:rPr>
        <w:t>1.2.</w:t>
      </w:r>
      <w:r>
        <w:rPr>
          <w:rFonts w:hint="eastAsia"/>
          <w:color w:val="auto"/>
          <w:szCs w:val="21"/>
          <w:highlight w:val="none"/>
        </w:rPr>
        <w:t>7 本</w:t>
      </w:r>
      <w:r>
        <w:rPr>
          <w:color w:val="auto"/>
          <w:szCs w:val="21"/>
          <w:highlight w:val="none"/>
        </w:rPr>
        <w:t>采购文件</w:t>
      </w:r>
      <w:r>
        <w:rPr>
          <w:rFonts w:hint="eastAsia"/>
          <w:color w:val="auto"/>
          <w:szCs w:val="21"/>
          <w:highlight w:val="none"/>
        </w:rPr>
        <w:t>出现多种选项的条款，以“</w:t>
      </w:r>
      <w:r>
        <w:rPr>
          <w:color w:val="auto"/>
          <w:highlight w:val="none"/>
        </w:rPr>
        <w:sym w:font="Wingdings 2" w:char="F052"/>
      </w:r>
      <w:r>
        <w:rPr>
          <w:rFonts w:hint="eastAsia"/>
          <w:color w:val="auto"/>
          <w:szCs w:val="21"/>
          <w:highlight w:val="none"/>
        </w:rPr>
        <w:t>”表示本条款所选择的方式。</w:t>
      </w:r>
    </w:p>
    <w:p w14:paraId="7BDA433B">
      <w:pPr>
        <w:spacing w:before="120" w:line="320" w:lineRule="atLeast"/>
        <w:ind w:firstLine="420" w:firstLineChars="200"/>
        <w:rPr>
          <w:rFonts w:hint="eastAsia"/>
          <w:color w:val="auto"/>
          <w:szCs w:val="21"/>
          <w:highlight w:val="none"/>
        </w:rPr>
      </w:pPr>
      <w:r>
        <w:rPr>
          <w:rFonts w:hint="eastAsia"/>
          <w:color w:val="auto"/>
          <w:szCs w:val="21"/>
          <w:highlight w:val="none"/>
        </w:rPr>
        <w:t>1.</w:t>
      </w:r>
      <w:r>
        <w:rPr>
          <w:color w:val="auto"/>
          <w:szCs w:val="21"/>
          <w:highlight w:val="none"/>
        </w:rPr>
        <w:t>2</w:t>
      </w:r>
      <w:r>
        <w:rPr>
          <w:rFonts w:hint="eastAsia"/>
          <w:color w:val="auto"/>
          <w:szCs w:val="21"/>
          <w:highlight w:val="none"/>
        </w:rPr>
        <w:t>.</w:t>
      </w:r>
      <w:r>
        <w:rPr>
          <w:color w:val="auto"/>
          <w:szCs w:val="21"/>
          <w:highlight w:val="none"/>
        </w:rPr>
        <w:t>8 “</w:t>
      </w:r>
      <w:r>
        <w:rPr>
          <w:rFonts w:hint="eastAsia"/>
          <w:color w:val="auto"/>
          <w:szCs w:val="21"/>
          <w:highlight w:val="none"/>
        </w:rPr>
        <w:t>电子交易平台</w:t>
      </w:r>
      <w:r>
        <w:rPr>
          <w:color w:val="auto"/>
          <w:szCs w:val="21"/>
          <w:highlight w:val="none"/>
        </w:rPr>
        <w:t>”</w:t>
      </w:r>
      <w:r>
        <w:rPr>
          <w:rFonts w:hint="eastAsia"/>
          <w:color w:val="auto"/>
          <w:szCs w:val="21"/>
          <w:highlight w:val="none"/>
        </w:rPr>
        <w:t>是指以数据电文形式在线完成采购活动的信息平台，本采购文件中也称</w:t>
      </w:r>
      <w:r>
        <w:rPr>
          <w:color w:val="auto"/>
          <w:szCs w:val="21"/>
          <w:highlight w:val="none"/>
        </w:rPr>
        <w:t>“</w:t>
      </w:r>
      <w:r>
        <w:rPr>
          <w:rFonts w:hint="eastAsia"/>
          <w:color w:val="auto"/>
          <w:szCs w:val="21"/>
          <w:highlight w:val="none"/>
        </w:rPr>
        <w:t>广西政府采购云平台</w:t>
      </w:r>
      <w:r>
        <w:rPr>
          <w:color w:val="auto"/>
          <w:szCs w:val="21"/>
          <w:highlight w:val="none"/>
        </w:rPr>
        <w:t>”</w:t>
      </w:r>
      <w:r>
        <w:rPr>
          <w:rFonts w:hint="eastAsia"/>
          <w:color w:val="auto"/>
          <w:szCs w:val="21"/>
          <w:highlight w:val="none"/>
        </w:rPr>
        <w:t>。</w:t>
      </w:r>
    </w:p>
    <w:p w14:paraId="0050B80B">
      <w:pP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.3</w:t>
      </w:r>
      <w:r>
        <w:rPr>
          <w:rFonts w:hint="eastAsia"/>
          <w:b/>
          <w:bCs/>
          <w:color w:val="auto"/>
          <w:kern w:val="0"/>
          <w:szCs w:val="21"/>
          <w:highlight w:val="none"/>
        </w:rPr>
        <w:t>项目信息</w:t>
      </w:r>
    </w:p>
    <w:p w14:paraId="04D67852">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.3.1</w:t>
      </w:r>
      <w:r>
        <w:rPr>
          <w:rFonts w:hint="eastAsia"/>
          <w:color w:val="auto"/>
          <w:szCs w:val="21"/>
          <w:highlight w:val="none"/>
        </w:rPr>
        <w:t>项目名称及编号：详见供应商须知前附表</w:t>
      </w:r>
    </w:p>
    <w:p w14:paraId="2AB96E2A">
      <w:pPr>
        <w:spacing w:before="120" w:line="320" w:lineRule="atLeast"/>
        <w:ind w:firstLine="420" w:firstLineChars="200"/>
        <w:rPr>
          <w:color w:val="auto"/>
          <w:szCs w:val="21"/>
          <w:highlight w:val="none"/>
        </w:rPr>
      </w:pPr>
      <w:r>
        <w:rPr>
          <w:rFonts w:hint="eastAsia"/>
          <w:color w:val="auto"/>
          <w:szCs w:val="21"/>
          <w:highlight w:val="none"/>
        </w:rPr>
        <w:t>1</w:t>
      </w:r>
      <w:r>
        <w:rPr>
          <w:color w:val="auto"/>
          <w:szCs w:val="21"/>
          <w:highlight w:val="none"/>
        </w:rPr>
        <w:t>.3.2</w:t>
      </w:r>
      <w:r>
        <w:rPr>
          <w:rFonts w:hint="eastAsia"/>
          <w:color w:val="auto"/>
          <w:szCs w:val="21"/>
          <w:highlight w:val="none"/>
        </w:rPr>
        <w:t>采购方式：详见供应商须知前附表</w:t>
      </w:r>
    </w:p>
    <w:p w14:paraId="7E36583D">
      <w:pPr>
        <w:spacing w:before="120" w:line="320" w:lineRule="atLeast"/>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.4</w:t>
      </w:r>
      <w:r>
        <w:rPr>
          <w:rFonts w:hint="eastAsia"/>
          <w:b/>
          <w:bCs/>
          <w:color w:val="auto"/>
          <w:kern w:val="0"/>
          <w:szCs w:val="21"/>
          <w:highlight w:val="none"/>
        </w:rPr>
        <w:t>促进中小企业发展政策</w:t>
      </w:r>
    </w:p>
    <w:p w14:paraId="306D2870">
      <w:pPr>
        <w:spacing w:before="120" w:line="320" w:lineRule="atLeast"/>
        <w:ind w:left="2" w:leftChars="1" w:firstLine="420" w:firstLineChars="200"/>
        <w:rPr>
          <w:color w:val="auto"/>
          <w:szCs w:val="21"/>
          <w:highlight w:val="none"/>
        </w:rPr>
      </w:pPr>
      <w:r>
        <w:rPr>
          <w:color w:val="auto"/>
          <w:szCs w:val="21"/>
          <w:highlight w:val="none"/>
        </w:rPr>
        <w:t>1.4.1</w:t>
      </w:r>
      <w:r>
        <w:rPr>
          <w:rFonts w:hint="eastAsia"/>
          <w:color w:val="auto"/>
          <w:szCs w:val="21"/>
          <w:highlight w:val="none"/>
        </w:rPr>
        <w:t>本项目落实促进中小企业发展政策措施在前附表规定。依据促进中小企业发展政策获得政府采购合同的，小微企业不得将合同分包给大中型企业，中型企业不得将合同分包给大型企业。</w:t>
      </w:r>
    </w:p>
    <w:p w14:paraId="2AA89483">
      <w:pPr>
        <w:spacing w:before="120" w:line="320" w:lineRule="atLeast"/>
        <w:ind w:left="2" w:leftChars="1" w:firstLine="420" w:firstLineChars="200"/>
        <w:rPr>
          <w:color w:val="auto"/>
          <w:szCs w:val="21"/>
          <w:highlight w:val="none"/>
        </w:rPr>
      </w:pPr>
      <w:bookmarkStart w:id="24" w:name="_Hlk92205820"/>
      <w:r>
        <w:rPr>
          <w:rFonts w:hint="eastAsia"/>
          <w:color w:val="auto"/>
          <w:szCs w:val="21"/>
          <w:highlight w:val="none"/>
        </w:rPr>
        <w:t>根 据《政府采购促进中小企业发展管理办法》（财库</w:t>
      </w:r>
      <w:r>
        <w:rPr>
          <w:rFonts w:hint="eastAsia"/>
          <w:color w:val="auto"/>
          <w:szCs w:val="21"/>
          <w:highlight w:val="none"/>
          <w:lang w:eastAsia="zh-CN"/>
        </w:rPr>
        <w:t>〔2020〕46号</w:t>
      </w:r>
      <w:r>
        <w:rPr>
          <w:rFonts w:hint="eastAsia"/>
          <w:color w:val="auto"/>
          <w:szCs w:val="21"/>
          <w:highlight w:val="none"/>
        </w:rPr>
        <w:t>）第九条以及《广西壮族自治区财政厅 广西壮族自治区工业和信息化厅转发财政部 工业和信息化部政府采购促进中小企业发展管理办法的通知》（桂财采</w:t>
      </w:r>
      <w:r>
        <w:rPr>
          <w:rFonts w:hint="eastAsia"/>
          <w:color w:val="auto"/>
          <w:szCs w:val="21"/>
          <w:highlight w:val="none"/>
          <w:lang w:eastAsia="zh-CN"/>
        </w:rPr>
        <w:t>〔2021〕70号</w:t>
      </w:r>
      <w:r>
        <w:rPr>
          <w:rFonts w:hint="eastAsia"/>
          <w:color w:val="auto"/>
          <w:szCs w:val="21"/>
          <w:highlight w:val="none"/>
        </w:rPr>
        <w:t>）规定，价格扣除比例在第四章评审方法及标准中规定，对小型企业和微型企业同等对待，不作区分。</w:t>
      </w:r>
    </w:p>
    <w:p w14:paraId="37B6E089">
      <w:pPr>
        <w:spacing w:before="120" w:line="320" w:lineRule="atLeast"/>
        <w:ind w:left="2" w:leftChars="1" w:firstLine="420" w:firstLineChars="200"/>
        <w:rPr>
          <w:color w:val="auto"/>
          <w:szCs w:val="21"/>
          <w:highlight w:val="none"/>
        </w:rPr>
      </w:pPr>
      <w:r>
        <w:rPr>
          <w:color w:val="auto"/>
          <w:szCs w:val="21"/>
          <w:highlight w:val="none"/>
        </w:rPr>
        <w:t>1.4.2</w:t>
      </w:r>
      <w:r>
        <w:rPr>
          <w:rFonts w:hint="eastAsia"/>
          <w:color w:val="auto"/>
          <w:szCs w:val="21"/>
          <w:highlight w:val="none"/>
        </w:rPr>
        <w:t>中小企业定义</w:t>
      </w:r>
    </w:p>
    <w:p w14:paraId="62EB9ECA">
      <w:pPr>
        <w:spacing w:before="120" w:line="320" w:lineRule="atLeast"/>
        <w:ind w:firstLine="420" w:firstLineChars="200"/>
        <w:rPr>
          <w:color w:val="auto"/>
          <w:szCs w:val="21"/>
          <w:highlight w:val="none"/>
        </w:rPr>
      </w:pPr>
      <w:r>
        <w:rPr>
          <w:color w:val="auto"/>
          <w:szCs w:val="21"/>
          <w:highlight w:val="none"/>
        </w:rPr>
        <w:t>1.4.2.1</w:t>
      </w:r>
      <w:r>
        <w:rPr>
          <w:rFonts w:hint="eastAsia"/>
          <w:color w:val="auto"/>
          <w:szCs w:val="21"/>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3E8BB21F">
      <w:pPr>
        <w:spacing w:before="120" w:line="320" w:lineRule="atLeast"/>
        <w:ind w:left="2" w:leftChars="1" w:firstLine="420" w:firstLineChars="200"/>
        <w:rPr>
          <w:color w:val="auto"/>
          <w:szCs w:val="21"/>
          <w:highlight w:val="none"/>
        </w:rPr>
      </w:pPr>
      <w:r>
        <w:rPr>
          <w:color w:val="auto"/>
          <w:szCs w:val="21"/>
          <w:highlight w:val="none"/>
        </w:rPr>
        <w:t>1.4.2.2</w:t>
      </w:r>
      <w:r>
        <w:rPr>
          <w:rFonts w:hint="eastAsia"/>
          <w:color w:val="auto"/>
          <w:szCs w:val="21"/>
          <w:highlight w:val="none"/>
        </w:rPr>
        <w:t>供应商提供的货物、工程或者服务符合下列情形的，享受本款规定的促进中小企业发展政策：</w:t>
      </w:r>
    </w:p>
    <w:p w14:paraId="0735FD85">
      <w:pPr>
        <w:spacing w:before="120" w:line="320" w:lineRule="atLeast"/>
        <w:ind w:left="2" w:leftChars="1" w:firstLine="420" w:firstLineChars="200"/>
        <w:rPr>
          <w:color w:val="auto"/>
          <w:szCs w:val="21"/>
          <w:highlight w:val="none"/>
        </w:rPr>
      </w:pPr>
      <w:r>
        <w:rPr>
          <w:rFonts w:hint="eastAsia"/>
          <w:color w:val="auto"/>
          <w:szCs w:val="21"/>
          <w:highlight w:val="none"/>
        </w:rPr>
        <w:t>在货物采购项目中，货物由中小企业制造，即货物由中小企业生产且使用该中小企业商号或者注册商标；</w:t>
      </w:r>
    </w:p>
    <w:p w14:paraId="0BA1C6D3">
      <w:pPr>
        <w:spacing w:before="120" w:line="320" w:lineRule="atLeast"/>
        <w:ind w:left="2" w:leftChars="1" w:firstLine="420" w:firstLineChars="200"/>
        <w:rPr>
          <w:color w:val="auto"/>
          <w:szCs w:val="21"/>
          <w:highlight w:val="none"/>
        </w:rPr>
      </w:pPr>
      <w:r>
        <w:rPr>
          <w:rFonts w:hint="eastAsia"/>
          <w:color w:val="auto"/>
          <w:szCs w:val="21"/>
          <w:highlight w:val="none"/>
        </w:rPr>
        <w:t>在工程采购项目中，工程由中小企业承建，即工程施工单位为中小企业；</w:t>
      </w:r>
    </w:p>
    <w:p w14:paraId="73401496">
      <w:pPr>
        <w:spacing w:before="120" w:line="320" w:lineRule="atLeast"/>
        <w:ind w:left="2" w:leftChars="1" w:firstLine="420" w:firstLineChars="200"/>
        <w:rPr>
          <w:color w:val="auto"/>
          <w:szCs w:val="21"/>
          <w:highlight w:val="none"/>
        </w:rPr>
      </w:pPr>
      <w:r>
        <w:rPr>
          <w:rFonts w:hint="eastAsia"/>
          <w:color w:val="auto"/>
          <w:szCs w:val="21"/>
          <w:highlight w:val="none"/>
        </w:rPr>
        <w:t>在服务采购项目中，服务由中小企业承接，即提供服务的人员为中小企业依照《中华人民共和国劳动合同法》订立劳动合同的从业人员。</w:t>
      </w:r>
    </w:p>
    <w:p w14:paraId="4528605F">
      <w:pPr>
        <w:spacing w:before="120" w:line="320" w:lineRule="atLeast"/>
        <w:ind w:left="2" w:leftChars="1" w:firstLine="420" w:firstLineChars="200"/>
        <w:rPr>
          <w:color w:val="auto"/>
          <w:szCs w:val="21"/>
          <w:highlight w:val="none"/>
        </w:rPr>
      </w:pPr>
      <w:r>
        <w:rPr>
          <w:rFonts w:hint="eastAsia"/>
          <w:color w:val="auto"/>
          <w:szCs w:val="21"/>
          <w:highlight w:val="none"/>
        </w:rPr>
        <w:t>在货物采购项目中，供应商提供的货物既有中小企业制造货物，也有大型企业制造货物的，不享受本款规定的促进中小企业发展政策。</w:t>
      </w:r>
    </w:p>
    <w:p w14:paraId="70388119">
      <w:pPr>
        <w:spacing w:before="120" w:line="320" w:lineRule="atLeast"/>
        <w:ind w:firstLine="420" w:firstLineChars="200"/>
        <w:rPr>
          <w:color w:val="auto"/>
          <w:szCs w:val="21"/>
          <w:highlight w:val="none"/>
        </w:rPr>
      </w:pPr>
      <w:r>
        <w:rPr>
          <w:color w:val="auto"/>
          <w:szCs w:val="21"/>
          <w:highlight w:val="none"/>
        </w:rPr>
        <w:t>1.4.2</w:t>
      </w:r>
      <w:r>
        <w:rPr>
          <w:rFonts w:hint="eastAsia"/>
          <w:color w:val="auto"/>
          <w:szCs w:val="21"/>
          <w:highlight w:val="none"/>
        </w:rPr>
        <w:t>.</w:t>
      </w:r>
      <w:r>
        <w:rPr>
          <w:color w:val="auto"/>
          <w:szCs w:val="21"/>
          <w:highlight w:val="none"/>
        </w:rPr>
        <w:t>3</w:t>
      </w:r>
      <w:r>
        <w:rPr>
          <w:rFonts w:hint="eastAsia"/>
          <w:color w:val="auto"/>
          <w:szCs w:val="21"/>
          <w:highlight w:val="none"/>
        </w:rPr>
        <w:t>本项目标的所属行业在第二章采购需求中规定。供应商根据中小企业划分标准（《关于印发中小企业划型标准规定的通知》（工信部联企业〔2011〕300号）判断是否为中小企业。（见附件）</w:t>
      </w:r>
    </w:p>
    <w:p w14:paraId="2F6597A9">
      <w:pPr>
        <w:spacing w:before="120" w:line="320" w:lineRule="atLeast"/>
        <w:ind w:firstLine="420" w:firstLineChars="200"/>
        <w:rPr>
          <w:color w:val="auto"/>
          <w:szCs w:val="21"/>
          <w:highlight w:val="none"/>
        </w:rPr>
      </w:pPr>
      <w:r>
        <w:rPr>
          <w:rFonts w:hint="eastAsia"/>
          <w:color w:val="auto"/>
          <w:szCs w:val="21"/>
          <w:highlight w:val="none"/>
        </w:rPr>
        <w:t>符合条件的货物制造商、工程施工单位、服务承接单位为中小企业的，应按采购文件规定在响应文件中提供声明函。</w:t>
      </w:r>
    </w:p>
    <w:p w14:paraId="549D45C5">
      <w:pPr>
        <w:spacing w:before="120" w:line="320" w:lineRule="atLeast"/>
        <w:ind w:firstLine="420" w:firstLineChars="200"/>
        <w:rPr>
          <w:color w:val="auto"/>
          <w:szCs w:val="21"/>
          <w:highlight w:val="none"/>
        </w:rPr>
      </w:pPr>
      <w:r>
        <w:rPr>
          <w:color w:val="auto"/>
          <w:szCs w:val="21"/>
          <w:highlight w:val="none"/>
        </w:rPr>
        <w:t>1.4</w:t>
      </w:r>
      <w:r>
        <w:rPr>
          <w:rFonts w:hint="eastAsia"/>
          <w:color w:val="auto"/>
          <w:szCs w:val="21"/>
          <w:highlight w:val="none"/>
        </w:rPr>
        <w:t>.</w:t>
      </w:r>
      <w:r>
        <w:rPr>
          <w:color w:val="auto"/>
          <w:szCs w:val="21"/>
          <w:highlight w:val="none"/>
        </w:rPr>
        <w:t>2</w:t>
      </w:r>
      <w:r>
        <w:rPr>
          <w:rFonts w:hint="eastAsia"/>
          <w:color w:val="auto"/>
          <w:szCs w:val="21"/>
          <w:highlight w:val="none"/>
        </w:rPr>
        <w:t>.</w:t>
      </w:r>
      <w:r>
        <w:rPr>
          <w:color w:val="auto"/>
          <w:szCs w:val="21"/>
          <w:highlight w:val="none"/>
        </w:rPr>
        <w:t>4</w:t>
      </w:r>
      <w:r>
        <w:rPr>
          <w:rFonts w:hint="eastAsia"/>
          <w:color w:val="auto"/>
          <w:szCs w:val="21"/>
          <w:highlight w:val="none"/>
        </w:rPr>
        <w:t>视同中小企业情形</w:t>
      </w:r>
    </w:p>
    <w:p w14:paraId="2023E049">
      <w:pPr>
        <w:spacing w:before="120" w:line="320" w:lineRule="atLeast"/>
        <w:ind w:firstLine="420" w:firstLineChars="200"/>
        <w:rPr>
          <w:color w:val="auto"/>
          <w:szCs w:val="21"/>
          <w:highlight w:val="none"/>
        </w:rPr>
      </w:pPr>
      <w:r>
        <w:rPr>
          <w:rFonts w:hint="eastAsia"/>
          <w:color w:val="auto"/>
          <w:szCs w:val="21"/>
          <w:highlight w:val="none"/>
        </w:rPr>
        <w:t>（1）符合中小企业划分标准的个体工商户，视同中小企业。</w:t>
      </w:r>
    </w:p>
    <w:p w14:paraId="7DB83FA3">
      <w:pPr>
        <w:spacing w:before="120" w:line="320" w:lineRule="atLeast"/>
        <w:ind w:firstLine="420" w:firstLineChars="200"/>
        <w:rPr>
          <w:color w:val="auto"/>
          <w:szCs w:val="21"/>
          <w:highlight w:val="none"/>
        </w:rPr>
      </w:pPr>
      <w:r>
        <w:rPr>
          <w:rFonts w:hint="eastAsia"/>
          <w:color w:val="auto"/>
          <w:szCs w:val="21"/>
          <w:highlight w:val="none"/>
        </w:rPr>
        <w:t>（2）以联合体形式参加政府采购活动，联合体各方均为中小企业的，联合体视同中小企业。其中，联合体各方均为小微企业的，联合体视同小微企业。</w:t>
      </w:r>
    </w:p>
    <w:p w14:paraId="11A6C146">
      <w:pPr>
        <w:spacing w:before="120" w:line="320" w:lineRule="atLeast"/>
        <w:ind w:firstLine="420" w:firstLineChars="200"/>
        <w:rPr>
          <w:color w:val="auto"/>
          <w:szCs w:val="21"/>
          <w:highlight w:val="none"/>
        </w:rPr>
      </w:pPr>
      <w:r>
        <w:rPr>
          <w:rFonts w:hint="eastAsia"/>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2050D268">
      <w:pPr>
        <w:spacing w:before="120" w:line="320" w:lineRule="atLeast"/>
        <w:ind w:left="2" w:leftChars="1" w:firstLine="420" w:firstLineChars="200"/>
        <w:rPr>
          <w:rFonts w:hint="eastAsia"/>
          <w:color w:val="auto"/>
          <w:szCs w:val="21"/>
          <w:highlight w:val="none"/>
        </w:rPr>
      </w:pPr>
      <w:r>
        <w:rPr>
          <w:rFonts w:hint="eastAsia"/>
          <w:color w:val="auto"/>
          <w:szCs w:val="21"/>
          <w:highlight w:val="none"/>
        </w:rPr>
        <w:t>符合条件的货物制造商、工程施工单位、服务承接单位为监狱企业或残疾人福利性单位的，应按采购文件规定在响应文件中提供相关证明文件。</w:t>
      </w:r>
      <w:bookmarkEnd w:id="24"/>
    </w:p>
    <w:p w14:paraId="7E26708B">
      <w:pPr>
        <w:spacing w:before="120" w:line="320" w:lineRule="atLeast"/>
        <w:ind w:firstLine="422" w:firstLineChars="200"/>
        <w:outlineLvl w:val="2"/>
        <w:rPr>
          <w:b/>
          <w:bCs/>
          <w:color w:val="auto"/>
          <w:kern w:val="0"/>
          <w:szCs w:val="21"/>
          <w:highlight w:val="none"/>
        </w:rPr>
      </w:pPr>
      <w:r>
        <w:rPr>
          <w:b/>
          <w:bCs/>
          <w:color w:val="auto"/>
          <w:kern w:val="0"/>
          <w:szCs w:val="21"/>
          <w:highlight w:val="none"/>
        </w:rPr>
        <w:t>1.5供应商资格</w:t>
      </w:r>
      <w:r>
        <w:rPr>
          <w:rFonts w:hint="eastAsia"/>
          <w:b/>
          <w:bCs/>
          <w:color w:val="auto"/>
          <w:kern w:val="0"/>
          <w:szCs w:val="21"/>
          <w:highlight w:val="none"/>
        </w:rPr>
        <w:t>要求</w:t>
      </w:r>
    </w:p>
    <w:p w14:paraId="62BEA5C4">
      <w:pPr>
        <w:spacing w:before="120" w:line="320" w:lineRule="atLeast"/>
        <w:ind w:firstLine="420" w:firstLineChars="200"/>
        <w:rPr>
          <w:color w:val="auto"/>
          <w:szCs w:val="21"/>
          <w:highlight w:val="none"/>
        </w:rPr>
      </w:pPr>
      <w:r>
        <w:rPr>
          <w:color w:val="auto"/>
          <w:szCs w:val="21"/>
          <w:highlight w:val="none"/>
        </w:rPr>
        <w:t>1.5.1</w:t>
      </w:r>
      <w:r>
        <w:rPr>
          <w:rFonts w:hint="eastAsia"/>
          <w:color w:val="auto"/>
          <w:szCs w:val="21"/>
          <w:highlight w:val="none"/>
        </w:rPr>
        <w:t>供应商资格要求：详见供应商须知前附表</w:t>
      </w:r>
    </w:p>
    <w:p w14:paraId="3E86F398">
      <w:pPr>
        <w:spacing w:before="120" w:line="320" w:lineRule="atLeast"/>
        <w:ind w:firstLine="420" w:firstLineChars="200"/>
        <w:rPr>
          <w:color w:val="auto"/>
          <w:szCs w:val="21"/>
          <w:highlight w:val="none"/>
        </w:rPr>
      </w:pPr>
      <w:r>
        <w:rPr>
          <w:color w:val="auto"/>
          <w:szCs w:val="21"/>
          <w:highlight w:val="none"/>
        </w:rPr>
        <w:t>1.5.2按照磋商公告的规定获得采购文件。</w:t>
      </w:r>
    </w:p>
    <w:p w14:paraId="15B803B8">
      <w:pPr>
        <w:spacing w:before="120" w:line="320" w:lineRule="atLeast"/>
        <w:ind w:firstLine="420" w:firstLineChars="200"/>
        <w:rPr>
          <w:color w:val="auto"/>
          <w:szCs w:val="21"/>
          <w:highlight w:val="none"/>
        </w:rPr>
      </w:pPr>
      <w:r>
        <w:rPr>
          <w:color w:val="auto"/>
          <w:szCs w:val="21"/>
          <w:highlight w:val="none"/>
        </w:rPr>
        <w:t>1.5.3本项目是否接受联合体响应，见“供应商须知前附表”规定。</w:t>
      </w:r>
    </w:p>
    <w:p w14:paraId="10B68E6E">
      <w:pPr>
        <w:spacing w:before="120" w:line="320" w:lineRule="atLeast"/>
        <w:ind w:firstLine="420" w:firstLineChars="200"/>
        <w:rPr>
          <w:color w:val="auto"/>
          <w:szCs w:val="21"/>
          <w:highlight w:val="none"/>
        </w:rPr>
      </w:pPr>
      <w:r>
        <w:rPr>
          <w:rFonts w:hint="eastAsia"/>
          <w:color w:val="auto"/>
          <w:szCs w:val="21"/>
          <w:highlight w:val="none"/>
        </w:rPr>
        <w:t xml:space="preserve">如接受联合体响应，联合体响应要求如下： </w:t>
      </w:r>
    </w:p>
    <w:p w14:paraId="39DB09A8">
      <w:pPr>
        <w:spacing w:before="120" w:line="320" w:lineRule="atLeast"/>
        <w:ind w:firstLine="420" w:firstLineChars="200"/>
        <w:rPr>
          <w:color w:val="auto"/>
          <w:szCs w:val="21"/>
          <w:highlight w:val="none"/>
        </w:rPr>
      </w:pPr>
      <w:r>
        <w:rPr>
          <w:rFonts w:hint="eastAsia"/>
          <w:color w:val="auto"/>
          <w:szCs w:val="21"/>
          <w:highlight w:val="none"/>
        </w:rPr>
        <w:t>（1）供应商可以组成一个响应联合体，以一个供应商的身份共同参加响应。联合体响应的，须提供《联合体协议书》（格式后附）</w:t>
      </w:r>
    </w:p>
    <w:p w14:paraId="68BA20BB">
      <w:pPr>
        <w:spacing w:before="120" w:line="320" w:lineRule="atLeast"/>
        <w:ind w:firstLine="420" w:firstLineChars="200"/>
        <w:rPr>
          <w:color w:val="auto"/>
          <w:szCs w:val="21"/>
          <w:highlight w:val="none"/>
        </w:rPr>
      </w:pPr>
      <w:r>
        <w:rPr>
          <w:rFonts w:hint="eastAsia"/>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4DA560B7">
      <w:pPr>
        <w:spacing w:before="120" w:line="320" w:lineRule="atLeast"/>
        <w:ind w:firstLine="420" w:firstLineChars="200"/>
        <w:rPr>
          <w:color w:val="auto"/>
          <w:szCs w:val="21"/>
          <w:highlight w:val="none"/>
        </w:rPr>
      </w:pPr>
      <w:r>
        <w:rPr>
          <w:rFonts w:hint="eastAsia"/>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4C49C3A0">
      <w:pPr>
        <w:spacing w:before="120" w:line="320" w:lineRule="atLeast"/>
        <w:ind w:firstLine="420" w:firstLineChars="200"/>
        <w:rPr>
          <w:color w:val="auto"/>
          <w:szCs w:val="21"/>
          <w:highlight w:val="none"/>
        </w:rPr>
      </w:pPr>
      <w:r>
        <w:rPr>
          <w:rFonts w:hint="eastAsia"/>
          <w:color w:val="auto"/>
          <w:szCs w:val="21"/>
          <w:highlight w:val="none"/>
        </w:rPr>
        <w:t>（4）以联合体形式参加政府采购活动的，联合体各方不得再单独参加或者与其他供应商另外组成联合体参加同一合同项下的政府采购活动。</w:t>
      </w:r>
    </w:p>
    <w:p w14:paraId="4E461703">
      <w:pPr>
        <w:spacing w:before="120" w:line="320" w:lineRule="atLeast"/>
        <w:ind w:firstLine="420" w:firstLineChars="200"/>
        <w:rPr>
          <w:color w:val="auto"/>
          <w:szCs w:val="21"/>
          <w:highlight w:val="none"/>
        </w:rPr>
      </w:pPr>
      <w:r>
        <w:rPr>
          <w:rFonts w:hint="eastAsia"/>
          <w:color w:val="auto"/>
          <w:szCs w:val="21"/>
          <w:highlight w:val="none"/>
        </w:rPr>
        <w:t>（5）联合体中有同类资质的供应商按照联合体分工承担相同工作的，应当按照资质等级较低的供应商确定资质等级。</w:t>
      </w:r>
    </w:p>
    <w:p w14:paraId="3B414262">
      <w:pPr>
        <w:spacing w:before="120" w:line="320" w:lineRule="atLeast"/>
        <w:ind w:firstLine="420" w:firstLineChars="200"/>
        <w:rPr>
          <w:color w:val="auto"/>
          <w:szCs w:val="21"/>
          <w:highlight w:val="none"/>
        </w:rPr>
      </w:pPr>
      <w:r>
        <w:rPr>
          <w:rFonts w:hint="eastAsia"/>
          <w:color w:val="auto"/>
          <w:szCs w:val="21"/>
          <w:highlight w:val="none"/>
        </w:rPr>
        <w:t>（6）联合体响应业绩、履约能力按照联合体各方其中较高的一方认定并计算（采购文件其他章节另有规定的除外）。</w:t>
      </w:r>
    </w:p>
    <w:p w14:paraId="01C37224">
      <w:pPr>
        <w:spacing w:before="120" w:line="320" w:lineRule="atLeast"/>
        <w:ind w:firstLine="420" w:firstLineChars="200"/>
        <w:rPr>
          <w:color w:val="auto"/>
          <w:szCs w:val="21"/>
          <w:highlight w:val="none"/>
        </w:rPr>
      </w:pPr>
      <w:r>
        <w:rPr>
          <w:rFonts w:hint="eastAsia"/>
          <w:color w:val="auto"/>
          <w:szCs w:val="21"/>
          <w:highlight w:val="none"/>
        </w:rPr>
        <w:t>（7）供应商为联合体的，可以由联合体中的一方或者多方共同交纳磋商保证金，其交纳的保证金对联合体各方均具有约束力。</w:t>
      </w:r>
    </w:p>
    <w:p w14:paraId="0F7E51BA">
      <w:pPr>
        <w:spacing w:before="120" w:line="320" w:lineRule="atLeast"/>
        <w:ind w:firstLine="420" w:firstLineChars="200"/>
        <w:rPr>
          <w:color w:val="auto"/>
          <w:szCs w:val="21"/>
          <w:highlight w:val="none"/>
        </w:rPr>
      </w:pPr>
      <w:r>
        <w:rPr>
          <w:rFonts w:hint="eastAsia"/>
          <w:color w:val="auto"/>
          <w:szCs w:val="21"/>
          <w:highlight w:val="none"/>
        </w:rPr>
        <w:t>（8）联合体各方均应按照采购文件的规定提交资格证明文件。</w:t>
      </w:r>
    </w:p>
    <w:p w14:paraId="19CD6A84">
      <w:pPr>
        <w:spacing w:before="120" w:line="320" w:lineRule="atLeast"/>
        <w:ind w:firstLine="422" w:firstLineChars="200"/>
        <w:outlineLvl w:val="2"/>
        <w:rPr>
          <w:b/>
          <w:bCs/>
          <w:color w:val="auto"/>
          <w:kern w:val="0"/>
          <w:szCs w:val="21"/>
          <w:highlight w:val="none"/>
        </w:rPr>
      </w:pPr>
      <w:bookmarkStart w:id="25" w:name="_Toc254970672"/>
      <w:bookmarkStart w:id="26" w:name="_Toc254970531"/>
      <w:r>
        <w:rPr>
          <w:b/>
          <w:bCs/>
          <w:color w:val="auto"/>
          <w:kern w:val="0"/>
          <w:szCs w:val="21"/>
          <w:highlight w:val="none"/>
        </w:rPr>
        <w:t>1.6现场踏勘及响应费用</w:t>
      </w:r>
      <w:bookmarkEnd w:id="25"/>
      <w:bookmarkEnd w:id="26"/>
    </w:p>
    <w:p w14:paraId="664693FF">
      <w:pPr>
        <w:spacing w:before="120" w:line="320" w:lineRule="atLeast"/>
        <w:ind w:firstLine="420" w:firstLineChars="200"/>
        <w:rPr>
          <w:color w:val="auto"/>
          <w:szCs w:val="21"/>
          <w:highlight w:val="none"/>
        </w:rPr>
      </w:pPr>
      <w:r>
        <w:rPr>
          <w:color w:val="auto"/>
          <w:szCs w:val="21"/>
          <w:highlight w:val="none"/>
        </w:rPr>
        <w:t>1.6.1前附表如规定现场踏勘的，供应商应按规定时间地点参加踏勘。</w:t>
      </w:r>
    </w:p>
    <w:p w14:paraId="66215FB7">
      <w:pPr>
        <w:spacing w:before="120" w:line="320" w:lineRule="atLeast"/>
        <w:ind w:firstLine="420" w:firstLineChars="200"/>
        <w:rPr>
          <w:color w:val="auto"/>
          <w:szCs w:val="21"/>
          <w:highlight w:val="none"/>
        </w:rPr>
      </w:pPr>
      <w:r>
        <w:rPr>
          <w:color w:val="auto"/>
          <w:szCs w:val="21"/>
          <w:highlight w:val="none"/>
        </w:rPr>
        <w:t>1.6.2供应商均应自行承担所有与响应有关的全部费用（采购文件有相关的规定除外）。</w:t>
      </w:r>
    </w:p>
    <w:p w14:paraId="561863B5">
      <w:pPr>
        <w:spacing w:before="120" w:line="320" w:lineRule="atLeast"/>
        <w:ind w:firstLine="422" w:firstLineChars="200"/>
        <w:outlineLvl w:val="2"/>
        <w:rPr>
          <w:b/>
          <w:bCs/>
          <w:color w:val="auto"/>
          <w:kern w:val="0"/>
          <w:szCs w:val="21"/>
          <w:highlight w:val="none"/>
        </w:rPr>
      </w:pPr>
      <w:r>
        <w:rPr>
          <w:b/>
          <w:bCs/>
          <w:color w:val="auto"/>
          <w:kern w:val="0"/>
          <w:szCs w:val="21"/>
          <w:highlight w:val="none"/>
        </w:rPr>
        <w:t>1.7转包与分包</w:t>
      </w:r>
    </w:p>
    <w:p w14:paraId="1932B3EF">
      <w:pPr>
        <w:spacing w:before="120" w:line="320" w:lineRule="atLeast"/>
        <w:ind w:firstLine="420" w:firstLineChars="200"/>
        <w:rPr>
          <w:color w:val="auto"/>
          <w:szCs w:val="21"/>
          <w:highlight w:val="none"/>
        </w:rPr>
      </w:pPr>
      <w:r>
        <w:rPr>
          <w:color w:val="auto"/>
          <w:szCs w:val="21"/>
          <w:highlight w:val="none"/>
        </w:rPr>
        <w:t>1.7.1如</w:t>
      </w:r>
      <w:r>
        <w:rPr>
          <w:rFonts w:hint="eastAsia"/>
          <w:color w:val="auto"/>
          <w:szCs w:val="21"/>
          <w:highlight w:val="none"/>
        </w:rPr>
        <w:t>采购文件</w:t>
      </w:r>
      <w:r>
        <w:rPr>
          <w:color w:val="auto"/>
          <w:szCs w:val="21"/>
          <w:highlight w:val="none"/>
        </w:rPr>
        <w:t>其他地方无特别规定</w:t>
      </w:r>
      <w:r>
        <w:rPr>
          <w:rFonts w:hint="eastAsia"/>
          <w:color w:val="auto"/>
          <w:szCs w:val="21"/>
          <w:highlight w:val="none"/>
        </w:rPr>
        <w:t>，</w:t>
      </w:r>
      <w:r>
        <w:rPr>
          <w:color w:val="auto"/>
          <w:szCs w:val="21"/>
          <w:highlight w:val="none"/>
        </w:rPr>
        <w:t>本项目不允许转包。</w:t>
      </w:r>
    </w:p>
    <w:p w14:paraId="4436895D">
      <w:pPr>
        <w:spacing w:before="120" w:line="320" w:lineRule="atLeast"/>
        <w:ind w:firstLine="420" w:firstLineChars="200"/>
        <w:rPr>
          <w:color w:val="auto"/>
          <w:szCs w:val="21"/>
          <w:highlight w:val="none"/>
        </w:rPr>
      </w:pPr>
      <w:r>
        <w:rPr>
          <w:color w:val="auto"/>
          <w:szCs w:val="21"/>
          <w:highlight w:val="none"/>
        </w:rPr>
        <w:t>1.7.2</w:t>
      </w:r>
      <w:r>
        <w:rPr>
          <w:rFonts w:hint="eastAsia"/>
          <w:color w:val="auto"/>
          <w:szCs w:val="21"/>
          <w:highlight w:val="none"/>
        </w:rPr>
        <w:t>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13F73596">
      <w:pPr>
        <w:spacing w:before="120" w:line="276" w:lineRule="auto"/>
        <w:ind w:firstLine="422" w:firstLineChars="200"/>
        <w:outlineLvl w:val="2"/>
        <w:rPr>
          <w:b/>
          <w:bCs/>
          <w:color w:val="auto"/>
          <w:kern w:val="0"/>
          <w:szCs w:val="21"/>
          <w:highlight w:val="none"/>
        </w:rPr>
      </w:pPr>
      <w:bookmarkStart w:id="27" w:name="_Toc254970673"/>
      <w:bookmarkStart w:id="28" w:name="_Toc254970532"/>
      <w:r>
        <w:rPr>
          <w:b/>
          <w:bCs/>
          <w:color w:val="auto"/>
          <w:kern w:val="0"/>
          <w:szCs w:val="21"/>
          <w:highlight w:val="none"/>
        </w:rPr>
        <w:t>1.8特别说明</w:t>
      </w:r>
      <w:bookmarkEnd w:id="27"/>
      <w:bookmarkEnd w:id="28"/>
    </w:p>
    <w:p w14:paraId="1DB28659">
      <w:pPr>
        <w:spacing w:line="276" w:lineRule="auto"/>
        <w:ind w:firstLine="420" w:firstLineChars="200"/>
        <w:rPr>
          <w:color w:val="auto"/>
          <w:szCs w:val="21"/>
          <w:highlight w:val="none"/>
        </w:rPr>
      </w:pPr>
      <w:r>
        <w:rPr>
          <w:color w:val="auto"/>
          <w:szCs w:val="21"/>
          <w:highlight w:val="none"/>
        </w:rPr>
        <w:t>1.8.1 供应商应保证其提供的联系方式（电话、传真、电子邮件）有效，以保证往来函件（澄清、修改等）能及时通知供应商，并能及时反馈，否则采购人</w:t>
      </w:r>
      <w:r>
        <w:rPr>
          <w:rFonts w:hint="eastAsia"/>
          <w:color w:val="auto"/>
          <w:szCs w:val="21"/>
          <w:highlight w:val="none"/>
        </w:rPr>
        <w:t>及代理机构</w:t>
      </w:r>
      <w:r>
        <w:rPr>
          <w:color w:val="auto"/>
          <w:szCs w:val="21"/>
          <w:highlight w:val="none"/>
        </w:rPr>
        <w:t>不承担由此引起的一切后果。</w:t>
      </w:r>
    </w:p>
    <w:p w14:paraId="6EBAD50F">
      <w:pPr>
        <w:spacing w:before="120" w:line="320" w:lineRule="atLeast"/>
        <w:ind w:firstLine="420" w:firstLineChars="200"/>
        <w:rPr>
          <w:color w:val="auto"/>
          <w:szCs w:val="21"/>
          <w:highlight w:val="none"/>
        </w:rPr>
      </w:pPr>
      <w:r>
        <w:rPr>
          <w:color w:val="auto"/>
          <w:szCs w:val="21"/>
          <w:highlight w:val="none"/>
        </w:rPr>
        <w:t>1.8.2供应商应仔细阅读采购文件的所有内容，按照采购文件的要求提交响应文件，并对所提供的全部资料的真实性承担法律责任。</w:t>
      </w:r>
    </w:p>
    <w:p w14:paraId="17A2B177">
      <w:pPr>
        <w:spacing w:before="120" w:line="360" w:lineRule="auto"/>
        <w:ind w:firstLine="420" w:firstLineChars="200"/>
        <w:rPr>
          <w:color w:val="auto"/>
          <w:szCs w:val="21"/>
          <w:highlight w:val="none"/>
        </w:rPr>
      </w:pPr>
      <w:r>
        <w:rPr>
          <w:color w:val="auto"/>
          <w:szCs w:val="21"/>
          <w:highlight w:val="none"/>
        </w:rPr>
        <w:t>1.8.3供应商在响应活动中提供任何虚假材料，</w:t>
      </w:r>
      <w:r>
        <w:rPr>
          <w:rFonts w:hint="eastAsia"/>
          <w:color w:val="auto"/>
          <w:szCs w:val="21"/>
          <w:highlight w:val="none"/>
        </w:rPr>
        <w:t>将</w:t>
      </w:r>
      <w:r>
        <w:rPr>
          <w:color w:val="auto"/>
          <w:szCs w:val="21"/>
          <w:highlight w:val="none"/>
        </w:rPr>
        <w:t xml:space="preserve">报监管部门查处； </w:t>
      </w:r>
    </w:p>
    <w:p w14:paraId="165E7C65">
      <w:pPr>
        <w:spacing w:before="120" w:line="276" w:lineRule="auto"/>
        <w:ind w:firstLine="422" w:firstLineChars="200"/>
        <w:outlineLvl w:val="2"/>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w:t>
      </w:r>
      <w:r>
        <w:rPr>
          <w:rFonts w:hint="eastAsia"/>
          <w:b/>
          <w:bCs/>
          <w:color w:val="auto"/>
          <w:kern w:val="0"/>
          <w:szCs w:val="21"/>
          <w:highlight w:val="none"/>
          <w:lang w:val="en-US" w:eastAsia="zh-CN"/>
        </w:rPr>
        <w:t xml:space="preserve">9 </w:t>
      </w:r>
      <w:r>
        <w:rPr>
          <w:rFonts w:hint="eastAsia"/>
          <w:b/>
          <w:bCs/>
          <w:color w:val="auto"/>
          <w:kern w:val="0"/>
          <w:szCs w:val="21"/>
          <w:highlight w:val="none"/>
        </w:rPr>
        <w:t>对本国产品的支持政策</w:t>
      </w:r>
    </w:p>
    <w:p w14:paraId="39741F9C">
      <w:pPr>
        <w:spacing w:before="120" w:line="360" w:lineRule="auto"/>
        <w:ind w:left="819" w:leftChars="190" w:hanging="420" w:hangingChars="200"/>
        <w:rPr>
          <w:rFonts w:hint="default"/>
          <w:color w:val="auto"/>
          <w:szCs w:val="21"/>
          <w:highlight w:val="none"/>
          <w:lang w:val="en-US" w:eastAsia="zh-CN"/>
        </w:rPr>
      </w:pPr>
      <w:r>
        <w:rPr>
          <w:rFonts w:hint="eastAsia"/>
          <w:color w:val="auto"/>
          <w:szCs w:val="21"/>
          <w:highlight w:val="none"/>
          <w:lang w:val="en-US" w:eastAsia="zh-CN"/>
        </w:rPr>
        <w:t>1.9.1</w:t>
      </w:r>
      <w:r>
        <w:rPr>
          <w:rFonts w:hint="default"/>
          <w:color w:val="auto"/>
          <w:szCs w:val="21"/>
          <w:highlight w:val="none"/>
          <w:lang w:val="en-US" w:eastAsia="zh-CN"/>
        </w:rPr>
        <w:t>本国产品标准</w:t>
      </w:r>
    </w:p>
    <w:p w14:paraId="7D972839">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“本国产品标准的产品”是指：符合《国务院办公厅关于在政府采购中实施本国产品标准及相关政策的通知》（国办发〔2025〕34号）规定的本国产品标准的产品。</w:t>
      </w:r>
    </w:p>
    <w:p w14:paraId="047CF16E">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本国产品标准的产品应当符合以下条件：</w:t>
      </w:r>
    </w:p>
    <w:p w14:paraId="665D375E">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（1）</w:t>
      </w:r>
      <w:r>
        <w:rPr>
          <w:rFonts w:hint="default"/>
          <w:color w:val="auto"/>
          <w:szCs w:val="21"/>
          <w:highlight w:val="none"/>
          <w:lang w:val="en-US" w:eastAsia="zh-CN"/>
        </w:rPr>
        <w:t>在中国境内生产</w:t>
      </w:r>
      <w:r>
        <w:rPr>
          <w:rFonts w:hint="eastAsia"/>
          <w:color w:val="auto"/>
          <w:szCs w:val="21"/>
          <w:highlight w:val="none"/>
          <w:lang w:val="en-US" w:eastAsia="zh-CN"/>
        </w:rPr>
        <w:t>。</w:t>
      </w:r>
      <w:r>
        <w:rPr>
          <w:rFonts w:hint="default"/>
          <w:color w:val="auto"/>
          <w:szCs w:val="21"/>
          <w:highlight w:val="none"/>
          <w:lang w:val="en-US" w:eastAsia="zh-CN"/>
        </w:rPr>
        <w:t>产品应当在中国境内生产，即在中华人民共和国关境内</w:t>
      </w:r>
      <w:r>
        <w:rPr>
          <w:rFonts w:hint="eastAsia" w:ascii="Times New Roman" w:hAnsi="Times New Roman" w:eastAsia="宋体" w:cs="Times New Roman"/>
          <w:color w:val="auto"/>
          <w:kern w:val="2"/>
          <w:sz w:val="21"/>
          <w:szCs w:val="21"/>
          <w:highlight w:val="none"/>
          <w:lang w:val="en-US" w:eastAsia="zh-CN" w:bidi="ar-SA"/>
        </w:rPr>
        <w:t>（含保税区、综合保税区等海关特殊监管区域）</w:t>
      </w:r>
      <w:r>
        <w:rPr>
          <w:rFonts w:hint="default"/>
          <w:color w:val="auto"/>
          <w:szCs w:val="21"/>
          <w:highlight w:val="none"/>
          <w:lang w:val="en-US" w:eastAsia="zh-CN"/>
        </w:rPr>
        <w:t>实现从原材料、组件到产品的属性改变；属性改变是指经过制造、加工或者组装等工序，产生完全不同于原材料、组件的新产品，并具有新的名称和特征（用途），属性改变不包括以下细微操作：</w:t>
      </w:r>
    </w:p>
    <w:p w14:paraId="697BC6CC">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①为确保产品在运输或者储存期间保持某种状态而进行的操作；</w:t>
      </w:r>
    </w:p>
    <w:p w14:paraId="6EF6AF47">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②为产品运输或者销售进行的包装或者展示；</w:t>
      </w:r>
    </w:p>
    <w:p w14:paraId="7022B198">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③在产品或者其包装上粘贴或者印刷品牌、标志、标识以及其他用于区别的标记；</w:t>
      </w:r>
    </w:p>
    <w:p w14:paraId="6EA39BD1">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④简单的上漆、磨光和分装；</w:t>
      </w:r>
    </w:p>
    <w:p w14:paraId="10A6B0EB">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⑤其他不属于属性改变的情形；</w:t>
      </w:r>
    </w:p>
    <w:p w14:paraId="49BF2CDA">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（2）</w:t>
      </w:r>
      <w:r>
        <w:rPr>
          <w:rFonts w:hint="default"/>
          <w:color w:val="auto"/>
          <w:szCs w:val="21"/>
          <w:highlight w:val="none"/>
          <w:lang w:val="en-US" w:eastAsia="zh-CN"/>
        </w:rPr>
        <w:t>中国境内生产的组件成本占比达到规定比例</w:t>
      </w:r>
      <w:r>
        <w:rPr>
          <w:rFonts w:hint="eastAsia"/>
          <w:color w:val="auto"/>
          <w:szCs w:val="21"/>
          <w:highlight w:val="none"/>
          <w:lang w:val="en-US" w:eastAsia="zh-CN"/>
        </w:rPr>
        <w:t>。</w:t>
      </w:r>
    </w:p>
    <w:p w14:paraId="1871CF1E">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①产品在中国境内生产的组件成本占比应当达到规定比例，计算公式为：产品在中国境内生产的组件成本/产品总成本≥规定比例；</w:t>
      </w:r>
    </w:p>
    <w:p w14:paraId="0F625A7A">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②产品在中国境内生产的组件成本，按照《中国境内生产的组件成本核算基本规则》计算；</w:t>
      </w:r>
    </w:p>
    <w:p w14:paraId="2345BC66">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③中国境内生产的组件成本占比相关要求实施前，符合第（1）项条件的产品在政府采购活动中视同本国产品。</w:t>
      </w:r>
    </w:p>
    <w:p w14:paraId="59CB00B5">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（3）</w:t>
      </w:r>
      <w:r>
        <w:rPr>
          <w:rFonts w:hint="default"/>
          <w:color w:val="auto"/>
          <w:szCs w:val="21"/>
          <w:highlight w:val="none"/>
          <w:lang w:val="en-US" w:eastAsia="zh-CN"/>
        </w:rPr>
        <w:t>特定产品的关键组件和工序在中国境内完成。</w:t>
      </w:r>
    </w:p>
    <w:p w14:paraId="0D8E63F9">
      <w:pPr>
        <w:spacing w:line="276" w:lineRule="auto"/>
        <w:ind w:firstLine="420" w:firstLineChars="200"/>
        <w:rPr>
          <w:rFonts w:hint="eastAsia"/>
          <w:color w:val="auto"/>
          <w:szCs w:val="21"/>
          <w:highlight w:val="none"/>
          <w:lang w:val="en-US" w:eastAsia="zh-CN"/>
        </w:rPr>
      </w:pPr>
      <w:r>
        <w:rPr>
          <w:rFonts w:hint="eastAsia"/>
          <w:color w:val="auto"/>
          <w:szCs w:val="21"/>
          <w:highlight w:val="none"/>
          <w:lang w:val="en-US" w:eastAsia="zh-CN"/>
        </w:rPr>
        <w:t>①对特定产品，在符合第（1）项和第（2）项条件的基础上，应当符合财政部会同有关行业主管部门确定的其关键组件、关键工序在中国境内生产、完成等要求；</w:t>
      </w:r>
    </w:p>
    <w:p w14:paraId="5E5AFC46">
      <w:pPr>
        <w:spacing w:line="276" w:lineRule="auto"/>
        <w:ind w:firstLine="420" w:firstLineChars="200"/>
        <w:rPr>
          <w:rFonts w:hint="default"/>
          <w:color w:val="auto"/>
          <w:szCs w:val="21"/>
          <w:highlight w:val="none"/>
          <w:lang w:val="en-US" w:eastAsia="zh-CN"/>
        </w:rPr>
      </w:pPr>
      <w:r>
        <w:rPr>
          <w:rFonts w:hint="eastAsia"/>
          <w:color w:val="auto"/>
          <w:szCs w:val="21"/>
          <w:highlight w:val="none"/>
          <w:lang w:val="en-US" w:eastAsia="zh-CN"/>
        </w:rPr>
        <w:t>②特定产品的关键组件、关键工序符合相关要求实施前，符合第（1）项和第（2）项条件的产品在政府采购活动中视同本国产品。</w:t>
      </w:r>
    </w:p>
    <w:p w14:paraId="63B28CC6">
      <w:pPr>
        <w:spacing w:before="120" w:line="360" w:lineRule="auto"/>
        <w:ind w:left="819" w:leftChars="190" w:hanging="420" w:hangingChars="200"/>
        <w:rPr>
          <w:rFonts w:hint="eastAsia"/>
          <w:color w:val="auto"/>
          <w:szCs w:val="21"/>
          <w:highlight w:val="none"/>
          <w:lang w:val="en-US" w:eastAsia="zh-CN"/>
        </w:rPr>
      </w:pPr>
      <w:r>
        <w:rPr>
          <w:rFonts w:hint="eastAsia"/>
          <w:color w:val="auto"/>
          <w:szCs w:val="21"/>
          <w:highlight w:val="none"/>
          <w:lang w:val="en-US" w:eastAsia="zh-CN"/>
        </w:rPr>
        <w:t>1.9.2 本国产品标准的适用范围</w:t>
      </w:r>
    </w:p>
    <w:p w14:paraId="5F3A025F">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b/>
          <w:bCs/>
          <w:color w:val="auto"/>
          <w:szCs w:val="21"/>
          <w:highlight w:val="none"/>
          <w:lang w:val="en-US" w:eastAsia="zh-CN"/>
        </w:rPr>
        <w:t>本项目是否适用对本国产品的支持政策详见供应商须知前附表。</w:t>
      </w:r>
    </w:p>
    <w:p w14:paraId="4A7EAA3A">
      <w:pPr>
        <w:spacing w:line="276" w:lineRule="auto"/>
        <w:ind w:firstLine="420" w:firstLineChars="200"/>
        <w:rPr>
          <w:rFonts w:hint="default"/>
          <w:color w:val="auto"/>
          <w:szCs w:val="21"/>
          <w:highlight w:val="none"/>
          <w:lang w:val="en-US" w:eastAsia="zh-CN"/>
        </w:rPr>
      </w:pPr>
      <w:r>
        <w:rPr>
          <w:rFonts w:hint="default"/>
          <w:color w:val="auto"/>
          <w:szCs w:val="21"/>
          <w:highlight w:val="none"/>
          <w:lang w:val="en-US" w:eastAsia="zh-CN"/>
        </w:rPr>
        <w:t>中华人民共和国缔结或者共同参加的国际条约、协定对政府采购中本国产品政策另有规定的，按照有关条约、协定执行。</w:t>
      </w:r>
    </w:p>
    <w:p w14:paraId="271E916B">
      <w:pPr>
        <w:spacing w:before="120" w:line="320" w:lineRule="atLeast"/>
        <w:ind w:firstLine="420" w:firstLineChars="200"/>
        <w:rPr>
          <w:rFonts w:hint="default"/>
          <w:color w:val="auto"/>
          <w:szCs w:val="21"/>
          <w:highlight w:val="none"/>
          <w:lang w:val="en-US" w:eastAsia="zh-CN"/>
        </w:rPr>
      </w:pPr>
      <w:r>
        <w:rPr>
          <w:rFonts w:hint="eastAsia" w:ascii="Times New Roman" w:eastAsia="宋体"/>
          <w:color w:val="auto"/>
          <w:szCs w:val="21"/>
          <w:highlight w:val="none"/>
          <w:lang w:val="en-US" w:eastAsia="zh-CN"/>
        </w:rPr>
        <w:t>1.9.3 价格评审优惠</w:t>
      </w:r>
    </w:p>
    <w:p w14:paraId="1D41C003">
      <w:pPr>
        <w:spacing w:before="120" w:line="320" w:lineRule="atLeast"/>
        <w:ind w:firstLine="420" w:firstLineChars="200"/>
        <w:rPr>
          <w:rFonts w:hint="eastAsia"/>
          <w:color w:val="auto"/>
          <w:szCs w:val="21"/>
          <w:highlight w:val="none"/>
        </w:rPr>
      </w:pPr>
      <w:r>
        <w:rPr>
          <w:rFonts w:hint="eastAsia"/>
          <w:color w:val="auto"/>
          <w:szCs w:val="21"/>
          <w:highlight w:val="none"/>
        </w:rPr>
        <w:t>既有本国产品又有非本国产品参与竞争的，依法对本国产品给予价格评审优惠，对本国产品的报价给予20%的价格扣除，用扣除后的价格参与评审。</w:t>
      </w:r>
    </w:p>
    <w:p w14:paraId="4CE969DE">
      <w:pPr>
        <w:spacing w:before="120" w:line="320" w:lineRule="atLeast"/>
        <w:ind w:firstLine="420" w:firstLineChars="200"/>
        <w:rPr>
          <w:rFonts w:hint="eastAsia"/>
          <w:color w:val="auto"/>
          <w:szCs w:val="21"/>
          <w:highlight w:val="none"/>
        </w:rPr>
      </w:pPr>
      <w:r>
        <w:rPr>
          <w:rFonts w:hint="eastAsia"/>
          <w:color w:val="auto"/>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515D795">
      <w:pPr>
        <w:spacing w:before="120" w:line="320" w:lineRule="atLeast"/>
        <w:ind w:firstLine="420" w:firstLineChars="200"/>
        <w:rPr>
          <w:rFonts w:hint="eastAsia"/>
          <w:color w:val="auto"/>
          <w:szCs w:val="21"/>
          <w:highlight w:val="none"/>
          <w:lang w:eastAsia="zh-CN"/>
        </w:rPr>
      </w:pPr>
      <w:r>
        <w:rPr>
          <w:rFonts w:hint="eastAsia"/>
          <w:color w:val="auto"/>
          <w:szCs w:val="21"/>
          <w:highlight w:val="none"/>
        </w:rPr>
        <w:t>价格扣除比例在第四章评审方法及标准中规定</w:t>
      </w:r>
      <w:r>
        <w:rPr>
          <w:rFonts w:hint="eastAsia" w:eastAsia="宋体"/>
          <w:color w:val="auto"/>
          <w:szCs w:val="21"/>
          <w:highlight w:val="none"/>
          <w:lang w:eastAsia="zh-CN"/>
        </w:rPr>
        <w:t>。</w:t>
      </w:r>
    </w:p>
    <w:p w14:paraId="0DB36F1E">
      <w:pPr>
        <w:spacing w:before="120" w:line="320" w:lineRule="atLeast"/>
        <w:ind w:firstLine="420" w:firstLineChars="200"/>
        <w:rPr>
          <w:rFonts w:hint="eastAsia"/>
          <w:color w:val="auto"/>
          <w:szCs w:val="21"/>
          <w:highlight w:val="none"/>
          <w:lang w:val="en-US" w:eastAsia="zh-CN"/>
        </w:rPr>
      </w:pPr>
      <w:r>
        <w:rPr>
          <w:rFonts w:hint="eastAsia" w:ascii="Times New Roman" w:eastAsia="宋体"/>
          <w:color w:val="auto"/>
          <w:szCs w:val="21"/>
          <w:highlight w:val="none"/>
          <w:lang w:val="en-US" w:eastAsia="zh-CN"/>
        </w:rPr>
        <w:t>1.9.4政策执行要求</w:t>
      </w:r>
    </w:p>
    <w:p w14:paraId="69117893">
      <w:pPr>
        <w:spacing w:before="120" w:line="320" w:lineRule="atLeast"/>
        <w:ind w:firstLine="420" w:firstLineChars="200"/>
        <w:rPr>
          <w:rFonts w:hint="eastAsia"/>
          <w:color w:val="auto"/>
          <w:szCs w:val="21"/>
          <w:highlight w:val="none"/>
          <w:lang w:val="en-US" w:eastAsia="zh-CN"/>
        </w:rPr>
      </w:pPr>
      <w:r>
        <w:rPr>
          <w:rFonts w:hint="eastAsia" w:ascii="Times New Roman" w:eastAsia="宋体"/>
          <w:color w:val="auto"/>
          <w:szCs w:val="21"/>
          <w:highlight w:val="none"/>
          <w:lang w:val="en-US" w:eastAsia="zh-CN"/>
        </w:rPr>
        <w:t>1</w:t>
      </w:r>
      <w:r>
        <w:rPr>
          <w:rFonts w:hint="eastAsia"/>
          <w:color w:val="auto"/>
          <w:szCs w:val="21"/>
          <w:highlight w:val="none"/>
          <w:lang w:val="en-US" w:eastAsia="zh-CN"/>
        </w:rPr>
        <w:t>.</w:t>
      </w:r>
      <w:r>
        <w:rPr>
          <w:rFonts w:hint="eastAsia" w:ascii="Times New Roman" w:eastAsia="宋体"/>
          <w:color w:val="auto"/>
          <w:szCs w:val="21"/>
          <w:highlight w:val="none"/>
          <w:lang w:val="en-US" w:eastAsia="zh-CN"/>
        </w:rPr>
        <w:t>9.4.1产品在中国境内生产的组件成本核算规则：产品在中国境内生产的组件成本，按照《中国境内生产的组件成本核算基本规则》计算。</w:t>
      </w:r>
    </w:p>
    <w:p w14:paraId="7DE63DDE">
      <w:pPr>
        <w:spacing w:before="120" w:line="360" w:lineRule="auto"/>
        <w:ind w:firstLine="2520" w:firstLineChars="1200"/>
        <w:rPr>
          <w:rFonts w:hint="eastAsia"/>
          <w:color w:val="auto"/>
          <w:szCs w:val="21"/>
          <w:highlight w:val="none"/>
          <w:lang w:eastAsia="zh-CN"/>
        </w:rPr>
      </w:pPr>
      <w:r>
        <w:rPr>
          <w:rFonts w:hint="eastAsia" w:eastAsia="宋体"/>
          <w:color w:val="auto"/>
          <w:szCs w:val="21"/>
          <w:highlight w:val="none"/>
          <w:lang w:eastAsia="zh-CN"/>
        </w:rPr>
        <w:t>《中国境内生产的组件成本核算基本规则》</w:t>
      </w:r>
    </w:p>
    <w:p w14:paraId="1349CACD">
      <w:pPr>
        <w:spacing w:before="120" w:line="240" w:lineRule="auto"/>
        <w:ind w:firstLine="420" w:firstLineChars="200"/>
        <w:rPr>
          <w:rFonts w:hint="eastAsia"/>
          <w:color w:val="auto"/>
          <w:szCs w:val="21"/>
          <w:highlight w:val="none"/>
        </w:rPr>
      </w:pPr>
      <w:r>
        <w:rPr>
          <w:rFonts w:hint="eastAsia"/>
          <w:color w:val="auto"/>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E02F4D3">
      <w:pPr>
        <w:numPr>
          <w:ilvl w:val="0"/>
          <w:numId w:val="0"/>
        </w:numPr>
        <w:spacing w:before="120" w:line="240" w:lineRule="auto"/>
        <w:ind w:firstLine="420" w:firstLineChars="200"/>
        <w:rPr>
          <w:rFonts w:hint="eastAsia"/>
          <w:color w:val="auto"/>
          <w:szCs w:val="21"/>
          <w:highlight w:val="none"/>
        </w:rPr>
      </w:pPr>
      <w:r>
        <w:rPr>
          <w:rFonts w:hint="eastAsia" w:ascii="Times New Roman" w:eastAsia="宋体"/>
          <w:color w:val="auto"/>
          <w:szCs w:val="21"/>
          <w:highlight w:val="none"/>
          <w:lang w:val="en-US" w:eastAsia="zh-CN"/>
        </w:rPr>
        <w:t>1.</w:t>
      </w:r>
      <w:r>
        <w:rPr>
          <w:rFonts w:hint="eastAsia"/>
          <w:color w:val="auto"/>
          <w:szCs w:val="21"/>
          <w:highlight w:val="none"/>
        </w:rPr>
        <w:t>产品的一级组件是指直接组成产品的组件。产品的二级组件是指直接组成产品一级组件的组件。一级组件不可分解的，视同二级组件。</w:t>
      </w:r>
    </w:p>
    <w:p w14:paraId="7C39E4D2">
      <w:pPr>
        <w:numPr>
          <w:ilvl w:val="0"/>
          <w:numId w:val="0"/>
        </w:numPr>
        <w:spacing w:before="120" w:line="240" w:lineRule="auto"/>
        <w:ind w:firstLine="420" w:firstLineChars="200"/>
        <w:rPr>
          <w:rFonts w:hint="eastAsia"/>
          <w:color w:val="auto"/>
          <w:szCs w:val="21"/>
          <w:highlight w:val="none"/>
        </w:rPr>
      </w:pPr>
      <w:r>
        <w:rPr>
          <w:rFonts w:hint="eastAsia" w:ascii="Times New Roman" w:eastAsia="宋体"/>
          <w:color w:val="auto"/>
          <w:szCs w:val="21"/>
          <w:highlight w:val="none"/>
          <w:lang w:val="en-US" w:eastAsia="zh-CN"/>
        </w:rPr>
        <w:t>2.</w:t>
      </w:r>
      <w:r>
        <w:rPr>
          <w:rFonts w:hint="eastAsia"/>
          <w:color w:val="auto"/>
          <w:szCs w:val="21"/>
          <w:highlight w:val="none"/>
        </w:rPr>
        <w:t>二级组件在中国境内生产的，其全部成本计入中国境内生产的组件成本；二级组件不在中国境内生产的，其成本不计入中国境内生产的组件成本。</w:t>
      </w:r>
    </w:p>
    <w:p w14:paraId="5B7D9FA9">
      <w:pPr>
        <w:spacing w:before="120" w:line="240" w:lineRule="auto"/>
        <w:ind w:firstLine="420" w:firstLineChars="200"/>
        <w:rPr>
          <w:rFonts w:hint="eastAsia"/>
          <w:color w:val="auto"/>
          <w:szCs w:val="21"/>
          <w:highlight w:val="none"/>
        </w:rPr>
      </w:pPr>
      <w:r>
        <w:rPr>
          <w:rFonts w:hint="eastAsia" w:ascii="Times New Roman" w:eastAsia="宋体"/>
          <w:color w:val="auto"/>
          <w:szCs w:val="21"/>
          <w:highlight w:val="none"/>
          <w:lang w:val="en-US" w:eastAsia="zh-CN"/>
        </w:rPr>
        <w:t>3.</w:t>
      </w:r>
      <w:r>
        <w:rPr>
          <w:rFonts w:hint="eastAsia"/>
          <w:color w:val="auto"/>
          <w:szCs w:val="21"/>
          <w:highlight w:val="none"/>
        </w:rPr>
        <w:t>产品总成本和组件成本以相关会计核算数据、采购合同、进货记录等为基础进行计算。</w:t>
      </w:r>
    </w:p>
    <w:p w14:paraId="44597311">
      <w:pPr>
        <w:spacing w:before="120" w:line="240" w:lineRule="auto"/>
        <w:ind w:firstLine="420" w:firstLineChars="200"/>
        <w:rPr>
          <w:rFonts w:hint="eastAsia"/>
          <w:color w:val="auto"/>
          <w:szCs w:val="21"/>
          <w:highlight w:val="none"/>
          <w:lang w:val="en-US" w:eastAsia="zh-CN"/>
        </w:rPr>
      </w:pPr>
      <w:r>
        <w:rPr>
          <w:rFonts w:hint="eastAsia" w:ascii="Times New Roman" w:eastAsia="宋体"/>
          <w:color w:val="auto"/>
          <w:szCs w:val="21"/>
          <w:highlight w:val="none"/>
          <w:lang w:val="en-US" w:eastAsia="zh-CN"/>
        </w:rPr>
        <w:t>4.</w:t>
      </w:r>
      <w:r>
        <w:rPr>
          <w:rFonts w:hint="eastAsia"/>
          <w:color w:val="auto"/>
          <w:szCs w:val="21"/>
          <w:highlight w:val="none"/>
        </w:rPr>
        <w:t>需要对成本核算规则予以进一步明确的其他有关事项，由财政部会同有关部门另行规定。</w:t>
      </w:r>
    </w:p>
    <w:p w14:paraId="2F94C987">
      <w:p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1.9.4.2证明材料提交与审查：供应商需在投标（响应）文件中对其提供的产品出具《关于符合本国产品标准的声明函》（样式见响应文件格式）或财政部会同有关部门规定的有关证明文件。</w:t>
      </w:r>
      <w:r>
        <w:rPr>
          <w:rFonts w:hint="eastAsia"/>
          <w:b/>
          <w:bCs/>
          <w:color w:val="auto"/>
          <w:szCs w:val="21"/>
          <w:highlight w:val="none"/>
          <w:lang w:val="en-US" w:eastAsia="zh-CN"/>
        </w:rPr>
        <w:t>医疗器械产品凭药品监督管理部门授予的准字号注册证直接认定属于在中国境内生产的产品。</w:t>
      </w:r>
      <w:r>
        <w:rPr>
          <w:rFonts w:hint="eastAsia"/>
          <w:color w:val="auto"/>
          <w:szCs w:val="21"/>
          <w:highlight w:val="none"/>
          <w:lang w:val="en-US" w:eastAsia="zh-CN"/>
        </w:rPr>
        <w:t>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70AFAE24">
      <w:pPr>
        <w:pStyle w:val="19"/>
        <w:ind w:firstLine="420" w:firstLineChars="20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评审委员会应对《声明函》的完整性、准确性进行审查，对《声明函》内容含义不明确、同类事项与投标（响应）文件表述不一致或存在明显文字错误的，应</w:t>
      </w:r>
      <w:r>
        <w:rPr>
          <w:rFonts w:hint="eastAsia" w:cs="Times New Roman"/>
          <w:color w:val="auto"/>
          <w:kern w:val="2"/>
          <w:sz w:val="21"/>
          <w:szCs w:val="21"/>
          <w:highlight w:val="none"/>
          <w:lang w:val="en-US" w:eastAsia="zh-CN" w:bidi="ar-SA"/>
        </w:rPr>
        <w:t>当</w:t>
      </w:r>
      <w:r>
        <w:rPr>
          <w:rFonts w:hint="eastAsia" w:ascii="Times New Roman" w:hAnsi="Times New Roman" w:eastAsia="宋体" w:cs="Times New Roman"/>
          <w:color w:val="auto"/>
          <w:kern w:val="2"/>
          <w:sz w:val="21"/>
          <w:szCs w:val="21"/>
          <w:highlight w:val="none"/>
          <w:lang w:val="en-US" w:eastAsia="zh-CN" w:bidi="ar-SA"/>
        </w:rPr>
        <w:t>以书面形式要求供应商澄清、说明或者补正；</w:t>
      </w:r>
      <w:r>
        <w:rPr>
          <w:rFonts w:hint="eastAsia" w:cs="Times New Roman"/>
          <w:color w:val="auto"/>
          <w:kern w:val="2"/>
          <w:sz w:val="21"/>
          <w:szCs w:val="21"/>
          <w:highlight w:val="none"/>
          <w:lang w:val="en-US" w:eastAsia="zh-CN" w:bidi="ar-SA"/>
        </w:rPr>
        <w:t>经</w:t>
      </w:r>
      <w:r>
        <w:rPr>
          <w:rFonts w:hint="eastAsia" w:ascii="Times New Roman" w:hAnsi="Times New Roman" w:eastAsia="宋体" w:cs="Times New Roman"/>
          <w:color w:val="auto"/>
          <w:kern w:val="2"/>
          <w:sz w:val="21"/>
          <w:szCs w:val="21"/>
          <w:highlight w:val="none"/>
          <w:lang w:val="en-US" w:eastAsia="zh-CN" w:bidi="ar-SA"/>
        </w:rPr>
        <w:t>澄清、说明或者补正后仍不符合要求的，不认定为本国产品。</w:t>
      </w:r>
    </w:p>
    <w:p w14:paraId="3BDAF784">
      <w:pPr>
        <w:pStyle w:val="19"/>
        <w:ind w:firstLine="420" w:firstLineChars="200"/>
        <w:rPr>
          <w:rFonts w:hint="default"/>
          <w:color w:val="auto"/>
          <w:sz w:val="21"/>
          <w:szCs w:val="21"/>
          <w:highlight w:val="none"/>
          <w:lang w:val="en-US" w:eastAsia="zh-CN"/>
        </w:rPr>
      </w:pPr>
      <w:r>
        <w:rPr>
          <w:rFonts w:hint="eastAsia"/>
          <w:color w:val="auto"/>
          <w:sz w:val="21"/>
          <w:szCs w:val="21"/>
          <w:highlight w:val="none"/>
          <w:lang w:val="en-US" w:eastAsia="zh-CN"/>
        </w:rPr>
        <w:t>澄清补正应当按照“6.3.3澄清、说明或补正”的规定提交。</w:t>
      </w:r>
    </w:p>
    <w:p w14:paraId="17CA438C">
      <w:pPr>
        <w:pStyle w:val="19"/>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1.9.4.3成本核算与承诺</w:t>
      </w:r>
    </w:p>
    <w:p w14:paraId="4FD2D18B">
      <w:pPr>
        <w:pStyle w:val="19"/>
        <w:ind w:firstLine="420" w:firstLineChars="20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供应商应依据《中国境内生产的组件成本核算基本规则》核算产品成本占比，并对核算结果负责，按要求提交《</w:t>
      </w:r>
      <w:r>
        <w:rPr>
          <w:rFonts w:hint="eastAsia" w:cs="Times New Roman"/>
          <w:color w:val="auto"/>
          <w:kern w:val="2"/>
          <w:sz w:val="21"/>
          <w:szCs w:val="21"/>
          <w:highlight w:val="none"/>
          <w:lang w:val="en-US" w:eastAsia="zh-CN" w:bidi="ar-SA"/>
        </w:rPr>
        <w:t>关于符合</w:t>
      </w:r>
      <w:r>
        <w:rPr>
          <w:rFonts w:hint="default" w:ascii="Times New Roman" w:hAnsi="Times New Roman" w:eastAsia="宋体" w:cs="Times New Roman"/>
          <w:color w:val="auto"/>
          <w:kern w:val="2"/>
          <w:sz w:val="21"/>
          <w:szCs w:val="21"/>
          <w:highlight w:val="none"/>
          <w:lang w:val="en-US" w:eastAsia="zh-CN" w:bidi="ar-SA"/>
        </w:rPr>
        <w:t>本国产品</w:t>
      </w:r>
      <w:r>
        <w:rPr>
          <w:rFonts w:hint="eastAsia" w:cs="Times New Roman"/>
          <w:color w:val="auto"/>
          <w:kern w:val="2"/>
          <w:sz w:val="21"/>
          <w:szCs w:val="21"/>
          <w:highlight w:val="none"/>
          <w:lang w:val="en-US" w:eastAsia="zh-CN" w:bidi="ar-SA"/>
        </w:rPr>
        <w:t>标准的</w:t>
      </w:r>
      <w:r>
        <w:rPr>
          <w:rFonts w:hint="default" w:ascii="Times New Roman" w:hAnsi="Times New Roman" w:eastAsia="宋体" w:cs="Times New Roman"/>
          <w:color w:val="auto"/>
          <w:kern w:val="2"/>
          <w:sz w:val="21"/>
          <w:szCs w:val="21"/>
          <w:highlight w:val="none"/>
          <w:lang w:val="en-US" w:eastAsia="zh-CN" w:bidi="ar-SA"/>
        </w:rPr>
        <w:t>成本占比承诺函》</w:t>
      </w:r>
      <w:r>
        <w:rPr>
          <w:rFonts w:hint="eastAsia" w:cs="Times New Roman"/>
          <w:color w:val="auto"/>
          <w:kern w:val="2"/>
          <w:sz w:val="21"/>
          <w:szCs w:val="21"/>
          <w:highlight w:val="none"/>
          <w:lang w:val="en-US" w:eastAsia="zh-CN" w:bidi="ar-SA"/>
        </w:rPr>
        <w:t>（如适用）</w:t>
      </w:r>
      <w:r>
        <w:rPr>
          <w:rFonts w:hint="default" w:ascii="Times New Roman" w:hAnsi="Times New Roman" w:eastAsia="宋体" w:cs="Times New Roman"/>
          <w:color w:val="auto"/>
          <w:kern w:val="2"/>
          <w:sz w:val="21"/>
          <w:szCs w:val="21"/>
          <w:highlight w:val="none"/>
          <w:lang w:val="en-US" w:eastAsia="zh-CN" w:bidi="ar-SA"/>
        </w:rPr>
        <w:t>（参考模板</w:t>
      </w:r>
      <w:r>
        <w:rPr>
          <w:rFonts w:hint="eastAsia" w:cs="Times New Roman"/>
          <w:color w:val="auto"/>
          <w:kern w:val="2"/>
          <w:sz w:val="21"/>
          <w:szCs w:val="21"/>
          <w:highlight w:val="none"/>
          <w:lang w:val="en-US" w:eastAsia="zh-CN" w:bidi="ar-SA"/>
        </w:rPr>
        <w:t>详见响应文件格式</w:t>
      </w:r>
      <w:r>
        <w:rPr>
          <w:rFonts w:hint="default" w:ascii="Times New Roman" w:hAnsi="Times New Roman" w:eastAsia="宋体" w:cs="Times New Roman"/>
          <w:color w:val="auto"/>
          <w:kern w:val="2"/>
          <w:sz w:val="21"/>
          <w:szCs w:val="21"/>
          <w:highlight w:val="none"/>
          <w:lang w:val="en-US" w:eastAsia="zh-CN" w:bidi="ar-SA"/>
        </w:rPr>
        <w:t>）。相关成本核算的原始凭证应妥善留存，以备核查。采购人可在履约验收环节对相关材料进行抽查。</w:t>
      </w:r>
    </w:p>
    <w:p w14:paraId="4A275DD3">
      <w:pPr>
        <w:spacing w:before="120" w:line="320" w:lineRule="atLeast"/>
        <w:ind w:firstLine="420" w:firstLineChars="200"/>
        <w:rPr>
          <w:rFonts w:hint="default"/>
          <w:color w:val="auto"/>
          <w:szCs w:val="21"/>
          <w:highlight w:val="none"/>
          <w:lang w:val="en-US" w:eastAsia="zh-CN"/>
        </w:rPr>
      </w:pPr>
      <w:r>
        <w:rPr>
          <w:rFonts w:hint="eastAsia" w:ascii="Times New Roman" w:eastAsia="宋体"/>
          <w:color w:val="auto"/>
          <w:szCs w:val="21"/>
          <w:highlight w:val="none"/>
          <w:lang w:val="en-US" w:eastAsia="zh-CN"/>
        </w:rPr>
        <w:t>1.9.5 争议处理</w:t>
      </w:r>
    </w:p>
    <w:p w14:paraId="2BB89A27">
      <w:pPr>
        <w:spacing w:before="120" w:line="360" w:lineRule="auto"/>
        <w:ind w:firstLine="420" w:firstLineChars="200"/>
        <w:rPr>
          <w:color w:val="auto"/>
          <w:szCs w:val="21"/>
          <w:highlight w:val="none"/>
        </w:rPr>
      </w:pPr>
      <w:r>
        <w:rPr>
          <w:rFonts w:hint="eastAsia" w:ascii="Times New Roman" w:eastAsia="宋体"/>
          <w:color w:val="auto"/>
          <w:szCs w:val="21"/>
          <w:highlight w:val="none"/>
          <w:lang w:val="en-US" w:eastAsia="zh-CN"/>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1195E5C">
      <w:pPr>
        <w:spacing w:before="120" w:line="320" w:lineRule="atLeast"/>
        <w:ind w:left="2" w:leftChars="1" w:firstLine="422" w:firstLineChars="200"/>
        <w:outlineLvl w:val="1"/>
        <w:rPr>
          <w:b/>
          <w:bCs/>
          <w:color w:val="auto"/>
          <w:kern w:val="0"/>
          <w:szCs w:val="21"/>
          <w:highlight w:val="none"/>
        </w:rPr>
      </w:pPr>
      <w:bookmarkStart w:id="29" w:name="_Toc254970534"/>
      <w:bookmarkStart w:id="30" w:name="_Toc254970675"/>
      <w:r>
        <w:rPr>
          <w:b/>
          <w:bCs/>
          <w:color w:val="auto"/>
          <w:kern w:val="0"/>
          <w:szCs w:val="21"/>
          <w:highlight w:val="none"/>
        </w:rPr>
        <w:t>2．采购文件</w:t>
      </w:r>
      <w:bookmarkEnd w:id="29"/>
      <w:bookmarkEnd w:id="30"/>
    </w:p>
    <w:p w14:paraId="54B94796">
      <w:pPr>
        <w:spacing w:before="120" w:line="320" w:lineRule="atLeast"/>
        <w:ind w:firstLine="422" w:firstLineChars="200"/>
        <w:outlineLvl w:val="2"/>
        <w:rPr>
          <w:b/>
          <w:bCs/>
          <w:color w:val="auto"/>
          <w:kern w:val="0"/>
          <w:szCs w:val="21"/>
          <w:highlight w:val="none"/>
        </w:rPr>
      </w:pPr>
      <w:r>
        <w:rPr>
          <w:b/>
          <w:bCs/>
          <w:color w:val="auto"/>
          <w:kern w:val="0"/>
          <w:szCs w:val="21"/>
          <w:highlight w:val="none"/>
        </w:rPr>
        <w:t>2.1采购文件的构成</w:t>
      </w:r>
    </w:p>
    <w:p w14:paraId="331D01D6">
      <w:pPr>
        <w:spacing w:before="120" w:line="320" w:lineRule="atLeast"/>
        <w:ind w:firstLine="420" w:firstLineChars="200"/>
        <w:rPr>
          <w:color w:val="auto"/>
          <w:szCs w:val="21"/>
          <w:highlight w:val="none"/>
        </w:rPr>
      </w:pPr>
      <w:r>
        <w:rPr>
          <w:color w:val="auto"/>
          <w:szCs w:val="21"/>
          <w:highlight w:val="none"/>
        </w:rPr>
        <w:t>第一章 磋商公告</w:t>
      </w:r>
    </w:p>
    <w:p w14:paraId="5511B4C2">
      <w:pPr>
        <w:spacing w:before="120" w:line="320" w:lineRule="atLeast"/>
        <w:ind w:firstLine="420" w:firstLineChars="200"/>
        <w:rPr>
          <w:color w:val="auto"/>
          <w:szCs w:val="21"/>
          <w:highlight w:val="none"/>
        </w:rPr>
      </w:pPr>
      <w:r>
        <w:rPr>
          <w:color w:val="auto"/>
          <w:szCs w:val="21"/>
          <w:highlight w:val="none"/>
        </w:rPr>
        <w:t>第二章 采购需求</w:t>
      </w:r>
    </w:p>
    <w:p w14:paraId="73FBA0E4">
      <w:pPr>
        <w:spacing w:before="120" w:line="320" w:lineRule="atLeast"/>
        <w:ind w:firstLine="420" w:firstLineChars="200"/>
        <w:rPr>
          <w:color w:val="auto"/>
          <w:szCs w:val="21"/>
          <w:highlight w:val="none"/>
        </w:rPr>
      </w:pPr>
      <w:r>
        <w:rPr>
          <w:color w:val="auto"/>
          <w:szCs w:val="21"/>
          <w:highlight w:val="none"/>
        </w:rPr>
        <w:t>第三章 供应商须知</w:t>
      </w:r>
    </w:p>
    <w:p w14:paraId="772950D0">
      <w:pPr>
        <w:spacing w:before="120" w:line="320" w:lineRule="atLeast"/>
        <w:ind w:firstLine="420" w:firstLineChars="200"/>
        <w:rPr>
          <w:color w:val="auto"/>
          <w:szCs w:val="21"/>
          <w:highlight w:val="none"/>
        </w:rPr>
      </w:pPr>
      <w:r>
        <w:rPr>
          <w:color w:val="auto"/>
          <w:szCs w:val="21"/>
          <w:highlight w:val="none"/>
        </w:rPr>
        <w:t>第四章 评审方法及标准</w:t>
      </w:r>
    </w:p>
    <w:p w14:paraId="41671A5B">
      <w:pPr>
        <w:spacing w:before="120" w:line="320" w:lineRule="atLeast"/>
        <w:ind w:firstLine="420" w:firstLineChars="200"/>
        <w:rPr>
          <w:color w:val="auto"/>
          <w:szCs w:val="21"/>
          <w:highlight w:val="none"/>
        </w:rPr>
      </w:pPr>
      <w:r>
        <w:rPr>
          <w:color w:val="auto"/>
          <w:szCs w:val="21"/>
          <w:highlight w:val="none"/>
        </w:rPr>
        <w:t>第五章 合同主要条款格式</w:t>
      </w:r>
    </w:p>
    <w:p w14:paraId="015A902F">
      <w:pPr>
        <w:spacing w:before="120" w:line="320" w:lineRule="atLeast"/>
        <w:ind w:firstLine="420" w:firstLineChars="200"/>
        <w:rPr>
          <w:color w:val="auto"/>
          <w:szCs w:val="21"/>
          <w:highlight w:val="none"/>
        </w:rPr>
      </w:pPr>
      <w:r>
        <w:rPr>
          <w:color w:val="auto"/>
          <w:szCs w:val="21"/>
          <w:highlight w:val="none"/>
        </w:rPr>
        <w:t>第六章 响应文件格式</w:t>
      </w:r>
    </w:p>
    <w:p w14:paraId="7327834D">
      <w:pPr>
        <w:spacing w:before="120" w:line="320" w:lineRule="atLeast"/>
        <w:ind w:firstLine="422" w:firstLineChars="200"/>
        <w:outlineLvl w:val="2"/>
        <w:rPr>
          <w:b/>
          <w:bCs/>
          <w:color w:val="auto"/>
          <w:kern w:val="0"/>
          <w:szCs w:val="21"/>
          <w:highlight w:val="none"/>
        </w:rPr>
      </w:pPr>
      <w:r>
        <w:rPr>
          <w:b/>
          <w:bCs/>
          <w:color w:val="auto"/>
          <w:kern w:val="0"/>
          <w:szCs w:val="21"/>
          <w:highlight w:val="none"/>
        </w:rPr>
        <w:t>2.2供应商的风险</w:t>
      </w:r>
    </w:p>
    <w:p w14:paraId="10A05CBD">
      <w:pPr>
        <w:spacing w:before="120" w:line="320" w:lineRule="atLeast"/>
        <w:ind w:firstLine="420" w:firstLineChars="200"/>
        <w:rPr>
          <w:color w:val="auto"/>
          <w:szCs w:val="21"/>
          <w:highlight w:val="none"/>
        </w:rPr>
      </w:pPr>
      <w:r>
        <w:rPr>
          <w:color w:val="auto"/>
          <w:szCs w:val="21"/>
          <w:highlight w:val="none"/>
        </w:rPr>
        <w:t>供应商没有按照采购文件要求提供全部资料，或者供应商没有对采购文件在各方面作出实质性响应是供应商的风险，并可能导致其响应被否决。</w:t>
      </w:r>
    </w:p>
    <w:p w14:paraId="4721CD22">
      <w:pPr>
        <w:spacing w:before="120" w:line="320" w:lineRule="atLeast"/>
        <w:ind w:firstLine="422" w:firstLineChars="200"/>
        <w:outlineLvl w:val="2"/>
        <w:rPr>
          <w:b/>
          <w:color w:val="auto"/>
          <w:szCs w:val="21"/>
          <w:highlight w:val="none"/>
        </w:rPr>
      </w:pPr>
      <w:r>
        <w:rPr>
          <w:b/>
          <w:bCs/>
          <w:color w:val="auto"/>
          <w:kern w:val="0"/>
          <w:szCs w:val="21"/>
          <w:highlight w:val="none"/>
        </w:rPr>
        <w:t>2.3采购文件的澄清与修改</w:t>
      </w:r>
    </w:p>
    <w:p w14:paraId="7BF6EFA3">
      <w:pPr>
        <w:spacing w:before="120" w:line="320" w:lineRule="atLeast"/>
        <w:ind w:firstLine="420" w:firstLineChars="200"/>
        <w:rPr>
          <w:color w:val="auto"/>
          <w:szCs w:val="21"/>
          <w:highlight w:val="none"/>
        </w:rPr>
      </w:pPr>
      <w:r>
        <w:rPr>
          <w:color w:val="auto"/>
          <w:szCs w:val="21"/>
          <w:highlight w:val="none"/>
        </w:rPr>
        <w:t>2.3.1</w:t>
      </w:r>
      <w:r>
        <w:rPr>
          <w:rFonts w:hint="eastAsia"/>
          <w:color w:val="auto"/>
          <w:szCs w:val="21"/>
          <w:highlight w:val="none"/>
        </w:rPr>
        <w:t>任何已获得采购文件的潜在供应商，均可</w:t>
      </w:r>
      <w:r>
        <w:rPr>
          <w:color w:val="auto"/>
          <w:szCs w:val="21"/>
          <w:highlight w:val="none"/>
        </w:rPr>
        <w:t>以书面形式要求采购代理机构作出书面解释、澄清</w:t>
      </w:r>
      <w:r>
        <w:rPr>
          <w:rFonts w:hint="eastAsia"/>
          <w:color w:val="auto"/>
          <w:szCs w:val="21"/>
          <w:highlight w:val="none"/>
        </w:rPr>
        <w:t>。</w:t>
      </w:r>
    </w:p>
    <w:p w14:paraId="4EB9CF89">
      <w:pPr>
        <w:spacing w:before="120" w:line="320" w:lineRule="atLeast"/>
        <w:ind w:firstLine="420" w:firstLineChars="200"/>
        <w:rPr>
          <w:rFonts w:hint="eastAsia"/>
          <w:color w:val="auto"/>
          <w:szCs w:val="21"/>
          <w:highlight w:val="none"/>
        </w:rPr>
      </w:pPr>
      <w:r>
        <w:rPr>
          <w:color w:val="auto"/>
          <w:szCs w:val="21"/>
          <w:highlight w:val="none"/>
        </w:rPr>
        <w:t>2.3.2</w:t>
      </w:r>
      <w:r>
        <w:rPr>
          <w:rFonts w:hint="eastAsia"/>
          <w:color w:val="auto"/>
          <w:szCs w:val="21"/>
          <w:highlight w:val="none"/>
        </w:rPr>
        <w:t>采购人、采购代理机构可以对已发出的采购文件进行必要的澄清或者修改，澄清或者修改的内容可能影响响应文件编制的，采购人、采购代理机构应当在提交首次响应文件截止之日3个工作日前，在供应商须知前附表规定的方式通知所有获取采购文件的潜在供应商，不足3个工作日的，采购人、采购代理机构应当顺延提交首次响应文件截止时间。</w:t>
      </w:r>
      <w:r>
        <w:rPr>
          <w:color w:val="auto"/>
          <w:szCs w:val="21"/>
          <w:highlight w:val="none"/>
        </w:rPr>
        <w:t xml:space="preserve"> </w:t>
      </w:r>
    </w:p>
    <w:p w14:paraId="39AB6FD9">
      <w:pPr>
        <w:spacing w:before="120" w:line="320" w:lineRule="atLeast"/>
        <w:ind w:firstLine="420" w:firstLineChars="200"/>
        <w:rPr>
          <w:color w:val="auto"/>
          <w:szCs w:val="21"/>
          <w:highlight w:val="none"/>
        </w:rPr>
      </w:pPr>
      <w:r>
        <w:rPr>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49B24B35">
      <w:pPr>
        <w:spacing w:before="120" w:line="320" w:lineRule="atLeast"/>
        <w:ind w:left="2" w:leftChars="1" w:firstLine="422" w:firstLineChars="200"/>
        <w:outlineLvl w:val="1"/>
        <w:rPr>
          <w:b/>
          <w:bCs/>
          <w:color w:val="auto"/>
          <w:kern w:val="0"/>
          <w:szCs w:val="21"/>
          <w:highlight w:val="none"/>
        </w:rPr>
      </w:pPr>
      <w:bookmarkStart w:id="31" w:name="_Toc254970676"/>
      <w:bookmarkStart w:id="32" w:name="_Toc254970535"/>
      <w:r>
        <w:rPr>
          <w:b/>
          <w:bCs/>
          <w:color w:val="auto"/>
          <w:kern w:val="0"/>
          <w:szCs w:val="21"/>
          <w:highlight w:val="none"/>
        </w:rPr>
        <w:t>3．响应文件</w:t>
      </w:r>
      <w:bookmarkEnd w:id="31"/>
      <w:bookmarkEnd w:id="32"/>
    </w:p>
    <w:p w14:paraId="5293E5B3">
      <w:pPr>
        <w:spacing w:before="120" w:line="320" w:lineRule="atLeast"/>
        <w:ind w:firstLine="422" w:firstLineChars="200"/>
        <w:outlineLvl w:val="2"/>
        <w:rPr>
          <w:b/>
          <w:bCs/>
          <w:color w:val="auto"/>
          <w:kern w:val="0"/>
          <w:szCs w:val="21"/>
          <w:highlight w:val="none"/>
        </w:rPr>
      </w:pPr>
      <w:bookmarkStart w:id="33" w:name="_Toc254970536"/>
      <w:bookmarkStart w:id="34" w:name="_Toc254970677"/>
      <w:r>
        <w:rPr>
          <w:b/>
          <w:bCs/>
          <w:color w:val="auto"/>
          <w:kern w:val="0"/>
          <w:szCs w:val="21"/>
          <w:highlight w:val="none"/>
        </w:rPr>
        <w:t>3.1响应文件的组成</w:t>
      </w:r>
      <w:bookmarkEnd w:id="33"/>
      <w:bookmarkEnd w:id="34"/>
    </w:p>
    <w:p w14:paraId="045C236D">
      <w:pPr>
        <w:spacing w:before="120" w:line="320" w:lineRule="atLeast"/>
        <w:ind w:firstLine="420" w:firstLineChars="200"/>
        <w:rPr>
          <w:color w:val="auto"/>
          <w:szCs w:val="21"/>
          <w:highlight w:val="none"/>
        </w:rPr>
      </w:pPr>
      <w:r>
        <w:rPr>
          <w:color w:val="auto"/>
          <w:szCs w:val="21"/>
          <w:highlight w:val="none"/>
        </w:rPr>
        <w:t>响应文件由第六章“响应文件格式”规定的</w:t>
      </w:r>
      <w:r>
        <w:rPr>
          <w:rFonts w:hint="eastAsia"/>
          <w:color w:val="auto"/>
          <w:szCs w:val="21"/>
          <w:highlight w:val="none"/>
        </w:rPr>
        <w:t>内容</w:t>
      </w:r>
      <w:r>
        <w:rPr>
          <w:color w:val="auto"/>
          <w:szCs w:val="21"/>
          <w:highlight w:val="none"/>
        </w:rPr>
        <w:t>和供应商所作的一切有效补充、修改和承诺等文件组成</w:t>
      </w:r>
      <w:r>
        <w:rPr>
          <w:rFonts w:hint="eastAsia"/>
          <w:color w:val="auto"/>
          <w:szCs w:val="21"/>
          <w:highlight w:val="none"/>
        </w:rPr>
        <w:t>。</w:t>
      </w:r>
    </w:p>
    <w:p w14:paraId="61DA75F3">
      <w:pPr>
        <w:spacing w:before="120" w:line="320" w:lineRule="atLeast"/>
        <w:ind w:firstLine="422" w:firstLineChars="200"/>
        <w:outlineLvl w:val="2"/>
        <w:rPr>
          <w:b/>
          <w:bCs/>
          <w:color w:val="auto"/>
          <w:kern w:val="0"/>
          <w:szCs w:val="21"/>
          <w:highlight w:val="none"/>
        </w:rPr>
      </w:pPr>
      <w:bookmarkStart w:id="35" w:name="_Toc254970678"/>
      <w:bookmarkStart w:id="36" w:name="_Toc254970537"/>
      <w:r>
        <w:rPr>
          <w:b/>
          <w:color w:val="auto"/>
          <w:szCs w:val="21"/>
          <w:highlight w:val="none"/>
        </w:rPr>
        <w:t>3.2</w:t>
      </w:r>
      <w:r>
        <w:rPr>
          <w:b/>
          <w:bCs/>
          <w:color w:val="auto"/>
          <w:kern w:val="0"/>
          <w:szCs w:val="21"/>
          <w:highlight w:val="none"/>
        </w:rPr>
        <w:t>响应文件的语言及计量</w:t>
      </w:r>
      <w:bookmarkEnd w:id="35"/>
      <w:bookmarkEnd w:id="36"/>
    </w:p>
    <w:p w14:paraId="01ECF671">
      <w:pPr>
        <w:spacing w:before="120" w:line="320" w:lineRule="atLeast"/>
        <w:ind w:firstLine="420" w:firstLineChars="200"/>
        <w:rPr>
          <w:color w:val="auto"/>
          <w:szCs w:val="21"/>
          <w:highlight w:val="none"/>
        </w:rPr>
      </w:pPr>
      <w:r>
        <w:rPr>
          <w:color w:val="auto"/>
          <w:szCs w:val="21"/>
          <w:highlight w:val="none"/>
        </w:rPr>
        <w:t>3.2.1</w:t>
      </w:r>
      <w:r>
        <w:rPr>
          <w:rFonts w:hint="eastAsia"/>
          <w:color w:val="auto"/>
          <w:szCs w:val="21"/>
          <w:highlight w:val="none"/>
        </w:rPr>
        <w:t>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1EC3A2E1">
      <w:pPr>
        <w:spacing w:before="120" w:line="320" w:lineRule="atLeast"/>
        <w:ind w:firstLine="420" w:firstLineChars="200"/>
        <w:rPr>
          <w:color w:val="auto"/>
          <w:szCs w:val="21"/>
          <w:highlight w:val="none"/>
        </w:rPr>
      </w:pPr>
      <w:r>
        <w:rPr>
          <w:color w:val="auto"/>
          <w:szCs w:val="21"/>
          <w:highlight w:val="none"/>
        </w:rPr>
        <w:t>3.2.2计量单位采购文件已有明确规定的，响应使用采购文件规定的计量单位；采购文件没有规定的，应采用中华人民共和国法定计量单位。</w:t>
      </w:r>
    </w:p>
    <w:p w14:paraId="02E187EF">
      <w:pPr>
        <w:spacing w:before="120" w:line="320" w:lineRule="atLeast"/>
        <w:ind w:firstLine="422" w:firstLineChars="200"/>
        <w:outlineLvl w:val="2"/>
        <w:rPr>
          <w:b/>
          <w:bCs/>
          <w:color w:val="auto"/>
          <w:kern w:val="0"/>
          <w:szCs w:val="21"/>
          <w:highlight w:val="none"/>
        </w:rPr>
      </w:pPr>
      <w:bookmarkStart w:id="37" w:name="_Toc254970679"/>
      <w:bookmarkStart w:id="38" w:name="_Toc254970538"/>
      <w:r>
        <w:rPr>
          <w:b/>
          <w:bCs/>
          <w:color w:val="auto"/>
          <w:kern w:val="0"/>
          <w:szCs w:val="21"/>
          <w:highlight w:val="none"/>
        </w:rPr>
        <w:t>3.3响应报价</w:t>
      </w:r>
      <w:bookmarkEnd w:id="37"/>
      <w:bookmarkEnd w:id="38"/>
    </w:p>
    <w:p w14:paraId="64DE358F">
      <w:pPr>
        <w:spacing w:before="120" w:line="320" w:lineRule="atLeast"/>
        <w:ind w:firstLine="420" w:firstLineChars="200"/>
        <w:rPr>
          <w:color w:val="auto"/>
          <w:szCs w:val="21"/>
          <w:highlight w:val="none"/>
        </w:rPr>
      </w:pPr>
      <w:r>
        <w:rPr>
          <w:color w:val="auto"/>
          <w:szCs w:val="21"/>
          <w:highlight w:val="none"/>
        </w:rPr>
        <w:t>3.3.1响应报价应按采购文件中相关附表格式填写。</w:t>
      </w:r>
    </w:p>
    <w:p w14:paraId="6937C0F4">
      <w:pPr>
        <w:spacing w:before="120" w:line="320" w:lineRule="atLeast"/>
        <w:ind w:firstLine="420" w:firstLineChars="200"/>
        <w:rPr>
          <w:color w:val="auto"/>
          <w:szCs w:val="21"/>
          <w:highlight w:val="none"/>
        </w:rPr>
      </w:pPr>
      <w:r>
        <w:rPr>
          <w:color w:val="auto"/>
          <w:szCs w:val="21"/>
          <w:highlight w:val="none"/>
        </w:rPr>
        <w:t>3.3.2响应文件只允许有一个报价，有选择的或有条件的报价将不予接受。</w:t>
      </w:r>
    </w:p>
    <w:p w14:paraId="1694E4A9">
      <w:pPr>
        <w:suppressAutoHyphens/>
        <w:spacing w:before="120" w:line="320" w:lineRule="atLeast"/>
        <w:ind w:firstLine="420" w:firstLineChars="200"/>
        <w:rPr>
          <w:color w:val="auto"/>
          <w:kern w:val="1"/>
          <w:szCs w:val="21"/>
          <w:highlight w:val="none"/>
        </w:rPr>
      </w:pPr>
      <w:r>
        <w:rPr>
          <w:color w:val="auto"/>
          <w:kern w:val="1"/>
          <w:szCs w:val="21"/>
          <w:highlight w:val="none"/>
        </w:rPr>
        <w:t>3.3.3对于本文件中未列明，而供应商认为必需的费用也需列入</w:t>
      </w:r>
      <w:r>
        <w:rPr>
          <w:rFonts w:hint="eastAsia"/>
          <w:color w:val="auto"/>
          <w:kern w:val="1"/>
          <w:szCs w:val="21"/>
          <w:highlight w:val="none"/>
        </w:rPr>
        <w:t>响应报价</w:t>
      </w:r>
      <w:r>
        <w:rPr>
          <w:color w:val="auto"/>
          <w:kern w:val="1"/>
          <w:szCs w:val="21"/>
          <w:highlight w:val="none"/>
        </w:rPr>
        <w:t>。在合同实施时，采购人将不予支付成交供应商没有列入的项目费用，并认为此项目的费用已包括在</w:t>
      </w:r>
      <w:r>
        <w:rPr>
          <w:rFonts w:hint="eastAsia"/>
          <w:color w:val="auto"/>
          <w:kern w:val="1"/>
          <w:szCs w:val="21"/>
          <w:highlight w:val="none"/>
        </w:rPr>
        <w:t>响应报价</w:t>
      </w:r>
      <w:r>
        <w:rPr>
          <w:color w:val="auto"/>
          <w:kern w:val="1"/>
          <w:szCs w:val="21"/>
          <w:highlight w:val="none"/>
        </w:rPr>
        <w:t>中。</w:t>
      </w:r>
    </w:p>
    <w:p w14:paraId="086F6E56">
      <w:pPr>
        <w:suppressAutoHyphens/>
        <w:spacing w:before="120" w:line="320" w:lineRule="atLeast"/>
        <w:ind w:firstLine="420" w:firstLineChars="200"/>
        <w:rPr>
          <w:b/>
          <w:bCs/>
          <w:color w:val="auto"/>
          <w:kern w:val="1"/>
          <w:szCs w:val="21"/>
          <w:highlight w:val="none"/>
        </w:rPr>
      </w:pPr>
      <w:r>
        <w:rPr>
          <w:rFonts w:hint="eastAsia"/>
          <w:color w:val="auto"/>
          <w:kern w:val="1"/>
          <w:szCs w:val="21"/>
          <w:highlight w:val="none"/>
        </w:rPr>
        <w:t>3</w:t>
      </w:r>
      <w:r>
        <w:rPr>
          <w:color w:val="auto"/>
          <w:kern w:val="1"/>
          <w:szCs w:val="21"/>
          <w:highlight w:val="none"/>
        </w:rPr>
        <w:t>.3.4</w:t>
      </w:r>
      <w:r>
        <w:rPr>
          <w:rFonts w:hint="eastAsia"/>
          <w:color w:val="auto"/>
          <w:kern w:val="1"/>
          <w:szCs w:val="21"/>
          <w:highlight w:val="none"/>
        </w:rPr>
        <w:t>采购人不接受供应商给予的赠品、回扣或者与采购无关的其他商品、服务。</w:t>
      </w:r>
    </w:p>
    <w:p w14:paraId="147F74A5">
      <w:pPr>
        <w:spacing w:before="120" w:line="320" w:lineRule="atLeast"/>
        <w:ind w:firstLine="422" w:firstLineChars="200"/>
        <w:outlineLvl w:val="2"/>
        <w:rPr>
          <w:b/>
          <w:bCs/>
          <w:color w:val="auto"/>
          <w:kern w:val="0"/>
          <w:szCs w:val="21"/>
          <w:highlight w:val="none"/>
        </w:rPr>
      </w:pPr>
      <w:r>
        <w:rPr>
          <w:b/>
          <w:bCs/>
          <w:color w:val="auto"/>
          <w:kern w:val="0"/>
          <w:szCs w:val="21"/>
          <w:highlight w:val="none"/>
        </w:rPr>
        <w:t>3.4响应有效期</w:t>
      </w:r>
    </w:p>
    <w:p w14:paraId="61BBF9EC">
      <w:pPr>
        <w:spacing w:before="120" w:line="320" w:lineRule="atLeast"/>
        <w:ind w:firstLine="420" w:firstLineChars="200"/>
        <w:rPr>
          <w:color w:val="auto"/>
          <w:szCs w:val="21"/>
          <w:highlight w:val="none"/>
        </w:rPr>
      </w:pPr>
      <w:r>
        <w:rPr>
          <w:color w:val="auto"/>
          <w:szCs w:val="21"/>
          <w:highlight w:val="none"/>
        </w:rPr>
        <w:t>3.4.1如采购文件其他地方无特别规定</w:t>
      </w:r>
      <w:r>
        <w:rPr>
          <w:rFonts w:hint="eastAsia"/>
          <w:color w:val="auto"/>
          <w:szCs w:val="21"/>
          <w:highlight w:val="none"/>
        </w:rPr>
        <w:t>，</w:t>
      </w:r>
      <w:r>
        <w:rPr>
          <w:color w:val="auto"/>
          <w:szCs w:val="21"/>
          <w:highlight w:val="none"/>
        </w:rPr>
        <w:t>响应有效期则为响应截止之日起90天</w:t>
      </w:r>
      <w:r>
        <w:rPr>
          <w:rFonts w:hint="eastAsia"/>
          <w:color w:val="auto"/>
          <w:szCs w:val="21"/>
          <w:highlight w:val="none"/>
        </w:rPr>
        <w:t>。</w:t>
      </w:r>
      <w:r>
        <w:rPr>
          <w:color w:val="auto"/>
          <w:szCs w:val="21"/>
          <w:highlight w:val="none"/>
        </w:rPr>
        <w:t>在响应有效期内响应文件应保持有效。</w:t>
      </w:r>
      <w:r>
        <w:rPr>
          <w:b/>
          <w:bCs/>
          <w:color w:val="auto"/>
          <w:szCs w:val="21"/>
          <w:highlight w:val="none"/>
        </w:rPr>
        <w:t>有效期不足的响应文件将被否决</w:t>
      </w:r>
      <w:r>
        <w:rPr>
          <w:color w:val="auto"/>
          <w:szCs w:val="21"/>
          <w:highlight w:val="none"/>
        </w:rPr>
        <w:t>。</w:t>
      </w:r>
    </w:p>
    <w:p w14:paraId="1207F210">
      <w:pPr>
        <w:spacing w:before="120" w:line="320" w:lineRule="atLeast"/>
        <w:ind w:firstLine="420" w:firstLineChars="200"/>
        <w:rPr>
          <w:color w:val="auto"/>
          <w:szCs w:val="21"/>
          <w:highlight w:val="none"/>
        </w:rPr>
      </w:pPr>
      <w:r>
        <w:rPr>
          <w:color w:val="auto"/>
          <w:szCs w:val="21"/>
          <w:highlight w:val="none"/>
        </w:rPr>
        <w:t>3.4.2在特殊情况下，采购人可与供应商协商延长响应文件的有效期，这种要求和答复均以书面形式进行。</w:t>
      </w:r>
    </w:p>
    <w:p w14:paraId="43184EC4">
      <w:pPr>
        <w:spacing w:before="120" w:line="320" w:lineRule="atLeast"/>
        <w:ind w:firstLine="420" w:firstLineChars="200"/>
        <w:rPr>
          <w:color w:val="auto"/>
          <w:szCs w:val="21"/>
          <w:highlight w:val="none"/>
        </w:rPr>
      </w:pPr>
      <w:r>
        <w:rPr>
          <w:color w:val="auto"/>
          <w:szCs w:val="21"/>
          <w:highlight w:val="none"/>
        </w:rPr>
        <w:t>3.4.3</w:t>
      </w:r>
      <w:r>
        <w:rPr>
          <w:rFonts w:hint="eastAsia"/>
          <w:color w:val="auto"/>
          <w:szCs w:val="21"/>
          <w:highlight w:val="none"/>
        </w:rPr>
        <w:t>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1A82F1B7">
      <w:pPr>
        <w:spacing w:before="120" w:line="320" w:lineRule="atLeast"/>
        <w:ind w:firstLine="422" w:firstLineChars="200"/>
        <w:outlineLvl w:val="2"/>
        <w:rPr>
          <w:b/>
          <w:bCs/>
          <w:color w:val="auto"/>
          <w:kern w:val="0"/>
          <w:szCs w:val="21"/>
          <w:highlight w:val="none"/>
        </w:rPr>
      </w:pPr>
      <w:bookmarkStart w:id="39" w:name="_Toc254970541"/>
      <w:bookmarkStart w:id="40" w:name="_Toc254970682"/>
      <w:r>
        <w:rPr>
          <w:b/>
          <w:bCs/>
          <w:color w:val="auto"/>
          <w:kern w:val="0"/>
          <w:szCs w:val="21"/>
          <w:highlight w:val="none"/>
        </w:rPr>
        <w:t>3.5磋商保证金</w:t>
      </w:r>
      <w:bookmarkEnd w:id="39"/>
      <w:bookmarkEnd w:id="40"/>
    </w:p>
    <w:p w14:paraId="1D03EB04">
      <w:pPr>
        <w:spacing w:before="120" w:line="320" w:lineRule="atLeast"/>
        <w:ind w:firstLine="420" w:firstLineChars="200"/>
        <w:rPr>
          <w:color w:val="auto"/>
          <w:szCs w:val="21"/>
          <w:highlight w:val="none"/>
        </w:rPr>
      </w:pPr>
      <w:r>
        <w:rPr>
          <w:color w:val="auto"/>
          <w:szCs w:val="21"/>
          <w:highlight w:val="none"/>
        </w:rPr>
        <w:t>3.5.1供应商须按须知前附表规定提交磋商保证金，</w:t>
      </w:r>
      <w:r>
        <w:rPr>
          <w:b/>
          <w:bCs/>
          <w:color w:val="auto"/>
          <w:szCs w:val="21"/>
          <w:highlight w:val="none"/>
        </w:rPr>
        <w:t>否则其响应将被否决</w:t>
      </w:r>
      <w:r>
        <w:rPr>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17307C7C">
      <w:pPr>
        <w:spacing w:before="120" w:line="320" w:lineRule="atLeast"/>
        <w:ind w:firstLine="420" w:firstLineChars="200"/>
        <w:rPr>
          <w:color w:val="auto"/>
          <w:szCs w:val="21"/>
          <w:highlight w:val="none"/>
        </w:rPr>
      </w:pPr>
      <w:r>
        <w:rPr>
          <w:color w:val="auto"/>
          <w:szCs w:val="21"/>
          <w:highlight w:val="none"/>
        </w:rPr>
        <w:t>3.5.2磋商保证金币种应与响应报价币种相同。</w:t>
      </w:r>
    </w:p>
    <w:p w14:paraId="2027E687">
      <w:pPr>
        <w:spacing w:before="120" w:line="320" w:lineRule="atLeast"/>
        <w:ind w:firstLine="420" w:firstLineChars="200"/>
        <w:rPr>
          <w:color w:val="auto"/>
          <w:szCs w:val="21"/>
          <w:highlight w:val="none"/>
        </w:rPr>
      </w:pPr>
      <w:r>
        <w:rPr>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3A95DBB">
      <w:pPr>
        <w:spacing w:before="120" w:line="320" w:lineRule="atLeast"/>
        <w:ind w:firstLine="420" w:firstLineChars="200"/>
        <w:rPr>
          <w:color w:val="auto"/>
          <w:szCs w:val="21"/>
          <w:highlight w:val="none"/>
        </w:rPr>
      </w:pPr>
      <w:r>
        <w:rPr>
          <w:color w:val="auto"/>
          <w:szCs w:val="21"/>
          <w:highlight w:val="none"/>
        </w:rPr>
        <w:t>3.5.4供应商有下列情形之一的，磋商保证金将不予退还：</w:t>
      </w:r>
    </w:p>
    <w:p w14:paraId="5F4F0A09">
      <w:pPr>
        <w:numPr>
          <w:ilvl w:val="0"/>
          <w:numId w:val="1"/>
        </w:numPr>
        <w:spacing w:before="120" w:line="320" w:lineRule="atLeast"/>
        <w:rPr>
          <w:color w:val="auto"/>
          <w:szCs w:val="21"/>
          <w:highlight w:val="none"/>
        </w:rPr>
      </w:pPr>
      <w:r>
        <w:rPr>
          <w:color w:val="auto"/>
          <w:szCs w:val="21"/>
          <w:highlight w:val="none"/>
        </w:rPr>
        <w:t>供应商在响应有效期内撤销响应文件的；</w:t>
      </w:r>
    </w:p>
    <w:p w14:paraId="2ACF0C07">
      <w:pPr>
        <w:numPr>
          <w:ilvl w:val="0"/>
          <w:numId w:val="1"/>
        </w:numPr>
        <w:spacing w:before="120" w:line="320" w:lineRule="atLeast"/>
        <w:rPr>
          <w:color w:val="auto"/>
          <w:szCs w:val="21"/>
          <w:highlight w:val="none"/>
        </w:rPr>
      </w:pPr>
      <w:r>
        <w:rPr>
          <w:color w:val="auto"/>
          <w:szCs w:val="21"/>
          <w:highlight w:val="none"/>
        </w:rPr>
        <w:t>供应商在响应过程中弄虚作假，提供虚假材料的；</w:t>
      </w:r>
    </w:p>
    <w:p w14:paraId="13C6CED3">
      <w:pPr>
        <w:numPr>
          <w:ilvl w:val="0"/>
          <w:numId w:val="1"/>
        </w:numPr>
        <w:spacing w:before="120" w:line="320" w:lineRule="atLeast"/>
        <w:rPr>
          <w:color w:val="auto"/>
          <w:szCs w:val="21"/>
          <w:highlight w:val="none"/>
        </w:rPr>
      </w:pPr>
      <w:r>
        <w:rPr>
          <w:color w:val="auto"/>
          <w:szCs w:val="21"/>
          <w:highlight w:val="none"/>
        </w:rPr>
        <w:t>成交供应商无正当理由不与采购人签订合同的；</w:t>
      </w:r>
    </w:p>
    <w:p w14:paraId="7485C199">
      <w:pPr>
        <w:numPr>
          <w:ilvl w:val="0"/>
          <w:numId w:val="1"/>
        </w:numPr>
        <w:spacing w:before="120" w:line="320" w:lineRule="atLeast"/>
        <w:rPr>
          <w:color w:val="auto"/>
          <w:szCs w:val="21"/>
          <w:highlight w:val="none"/>
        </w:rPr>
      </w:pPr>
      <w:r>
        <w:rPr>
          <w:color w:val="auto"/>
          <w:szCs w:val="21"/>
          <w:highlight w:val="none"/>
        </w:rPr>
        <w:t>将成交项目转让给他人或者在响应文件中未说明且未经采购人同意，将成交项目分包给他人的；</w:t>
      </w:r>
    </w:p>
    <w:p w14:paraId="36E1A8B2">
      <w:pPr>
        <w:numPr>
          <w:ilvl w:val="0"/>
          <w:numId w:val="1"/>
        </w:numPr>
        <w:spacing w:before="120" w:line="320" w:lineRule="atLeast"/>
        <w:rPr>
          <w:color w:val="auto"/>
          <w:szCs w:val="21"/>
          <w:highlight w:val="none"/>
        </w:rPr>
      </w:pPr>
      <w:r>
        <w:rPr>
          <w:rFonts w:hint="eastAsia"/>
          <w:color w:val="auto"/>
          <w:szCs w:val="21"/>
          <w:highlight w:val="none"/>
        </w:rPr>
        <w:t>供应商与采购人、其他供应商或者采购代理机构恶意串通的；</w:t>
      </w:r>
    </w:p>
    <w:p w14:paraId="729E8D87">
      <w:pPr>
        <w:numPr>
          <w:ilvl w:val="0"/>
          <w:numId w:val="1"/>
        </w:numPr>
        <w:spacing w:before="120" w:line="320" w:lineRule="atLeast"/>
        <w:rPr>
          <w:color w:val="auto"/>
          <w:szCs w:val="21"/>
          <w:highlight w:val="none"/>
        </w:rPr>
      </w:pPr>
      <w:r>
        <w:rPr>
          <w:color w:val="auto"/>
          <w:szCs w:val="21"/>
          <w:highlight w:val="none"/>
        </w:rPr>
        <w:t>拒绝履行合同义务的；</w:t>
      </w:r>
    </w:p>
    <w:p w14:paraId="07834A72">
      <w:pPr>
        <w:numPr>
          <w:ilvl w:val="0"/>
          <w:numId w:val="1"/>
        </w:numPr>
        <w:spacing w:before="120" w:line="320" w:lineRule="atLeast"/>
        <w:rPr>
          <w:color w:val="auto"/>
          <w:szCs w:val="21"/>
          <w:highlight w:val="none"/>
        </w:rPr>
      </w:pPr>
      <w:r>
        <w:rPr>
          <w:color w:val="auto"/>
          <w:szCs w:val="21"/>
          <w:highlight w:val="none"/>
        </w:rPr>
        <w:t>其他严重扰乱招</w:t>
      </w:r>
      <w:r>
        <w:rPr>
          <w:rFonts w:hint="eastAsia"/>
          <w:color w:val="auto"/>
          <w:szCs w:val="21"/>
          <w:highlight w:val="none"/>
        </w:rPr>
        <w:t>投标</w:t>
      </w:r>
      <w:r>
        <w:rPr>
          <w:color w:val="auto"/>
          <w:szCs w:val="21"/>
          <w:highlight w:val="none"/>
        </w:rPr>
        <w:t>程序的</w:t>
      </w:r>
      <w:r>
        <w:rPr>
          <w:rFonts w:hint="eastAsia"/>
          <w:color w:val="auto"/>
          <w:szCs w:val="21"/>
          <w:highlight w:val="none"/>
        </w:rPr>
        <w:t>。</w:t>
      </w:r>
    </w:p>
    <w:p w14:paraId="0EBF3E05">
      <w:pPr>
        <w:spacing w:before="120" w:line="320" w:lineRule="atLeast"/>
        <w:ind w:firstLine="422" w:firstLineChars="200"/>
        <w:outlineLvl w:val="2"/>
        <w:rPr>
          <w:b/>
          <w:bCs/>
          <w:color w:val="auto"/>
          <w:kern w:val="0"/>
          <w:szCs w:val="21"/>
          <w:highlight w:val="none"/>
        </w:rPr>
      </w:pPr>
      <w:bookmarkStart w:id="41" w:name="_Toc254970542"/>
      <w:bookmarkStart w:id="42" w:name="_Toc254970683"/>
      <w:r>
        <w:rPr>
          <w:b/>
          <w:bCs/>
          <w:color w:val="auto"/>
          <w:kern w:val="0"/>
          <w:szCs w:val="21"/>
          <w:highlight w:val="none"/>
        </w:rPr>
        <w:t>3.6响应文件的</w:t>
      </w:r>
      <w:bookmarkEnd w:id="41"/>
      <w:bookmarkEnd w:id="42"/>
      <w:r>
        <w:rPr>
          <w:b/>
          <w:bCs/>
          <w:color w:val="auto"/>
          <w:kern w:val="0"/>
          <w:szCs w:val="21"/>
          <w:highlight w:val="none"/>
        </w:rPr>
        <w:t>编制要求</w:t>
      </w:r>
    </w:p>
    <w:p w14:paraId="1A42E362">
      <w:pPr>
        <w:spacing w:before="120" w:line="320" w:lineRule="atLeast"/>
        <w:ind w:firstLine="420" w:firstLineChars="200"/>
        <w:rPr>
          <w:b/>
          <w:bCs/>
          <w:color w:val="auto"/>
          <w:kern w:val="0"/>
          <w:szCs w:val="21"/>
          <w:highlight w:val="none"/>
        </w:rPr>
      </w:pPr>
      <w:r>
        <w:rPr>
          <w:rFonts w:hint="eastAsia"/>
          <w:color w:val="auto"/>
          <w:kern w:val="0"/>
          <w:szCs w:val="21"/>
          <w:highlight w:val="none"/>
        </w:rPr>
        <w:t>3</w:t>
      </w:r>
      <w:r>
        <w:rPr>
          <w:color w:val="auto"/>
          <w:kern w:val="0"/>
          <w:szCs w:val="21"/>
          <w:highlight w:val="none"/>
        </w:rPr>
        <w:t>.6.1</w:t>
      </w:r>
      <w:r>
        <w:rPr>
          <w:rFonts w:hint="eastAsia"/>
          <w:color w:val="auto"/>
          <w:szCs w:val="21"/>
          <w:highlight w:val="none"/>
        </w:rPr>
        <w:t>供应商应先安装广西政府采购云平台新版客户端，通过账号密码或C</w:t>
      </w:r>
      <w:r>
        <w:rPr>
          <w:color w:val="auto"/>
          <w:szCs w:val="21"/>
          <w:highlight w:val="none"/>
        </w:rPr>
        <w:t>A</w:t>
      </w:r>
      <w:r>
        <w:rPr>
          <w:rFonts w:hint="eastAsia"/>
          <w:color w:val="auto"/>
          <w:szCs w:val="21"/>
          <w:highlight w:val="none"/>
        </w:rPr>
        <w:t>登录客户端制作响应文件。</w:t>
      </w:r>
    </w:p>
    <w:p w14:paraId="17D09803">
      <w:pPr>
        <w:spacing w:before="120" w:line="320" w:lineRule="atLeast"/>
        <w:ind w:firstLine="420" w:firstLineChars="200"/>
        <w:rPr>
          <w:color w:val="auto"/>
          <w:szCs w:val="21"/>
          <w:highlight w:val="none"/>
        </w:rPr>
      </w:pPr>
      <w:r>
        <w:rPr>
          <w:color w:val="auto"/>
          <w:szCs w:val="21"/>
          <w:highlight w:val="none"/>
        </w:rPr>
        <w:t>3.6.2</w:t>
      </w:r>
      <w:r>
        <w:rPr>
          <w:rFonts w:hint="eastAsia"/>
          <w:color w:val="auto"/>
          <w:szCs w:val="21"/>
          <w:highlight w:val="none"/>
        </w:rPr>
        <w:t>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178925D3">
      <w:pPr>
        <w:spacing w:before="120" w:line="320" w:lineRule="atLeast"/>
        <w:ind w:firstLine="420" w:firstLineChars="200"/>
        <w:rPr>
          <w:color w:val="auto"/>
          <w:szCs w:val="21"/>
          <w:highlight w:val="none"/>
        </w:rPr>
      </w:pPr>
      <w:r>
        <w:rPr>
          <w:color w:val="auto"/>
          <w:szCs w:val="21"/>
          <w:highlight w:val="none"/>
        </w:rPr>
        <w:t xml:space="preserve">3.6.3 </w:t>
      </w:r>
      <w:r>
        <w:rPr>
          <w:rFonts w:hint="eastAsia"/>
          <w:color w:val="auto"/>
          <w:szCs w:val="21"/>
          <w:highlight w:val="none"/>
        </w:rPr>
        <w:t>供应商的响应文件未按照采购文件要求签署、盖章的，其响应无效。</w:t>
      </w:r>
    </w:p>
    <w:p w14:paraId="5D25058D">
      <w:pPr>
        <w:spacing w:before="120" w:line="320" w:lineRule="atLeast"/>
        <w:ind w:firstLine="420" w:firstLineChars="200"/>
        <w:rPr>
          <w:color w:val="auto"/>
          <w:szCs w:val="21"/>
          <w:highlight w:val="none"/>
        </w:rPr>
      </w:pPr>
      <w:r>
        <w:rPr>
          <w:color w:val="auto"/>
          <w:szCs w:val="21"/>
          <w:highlight w:val="none"/>
        </w:rPr>
        <w:t>3.6.4</w:t>
      </w:r>
      <w:r>
        <w:rPr>
          <w:rFonts w:hint="eastAsia"/>
          <w:color w:val="auto"/>
          <w:szCs w:val="21"/>
          <w:highlight w:val="none"/>
        </w:rPr>
        <w:t>为确保网上操作合法、有效和安全，供应商应当在响应截止时间前完成在广西政府采购云平台的身份认证，确保在电子投标过程中能够对相关数据电文进行加密和使用电子签名。</w:t>
      </w:r>
    </w:p>
    <w:p w14:paraId="149995B2">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.6.5</w:t>
      </w:r>
      <w:r>
        <w:rPr>
          <w:rFonts w:hint="eastAsia"/>
          <w:color w:val="auto"/>
          <w:szCs w:val="21"/>
          <w:highlight w:val="none"/>
        </w:rPr>
        <w:t>响应文件中标注的供应商名称应与主体资格证明（如营业执照、事业单位法人证书、执业许可证、个体工商户营业执照、自然人身份证等）和公章/电子签章一致，</w:t>
      </w:r>
      <w:r>
        <w:rPr>
          <w:rFonts w:hint="eastAsia"/>
          <w:b/>
          <w:bCs/>
          <w:color w:val="auto"/>
          <w:szCs w:val="21"/>
          <w:highlight w:val="none"/>
        </w:rPr>
        <w:t>否则作无效响应处理。</w:t>
      </w:r>
    </w:p>
    <w:p w14:paraId="733886A5">
      <w:pPr>
        <w:spacing w:before="120" w:line="320" w:lineRule="atLeast"/>
        <w:ind w:firstLine="422" w:firstLineChars="200"/>
        <w:outlineLvl w:val="2"/>
        <w:rPr>
          <w:b/>
          <w:bCs/>
          <w:color w:val="auto"/>
          <w:kern w:val="0"/>
          <w:szCs w:val="21"/>
          <w:highlight w:val="none"/>
        </w:rPr>
      </w:pPr>
      <w:r>
        <w:rPr>
          <w:b/>
          <w:bCs/>
          <w:color w:val="auto"/>
          <w:kern w:val="0"/>
          <w:szCs w:val="21"/>
          <w:highlight w:val="none"/>
        </w:rPr>
        <w:t>3.7响应文件的递交、修改和撤回</w:t>
      </w:r>
    </w:p>
    <w:p w14:paraId="16FE6429">
      <w:pPr>
        <w:spacing w:before="120" w:line="320" w:lineRule="atLeast"/>
        <w:ind w:firstLine="420" w:firstLineChars="200"/>
        <w:rPr>
          <w:color w:val="auto"/>
          <w:szCs w:val="21"/>
          <w:highlight w:val="none"/>
        </w:rPr>
      </w:pPr>
      <w:r>
        <w:rPr>
          <w:color w:val="auto"/>
          <w:szCs w:val="21"/>
          <w:highlight w:val="none"/>
        </w:rPr>
        <w:t>3.7.1</w:t>
      </w:r>
      <w:r>
        <w:rPr>
          <w:rFonts w:hint="eastAsia"/>
          <w:color w:val="auto"/>
          <w:szCs w:val="21"/>
          <w:highlight w:val="none"/>
        </w:rPr>
        <w:t xml:space="preserve">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5F25272E">
      <w:pPr>
        <w:spacing w:before="120" w:line="320" w:lineRule="atLeast"/>
        <w:ind w:firstLine="420" w:firstLineChars="200"/>
        <w:rPr>
          <w:color w:val="auto"/>
          <w:szCs w:val="21"/>
          <w:highlight w:val="none"/>
        </w:rPr>
      </w:pPr>
      <w:r>
        <w:rPr>
          <w:rFonts w:hint="eastAsia"/>
          <w:color w:val="auto"/>
          <w:szCs w:val="21"/>
          <w:highlight w:val="none"/>
        </w:rPr>
        <w:t>3</w:t>
      </w:r>
      <w:r>
        <w:rPr>
          <w:color w:val="auto"/>
          <w:szCs w:val="21"/>
          <w:highlight w:val="none"/>
        </w:rPr>
        <w:t>.7.2</w:t>
      </w:r>
      <w:r>
        <w:rPr>
          <w:rFonts w:hint="eastAsia"/>
          <w:color w:val="auto"/>
          <w:szCs w:val="21"/>
          <w:highlight w:val="none"/>
        </w:rPr>
        <w:t xml:space="preserve">未在规定时间内提交或者未按照采购文件要求签章、加密的电子响应文件，广西政府采购云平台将拒收。 </w:t>
      </w:r>
    </w:p>
    <w:p w14:paraId="1854220E">
      <w:pPr>
        <w:spacing w:before="120" w:line="320" w:lineRule="atLeast"/>
        <w:ind w:left="2" w:leftChars="1" w:firstLine="420" w:firstLineChars="200"/>
        <w:rPr>
          <w:color w:val="auto"/>
          <w:szCs w:val="21"/>
          <w:highlight w:val="none"/>
        </w:rPr>
      </w:pPr>
      <w:bookmarkStart w:id="43" w:name="_Toc254970544"/>
      <w:bookmarkStart w:id="44" w:name="_Toc254970685"/>
      <w:r>
        <w:rPr>
          <w:rFonts w:hint="eastAsia"/>
          <w:color w:val="auto"/>
          <w:szCs w:val="21"/>
          <w:highlight w:val="none"/>
        </w:rPr>
        <w:t>3</w:t>
      </w:r>
      <w:r>
        <w:rPr>
          <w:color w:val="auto"/>
          <w:szCs w:val="21"/>
          <w:highlight w:val="none"/>
        </w:rPr>
        <w:t>.7.3</w:t>
      </w:r>
      <w:r>
        <w:rPr>
          <w:rFonts w:hint="eastAsia"/>
          <w:color w:val="auto"/>
          <w:szCs w:val="21"/>
          <w:highlight w:val="none"/>
        </w:rPr>
        <w:t>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0EC52209">
      <w:pPr>
        <w:spacing w:before="120" w:line="320" w:lineRule="atLeast"/>
        <w:ind w:left="2" w:leftChars="1" w:firstLine="420" w:firstLineChars="200"/>
        <w:rPr>
          <w:color w:val="auto"/>
          <w:szCs w:val="21"/>
          <w:highlight w:val="none"/>
        </w:rPr>
      </w:pPr>
      <w:r>
        <w:rPr>
          <w:color w:val="auto"/>
          <w:szCs w:val="21"/>
          <w:highlight w:val="none"/>
        </w:rPr>
        <w:t>3.7.4</w:t>
      </w:r>
      <w:r>
        <w:rPr>
          <w:rFonts w:hint="eastAsia"/>
          <w:color w:val="auto"/>
          <w:szCs w:val="21"/>
          <w:highlight w:val="none"/>
        </w:rPr>
        <w:t>在响应截止时间前，除供应商补充、修改或者撤回响应文件外，任何单位和个人不得解密或提取响应文件。</w:t>
      </w:r>
    </w:p>
    <w:p w14:paraId="51D940F9">
      <w:pPr>
        <w:spacing w:before="120" w:line="320" w:lineRule="atLeast"/>
        <w:ind w:left="2" w:leftChars="1" w:firstLine="420" w:firstLineChars="200"/>
        <w:rPr>
          <w:color w:val="auto"/>
          <w:szCs w:val="21"/>
          <w:highlight w:val="none"/>
        </w:rPr>
      </w:pPr>
      <w:r>
        <w:rPr>
          <w:color w:val="auto"/>
          <w:szCs w:val="21"/>
          <w:highlight w:val="none"/>
        </w:rPr>
        <w:t>3.7.5</w:t>
      </w:r>
      <w:r>
        <w:rPr>
          <w:rFonts w:hint="eastAsia"/>
          <w:color w:val="auto"/>
          <w:szCs w:val="21"/>
          <w:highlight w:val="none"/>
        </w:rPr>
        <w:t>在响应截止时间止提交电子版响应文件的供应商不足3家时，电子版响应文件由代理机构在广西政府采购云平台操作退回，除此之外采购人和采购代理机构对已提交的响应文件概不退回。</w:t>
      </w:r>
    </w:p>
    <w:p w14:paraId="577B383E">
      <w:pPr>
        <w:spacing w:before="120" w:line="320" w:lineRule="atLeast"/>
        <w:ind w:left="2" w:leftChars="1" w:firstLine="420" w:firstLineChars="200"/>
        <w:rPr>
          <w:rFonts w:hint="eastAsia"/>
          <w:color w:val="auto"/>
          <w:szCs w:val="21"/>
          <w:highlight w:val="none"/>
        </w:rPr>
      </w:pPr>
      <w:bookmarkStart w:id="45" w:name="_Hlk93046827"/>
      <w:r>
        <w:rPr>
          <w:rFonts w:hint="eastAsia"/>
          <w:color w:val="auto"/>
          <w:szCs w:val="21"/>
          <w:highlight w:val="none"/>
        </w:rPr>
        <w:t>3</w:t>
      </w:r>
      <w:r>
        <w:rPr>
          <w:color w:val="auto"/>
          <w:szCs w:val="21"/>
          <w:highlight w:val="none"/>
        </w:rPr>
        <w:t>.7.6</w:t>
      </w:r>
      <w:r>
        <w:rPr>
          <w:rFonts w:hint="eastAsia"/>
          <w:color w:val="auto"/>
          <w:szCs w:val="21"/>
          <w:highlight w:val="none"/>
        </w:rPr>
        <w:t>采购文件</w:t>
      </w:r>
      <w:bookmarkStart w:id="46" w:name="_Hlk106638610"/>
      <w:r>
        <w:rPr>
          <w:rFonts w:hint="eastAsia"/>
          <w:color w:val="auto"/>
          <w:szCs w:val="21"/>
          <w:highlight w:val="none"/>
        </w:rPr>
        <w:t>未允许同一供应商提交两个或以上不同的响应文件，但存在</w:t>
      </w:r>
      <w:r>
        <w:rPr>
          <w:rFonts w:hint="eastAsia"/>
          <w:color w:val="auto"/>
          <w:highlight w:val="none"/>
        </w:rPr>
        <w:t>同</w:t>
      </w:r>
      <w:r>
        <w:rPr>
          <w:rFonts w:hint="eastAsia"/>
          <w:color w:val="auto"/>
          <w:szCs w:val="21"/>
          <w:highlight w:val="none"/>
        </w:rPr>
        <w:t>一供应商提交两个或以上不同的响应文件的</w:t>
      </w:r>
      <w:bookmarkEnd w:id="46"/>
      <w:r>
        <w:rPr>
          <w:rFonts w:hint="eastAsia"/>
          <w:color w:val="auto"/>
          <w:szCs w:val="21"/>
          <w:highlight w:val="none"/>
        </w:rPr>
        <w:t>，</w:t>
      </w:r>
      <w:r>
        <w:rPr>
          <w:rFonts w:hint="eastAsia"/>
          <w:b/>
          <w:bCs/>
          <w:color w:val="auto"/>
          <w:szCs w:val="21"/>
          <w:highlight w:val="none"/>
        </w:rPr>
        <w:t>其响应无效。</w:t>
      </w:r>
      <w:r>
        <w:rPr>
          <w:rFonts w:hint="eastAsia"/>
          <w:color w:val="auto"/>
          <w:szCs w:val="21"/>
          <w:highlight w:val="none"/>
        </w:rPr>
        <w:t>供应商在同一响应文件中对某项技术、商务要求提供有选择性的响应参数或方案等同于提交两个或以上不同的响应文件。</w:t>
      </w:r>
      <w:bookmarkEnd w:id="45"/>
    </w:p>
    <w:p w14:paraId="7A856EA0">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4．截标</w:t>
      </w:r>
      <w:bookmarkEnd w:id="43"/>
      <w:bookmarkEnd w:id="44"/>
    </w:p>
    <w:p w14:paraId="58438759">
      <w:pPr>
        <w:spacing w:before="120" w:line="320" w:lineRule="atLeast"/>
        <w:ind w:firstLine="422" w:firstLineChars="200"/>
        <w:outlineLvl w:val="2"/>
        <w:rPr>
          <w:b/>
          <w:bCs/>
          <w:color w:val="auto"/>
          <w:kern w:val="0"/>
          <w:szCs w:val="21"/>
          <w:highlight w:val="none"/>
        </w:rPr>
      </w:pPr>
      <w:r>
        <w:rPr>
          <w:b/>
          <w:bCs/>
          <w:color w:val="auto"/>
          <w:kern w:val="0"/>
          <w:szCs w:val="21"/>
          <w:highlight w:val="none"/>
        </w:rPr>
        <w:t>4.1截标准备</w:t>
      </w:r>
    </w:p>
    <w:p w14:paraId="08471C7B">
      <w:pPr>
        <w:spacing w:before="120" w:line="276" w:lineRule="auto"/>
        <w:ind w:firstLine="420" w:firstLineChars="200"/>
        <w:rPr>
          <w:color w:val="auto"/>
          <w:szCs w:val="21"/>
          <w:highlight w:val="none"/>
        </w:rPr>
      </w:pPr>
      <w:r>
        <w:rPr>
          <w:color w:val="auto"/>
          <w:szCs w:val="21"/>
          <w:highlight w:val="none"/>
        </w:rPr>
        <w:t>本项目响应截止时间及地点见“供应商须知前附表”规定。</w:t>
      </w:r>
    </w:p>
    <w:p w14:paraId="3D65ADB6">
      <w:pPr>
        <w:autoSpaceDE w:val="0"/>
        <w:autoSpaceDN w:val="0"/>
        <w:adjustRightInd w:val="0"/>
        <w:spacing w:line="276" w:lineRule="auto"/>
        <w:ind w:firstLine="420" w:firstLineChars="200"/>
        <w:rPr>
          <w:color w:val="auto"/>
          <w:szCs w:val="21"/>
          <w:highlight w:val="none"/>
        </w:rPr>
      </w:pPr>
      <w:r>
        <w:rPr>
          <w:rFonts w:hint="eastAsia"/>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w:t>
      </w:r>
      <w:r>
        <w:rPr>
          <w:color w:val="auto"/>
          <w:szCs w:val="21"/>
          <w:highlight w:val="none"/>
        </w:rPr>
        <w:t>如不</w:t>
      </w:r>
      <w:r>
        <w:rPr>
          <w:rFonts w:hint="eastAsia"/>
          <w:color w:val="auto"/>
          <w:szCs w:val="21"/>
          <w:highlight w:val="none"/>
        </w:rPr>
        <w:t>参加</w:t>
      </w:r>
      <w:r>
        <w:rPr>
          <w:color w:val="auto"/>
          <w:szCs w:val="21"/>
          <w:highlight w:val="none"/>
        </w:rPr>
        <w:t>截标大会的，</w:t>
      </w:r>
      <w:r>
        <w:rPr>
          <w:rFonts w:hint="eastAsia"/>
          <w:color w:val="auto"/>
          <w:szCs w:val="21"/>
          <w:highlight w:val="none"/>
        </w:rPr>
        <w:t>视同认可截标结果，</w:t>
      </w:r>
      <w:r>
        <w:rPr>
          <w:color w:val="auto"/>
          <w:szCs w:val="21"/>
          <w:highlight w:val="none"/>
        </w:rPr>
        <w:t>事后不得对采购相关人员、截标过程和截标结果提出异议</w:t>
      </w:r>
      <w:r>
        <w:rPr>
          <w:rFonts w:hint="eastAsia"/>
          <w:color w:val="auto"/>
          <w:szCs w:val="21"/>
          <w:highlight w:val="none"/>
        </w:rPr>
        <w:t>，同时供应商因未在线参加截标而导致响应文件无法按时解密等一切后果由供应商自己承担。</w:t>
      </w:r>
    </w:p>
    <w:p w14:paraId="2971B1BC">
      <w:pPr>
        <w:spacing w:before="120" w:line="276" w:lineRule="auto"/>
        <w:ind w:firstLine="420" w:firstLineChars="200"/>
        <w:rPr>
          <w:color w:val="auto"/>
          <w:szCs w:val="21"/>
          <w:highlight w:val="none"/>
        </w:rPr>
      </w:pPr>
      <w:r>
        <w:rPr>
          <w:rFonts w:hint="eastAsia"/>
          <w:color w:val="auto"/>
          <w:szCs w:val="21"/>
          <w:highlight w:val="none"/>
        </w:rPr>
        <w:t xml:space="preserve">如供应商成功解密响应文件，但未在广西政府采购云平台电子开标大厅参加截标的，视同认可截标过程和结果，由此产生的后果由供应商自行负责。 </w:t>
      </w:r>
    </w:p>
    <w:p w14:paraId="3C42D47E">
      <w:pPr>
        <w:spacing w:before="120" w:line="320" w:lineRule="atLeast"/>
        <w:ind w:firstLine="422" w:firstLineChars="200"/>
        <w:outlineLvl w:val="2"/>
        <w:rPr>
          <w:b/>
          <w:bCs/>
          <w:color w:val="auto"/>
          <w:kern w:val="0"/>
          <w:szCs w:val="21"/>
          <w:highlight w:val="none"/>
        </w:rPr>
      </w:pPr>
      <w:r>
        <w:rPr>
          <w:b/>
          <w:bCs/>
          <w:color w:val="auto"/>
          <w:kern w:val="0"/>
          <w:szCs w:val="21"/>
          <w:highlight w:val="none"/>
        </w:rPr>
        <w:t>4.2截标程序</w:t>
      </w:r>
    </w:p>
    <w:p w14:paraId="661A1172">
      <w:pPr>
        <w:spacing w:before="120" w:line="320" w:lineRule="atLeast"/>
        <w:ind w:firstLine="420" w:firstLineChars="200"/>
        <w:rPr>
          <w:color w:val="auto"/>
          <w:szCs w:val="21"/>
          <w:highlight w:val="none"/>
        </w:rPr>
      </w:pPr>
      <w:r>
        <w:rPr>
          <w:color w:val="auto"/>
          <w:szCs w:val="21"/>
          <w:highlight w:val="none"/>
        </w:rPr>
        <w:t>4.2.1</w:t>
      </w:r>
      <w:r>
        <w:rPr>
          <w:rFonts w:hint="eastAsia"/>
          <w:color w:val="auto"/>
          <w:szCs w:val="21"/>
          <w:highlight w:val="none"/>
        </w:rPr>
        <w:t>供应商登录广西政府采购云平台进入开标大厅签到。</w:t>
      </w:r>
    </w:p>
    <w:p w14:paraId="7BF533B9">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.2.2</w:t>
      </w:r>
      <w:r>
        <w:rPr>
          <w:rFonts w:hint="eastAsia"/>
          <w:color w:val="auto"/>
          <w:szCs w:val="21"/>
          <w:highlight w:val="none"/>
        </w:rPr>
        <w:t>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47" w:name="_Hlk106639817"/>
      <w:r>
        <w:rPr>
          <w:rFonts w:hint="eastAsia"/>
          <w:color w:val="auto"/>
          <w:highlight w:val="none"/>
        </w:rPr>
        <w:t>通知后供应商仍未在上述规定时间内解密响应文件</w:t>
      </w:r>
      <w:bookmarkEnd w:id="47"/>
      <w:r>
        <w:rPr>
          <w:rFonts w:hint="eastAsia"/>
          <w:color w:val="auto"/>
          <w:szCs w:val="21"/>
          <w:highlight w:val="none"/>
        </w:rPr>
        <w:t>，或者供应商没预留联系方式或预留联系方式无效导致代理机构无法联系到供应商进行解密的，均视为无效响应。</w:t>
      </w:r>
    </w:p>
    <w:p w14:paraId="5A992E46">
      <w:pPr>
        <w:spacing w:before="120" w:line="320" w:lineRule="atLeast"/>
        <w:ind w:firstLine="420" w:firstLineChars="200"/>
        <w:rPr>
          <w:rFonts w:hint="eastAsia"/>
          <w:color w:val="auto"/>
          <w:szCs w:val="21"/>
          <w:highlight w:val="none"/>
        </w:rPr>
      </w:pPr>
      <w:r>
        <w:rPr>
          <w:rFonts w:hint="eastAsia"/>
          <w:color w:val="auto"/>
          <w:szCs w:val="21"/>
          <w:highlight w:val="none"/>
        </w:rPr>
        <w:t>4</w:t>
      </w:r>
      <w:r>
        <w:rPr>
          <w:color w:val="auto"/>
          <w:szCs w:val="21"/>
          <w:highlight w:val="none"/>
        </w:rPr>
        <w:t>.2.3</w:t>
      </w:r>
      <w:bookmarkStart w:id="48" w:name="_Hlk106637968"/>
      <w:r>
        <w:rPr>
          <w:rFonts w:hint="eastAsia"/>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48"/>
    <w:p w14:paraId="0F655C26">
      <w:pPr>
        <w:spacing w:before="120" w:line="320" w:lineRule="atLeast"/>
        <w:ind w:firstLine="420" w:firstLineChars="200"/>
        <w:rPr>
          <w:color w:val="auto"/>
          <w:szCs w:val="21"/>
          <w:highlight w:val="none"/>
        </w:rPr>
      </w:pPr>
      <w:r>
        <w:rPr>
          <w:rFonts w:hint="eastAsia"/>
          <w:color w:val="auto"/>
          <w:szCs w:val="21"/>
          <w:highlight w:val="none"/>
        </w:rPr>
        <w:t>4</w:t>
      </w:r>
      <w:r>
        <w:rPr>
          <w:color w:val="auto"/>
          <w:szCs w:val="21"/>
          <w:highlight w:val="none"/>
        </w:rPr>
        <w:t>.2.4</w:t>
      </w:r>
      <w:r>
        <w:rPr>
          <w:rFonts w:hint="eastAsia"/>
          <w:color w:val="auto"/>
          <w:szCs w:val="21"/>
          <w:highlight w:val="none"/>
        </w:rPr>
        <w:t>解密异常情况处理：详见本章</w:t>
      </w:r>
      <w:r>
        <w:rPr>
          <w:color w:val="auto"/>
          <w:szCs w:val="21"/>
          <w:highlight w:val="none"/>
        </w:rPr>
        <w:t>9.2</w:t>
      </w:r>
      <w:r>
        <w:rPr>
          <w:rFonts w:hint="eastAsia"/>
          <w:color w:val="auto"/>
          <w:szCs w:val="21"/>
          <w:highlight w:val="none"/>
        </w:rPr>
        <w:t>电子交易活动的中止。</w:t>
      </w:r>
    </w:p>
    <w:p w14:paraId="4E8220CA">
      <w:pPr>
        <w:spacing w:before="120" w:line="320" w:lineRule="atLeast"/>
        <w:ind w:firstLine="420" w:firstLineChars="200"/>
        <w:rPr>
          <w:color w:val="auto"/>
          <w:szCs w:val="21"/>
          <w:highlight w:val="none"/>
        </w:rPr>
      </w:pPr>
      <w:r>
        <w:rPr>
          <w:color w:val="auto"/>
          <w:szCs w:val="21"/>
          <w:highlight w:val="none"/>
        </w:rPr>
        <w:t>4.2.5截标结束。</w:t>
      </w:r>
    </w:p>
    <w:p w14:paraId="61494DD6">
      <w:pPr>
        <w:pStyle w:val="26"/>
        <w:snapToGrid w:val="0"/>
        <w:spacing w:line="440" w:lineRule="exact"/>
        <w:ind w:firstLine="422" w:firstLineChars="200"/>
        <w:rPr>
          <w:rFonts w:hAnsi="宋体"/>
          <w:color w:val="auto"/>
          <w:highlight w:val="none"/>
        </w:rPr>
      </w:pPr>
      <w:r>
        <w:rPr>
          <w:rFonts w:hint="eastAsia" w:hAnsi="宋体"/>
          <w:b/>
          <w:bCs/>
          <w:color w:val="auto"/>
          <w:highlight w:val="none"/>
        </w:rPr>
        <w:t>特别说明：</w:t>
      </w:r>
      <w:r>
        <w:rPr>
          <w:rFonts w:hint="eastAsia" w:hAnsi="宋体"/>
          <w:color w:val="auto"/>
          <w:highlight w:val="none"/>
        </w:rPr>
        <w:t>如遇广西政府采购云平台电子化截标或评审程序调整的，按调整后的程序执行。</w:t>
      </w:r>
    </w:p>
    <w:p w14:paraId="50475926">
      <w:pPr>
        <w:spacing w:before="120" w:line="320" w:lineRule="atLeast"/>
        <w:ind w:firstLine="422" w:firstLineChars="200"/>
        <w:outlineLvl w:val="2"/>
        <w:rPr>
          <w:b/>
          <w:bCs/>
          <w:color w:val="auto"/>
          <w:kern w:val="0"/>
          <w:szCs w:val="21"/>
          <w:highlight w:val="none"/>
        </w:rPr>
      </w:pPr>
      <w:r>
        <w:rPr>
          <w:b/>
          <w:bCs/>
          <w:color w:val="auto"/>
          <w:kern w:val="0"/>
          <w:szCs w:val="21"/>
          <w:highlight w:val="none"/>
        </w:rPr>
        <w:t>4.3演示</w:t>
      </w:r>
    </w:p>
    <w:p w14:paraId="38B05196">
      <w:pPr>
        <w:spacing w:before="120" w:line="320" w:lineRule="atLeast"/>
        <w:ind w:firstLine="420" w:firstLineChars="200"/>
        <w:rPr>
          <w:color w:val="auto"/>
          <w:szCs w:val="21"/>
          <w:highlight w:val="none"/>
        </w:rPr>
      </w:pPr>
      <w:r>
        <w:rPr>
          <w:color w:val="auto"/>
          <w:szCs w:val="21"/>
          <w:highlight w:val="none"/>
        </w:rPr>
        <w:t>4.3.1“供应商须知前附表”规定在截标会议结束后进行演示的，供应商应按规定进行演示。</w:t>
      </w:r>
    </w:p>
    <w:p w14:paraId="6998AC5E">
      <w:pPr>
        <w:spacing w:before="120" w:line="320" w:lineRule="atLeast"/>
        <w:ind w:firstLine="420" w:firstLineChars="200"/>
        <w:rPr>
          <w:color w:val="auto"/>
          <w:szCs w:val="21"/>
          <w:highlight w:val="none"/>
        </w:rPr>
      </w:pPr>
      <w:r>
        <w:rPr>
          <w:color w:val="auto"/>
          <w:szCs w:val="21"/>
          <w:highlight w:val="none"/>
        </w:rPr>
        <w:t>4.3.2未按规定时间进行演示可能引起的演示分数被计为0分或响应无效等后果由供应商自行承担。</w:t>
      </w:r>
    </w:p>
    <w:p w14:paraId="15C65F39">
      <w:pPr>
        <w:spacing w:before="120" w:line="320" w:lineRule="atLeast"/>
        <w:ind w:firstLine="422" w:firstLineChars="200"/>
        <w:outlineLvl w:val="2"/>
        <w:rPr>
          <w:color w:val="auto"/>
          <w:szCs w:val="21"/>
          <w:highlight w:val="none"/>
        </w:rPr>
      </w:pPr>
      <w:r>
        <w:rPr>
          <w:b/>
          <w:bCs/>
          <w:color w:val="auto"/>
          <w:kern w:val="0"/>
          <w:szCs w:val="21"/>
          <w:highlight w:val="none"/>
        </w:rPr>
        <w:t>4.4样品</w:t>
      </w:r>
    </w:p>
    <w:p w14:paraId="2F16DF1F">
      <w:pPr>
        <w:spacing w:before="120" w:line="320" w:lineRule="atLeast"/>
        <w:ind w:firstLine="420" w:firstLineChars="200"/>
        <w:rPr>
          <w:color w:val="auto"/>
          <w:szCs w:val="21"/>
          <w:highlight w:val="none"/>
        </w:rPr>
      </w:pPr>
      <w:r>
        <w:rPr>
          <w:color w:val="auto"/>
          <w:szCs w:val="21"/>
          <w:highlight w:val="none"/>
        </w:rPr>
        <w:t>4.4.1“供应商须知前附表”规定递交样品的，供应商应按前附表规定递交样品，递交样品时应附样品递交表（格式见第六章）。</w:t>
      </w:r>
    </w:p>
    <w:p w14:paraId="25FDA917">
      <w:pPr>
        <w:spacing w:before="120" w:line="320" w:lineRule="atLeast"/>
        <w:ind w:firstLine="420" w:firstLineChars="200"/>
        <w:rPr>
          <w:color w:val="auto"/>
          <w:szCs w:val="21"/>
          <w:highlight w:val="none"/>
        </w:rPr>
      </w:pPr>
      <w:r>
        <w:rPr>
          <w:color w:val="auto"/>
          <w:szCs w:val="21"/>
          <w:highlight w:val="none"/>
        </w:rPr>
        <w:t>4.4.2未按规定时间递交样品可能引起的样品分数被计为0分或响应无效等后果由供应商自行承担。</w:t>
      </w:r>
    </w:p>
    <w:p w14:paraId="45D752AD">
      <w:pPr>
        <w:spacing w:before="120" w:line="320" w:lineRule="atLeast"/>
        <w:ind w:firstLine="420" w:firstLineChars="200"/>
        <w:rPr>
          <w:color w:val="auto"/>
          <w:szCs w:val="21"/>
          <w:highlight w:val="none"/>
        </w:rPr>
      </w:pPr>
      <w:bookmarkStart w:id="49" w:name="_Toc254970545"/>
      <w:bookmarkStart w:id="50" w:name="_Toc254970686"/>
      <w:r>
        <w:rPr>
          <w:color w:val="auto"/>
          <w:szCs w:val="21"/>
          <w:highlight w:val="none"/>
        </w:rPr>
        <w:t>4.4.3样品封存或退还的说明请见第六章响应文件格式所附样品递交表。</w:t>
      </w:r>
    </w:p>
    <w:p w14:paraId="40A7E2F6">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5．</w:t>
      </w:r>
      <w:r>
        <w:rPr>
          <w:rFonts w:hint="eastAsia"/>
          <w:b/>
          <w:bCs/>
          <w:color w:val="auto"/>
          <w:kern w:val="0"/>
          <w:szCs w:val="21"/>
          <w:highlight w:val="none"/>
        </w:rPr>
        <w:t>资格审查</w:t>
      </w:r>
    </w:p>
    <w:p w14:paraId="1B3800F6">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.1</w:t>
      </w:r>
      <w:r>
        <w:rPr>
          <w:rFonts w:hint="eastAsia"/>
          <w:bCs/>
          <w:color w:val="auto"/>
          <w:kern w:val="0"/>
          <w:szCs w:val="21"/>
          <w:highlight w:val="none"/>
        </w:rPr>
        <w:t>截标</w:t>
      </w:r>
      <w:r>
        <w:rPr>
          <w:rFonts w:ascii="宋体" w:hAnsi="宋体"/>
          <w:bCs/>
          <w:color w:val="auto"/>
          <w:szCs w:val="21"/>
          <w:highlight w:val="none"/>
        </w:rPr>
        <w:t>后，</w:t>
      </w:r>
      <w:r>
        <w:rPr>
          <w:rFonts w:hint="eastAsia" w:ascii="宋体" w:hAnsi="宋体"/>
          <w:bCs/>
          <w:color w:val="auto"/>
          <w:szCs w:val="21"/>
          <w:highlight w:val="none"/>
        </w:rPr>
        <w:t>磋商小组通过电子交易平台</w:t>
      </w:r>
      <w:r>
        <w:rPr>
          <w:rFonts w:ascii="宋体" w:hAnsi="宋体"/>
          <w:bCs/>
          <w:color w:val="auto"/>
          <w:szCs w:val="21"/>
          <w:highlight w:val="none"/>
        </w:rPr>
        <w:t>对供应商的资格进行审查。</w:t>
      </w:r>
      <w:r>
        <w:rPr>
          <w:rFonts w:hint="eastAsia" w:ascii="宋体" w:hAnsi="宋体"/>
          <w:bCs/>
          <w:color w:val="auto"/>
          <w:szCs w:val="21"/>
          <w:highlight w:val="none"/>
        </w:rPr>
        <w:t>资格审查</w:t>
      </w:r>
      <w:r>
        <w:rPr>
          <w:rFonts w:hint="eastAsia"/>
          <w:bCs/>
          <w:color w:val="auto"/>
          <w:kern w:val="0"/>
          <w:szCs w:val="21"/>
          <w:highlight w:val="none"/>
        </w:rPr>
        <w:t>是根据法律法规和采购文件的规定，对供应商的基本资格条件、特定资格条件进行审查。</w:t>
      </w:r>
    </w:p>
    <w:p w14:paraId="38BD2237">
      <w:pPr>
        <w:spacing w:before="120" w:line="320" w:lineRule="atLeast"/>
        <w:ind w:left="2" w:leftChars="1" w:firstLine="420" w:firstLineChars="200"/>
        <w:outlineLvl w:val="2"/>
        <w:rPr>
          <w:bCs/>
          <w:color w:val="auto"/>
          <w:kern w:val="0"/>
          <w:szCs w:val="21"/>
          <w:highlight w:val="none"/>
        </w:rPr>
      </w:pPr>
      <w:r>
        <w:rPr>
          <w:rFonts w:hint="eastAsia"/>
          <w:bCs/>
          <w:color w:val="auto"/>
          <w:kern w:val="0"/>
          <w:szCs w:val="21"/>
          <w:highlight w:val="none"/>
        </w:rPr>
        <w:t>5.</w:t>
      </w:r>
      <w:r>
        <w:rPr>
          <w:bCs/>
          <w:color w:val="auto"/>
          <w:kern w:val="0"/>
          <w:szCs w:val="21"/>
          <w:highlight w:val="none"/>
        </w:rPr>
        <w:t>2</w:t>
      </w:r>
      <w:r>
        <w:rPr>
          <w:rFonts w:hint="eastAsia"/>
          <w:bCs/>
          <w:color w:val="auto"/>
          <w:kern w:val="0"/>
          <w:szCs w:val="21"/>
          <w:highlight w:val="none"/>
        </w:rPr>
        <w:t>资格审查标准在第四章评审方法及标准中规定，符合资格审查标准要求的供应商即为资格审查合格。</w:t>
      </w:r>
    </w:p>
    <w:p w14:paraId="5CBDD0E2">
      <w:pPr>
        <w:spacing w:before="120" w:line="276" w:lineRule="auto"/>
        <w:ind w:left="2" w:leftChars="1" w:firstLine="420" w:firstLineChars="200"/>
        <w:outlineLvl w:val="2"/>
        <w:rPr>
          <w:bCs/>
          <w:color w:val="auto"/>
          <w:kern w:val="0"/>
          <w:szCs w:val="21"/>
          <w:highlight w:val="none"/>
        </w:rPr>
      </w:pPr>
      <w:r>
        <w:rPr>
          <w:bCs/>
          <w:color w:val="auto"/>
          <w:kern w:val="0"/>
          <w:szCs w:val="21"/>
          <w:highlight w:val="none"/>
        </w:rPr>
        <w:t>5.3</w:t>
      </w:r>
      <w:r>
        <w:rPr>
          <w:rFonts w:hint="eastAsia"/>
          <w:bCs/>
          <w:color w:val="auto"/>
          <w:kern w:val="0"/>
          <w:szCs w:val="21"/>
          <w:highlight w:val="none"/>
        </w:rPr>
        <w:t>供应商有下列情形之一的，资格审查不合格，作无效响应处理：</w:t>
      </w:r>
    </w:p>
    <w:p w14:paraId="45FD5670">
      <w:pPr>
        <w:spacing w:line="276" w:lineRule="auto"/>
        <w:ind w:firstLine="420" w:firstLineChars="200"/>
        <w:rPr>
          <w:rFonts w:hint="eastAsia" w:hAnsi="宋体"/>
          <w:color w:val="auto"/>
          <w:szCs w:val="21"/>
          <w:highlight w:val="none"/>
        </w:rPr>
      </w:pPr>
      <w:r>
        <w:rPr>
          <w:rFonts w:hint="eastAsia"/>
          <w:color w:val="auto"/>
          <w:szCs w:val="21"/>
          <w:highlight w:val="none"/>
        </w:rPr>
        <w:t>5</w:t>
      </w:r>
      <w:r>
        <w:rPr>
          <w:color w:val="auto"/>
          <w:szCs w:val="21"/>
          <w:highlight w:val="none"/>
        </w:rPr>
        <w:t>.3.1</w:t>
      </w:r>
      <w:r>
        <w:rPr>
          <w:rFonts w:hint="eastAsia"/>
          <w:color w:val="auto"/>
          <w:szCs w:val="21"/>
          <w:highlight w:val="none"/>
        </w:rPr>
        <w:t>不具备招标文件中规定的资格要求或资格条件的； （注：其中信用查询规则见“</w:t>
      </w:r>
      <w:r>
        <w:rPr>
          <w:rFonts w:hint="eastAsia"/>
          <w:color w:val="auto"/>
          <w:szCs w:val="21"/>
          <w:highlight w:val="none"/>
          <w:lang w:val="en-US" w:eastAsia="zh-CN"/>
        </w:rPr>
        <w:t>供应商</w:t>
      </w:r>
      <w:r>
        <w:rPr>
          <w:rFonts w:hint="eastAsia"/>
          <w:color w:val="auto"/>
          <w:szCs w:val="21"/>
          <w:highlight w:val="none"/>
        </w:rPr>
        <w:t>须知前附表”，广西政府采购云平台已与“信用中国”平台做接口，可直接在线查询）</w:t>
      </w:r>
    </w:p>
    <w:p w14:paraId="2980A0DD">
      <w:pPr>
        <w:spacing w:before="120" w:line="276" w:lineRule="auto"/>
        <w:ind w:firstLine="420" w:firstLineChars="200"/>
        <w:rPr>
          <w:color w:val="auto"/>
          <w:szCs w:val="21"/>
          <w:highlight w:val="none"/>
        </w:rPr>
      </w:pPr>
      <w:r>
        <w:rPr>
          <w:rFonts w:hint="eastAsia"/>
          <w:color w:val="auto"/>
          <w:szCs w:val="21"/>
          <w:highlight w:val="none"/>
        </w:rPr>
        <w:t>5</w:t>
      </w:r>
      <w:r>
        <w:rPr>
          <w:color w:val="auto"/>
          <w:szCs w:val="21"/>
          <w:highlight w:val="none"/>
        </w:rPr>
        <w:t>.3.2</w:t>
      </w:r>
      <w:r>
        <w:rPr>
          <w:rFonts w:hint="eastAsia"/>
          <w:color w:val="auto"/>
          <w:szCs w:val="21"/>
          <w:highlight w:val="none"/>
        </w:rPr>
        <w:t>响应文件缺少任何一项资格证明文件或不符合第四章评审方法及标准中资格审查标准规定的评审内容的。</w:t>
      </w:r>
    </w:p>
    <w:p w14:paraId="615582C2">
      <w:pPr>
        <w:spacing w:before="120" w:line="320" w:lineRule="atLeast"/>
        <w:ind w:left="2" w:leftChars="1" w:firstLine="422" w:firstLineChars="200"/>
        <w:outlineLvl w:val="1"/>
        <w:rPr>
          <w:rFonts w:hint="eastAsia"/>
          <w:b/>
          <w:bCs/>
          <w:color w:val="auto"/>
          <w:kern w:val="0"/>
          <w:szCs w:val="21"/>
          <w:highlight w:val="none"/>
        </w:rPr>
      </w:pPr>
      <w:r>
        <w:rPr>
          <w:b/>
          <w:bCs/>
          <w:color w:val="auto"/>
          <w:kern w:val="0"/>
          <w:szCs w:val="21"/>
          <w:highlight w:val="none"/>
        </w:rPr>
        <w:t>6．评审</w:t>
      </w:r>
    </w:p>
    <w:bookmarkEnd w:id="49"/>
    <w:bookmarkEnd w:id="50"/>
    <w:p w14:paraId="0065DAC5">
      <w:pPr>
        <w:spacing w:before="120" w:line="320" w:lineRule="atLeast"/>
        <w:ind w:firstLine="422" w:firstLineChars="200"/>
        <w:outlineLvl w:val="2"/>
        <w:rPr>
          <w:b/>
          <w:bCs/>
          <w:color w:val="auto"/>
          <w:kern w:val="0"/>
          <w:szCs w:val="21"/>
          <w:highlight w:val="none"/>
        </w:rPr>
      </w:pPr>
      <w:r>
        <w:rPr>
          <w:b/>
          <w:bCs/>
          <w:color w:val="auto"/>
          <w:kern w:val="0"/>
          <w:szCs w:val="21"/>
          <w:highlight w:val="none"/>
        </w:rPr>
        <w:t>6.1组建磋商小组</w:t>
      </w:r>
    </w:p>
    <w:p w14:paraId="0E1F4877">
      <w:pPr>
        <w:spacing w:before="120" w:line="320" w:lineRule="atLeast"/>
        <w:ind w:firstLine="420" w:firstLineChars="200"/>
        <w:rPr>
          <w:color w:val="auto"/>
          <w:szCs w:val="21"/>
          <w:highlight w:val="none"/>
        </w:rPr>
      </w:pPr>
      <w:r>
        <w:rPr>
          <w:rFonts w:hint="eastAsia"/>
          <w:color w:val="auto"/>
          <w:szCs w:val="21"/>
          <w:highlight w:val="none"/>
        </w:rPr>
        <w:t>6.1.1</w:t>
      </w:r>
      <w:r>
        <w:rPr>
          <w:color w:val="auto"/>
          <w:szCs w:val="21"/>
          <w:highlight w:val="none"/>
        </w:rPr>
        <w:t>本项目</w:t>
      </w:r>
      <w:r>
        <w:rPr>
          <w:rFonts w:hint="eastAsia"/>
          <w:color w:val="auto"/>
          <w:szCs w:val="21"/>
          <w:highlight w:val="none"/>
        </w:rPr>
        <w:t>评审工作由</w:t>
      </w:r>
      <w:r>
        <w:rPr>
          <w:color w:val="auto"/>
          <w:szCs w:val="21"/>
          <w:highlight w:val="none"/>
        </w:rPr>
        <w:t>磋商小组</w:t>
      </w:r>
      <w:r>
        <w:rPr>
          <w:rFonts w:hint="eastAsia"/>
          <w:color w:val="auto"/>
          <w:szCs w:val="21"/>
          <w:highlight w:val="none"/>
        </w:rPr>
        <w:t>负责，磋商小组</w:t>
      </w:r>
      <w:r>
        <w:rPr>
          <w:color w:val="auto"/>
          <w:szCs w:val="21"/>
          <w:highlight w:val="none"/>
        </w:rPr>
        <w:t>由</w:t>
      </w:r>
      <w:r>
        <w:rPr>
          <w:rFonts w:hint="eastAsia"/>
          <w:color w:val="auto"/>
          <w:szCs w:val="21"/>
          <w:highlight w:val="none"/>
        </w:rPr>
        <w:t>评审专家</w:t>
      </w:r>
      <w:r>
        <w:rPr>
          <w:color w:val="auto"/>
          <w:szCs w:val="21"/>
          <w:highlight w:val="none"/>
        </w:rPr>
        <w:t>和采购人代表</w:t>
      </w:r>
      <w:r>
        <w:rPr>
          <w:rFonts w:hint="eastAsia"/>
          <w:color w:val="auto"/>
          <w:szCs w:val="21"/>
          <w:highlight w:val="none"/>
        </w:rPr>
        <w:t>（如有）</w:t>
      </w:r>
      <w:r>
        <w:rPr>
          <w:color w:val="auto"/>
          <w:szCs w:val="21"/>
          <w:highlight w:val="none"/>
        </w:rPr>
        <w:t>组成。</w:t>
      </w:r>
      <w:r>
        <w:rPr>
          <w:rFonts w:hint="eastAsia"/>
          <w:color w:val="auto"/>
          <w:szCs w:val="21"/>
          <w:highlight w:val="none"/>
        </w:rPr>
        <w:t>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w:t>
      </w:r>
      <w:r>
        <w:rPr>
          <w:color w:val="auto"/>
          <w:szCs w:val="21"/>
          <w:highlight w:val="none"/>
        </w:rPr>
        <w:t>评审专家发现本人与参加采购活动的供应商有利害关系的，应当主动提出回避</w:t>
      </w:r>
      <w:r>
        <w:rPr>
          <w:rFonts w:hint="eastAsia"/>
          <w:color w:val="auto"/>
          <w:szCs w:val="21"/>
          <w:highlight w:val="none"/>
        </w:rPr>
        <w:t>。</w:t>
      </w:r>
    </w:p>
    <w:p w14:paraId="7875AB18">
      <w:pPr>
        <w:spacing w:before="120" w:line="320" w:lineRule="atLeast"/>
        <w:ind w:firstLine="420" w:firstLineChars="200"/>
        <w:rPr>
          <w:color w:val="auto"/>
          <w:szCs w:val="21"/>
          <w:highlight w:val="none"/>
        </w:rPr>
      </w:pPr>
      <w:r>
        <w:rPr>
          <w:rFonts w:hint="eastAsia"/>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A3A4C65">
      <w:pPr>
        <w:spacing w:before="120" w:line="320" w:lineRule="atLeast"/>
        <w:ind w:firstLine="420" w:firstLineChars="200"/>
        <w:rPr>
          <w:color w:val="auto"/>
          <w:szCs w:val="21"/>
          <w:highlight w:val="none"/>
        </w:rPr>
      </w:pPr>
      <w:r>
        <w:rPr>
          <w:rFonts w:hint="eastAsia"/>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4061C371">
      <w:pPr>
        <w:spacing w:before="120" w:line="320" w:lineRule="atLeast"/>
        <w:ind w:firstLine="420" w:firstLineChars="200"/>
        <w:rPr>
          <w:color w:val="auto"/>
          <w:szCs w:val="21"/>
          <w:highlight w:val="none"/>
        </w:rPr>
      </w:pPr>
      <w:r>
        <w:rPr>
          <w:rFonts w:hint="eastAsia"/>
          <w:color w:val="auto"/>
          <w:szCs w:val="21"/>
          <w:highlight w:val="none"/>
        </w:rPr>
        <w:t>6.1.4本项目评审过程实行全程网上留痕及录音、录像监控，供应商在评审过程中所进行的试图影响评审结果的不公正活动，可能导致其响应按无效处理。</w:t>
      </w:r>
    </w:p>
    <w:p w14:paraId="30D216D6">
      <w:pPr>
        <w:spacing w:before="120" w:line="320" w:lineRule="atLeast"/>
        <w:ind w:firstLine="422" w:firstLineChars="200"/>
        <w:outlineLvl w:val="2"/>
        <w:rPr>
          <w:b/>
          <w:bCs/>
          <w:color w:val="auto"/>
          <w:kern w:val="0"/>
          <w:szCs w:val="21"/>
          <w:highlight w:val="none"/>
        </w:rPr>
      </w:pPr>
      <w:r>
        <w:rPr>
          <w:b/>
          <w:bCs/>
          <w:color w:val="auto"/>
          <w:kern w:val="0"/>
          <w:szCs w:val="21"/>
          <w:highlight w:val="none"/>
        </w:rPr>
        <w:t>6.2</w:t>
      </w:r>
      <w:r>
        <w:rPr>
          <w:rFonts w:hint="eastAsia"/>
          <w:b/>
          <w:bCs/>
          <w:color w:val="auto"/>
          <w:kern w:val="0"/>
          <w:szCs w:val="21"/>
          <w:highlight w:val="none"/>
        </w:rPr>
        <w:t>评审方法及依据</w:t>
      </w:r>
    </w:p>
    <w:p w14:paraId="1A64F834">
      <w:pPr>
        <w:spacing w:before="120" w:line="320" w:lineRule="atLeast"/>
        <w:ind w:firstLine="420" w:firstLineChars="200"/>
        <w:rPr>
          <w:bCs/>
          <w:color w:val="auto"/>
          <w:kern w:val="0"/>
          <w:szCs w:val="21"/>
          <w:highlight w:val="none"/>
        </w:rPr>
      </w:pPr>
      <w:r>
        <w:rPr>
          <w:bCs/>
          <w:color w:val="auto"/>
          <w:kern w:val="0"/>
          <w:szCs w:val="21"/>
          <w:highlight w:val="none"/>
        </w:rPr>
        <w:t>6.2.1</w:t>
      </w:r>
      <w:r>
        <w:rPr>
          <w:rFonts w:hint="eastAsia"/>
          <w:bCs/>
          <w:color w:val="auto"/>
          <w:kern w:val="0"/>
          <w:szCs w:val="21"/>
          <w:highlight w:val="none"/>
        </w:rPr>
        <w:t>本项目采用第四章评审方法及标准规定的方法进行评审。</w:t>
      </w:r>
    </w:p>
    <w:p w14:paraId="557D432F">
      <w:pPr>
        <w:suppressAutoHyphens/>
        <w:spacing w:before="120" w:line="320" w:lineRule="atLeast"/>
        <w:ind w:firstLine="420" w:firstLineChars="200"/>
        <w:rPr>
          <w:bCs/>
          <w:color w:val="auto"/>
          <w:kern w:val="0"/>
          <w:szCs w:val="21"/>
          <w:highlight w:val="none"/>
        </w:rPr>
      </w:pPr>
      <w:r>
        <w:rPr>
          <w:bCs/>
          <w:color w:val="auto"/>
          <w:kern w:val="0"/>
          <w:szCs w:val="21"/>
          <w:highlight w:val="none"/>
        </w:rPr>
        <w:t>6.2.2</w:t>
      </w:r>
      <w:r>
        <w:rPr>
          <w:rFonts w:hint="eastAsia"/>
          <w:bCs/>
          <w:color w:val="auto"/>
          <w:kern w:val="0"/>
          <w:szCs w:val="21"/>
          <w:highlight w:val="none"/>
        </w:rPr>
        <w:t>磋商小组</w:t>
      </w:r>
      <w:r>
        <w:rPr>
          <w:color w:val="auto"/>
          <w:highlight w:val="none"/>
        </w:rPr>
        <w:t>以</w:t>
      </w:r>
      <w:r>
        <w:rPr>
          <w:rFonts w:hint="eastAsia"/>
          <w:color w:val="auto"/>
          <w:highlight w:val="none"/>
        </w:rPr>
        <w:t>采购</w:t>
      </w:r>
      <w:r>
        <w:rPr>
          <w:color w:val="auto"/>
          <w:highlight w:val="none"/>
        </w:rPr>
        <w:t>文件、补充文件、</w:t>
      </w:r>
      <w:r>
        <w:rPr>
          <w:rFonts w:hint="eastAsia"/>
          <w:color w:val="auto"/>
          <w:highlight w:val="none"/>
        </w:rPr>
        <w:t>响应</w:t>
      </w:r>
      <w:r>
        <w:rPr>
          <w:color w:val="auto"/>
          <w:highlight w:val="none"/>
        </w:rPr>
        <w:t>文件、澄清及答复为评审依据</w:t>
      </w:r>
      <w:r>
        <w:rPr>
          <w:rFonts w:hint="eastAsia"/>
          <w:color w:val="auto"/>
          <w:highlight w:val="none"/>
        </w:rPr>
        <w:t>，</w:t>
      </w:r>
      <w:r>
        <w:rPr>
          <w:rFonts w:hint="eastAsia"/>
          <w:bCs/>
          <w:color w:val="auto"/>
          <w:kern w:val="0"/>
          <w:szCs w:val="21"/>
          <w:highlight w:val="none"/>
        </w:rPr>
        <w:t>第四章评审方法及标准没有规定的评审方法、标准及因素，不得作为评审依据。</w:t>
      </w:r>
    </w:p>
    <w:p w14:paraId="6A63076E">
      <w:pPr>
        <w:spacing w:before="120" w:line="320" w:lineRule="atLeast"/>
        <w:ind w:firstLine="422" w:firstLineChars="200"/>
        <w:outlineLvl w:val="2"/>
        <w:rPr>
          <w:b/>
          <w:bCs/>
          <w:color w:val="auto"/>
          <w:kern w:val="0"/>
          <w:szCs w:val="21"/>
          <w:highlight w:val="none"/>
        </w:rPr>
      </w:pPr>
      <w:r>
        <w:rPr>
          <w:b/>
          <w:bCs/>
          <w:color w:val="auto"/>
          <w:kern w:val="0"/>
          <w:szCs w:val="21"/>
          <w:highlight w:val="none"/>
        </w:rPr>
        <w:t>6.3评审</w:t>
      </w:r>
      <w:r>
        <w:rPr>
          <w:rFonts w:hint="eastAsia"/>
          <w:b/>
          <w:bCs/>
          <w:color w:val="auto"/>
          <w:kern w:val="0"/>
          <w:szCs w:val="21"/>
          <w:highlight w:val="none"/>
        </w:rPr>
        <w:t>程序</w:t>
      </w:r>
    </w:p>
    <w:p w14:paraId="5ED18231">
      <w:pPr>
        <w:spacing w:before="120" w:line="320" w:lineRule="atLeast"/>
        <w:ind w:firstLine="420" w:firstLineChars="200"/>
        <w:rPr>
          <w:color w:val="auto"/>
          <w:highlight w:val="none"/>
        </w:rPr>
      </w:pPr>
      <w:r>
        <w:rPr>
          <w:color w:val="auto"/>
          <w:highlight w:val="none"/>
        </w:rPr>
        <w:t>6.</w:t>
      </w:r>
      <w:bookmarkStart w:id="51" w:name="_Hlk19175507"/>
      <w:bookmarkStart w:id="52" w:name="_Hlk80956880"/>
      <w:r>
        <w:rPr>
          <w:color w:val="auto"/>
          <w:highlight w:val="none"/>
        </w:rPr>
        <w:t>3.1</w:t>
      </w:r>
      <w:r>
        <w:rPr>
          <w:rFonts w:hint="eastAsia"/>
          <w:color w:val="auto"/>
          <w:highlight w:val="none"/>
        </w:rPr>
        <w:t>符合性审查</w:t>
      </w:r>
    </w:p>
    <w:p w14:paraId="17F82163">
      <w:pPr>
        <w:spacing w:before="120" w:line="320" w:lineRule="atLeast"/>
        <w:ind w:firstLine="420" w:firstLineChars="200"/>
        <w:rPr>
          <w:color w:val="auto"/>
          <w:szCs w:val="21"/>
          <w:highlight w:val="none"/>
        </w:rPr>
      </w:pPr>
      <w:r>
        <w:rPr>
          <w:bCs/>
          <w:color w:val="auto"/>
          <w:kern w:val="1"/>
          <w:szCs w:val="21"/>
          <w:highlight w:val="none"/>
        </w:rPr>
        <w:t>资格审查结束后，</w:t>
      </w:r>
      <w:r>
        <w:rPr>
          <w:rFonts w:hint="eastAsia" w:hAnsi="宋体"/>
          <w:color w:val="auto"/>
          <w:highlight w:val="none"/>
        </w:rPr>
        <w:t>磋商小组对</w:t>
      </w:r>
      <w:r>
        <w:rPr>
          <w:color w:val="auto"/>
          <w:highlight w:val="none"/>
        </w:rPr>
        <w:t>通过资格审查的供应商</w:t>
      </w:r>
      <w:r>
        <w:rPr>
          <w:rFonts w:hint="eastAsia" w:hAnsi="宋体"/>
          <w:color w:val="auto"/>
          <w:highlight w:val="none"/>
        </w:rPr>
        <w:t>的响应文件报价、商务资信、技术等方面实质性内容进行符合性审查，</w:t>
      </w:r>
      <w:r>
        <w:rPr>
          <w:rFonts w:hint="eastAsia"/>
          <w:color w:val="auto"/>
          <w:szCs w:val="21"/>
          <w:highlight w:val="none"/>
        </w:rPr>
        <w:t>符合性审查标准</w:t>
      </w:r>
      <w:r>
        <w:rPr>
          <w:color w:val="auto"/>
          <w:szCs w:val="21"/>
          <w:highlight w:val="none"/>
        </w:rPr>
        <w:t>详见第四章评审方法及标准。</w:t>
      </w:r>
    </w:p>
    <w:bookmarkEnd w:id="51"/>
    <w:bookmarkEnd w:id="52"/>
    <w:p w14:paraId="4F5BB64E">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.3.2</w:t>
      </w:r>
      <w:r>
        <w:rPr>
          <w:rFonts w:hAnsi="宋体"/>
          <w:color w:val="auto"/>
          <w:highlight w:val="none"/>
        </w:rPr>
        <w:t>强制性</w:t>
      </w:r>
      <w:r>
        <w:rPr>
          <w:color w:val="auto"/>
          <w:szCs w:val="21"/>
          <w:highlight w:val="none"/>
        </w:rPr>
        <w:t>采购要求</w:t>
      </w:r>
      <w:r>
        <w:rPr>
          <w:rFonts w:hint="eastAsia"/>
          <w:color w:val="auto"/>
          <w:szCs w:val="21"/>
          <w:highlight w:val="none"/>
        </w:rPr>
        <w:t>（仅适用于货物采购项目）</w:t>
      </w:r>
    </w:p>
    <w:p w14:paraId="483EC7C1">
      <w:pPr>
        <w:suppressAutoHyphens/>
        <w:spacing w:before="120" w:line="320" w:lineRule="atLeast"/>
        <w:ind w:firstLine="422" w:firstLineChars="201"/>
        <w:rPr>
          <w:color w:val="auto"/>
          <w:szCs w:val="21"/>
          <w:highlight w:val="none"/>
        </w:rPr>
      </w:pPr>
      <w:bookmarkStart w:id="53" w:name="_Hlk47714684"/>
      <w:r>
        <w:rPr>
          <w:rFonts w:hint="eastAsia"/>
          <w:color w:val="auto"/>
          <w:szCs w:val="21"/>
          <w:highlight w:val="none"/>
        </w:rPr>
        <w:t>（1）</w:t>
      </w:r>
      <w:bookmarkEnd w:id="53"/>
      <w:r>
        <w:rPr>
          <w:rFonts w:hint="eastAsia"/>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1729FFED">
      <w:pPr>
        <w:spacing w:before="120" w:line="276" w:lineRule="auto"/>
        <w:ind w:firstLine="420" w:firstLineChars="200"/>
        <w:rPr>
          <w:color w:val="auto"/>
          <w:szCs w:val="21"/>
          <w:highlight w:val="none"/>
        </w:rPr>
      </w:pPr>
      <w:bookmarkStart w:id="54" w:name="_Hlk19176155"/>
      <w:r>
        <w:rPr>
          <w:rFonts w:hint="eastAsia"/>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340891DA">
      <w:pPr>
        <w:spacing w:before="120" w:line="276" w:lineRule="auto"/>
        <w:ind w:firstLine="420" w:firstLineChars="200"/>
        <w:rPr>
          <w:rFonts w:hint="eastAsia"/>
          <w:color w:val="auto"/>
          <w:szCs w:val="21"/>
          <w:highlight w:val="none"/>
        </w:rPr>
      </w:pPr>
      <w:r>
        <w:rPr>
          <w:rFonts w:hint="eastAsia"/>
          <w:color w:val="auto"/>
          <w:szCs w:val="21"/>
          <w:highlight w:val="none"/>
        </w:rPr>
        <w:t>注：网络安全专用产品在中共中央网络安全和信息化委员会办公室网站上发布的《网络关键设备和网络安全专用产品目录》中查询。</w:t>
      </w:r>
      <w:r>
        <w:rPr>
          <w:color w:val="auto"/>
          <w:szCs w:val="21"/>
          <w:highlight w:val="none"/>
        </w:rPr>
        <w:t xml:space="preserve"> </w:t>
      </w:r>
      <w:r>
        <w:rPr>
          <w:rFonts w:hint="eastAsia"/>
          <w:color w:val="auto"/>
          <w:szCs w:val="21"/>
          <w:highlight w:val="none"/>
          <w:lang w:eastAsia="zh-CN"/>
        </w:rPr>
        <w:t>“</w:t>
      </w:r>
      <w:r>
        <w:rPr>
          <w:rFonts w:hint="eastAsia"/>
          <w:color w:val="auto"/>
          <w:szCs w:val="21"/>
          <w:highlight w:val="none"/>
          <w:lang w:val="en-US" w:eastAsia="zh-CN"/>
        </w:rPr>
        <w:t>网络安全专用产品”内“产品类别”</w:t>
      </w:r>
      <w:r>
        <w:rPr>
          <w:rFonts w:hint="eastAsia"/>
          <w:color w:val="auto"/>
          <w:szCs w:val="21"/>
          <w:highlight w:val="none"/>
        </w:rPr>
        <w:t>共</w:t>
      </w:r>
      <w:r>
        <w:rPr>
          <w:rFonts w:hint="eastAsia"/>
          <w:color w:val="auto"/>
          <w:szCs w:val="21"/>
          <w:highlight w:val="none"/>
          <w:lang w:val="en-US" w:eastAsia="zh-CN"/>
        </w:rPr>
        <w:t>34</w:t>
      </w:r>
      <w:r>
        <w:rPr>
          <w:rFonts w:hint="eastAsia"/>
          <w:color w:val="auto"/>
          <w:szCs w:val="21"/>
          <w:highlight w:val="none"/>
        </w:rPr>
        <w:t>类：数据备份与恢复产品、防火墙、入侵检测系统（I</w:t>
      </w:r>
      <w:r>
        <w:rPr>
          <w:color w:val="auto"/>
          <w:szCs w:val="21"/>
          <w:highlight w:val="none"/>
        </w:rPr>
        <w:t>DS</w:t>
      </w:r>
      <w:r>
        <w:rPr>
          <w:rFonts w:hint="eastAsia"/>
          <w:color w:val="auto"/>
          <w:szCs w:val="21"/>
          <w:highlight w:val="none"/>
        </w:rPr>
        <w:t>）、入侵防御系统（</w:t>
      </w:r>
      <w:r>
        <w:rPr>
          <w:color w:val="auto"/>
          <w:szCs w:val="21"/>
          <w:highlight w:val="none"/>
        </w:rPr>
        <w:t>IPS</w:t>
      </w:r>
      <w:r>
        <w:rPr>
          <w:rFonts w:hint="eastAsia"/>
          <w:color w:val="auto"/>
          <w:szCs w:val="21"/>
          <w:highlight w:val="none"/>
        </w:rPr>
        <w:t>）、</w:t>
      </w:r>
      <w:r>
        <w:rPr>
          <w:rFonts w:hint="eastAsia"/>
          <w:color w:val="auto"/>
          <w:szCs w:val="21"/>
          <w:highlight w:val="none"/>
          <w:lang w:val="en-US" w:eastAsia="zh-CN"/>
        </w:rPr>
        <w:t>网络和终端隔离产品</w:t>
      </w:r>
      <w:r>
        <w:rPr>
          <w:rFonts w:hint="eastAsia"/>
          <w:color w:val="auto"/>
          <w:szCs w:val="21"/>
          <w:highlight w:val="none"/>
        </w:rPr>
        <w:t>、反垃圾邮件产品、网络综合审计</w:t>
      </w:r>
      <w:r>
        <w:rPr>
          <w:rFonts w:hint="eastAsia"/>
          <w:color w:val="auto"/>
          <w:szCs w:val="21"/>
          <w:highlight w:val="none"/>
          <w:lang w:val="en-US" w:eastAsia="zh-CN"/>
        </w:rPr>
        <w:t>产品</w:t>
      </w:r>
      <w:r>
        <w:rPr>
          <w:rFonts w:hint="eastAsia"/>
          <w:color w:val="auto"/>
          <w:szCs w:val="21"/>
          <w:highlight w:val="none"/>
        </w:rPr>
        <w:t>、网络脆弱性扫描产品、安全数据库系统、网站恢复产品</w:t>
      </w:r>
      <w:r>
        <w:rPr>
          <w:rFonts w:hint="eastAsia"/>
          <w:color w:val="auto"/>
          <w:szCs w:val="21"/>
          <w:highlight w:val="none"/>
          <w:lang w:eastAsia="zh-CN"/>
        </w:rPr>
        <w:t>、</w:t>
      </w:r>
      <w:r>
        <w:rPr>
          <w:rFonts w:hint="eastAsia"/>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35D63DF8">
      <w:pPr>
        <w:spacing w:before="120" w:line="320" w:lineRule="atLeast"/>
        <w:ind w:firstLine="420" w:firstLineChars="200"/>
        <w:rPr>
          <w:color w:val="auto"/>
          <w:highlight w:val="none"/>
        </w:rPr>
      </w:pPr>
      <w:r>
        <w:rPr>
          <w:color w:val="auto"/>
          <w:highlight w:val="none"/>
        </w:rPr>
        <w:t>6.3.3澄清、说明或补正</w:t>
      </w:r>
    </w:p>
    <w:p w14:paraId="684E96A5">
      <w:pPr>
        <w:spacing w:before="120" w:line="320" w:lineRule="atLeast"/>
        <w:ind w:firstLine="420" w:firstLineChars="200"/>
        <w:rPr>
          <w:color w:val="auto"/>
          <w:highlight w:val="none"/>
        </w:rPr>
      </w:pPr>
      <w:r>
        <w:rPr>
          <w:rFonts w:hint="eastAsia"/>
          <w:color w:val="auto"/>
          <w:highlight w:val="none"/>
        </w:rPr>
        <w:t>（1）对响应文件中含义不明确、同类问题表述不一致或者有明显文字和计算错误的内容，磋商小组应在广西政府采购云平台发布电子澄清函，要求供应商在平台设置的时间内作出必要的澄清、说明或者补正。供应商在广西政府采购云平台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49B95237">
      <w:pPr>
        <w:spacing w:before="120" w:line="320" w:lineRule="atLeast"/>
        <w:ind w:firstLine="420" w:firstLineChars="200"/>
        <w:rPr>
          <w:color w:val="auto"/>
          <w:highlight w:val="none"/>
        </w:rPr>
      </w:pPr>
      <w:r>
        <w:rPr>
          <w:rFonts w:hint="eastAsia"/>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426AE767">
      <w:pPr>
        <w:spacing w:before="120" w:line="320" w:lineRule="atLeast"/>
        <w:ind w:firstLine="420" w:firstLineChars="200"/>
        <w:rPr>
          <w:color w:val="auto"/>
          <w:highlight w:val="none"/>
        </w:rPr>
      </w:pPr>
      <w:r>
        <w:rPr>
          <w:color w:val="auto"/>
          <w:highlight w:val="none"/>
        </w:rPr>
        <w:t>6.3.4</w:t>
      </w:r>
      <w:r>
        <w:rPr>
          <w:rFonts w:hint="eastAsia"/>
          <w:color w:val="auto"/>
          <w:highlight w:val="none"/>
        </w:rPr>
        <w:t>报价</w:t>
      </w:r>
      <w:r>
        <w:rPr>
          <w:color w:val="auto"/>
          <w:highlight w:val="none"/>
        </w:rPr>
        <w:t>修正</w:t>
      </w:r>
    </w:p>
    <w:p w14:paraId="0FF29BC5">
      <w:pPr>
        <w:spacing w:before="120" w:line="320" w:lineRule="atLeast"/>
        <w:ind w:firstLine="420" w:firstLineChars="200"/>
        <w:rPr>
          <w:color w:val="auto"/>
          <w:highlight w:val="none"/>
        </w:rPr>
      </w:pPr>
      <w:r>
        <w:rPr>
          <w:rFonts w:hint="eastAsia"/>
          <w:color w:val="auto"/>
          <w:highlight w:val="none"/>
        </w:rPr>
        <w:t>（1）报价出现前后不一致的，按照下列规定修正：</w:t>
      </w:r>
    </w:p>
    <w:p w14:paraId="2BFC7DA3">
      <w:pPr>
        <w:spacing w:before="120" w:line="320" w:lineRule="atLeast"/>
        <w:ind w:firstLine="420" w:firstLineChars="200"/>
        <w:rPr>
          <w:color w:val="auto"/>
          <w:szCs w:val="21"/>
          <w:highlight w:val="none"/>
        </w:rPr>
      </w:pPr>
      <w:r>
        <w:rPr>
          <w:rFonts w:hint="eastAsia" w:ascii="宋体" w:hAnsi="宋体"/>
          <w:color w:val="auto"/>
          <w:szCs w:val="21"/>
          <w:highlight w:val="none"/>
        </w:rPr>
        <w:t>①</w:t>
      </w:r>
      <w:r>
        <w:rPr>
          <w:color w:val="auto"/>
          <w:szCs w:val="21"/>
          <w:highlight w:val="none"/>
        </w:rPr>
        <w:t>响应文件中开标一览表（报价表）内容与响应文件中相应内容不一致的，以开标一览表（报价表）为准；</w:t>
      </w:r>
    </w:p>
    <w:p w14:paraId="165D2288">
      <w:pPr>
        <w:spacing w:before="120" w:line="320" w:lineRule="atLeast"/>
        <w:ind w:firstLine="420" w:firstLineChars="200"/>
        <w:rPr>
          <w:color w:val="auto"/>
          <w:szCs w:val="21"/>
          <w:highlight w:val="none"/>
        </w:rPr>
      </w:pPr>
      <w:r>
        <w:rPr>
          <w:rFonts w:ascii="宋体" w:hAnsi="宋体"/>
          <w:color w:val="auto"/>
          <w:szCs w:val="21"/>
          <w:highlight w:val="none"/>
        </w:rPr>
        <w:t>②</w:t>
      </w:r>
      <w:r>
        <w:rPr>
          <w:color w:val="auto"/>
          <w:szCs w:val="21"/>
          <w:highlight w:val="none"/>
        </w:rPr>
        <w:t>大写金额和小写金额不一致的，以大写金额为准；</w:t>
      </w:r>
    </w:p>
    <w:p w14:paraId="05727F57">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单价金额小数点或者百分比有明显错位的，以开标一览表的总价为准，并修改单价；</w:t>
      </w:r>
    </w:p>
    <w:p w14:paraId="52CF8DBB">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总价金额与按单价汇总金额不一致的，以单价金额计算结果为准</w:t>
      </w:r>
      <w:r>
        <w:rPr>
          <w:rFonts w:hint="eastAsia"/>
          <w:color w:val="auto"/>
          <w:szCs w:val="21"/>
          <w:highlight w:val="none"/>
        </w:rPr>
        <w:t>。</w:t>
      </w:r>
    </w:p>
    <w:p w14:paraId="070C2A57">
      <w:pPr>
        <w:spacing w:before="120" w:line="320" w:lineRule="atLeast"/>
        <w:ind w:firstLine="420" w:firstLineChars="200"/>
        <w:rPr>
          <w:color w:val="auto"/>
          <w:szCs w:val="21"/>
          <w:highlight w:val="none"/>
        </w:rPr>
      </w:pPr>
      <w:r>
        <w:rPr>
          <w:rFonts w:hint="eastAsia"/>
          <w:color w:val="auto"/>
          <w:szCs w:val="21"/>
          <w:highlight w:val="none"/>
        </w:rPr>
        <w:t>同时出现两种以上不一致的，按照上述</w:t>
      </w:r>
      <w:r>
        <w:rPr>
          <w:rFonts w:hint="eastAsia" w:ascii="宋体" w:hAnsi="宋体"/>
          <w:color w:val="auto"/>
          <w:szCs w:val="21"/>
          <w:highlight w:val="none"/>
        </w:rPr>
        <w:t>①-</w:t>
      </w:r>
      <w:r>
        <w:rPr>
          <w:rFonts w:hint="eastAsia"/>
          <w:color w:val="auto"/>
          <w:szCs w:val="21"/>
          <w:highlight w:val="none"/>
        </w:rPr>
        <w:t>④顺序修正。修正后的报价按照上述“</w:t>
      </w:r>
      <w:r>
        <w:rPr>
          <w:color w:val="auto"/>
          <w:szCs w:val="21"/>
          <w:highlight w:val="none"/>
        </w:rPr>
        <w:t>6.3.3</w:t>
      </w:r>
      <w:r>
        <w:rPr>
          <w:rFonts w:hint="eastAsia"/>
          <w:color w:val="auto"/>
          <w:szCs w:val="21"/>
          <w:highlight w:val="none"/>
        </w:rPr>
        <w:t>澄清、说明或补正”的规定经供应商确认后产生约束力，供应商不确认的，其响应无效。</w:t>
      </w:r>
    </w:p>
    <w:p w14:paraId="1DD8FB35">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2</w:t>
      </w:r>
      <w:r>
        <w:rPr>
          <w:rFonts w:hint="eastAsia"/>
          <w:color w:val="auto"/>
          <w:szCs w:val="21"/>
          <w:highlight w:val="none"/>
        </w:rPr>
        <w:t>）经供应商确认修正后的报价若超过采购预算金额或者最高限价，其响应文件作无效响应处理。</w:t>
      </w:r>
    </w:p>
    <w:p w14:paraId="7AFCE974">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）经供应商确认修正后的报价作为签订合同的依据，并以此报价计算价格分。</w:t>
      </w:r>
    </w:p>
    <w:p w14:paraId="60220627">
      <w:pPr>
        <w:spacing w:before="120" w:line="320" w:lineRule="atLeast"/>
        <w:ind w:firstLine="420" w:firstLineChars="200"/>
        <w:rPr>
          <w:rFonts w:hint="eastAsia"/>
          <w:color w:val="auto"/>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）如磋商过程中有多轮报价的，磋商小组在每一轮报价均应按上述规则修正报价。</w:t>
      </w:r>
    </w:p>
    <w:p w14:paraId="4719BA5C">
      <w:p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6.3.5异常低价审查</w:t>
      </w:r>
    </w:p>
    <w:p w14:paraId="2EE0A482">
      <w:pPr>
        <w:spacing w:before="120" w:line="320" w:lineRule="atLeast"/>
        <w:ind w:firstLine="420" w:firstLineChars="200"/>
        <w:rPr>
          <w:color w:val="auto"/>
          <w:szCs w:val="21"/>
          <w:highlight w:val="none"/>
        </w:rPr>
      </w:pPr>
      <w:r>
        <w:rPr>
          <w:color w:val="auto"/>
          <w:szCs w:val="21"/>
          <w:highlight w:val="none"/>
        </w:rPr>
        <w:t>本项目</w:t>
      </w:r>
      <w:r>
        <w:rPr>
          <w:rFonts w:hint="eastAsia"/>
          <w:color w:val="auto"/>
          <w:szCs w:val="21"/>
          <w:highlight w:val="none"/>
          <w:lang w:val="en-US" w:eastAsia="zh-CN"/>
        </w:rPr>
        <w:t>异常低价审查情形见</w:t>
      </w:r>
      <w:r>
        <w:rPr>
          <w:color w:val="auto"/>
          <w:szCs w:val="21"/>
          <w:highlight w:val="none"/>
        </w:rPr>
        <w:t>“</w:t>
      </w:r>
      <w:r>
        <w:rPr>
          <w:rFonts w:hint="eastAsia"/>
          <w:color w:val="auto"/>
          <w:szCs w:val="21"/>
          <w:highlight w:val="none"/>
          <w:lang w:val="en-US" w:eastAsia="zh-CN"/>
        </w:rPr>
        <w:t>供应商</w:t>
      </w:r>
      <w:r>
        <w:rPr>
          <w:rFonts w:hint="eastAsia"/>
          <w:color w:val="auto"/>
          <w:szCs w:val="21"/>
          <w:highlight w:val="none"/>
          <w:lang w:eastAsia="zh-CN"/>
        </w:rPr>
        <w:t>须知</w:t>
      </w:r>
      <w:r>
        <w:rPr>
          <w:color w:val="auto"/>
          <w:szCs w:val="21"/>
          <w:highlight w:val="none"/>
        </w:rPr>
        <w:t>前附表”规定。</w:t>
      </w:r>
    </w:p>
    <w:p w14:paraId="109CEC97">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31F8392">
      <w:pPr>
        <w:numPr>
          <w:ilvl w:val="0"/>
          <w:numId w:val="0"/>
        </w:numPr>
        <w:spacing w:before="120" w:line="320" w:lineRule="atLeast"/>
        <w:ind w:firstLine="420" w:firstLineChars="200"/>
        <w:rPr>
          <w:rFonts w:hint="eastAsia"/>
          <w:strike/>
          <w:dstrike w:val="0"/>
          <w:color w:val="auto"/>
          <w:szCs w:val="21"/>
          <w:highlight w:val="none"/>
          <w:lang w:val="en-US" w:eastAsia="zh-CN"/>
        </w:rPr>
      </w:pPr>
      <w:r>
        <w:rPr>
          <w:rFonts w:hint="eastAsia"/>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2B5FE6F9">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42E8238">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异常低价投标审查的启动原因、审查意见和审查结果应当在评审报告中记录，并随供应商提供的相关书面说明及证明材料，以及评审委员会有关互联网浏览、查询历史一并归档。</w:t>
      </w:r>
    </w:p>
    <w:p w14:paraId="1B9C4D2F">
      <w:pPr>
        <w:numPr>
          <w:ilvl w:val="0"/>
          <w:numId w:val="0"/>
        </w:numPr>
        <w:spacing w:before="120" w:line="320" w:lineRule="atLeast"/>
        <w:ind w:firstLine="420" w:firstLineChars="200"/>
        <w:rPr>
          <w:rFonts w:hint="eastAsia"/>
          <w:color w:val="auto"/>
          <w:szCs w:val="21"/>
          <w:highlight w:val="none"/>
        </w:rPr>
      </w:pPr>
      <w:r>
        <w:rPr>
          <w:rFonts w:hint="eastAsia"/>
          <w:color w:val="auto"/>
          <w:szCs w:val="21"/>
          <w:highlight w:val="none"/>
        </w:rPr>
        <w:t>书面证明应当按照上述“</w:t>
      </w:r>
      <w:r>
        <w:rPr>
          <w:color w:val="auto"/>
          <w:szCs w:val="21"/>
          <w:highlight w:val="none"/>
        </w:rPr>
        <w:t>6.3.3</w:t>
      </w:r>
      <w:r>
        <w:rPr>
          <w:rFonts w:hint="eastAsia"/>
          <w:color w:val="auto"/>
          <w:szCs w:val="21"/>
          <w:highlight w:val="none"/>
        </w:rPr>
        <w:t>澄清、说明或补正”的规定提交</w:t>
      </w:r>
      <w:r>
        <w:rPr>
          <w:rFonts w:hint="eastAsia"/>
          <w:color w:val="auto"/>
          <w:szCs w:val="21"/>
          <w:highlight w:val="none"/>
          <w:lang w:val="en-US" w:eastAsia="zh-CN"/>
        </w:rPr>
        <w:t>。</w:t>
      </w:r>
    </w:p>
    <w:p w14:paraId="63AEFEC0">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.3.</w:t>
      </w:r>
      <w:r>
        <w:rPr>
          <w:rFonts w:hint="eastAsia"/>
          <w:color w:val="auto"/>
          <w:szCs w:val="21"/>
          <w:highlight w:val="none"/>
          <w:lang w:val="en-US" w:eastAsia="zh-CN"/>
        </w:rPr>
        <w:t>6</w:t>
      </w:r>
      <w:r>
        <w:rPr>
          <w:rFonts w:hint="eastAsia"/>
          <w:color w:val="auto"/>
          <w:szCs w:val="21"/>
          <w:highlight w:val="none"/>
        </w:rPr>
        <w:t>相同品牌认定（仅适用于货物采购项目）</w:t>
      </w:r>
    </w:p>
    <w:p w14:paraId="67C84BD6">
      <w:pPr>
        <w:spacing w:before="120" w:line="320" w:lineRule="atLeast"/>
        <w:ind w:firstLine="420" w:firstLineChars="200"/>
        <w:rPr>
          <w:color w:val="auto"/>
          <w:szCs w:val="21"/>
          <w:highlight w:val="none"/>
        </w:rPr>
      </w:pPr>
      <w:r>
        <w:rPr>
          <w:rFonts w:hint="eastAsia"/>
          <w:color w:val="auto"/>
          <w:szCs w:val="21"/>
          <w:highlight w:val="none"/>
        </w:rPr>
        <w:t>（1）单一产品采购项目，</w:t>
      </w:r>
      <w:r>
        <w:rPr>
          <w:color w:val="auto"/>
          <w:highlight w:val="none"/>
        </w:rPr>
        <w:t>不同供应商提供的产品品牌相同时，</w:t>
      </w:r>
      <w:r>
        <w:rPr>
          <w:rFonts w:hint="eastAsia"/>
          <w:color w:val="auto"/>
          <w:highlight w:val="none"/>
        </w:rPr>
        <w:t>按以下</w:t>
      </w:r>
      <w:r>
        <w:rPr>
          <w:color w:val="auto"/>
          <w:highlight w:val="none"/>
        </w:rPr>
        <w:t>规定</w:t>
      </w:r>
      <w:r>
        <w:rPr>
          <w:rFonts w:hint="eastAsia"/>
          <w:color w:val="auto"/>
          <w:highlight w:val="none"/>
        </w:rPr>
        <w:t>确定</w:t>
      </w:r>
      <w:r>
        <w:rPr>
          <w:bCs/>
          <w:color w:val="auto"/>
          <w:kern w:val="0"/>
          <w:szCs w:val="21"/>
          <w:highlight w:val="none"/>
        </w:rPr>
        <w:t>相同品牌的响应有效性</w:t>
      </w:r>
      <w:r>
        <w:rPr>
          <w:color w:val="auto"/>
          <w:highlight w:val="none"/>
        </w:rPr>
        <w:t>。</w:t>
      </w:r>
    </w:p>
    <w:bookmarkEnd w:id="54"/>
    <w:p w14:paraId="511EF756">
      <w:pPr>
        <w:spacing w:before="120" w:line="320" w:lineRule="atLeast"/>
        <w:ind w:firstLine="420" w:firstLineChars="200"/>
        <w:rPr>
          <w:color w:val="auto"/>
          <w:szCs w:val="21"/>
          <w:highlight w:val="none"/>
        </w:rPr>
      </w:pPr>
      <w:r>
        <w:rPr>
          <w:rFonts w:hint="eastAsia"/>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0217FBD5">
      <w:pPr>
        <w:spacing w:before="120" w:line="320" w:lineRule="atLeast"/>
        <w:ind w:firstLine="420" w:firstLineChars="200"/>
        <w:rPr>
          <w:color w:val="auto"/>
          <w:szCs w:val="21"/>
          <w:highlight w:val="none"/>
        </w:rPr>
      </w:pPr>
      <w:r>
        <w:rPr>
          <w:rFonts w:hint="eastAsia"/>
          <w:color w:val="auto"/>
          <w:szCs w:val="21"/>
          <w:highlight w:val="none"/>
        </w:rPr>
        <w:t>（2）非单一产品采购项目，</w:t>
      </w:r>
      <w:r>
        <w:rPr>
          <w:color w:val="auto"/>
          <w:szCs w:val="21"/>
          <w:highlight w:val="none"/>
        </w:rPr>
        <w:t>采购人应当确定核心产品，并在采购文件中载明。</w:t>
      </w:r>
      <w:r>
        <w:rPr>
          <w:rFonts w:hint="eastAsia"/>
          <w:color w:val="auto"/>
          <w:szCs w:val="21"/>
          <w:highlight w:val="none"/>
        </w:rPr>
        <w:t>不同</w:t>
      </w:r>
      <w:r>
        <w:rPr>
          <w:color w:val="auto"/>
          <w:szCs w:val="21"/>
          <w:highlight w:val="none"/>
        </w:rPr>
        <w:t>供应商提供的核心产品品牌相同的，按上述规定处理。核心产品</w:t>
      </w:r>
      <w:r>
        <w:rPr>
          <w:rFonts w:hint="eastAsia"/>
          <w:color w:val="auto"/>
          <w:szCs w:val="21"/>
          <w:highlight w:val="none"/>
        </w:rPr>
        <w:t>在第二章</w:t>
      </w:r>
      <w:r>
        <w:rPr>
          <w:color w:val="auto"/>
          <w:szCs w:val="21"/>
          <w:highlight w:val="none"/>
        </w:rPr>
        <w:t>采购需求规定。</w:t>
      </w:r>
    </w:p>
    <w:p w14:paraId="1628C515">
      <w:pPr>
        <w:spacing w:before="120" w:line="320" w:lineRule="atLeast"/>
        <w:ind w:firstLine="420" w:firstLineChars="200"/>
        <w:rPr>
          <w:rFonts w:hint="eastAsia"/>
          <w:color w:val="auto"/>
          <w:highlight w:val="none"/>
        </w:rPr>
      </w:pPr>
      <w:r>
        <w:rPr>
          <w:color w:val="auto"/>
          <w:highlight w:val="none"/>
        </w:rPr>
        <w:t>6.3.</w:t>
      </w:r>
      <w:r>
        <w:rPr>
          <w:rFonts w:hint="eastAsia"/>
          <w:color w:val="auto"/>
          <w:highlight w:val="none"/>
          <w:lang w:val="en-US" w:eastAsia="zh-CN"/>
        </w:rPr>
        <w:t>7</w:t>
      </w:r>
      <w:r>
        <w:rPr>
          <w:rFonts w:hint="eastAsia"/>
          <w:color w:val="auto"/>
          <w:highlight w:val="none"/>
        </w:rPr>
        <w:t>磋商</w:t>
      </w:r>
    </w:p>
    <w:p w14:paraId="4B843EC0">
      <w:pPr>
        <w:spacing w:before="120" w:line="320" w:lineRule="atLeast"/>
        <w:ind w:firstLine="420" w:firstLineChars="200"/>
        <w:rPr>
          <w:rFonts w:hint="eastAsia"/>
          <w:color w:val="auto"/>
          <w:highlight w:val="none"/>
        </w:rPr>
      </w:pPr>
      <w:r>
        <w:rPr>
          <w:rFonts w:hint="eastAsia"/>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763EC488">
      <w:pPr>
        <w:spacing w:before="120" w:line="320" w:lineRule="atLeast"/>
        <w:ind w:firstLine="420" w:firstLineChars="200"/>
        <w:rPr>
          <w:color w:val="auto"/>
          <w:highlight w:val="none"/>
        </w:rPr>
      </w:pPr>
      <w:r>
        <w:rPr>
          <w:rFonts w:hint="eastAsia"/>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39A48AAF">
      <w:pPr>
        <w:spacing w:before="120" w:line="320" w:lineRule="atLeast"/>
        <w:ind w:firstLine="420" w:firstLineChars="200"/>
        <w:rPr>
          <w:color w:val="auto"/>
          <w:highlight w:val="none"/>
        </w:rPr>
      </w:pPr>
      <w:r>
        <w:rPr>
          <w:rFonts w:hint="eastAsia"/>
          <w:color w:val="auto"/>
          <w:highlight w:val="none"/>
        </w:rPr>
        <w:t>对采购文件作出的实质性变动是采购文件的有效组成部分，由磋商小组通过广西政府采购云平台以书面形式同时通知所有参加磋商的供应商。</w:t>
      </w:r>
    </w:p>
    <w:p w14:paraId="49B0CB8D">
      <w:pPr>
        <w:spacing w:before="120" w:line="320" w:lineRule="atLeast"/>
        <w:ind w:firstLine="420" w:firstLineChars="200"/>
        <w:rPr>
          <w:rFonts w:hint="eastAsia"/>
          <w:color w:val="auto"/>
          <w:highlight w:val="none"/>
        </w:rPr>
      </w:pPr>
      <w:r>
        <w:rPr>
          <w:rFonts w:hint="eastAsia"/>
          <w:color w:val="auto"/>
          <w:highlight w:val="none"/>
        </w:rPr>
        <w:t>（3）供应商必须按照采购文件的变动情况和磋商小组的要求重新提交响应文件，并在广西政府采购云平台在线编辑或上传PDF格式，使用电子签章后提交至磋商小组。参加磋商的供应商未在规定时间内重新提交响应文件的，视同退出磋商。</w:t>
      </w:r>
    </w:p>
    <w:p w14:paraId="30CFB3F8">
      <w:pPr>
        <w:spacing w:before="120" w:line="320" w:lineRule="atLeast"/>
        <w:ind w:firstLine="420" w:firstLineChars="200"/>
        <w:rPr>
          <w:color w:val="auto"/>
          <w:highlight w:val="none"/>
        </w:rPr>
      </w:pPr>
      <w:r>
        <w:rPr>
          <w:rFonts w:hint="eastAsia"/>
          <w:color w:val="auto"/>
          <w:highlight w:val="none"/>
        </w:rPr>
        <w:t>（4）供应商的法定代表人或其授权代表无须到现场参加磋商，提问及回答/响应均通过广西政府采购云平台进行。磋商过程中使用的电子签章应为供应商上传响应文件的同一签章。</w:t>
      </w:r>
    </w:p>
    <w:p w14:paraId="2A62634C">
      <w:pPr>
        <w:spacing w:before="120" w:line="320" w:lineRule="atLeast"/>
        <w:ind w:firstLine="420" w:firstLineChars="200"/>
        <w:rPr>
          <w:color w:val="auto"/>
          <w:highlight w:val="none"/>
        </w:rPr>
      </w:pPr>
      <w:r>
        <w:rPr>
          <w:rFonts w:hint="eastAsia"/>
          <w:color w:val="auto"/>
          <w:highlight w:val="none"/>
        </w:rPr>
        <w:t>6</w:t>
      </w:r>
      <w:r>
        <w:rPr>
          <w:color w:val="auto"/>
          <w:highlight w:val="none"/>
        </w:rPr>
        <w:t>.3.</w:t>
      </w:r>
      <w:r>
        <w:rPr>
          <w:rFonts w:hint="eastAsia"/>
          <w:color w:val="auto"/>
          <w:highlight w:val="none"/>
          <w:lang w:val="en-US" w:eastAsia="zh-CN"/>
        </w:rPr>
        <w:t>8</w:t>
      </w:r>
      <w:r>
        <w:rPr>
          <w:rFonts w:hint="eastAsia"/>
          <w:color w:val="auto"/>
          <w:highlight w:val="none"/>
        </w:rPr>
        <w:t>最后报价</w:t>
      </w:r>
    </w:p>
    <w:p w14:paraId="2A6E148A">
      <w:pPr>
        <w:spacing w:before="120" w:line="320" w:lineRule="atLeast"/>
        <w:ind w:firstLine="420" w:firstLineChars="200"/>
        <w:rPr>
          <w:rFonts w:hint="eastAsia"/>
          <w:color w:val="auto"/>
          <w:highlight w:val="none"/>
        </w:rPr>
      </w:pPr>
      <w:r>
        <w:rPr>
          <w:rFonts w:hint="eastAsia"/>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1B61C696">
      <w:pPr>
        <w:spacing w:before="120" w:line="320" w:lineRule="atLeast"/>
        <w:ind w:firstLine="420" w:firstLineChars="200"/>
        <w:rPr>
          <w:rFonts w:hint="eastAsia"/>
          <w:color w:val="auto"/>
          <w:highlight w:val="none"/>
        </w:rPr>
      </w:pPr>
      <w:r>
        <w:rPr>
          <w:rFonts w:hint="eastAsia"/>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5992A28">
      <w:pPr>
        <w:spacing w:before="120" w:line="320" w:lineRule="atLeast"/>
        <w:ind w:firstLine="420" w:firstLineChars="200"/>
        <w:rPr>
          <w:color w:val="auto"/>
          <w:highlight w:val="none"/>
        </w:rPr>
      </w:pPr>
      <w:r>
        <w:rPr>
          <w:rFonts w:hint="eastAsia"/>
          <w:color w:val="auto"/>
          <w:highlight w:val="none"/>
        </w:rPr>
        <w:t>最后报价是供应商响应文件的有效组成部分。</w:t>
      </w:r>
    </w:p>
    <w:p w14:paraId="0BA79145">
      <w:pPr>
        <w:spacing w:before="120" w:line="320" w:lineRule="atLeast"/>
        <w:ind w:firstLine="420" w:firstLineChars="200"/>
        <w:rPr>
          <w:color w:val="auto"/>
          <w:highlight w:val="none"/>
        </w:rPr>
      </w:pPr>
      <w:r>
        <w:rPr>
          <w:rFonts w:hint="eastAsia"/>
          <w:color w:val="auto"/>
          <w:highlight w:val="none"/>
        </w:rPr>
        <w:t>（2）如符合“市场竞争不充分的科研项目、需要扶持的科技成果转化项目、政府购买服务项目（含政府和社会资本合作项目）的，提交最后报价的供应商可以为2家。</w:t>
      </w:r>
    </w:p>
    <w:p w14:paraId="587F1412">
      <w:pPr>
        <w:spacing w:before="120" w:line="320" w:lineRule="atLeast"/>
        <w:ind w:firstLine="420" w:firstLineChars="200"/>
        <w:rPr>
          <w:rFonts w:hint="eastAsia"/>
          <w:color w:val="auto"/>
          <w:highlight w:val="none"/>
        </w:rPr>
      </w:pPr>
      <w:r>
        <w:rPr>
          <w:rFonts w:hint="eastAsia"/>
          <w:color w:val="auto"/>
          <w:highlight w:val="none"/>
        </w:rPr>
        <w:t>（3）最后报价要求通过广西政府采购云平台发出，供应商需在广西政府采购云平台设置的时间内报价，最后报价不得超过采购预算金额且具有唯一性，否则否决其响应。</w:t>
      </w:r>
    </w:p>
    <w:p w14:paraId="0D726579">
      <w:pPr>
        <w:spacing w:before="120" w:line="320" w:lineRule="atLeast"/>
        <w:ind w:firstLine="420" w:firstLineChars="200"/>
        <w:rPr>
          <w:rFonts w:hint="eastAsia"/>
          <w:color w:val="auto"/>
          <w:highlight w:val="none"/>
        </w:rPr>
      </w:pPr>
      <w:r>
        <w:rPr>
          <w:rFonts w:hint="eastAsia"/>
          <w:color w:val="auto"/>
          <w:highlight w:val="none"/>
        </w:rPr>
        <w:t>（4）已提交响应文件的供应商，在提交最后报价之前，可以根据磋商情况退出磋商，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4401551">
      <w:pPr>
        <w:spacing w:before="120" w:line="320" w:lineRule="atLeast"/>
        <w:ind w:firstLine="420" w:firstLineChars="200"/>
        <w:rPr>
          <w:rFonts w:hint="eastAsia"/>
          <w:color w:val="auto"/>
          <w:highlight w:val="none"/>
        </w:rPr>
      </w:pPr>
      <w:r>
        <w:rPr>
          <w:rFonts w:hint="eastAsia"/>
          <w:color w:val="auto"/>
          <w:highlight w:val="none"/>
        </w:rPr>
        <w:t>（5）供应商未在规定时间内提交最后报价的，视同退出磋商。</w:t>
      </w:r>
    </w:p>
    <w:p w14:paraId="01DB980A">
      <w:pPr>
        <w:spacing w:before="120" w:line="320" w:lineRule="atLeast"/>
        <w:ind w:firstLine="420" w:firstLineChars="200"/>
        <w:rPr>
          <w:color w:val="auto"/>
          <w:highlight w:val="none"/>
        </w:rPr>
      </w:pPr>
      <w:r>
        <w:rPr>
          <w:rFonts w:hint="eastAsia"/>
          <w:color w:val="auto"/>
          <w:highlight w:val="none"/>
        </w:rPr>
        <w:t>（6）最后报价结束后，磋商小组不得再与供应商进行任何形式的商谈。</w:t>
      </w:r>
    </w:p>
    <w:p w14:paraId="5FDB2384">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lang w:val="en-US" w:eastAsia="zh-CN"/>
        </w:rPr>
        <w:t>9</w:t>
      </w:r>
      <w:r>
        <w:rPr>
          <w:color w:val="auto"/>
          <w:szCs w:val="21"/>
          <w:highlight w:val="none"/>
        </w:rPr>
        <w:t>串通投标认定</w:t>
      </w:r>
    </w:p>
    <w:p w14:paraId="79245226">
      <w:pPr>
        <w:spacing w:before="120" w:line="320" w:lineRule="atLeast"/>
        <w:ind w:firstLine="420" w:firstLineChars="200"/>
        <w:rPr>
          <w:color w:val="auto"/>
          <w:highlight w:val="none"/>
        </w:rPr>
      </w:pPr>
      <w:r>
        <w:rPr>
          <w:color w:val="auto"/>
          <w:szCs w:val="21"/>
          <w:highlight w:val="none"/>
        </w:rPr>
        <w:t>磋商小组须根据</w:t>
      </w:r>
      <w:r>
        <w:rPr>
          <w:rFonts w:hint="eastAsia"/>
          <w:color w:val="auto"/>
          <w:szCs w:val="21"/>
          <w:highlight w:val="none"/>
        </w:rPr>
        <w:t>以下</w:t>
      </w:r>
      <w:r>
        <w:rPr>
          <w:color w:val="auto"/>
          <w:szCs w:val="21"/>
          <w:highlight w:val="none"/>
        </w:rPr>
        <w:t>规定</w:t>
      </w:r>
      <w:r>
        <w:rPr>
          <w:rFonts w:hint="eastAsia"/>
          <w:color w:val="auto"/>
          <w:szCs w:val="21"/>
          <w:highlight w:val="none"/>
        </w:rPr>
        <w:t>认定</w:t>
      </w:r>
      <w:r>
        <w:rPr>
          <w:color w:val="auto"/>
          <w:szCs w:val="21"/>
          <w:highlight w:val="none"/>
        </w:rPr>
        <w:t>供应商是否有</w:t>
      </w:r>
      <w:r>
        <w:rPr>
          <w:bCs/>
          <w:color w:val="auto"/>
          <w:kern w:val="0"/>
          <w:szCs w:val="21"/>
          <w:highlight w:val="none"/>
        </w:rPr>
        <w:t>串通投标的行为</w:t>
      </w:r>
      <w:r>
        <w:rPr>
          <w:color w:val="auto"/>
          <w:highlight w:val="none"/>
        </w:rPr>
        <w:t>。</w:t>
      </w:r>
    </w:p>
    <w:p w14:paraId="32A7B0C9">
      <w:pPr>
        <w:spacing w:before="120" w:line="320" w:lineRule="atLeast"/>
        <w:ind w:firstLine="420" w:firstLineChars="200"/>
        <w:rPr>
          <w:color w:val="auto"/>
          <w:szCs w:val="21"/>
          <w:highlight w:val="none"/>
        </w:rPr>
      </w:pPr>
      <w:bookmarkStart w:id="55" w:name="_Hlk19122026"/>
      <w:r>
        <w:rPr>
          <w:rFonts w:hint="eastAsia"/>
          <w:color w:val="auto"/>
          <w:szCs w:val="21"/>
          <w:highlight w:val="none"/>
        </w:rPr>
        <w:t>（1）</w:t>
      </w:r>
      <w:bookmarkEnd w:id="55"/>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〔2016〕42号</w:t>
      </w:r>
      <w:r>
        <w:rPr>
          <w:rFonts w:hint="eastAsia"/>
          <w:color w:val="auto"/>
          <w:szCs w:val="21"/>
          <w:highlight w:val="none"/>
        </w:rPr>
        <w:t>）</w:t>
      </w:r>
      <w:r>
        <w:rPr>
          <w:color w:val="auto"/>
          <w:szCs w:val="21"/>
          <w:highlight w:val="none"/>
        </w:rPr>
        <w:t>规定，出现下述情况的，相关供应商的投标作无效投标处理。</w:t>
      </w:r>
    </w:p>
    <w:p w14:paraId="4F0F52AF">
      <w:pPr>
        <w:spacing w:before="120" w:line="320" w:lineRule="atLeast"/>
        <w:ind w:firstLine="420" w:firstLineChars="200"/>
        <w:rPr>
          <w:color w:val="auto"/>
          <w:szCs w:val="21"/>
          <w:highlight w:val="none"/>
        </w:rPr>
      </w:pPr>
      <w:bookmarkStart w:id="56" w:name="_Hlk19122039"/>
      <w:r>
        <w:rPr>
          <w:rFonts w:hint="eastAsia" w:ascii="宋体" w:hAnsi="宋体" w:cs="宋体"/>
          <w:color w:val="auto"/>
          <w:szCs w:val="21"/>
          <w:highlight w:val="none"/>
        </w:rPr>
        <w:t>①</w:t>
      </w:r>
      <w:r>
        <w:rPr>
          <w:color w:val="auto"/>
          <w:szCs w:val="21"/>
          <w:highlight w:val="none"/>
        </w:rPr>
        <w:t>单位负责人为同一人或者存在直接控股、管理关系，参加同一合同项下政府采购活动的不同供应商。</w:t>
      </w:r>
    </w:p>
    <w:p w14:paraId="24954245">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授权给供应商后参加同一合同项（分标、分包）投标的生产厂商。</w:t>
      </w:r>
    </w:p>
    <w:p w14:paraId="625019DA">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视为或被认定为串通投标的相关供应商。</w:t>
      </w:r>
    </w:p>
    <w:bookmarkEnd w:id="56"/>
    <w:p w14:paraId="6866C34C">
      <w:pPr>
        <w:spacing w:before="120" w:line="320" w:lineRule="atLeast"/>
        <w:ind w:firstLine="420" w:firstLineChars="200"/>
        <w:rPr>
          <w:color w:val="auto"/>
          <w:szCs w:val="21"/>
          <w:highlight w:val="none"/>
        </w:rPr>
      </w:pPr>
      <w:bookmarkStart w:id="57" w:name="_Hlk19122058"/>
      <w:r>
        <w:rPr>
          <w:rFonts w:hint="eastAsia"/>
          <w:color w:val="auto"/>
          <w:szCs w:val="21"/>
          <w:highlight w:val="none"/>
        </w:rPr>
        <w:t>（2）</w:t>
      </w:r>
      <w:bookmarkEnd w:id="57"/>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〔2016〕42号</w:t>
      </w:r>
      <w:r>
        <w:rPr>
          <w:rFonts w:hint="eastAsia"/>
          <w:color w:val="auto"/>
          <w:szCs w:val="21"/>
          <w:highlight w:val="none"/>
        </w:rPr>
        <w:t>）</w:t>
      </w:r>
      <w:r>
        <w:rPr>
          <w:color w:val="auto"/>
          <w:szCs w:val="21"/>
          <w:highlight w:val="none"/>
        </w:rPr>
        <w:t>规定，有下列情形之一的视为供应商相互串通投标，响应文件将被视为无效。</w:t>
      </w:r>
    </w:p>
    <w:p w14:paraId="14C48E93">
      <w:pPr>
        <w:spacing w:before="120" w:line="320" w:lineRule="atLeast"/>
        <w:ind w:firstLine="420" w:firstLineChars="200"/>
        <w:rPr>
          <w:color w:val="auto"/>
          <w:szCs w:val="21"/>
          <w:highlight w:val="none"/>
        </w:rPr>
      </w:pPr>
      <w:bookmarkStart w:id="58" w:name="_Hlk19122048"/>
      <w:r>
        <w:rPr>
          <w:rFonts w:hint="eastAsia" w:ascii="宋体" w:hAnsi="宋体" w:cs="宋体"/>
          <w:color w:val="auto"/>
          <w:szCs w:val="21"/>
          <w:highlight w:val="none"/>
        </w:rPr>
        <w:t>①</w:t>
      </w:r>
      <w:r>
        <w:rPr>
          <w:color w:val="auto"/>
          <w:szCs w:val="21"/>
          <w:highlight w:val="none"/>
        </w:rPr>
        <w:t>不同供应商的响应文件由同一单位或者个人编制；或不同供应商报名的IP地址一致的；</w:t>
      </w:r>
    </w:p>
    <w:p w14:paraId="11D7D07A">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不同供应商委托同一单位或者个人办理投标事宜；</w:t>
      </w:r>
    </w:p>
    <w:p w14:paraId="6EF9C01A">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不同的供应商的响应文件载明的项目管理员为同一个人；</w:t>
      </w:r>
    </w:p>
    <w:p w14:paraId="211CC9D8">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不同供应商的响应文件异常一致或投标报价呈规律性差异；</w:t>
      </w:r>
    </w:p>
    <w:p w14:paraId="45E86C36">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不同供应商的响应文件相互混装；</w:t>
      </w:r>
    </w:p>
    <w:p w14:paraId="1DA59B38">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不同供应商的保证金从同一单位或者个人账户转出。</w:t>
      </w:r>
    </w:p>
    <w:bookmarkEnd w:id="58"/>
    <w:p w14:paraId="3929CDDE">
      <w:pPr>
        <w:spacing w:before="120" w:line="320" w:lineRule="atLeast"/>
        <w:ind w:firstLine="420" w:firstLineChars="200"/>
        <w:rPr>
          <w:color w:val="auto"/>
          <w:szCs w:val="21"/>
          <w:highlight w:val="none"/>
        </w:rPr>
      </w:pPr>
      <w:bookmarkStart w:id="59" w:name="_Hlk19122102"/>
      <w:r>
        <w:rPr>
          <w:rFonts w:hint="eastAsia"/>
          <w:color w:val="auto"/>
          <w:szCs w:val="21"/>
          <w:highlight w:val="none"/>
        </w:rPr>
        <w:t>（3）</w:t>
      </w:r>
      <w:bookmarkEnd w:id="59"/>
      <w:r>
        <w:rPr>
          <w:color w:val="auto"/>
          <w:szCs w:val="21"/>
          <w:highlight w:val="none"/>
        </w:rPr>
        <w:t>根据《关于防治政府采购招标中串通投标行为的通知》</w:t>
      </w:r>
      <w:r>
        <w:rPr>
          <w:rFonts w:hint="eastAsia"/>
          <w:color w:val="auto"/>
          <w:szCs w:val="21"/>
          <w:highlight w:val="none"/>
        </w:rPr>
        <w:t>（</w:t>
      </w:r>
      <w:r>
        <w:rPr>
          <w:color w:val="auto"/>
          <w:szCs w:val="21"/>
          <w:highlight w:val="none"/>
        </w:rPr>
        <w:t>桂财采</w:t>
      </w:r>
      <w:r>
        <w:rPr>
          <w:rFonts w:hint="eastAsia"/>
          <w:color w:val="auto"/>
          <w:szCs w:val="21"/>
          <w:highlight w:val="none"/>
          <w:lang w:eastAsia="zh-CN"/>
        </w:rPr>
        <w:t>〔2016〕42号</w:t>
      </w:r>
      <w:r>
        <w:rPr>
          <w:rFonts w:hint="eastAsia"/>
          <w:color w:val="auto"/>
          <w:szCs w:val="21"/>
          <w:highlight w:val="none"/>
        </w:rPr>
        <w:t>）</w:t>
      </w:r>
      <w:r>
        <w:rPr>
          <w:color w:val="auto"/>
          <w:szCs w:val="21"/>
          <w:highlight w:val="none"/>
        </w:rPr>
        <w:t>规定，供应商有下列情形之一的，属于恶意串通行为，响应文件将被视为无效。</w:t>
      </w:r>
    </w:p>
    <w:p w14:paraId="58645157">
      <w:pPr>
        <w:spacing w:before="120" w:line="320" w:lineRule="atLeast"/>
        <w:ind w:firstLine="420" w:firstLineChars="200"/>
        <w:rPr>
          <w:color w:val="auto"/>
          <w:szCs w:val="21"/>
          <w:highlight w:val="none"/>
        </w:rPr>
      </w:pPr>
      <w:bookmarkStart w:id="60" w:name="_Hlk19122095"/>
      <w:r>
        <w:rPr>
          <w:rFonts w:hint="eastAsia"/>
          <w:color w:val="auto"/>
          <w:szCs w:val="21"/>
          <w:highlight w:val="none"/>
        </w:rPr>
        <w:t>①</w:t>
      </w:r>
      <w:r>
        <w:rPr>
          <w:color w:val="auto"/>
          <w:szCs w:val="21"/>
          <w:highlight w:val="none"/>
        </w:rPr>
        <w:t>供应商直接或者间接从采购人或者采购代理机构处获得其他供应商的相关信息并修改其响应文件或者响应文件；</w:t>
      </w:r>
    </w:p>
    <w:p w14:paraId="21BE21B4">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供应商按照采购人或者采购代理机构的授意撤换、修改响应文件或者响应文件</w:t>
      </w:r>
      <w:r>
        <w:rPr>
          <w:rFonts w:hint="eastAsia"/>
          <w:color w:val="auto"/>
          <w:szCs w:val="21"/>
          <w:highlight w:val="none"/>
          <w:lang w:eastAsia="zh-CN"/>
        </w:rPr>
        <w:t>;</w:t>
      </w:r>
    </w:p>
    <w:p w14:paraId="7B6B75AD">
      <w:pPr>
        <w:spacing w:before="120" w:line="320" w:lineRule="atLeast"/>
        <w:ind w:firstLine="420" w:firstLineChars="200"/>
        <w:rPr>
          <w:color w:val="auto"/>
          <w:szCs w:val="21"/>
          <w:highlight w:val="none"/>
        </w:rPr>
      </w:pPr>
      <w:r>
        <w:rPr>
          <w:rFonts w:hint="eastAsia"/>
          <w:color w:val="auto"/>
          <w:szCs w:val="21"/>
          <w:highlight w:val="none"/>
        </w:rPr>
        <w:t>③</w:t>
      </w:r>
      <w:r>
        <w:rPr>
          <w:color w:val="auto"/>
          <w:szCs w:val="21"/>
          <w:highlight w:val="none"/>
        </w:rPr>
        <w:t>供应商之间协商报价、技术方案等响应文件或者响应文件的实质性内容；</w:t>
      </w:r>
    </w:p>
    <w:p w14:paraId="666E64C3">
      <w:pPr>
        <w:spacing w:before="120" w:line="320" w:lineRule="atLeast"/>
        <w:ind w:firstLine="420" w:firstLineChars="200"/>
        <w:rPr>
          <w:color w:val="auto"/>
          <w:szCs w:val="21"/>
          <w:highlight w:val="none"/>
        </w:rPr>
      </w:pPr>
      <w:r>
        <w:rPr>
          <w:rFonts w:hint="eastAsia"/>
          <w:color w:val="auto"/>
          <w:szCs w:val="21"/>
          <w:highlight w:val="none"/>
        </w:rPr>
        <w:t>④</w:t>
      </w:r>
      <w:r>
        <w:rPr>
          <w:color w:val="auto"/>
          <w:szCs w:val="21"/>
          <w:highlight w:val="none"/>
        </w:rPr>
        <w:t>属于同一集团、协会、商会等组织成员的供应商按照该组织要求协同参加政府采购活动；</w:t>
      </w:r>
    </w:p>
    <w:p w14:paraId="242646A4">
      <w:pPr>
        <w:spacing w:before="120" w:line="320" w:lineRule="atLeast"/>
        <w:ind w:firstLine="420" w:firstLineChars="200"/>
        <w:rPr>
          <w:color w:val="auto"/>
          <w:szCs w:val="21"/>
          <w:highlight w:val="none"/>
        </w:rPr>
      </w:pPr>
      <w:r>
        <w:rPr>
          <w:rFonts w:hint="eastAsia"/>
          <w:color w:val="auto"/>
          <w:szCs w:val="21"/>
          <w:highlight w:val="none"/>
        </w:rPr>
        <w:t>⑤</w:t>
      </w:r>
      <w:r>
        <w:rPr>
          <w:color w:val="auto"/>
          <w:szCs w:val="21"/>
          <w:highlight w:val="none"/>
        </w:rPr>
        <w:t>供应商之间事先约定一致抬高或者压低投标报价，或者在招标项目中事先约定轮流以高价位或者低价位中标，或者事先约定由某一特定供应商中标，然后再参加投标；</w:t>
      </w:r>
    </w:p>
    <w:p w14:paraId="535E87BF">
      <w:pPr>
        <w:spacing w:before="120" w:line="320" w:lineRule="atLeast"/>
        <w:ind w:firstLine="420" w:firstLineChars="200"/>
        <w:rPr>
          <w:color w:val="auto"/>
          <w:szCs w:val="21"/>
          <w:highlight w:val="none"/>
        </w:rPr>
      </w:pPr>
      <w:r>
        <w:rPr>
          <w:rFonts w:hint="eastAsia"/>
          <w:color w:val="auto"/>
          <w:szCs w:val="21"/>
          <w:highlight w:val="none"/>
        </w:rPr>
        <w:t>⑥</w:t>
      </w:r>
      <w:r>
        <w:rPr>
          <w:color w:val="auto"/>
          <w:szCs w:val="21"/>
          <w:highlight w:val="none"/>
        </w:rPr>
        <w:t>供应商之间商定部分供应商放弃参加政府采购活动或者放弃中标；</w:t>
      </w:r>
    </w:p>
    <w:p w14:paraId="1519760C">
      <w:pPr>
        <w:spacing w:before="120" w:line="320" w:lineRule="atLeast"/>
        <w:ind w:firstLine="420" w:firstLineChars="200"/>
        <w:rPr>
          <w:color w:val="auto"/>
          <w:szCs w:val="21"/>
          <w:highlight w:val="none"/>
        </w:rPr>
      </w:pPr>
      <w:r>
        <w:rPr>
          <w:rFonts w:hint="eastAsia"/>
          <w:color w:val="auto"/>
          <w:szCs w:val="21"/>
          <w:highlight w:val="none"/>
        </w:rPr>
        <w:t>⑦</w:t>
      </w:r>
      <w:r>
        <w:rPr>
          <w:color w:val="auto"/>
          <w:szCs w:val="21"/>
          <w:highlight w:val="none"/>
        </w:rPr>
        <w:t>供应商与采购人或者采购代理机构之间、供应商相互之间，为谋求特定供应商中标或者排斥其他供应商的其他串通行为。</w:t>
      </w:r>
    </w:p>
    <w:bookmarkEnd w:id="60"/>
    <w:p w14:paraId="08520411">
      <w:pPr>
        <w:spacing w:before="120" w:line="320" w:lineRule="atLeast"/>
        <w:ind w:firstLine="420" w:firstLineChars="200"/>
        <w:rPr>
          <w:color w:val="auto"/>
          <w:szCs w:val="21"/>
          <w:highlight w:val="none"/>
        </w:rPr>
      </w:pPr>
      <w:r>
        <w:rPr>
          <w:color w:val="auto"/>
          <w:szCs w:val="21"/>
          <w:highlight w:val="none"/>
        </w:rPr>
        <w:t>6.3.</w:t>
      </w:r>
      <w:r>
        <w:rPr>
          <w:rFonts w:hint="eastAsia"/>
          <w:color w:val="auto"/>
          <w:szCs w:val="21"/>
          <w:highlight w:val="none"/>
          <w:lang w:val="en-US" w:eastAsia="zh-CN"/>
        </w:rPr>
        <w:t>10</w:t>
      </w:r>
      <w:r>
        <w:rPr>
          <w:color w:val="auto"/>
          <w:szCs w:val="21"/>
          <w:highlight w:val="none"/>
        </w:rPr>
        <w:t>响应</w:t>
      </w:r>
      <w:r>
        <w:rPr>
          <w:rFonts w:hint="eastAsia"/>
          <w:color w:val="auto"/>
          <w:szCs w:val="21"/>
          <w:highlight w:val="none"/>
        </w:rPr>
        <w:t>无效</w:t>
      </w:r>
      <w:r>
        <w:rPr>
          <w:color w:val="auto"/>
          <w:szCs w:val="21"/>
          <w:highlight w:val="none"/>
        </w:rPr>
        <w:t>认定</w:t>
      </w:r>
    </w:p>
    <w:p w14:paraId="03CFD12D">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1）在</w:t>
      </w:r>
      <w:r>
        <w:rPr>
          <w:rFonts w:hint="eastAsia"/>
          <w:color w:val="auto"/>
          <w:szCs w:val="21"/>
          <w:highlight w:val="none"/>
        </w:rPr>
        <w:t>评审过程中</w:t>
      </w:r>
      <w:r>
        <w:rPr>
          <w:color w:val="auto"/>
          <w:szCs w:val="21"/>
          <w:highlight w:val="none"/>
        </w:rPr>
        <w:t>如发现下列情形之一的，响应文件将被视为无效：</w:t>
      </w:r>
    </w:p>
    <w:p w14:paraId="52E9AC9B">
      <w:pPr>
        <w:spacing w:before="120" w:line="320" w:lineRule="atLeast"/>
        <w:ind w:firstLine="420" w:firstLineChars="200"/>
        <w:rPr>
          <w:color w:val="auto"/>
          <w:highlight w:val="none"/>
        </w:rPr>
      </w:pPr>
      <w:r>
        <w:rPr>
          <w:rFonts w:hint="eastAsia"/>
          <w:color w:val="auto"/>
          <w:szCs w:val="21"/>
          <w:highlight w:val="none"/>
        </w:rPr>
        <w:t>①</w:t>
      </w:r>
      <w:r>
        <w:rPr>
          <w:color w:val="auto"/>
          <w:szCs w:val="21"/>
          <w:highlight w:val="none"/>
        </w:rPr>
        <w:t>响应文件</w:t>
      </w:r>
      <w:r>
        <w:rPr>
          <w:rFonts w:hint="eastAsia"/>
          <w:color w:val="auto"/>
          <w:szCs w:val="21"/>
          <w:highlight w:val="none"/>
        </w:rPr>
        <w:t>存在法律、法规及监督部门有关文件规定的无效情形</w:t>
      </w:r>
      <w:r>
        <w:rPr>
          <w:color w:val="auto"/>
          <w:szCs w:val="21"/>
          <w:highlight w:val="none"/>
        </w:rPr>
        <w:t>。</w:t>
      </w:r>
    </w:p>
    <w:p w14:paraId="2BA6DEB6">
      <w:pPr>
        <w:spacing w:before="120" w:line="320" w:lineRule="atLeast"/>
        <w:ind w:firstLine="420" w:firstLineChars="200"/>
        <w:rPr>
          <w:color w:val="auto"/>
          <w:szCs w:val="21"/>
          <w:highlight w:val="none"/>
        </w:rPr>
      </w:pPr>
      <w:r>
        <w:rPr>
          <w:rFonts w:hint="eastAsia"/>
          <w:color w:val="auto"/>
          <w:szCs w:val="21"/>
          <w:highlight w:val="none"/>
        </w:rPr>
        <w:t>②</w:t>
      </w:r>
      <w:r>
        <w:rPr>
          <w:color w:val="auto"/>
          <w:szCs w:val="21"/>
          <w:highlight w:val="none"/>
        </w:rPr>
        <w:t>响应文件</w:t>
      </w:r>
      <w:r>
        <w:rPr>
          <w:rFonts w:hint="eastAsia"/>
          <w:color w:val="auto"/>
          <w:szCs w:val="21"/>
          <w:highlight w:val="none"/>
        </w:rPr>
        <w:t>存在采购文件规定的无效情形。</w:t>
      </w:r>
    </w:p>
    <w:p w14:paraId="0A31A9EF">
      <w:pPr>
        <w:spacing w:before="120" w:line="320" w:lineRule="atLeast"/>
        <w:ind w:firstLine="420" w:firstLineChars="200"/>
        <w:rPr>
          <w:color w:val="auto"/>
          <w:szCs w:val="21"/>
          <w:highlight w:val="none"/>
        </w:rPr>
      </w:pPr>
      <w:bookmarkStart w:id="61" w:name="_Hlk19113313"/>
      <w:r>
        <w:rPr>
          <w:rFonts w:hint="eastAsia"/>
          <w:color w:val="auto"/>
          <w:szCs w:val="21"/>
          <w:highlight w:val="none"/>
        </w:rPr>
        <w:t>（2）根据</w:t>
      </w:r>
      <w:r>
        <w:rPr>
          <w:color w:val="auto"/>
          <w:szCs w:val="21"/>
          <w:highlight w:val="none"/>
        </w:rPr>
        <w:t>财库</w:t>
      </w:r>
      <w:r>
        <w:rPr>
          <w:rFonts w:hint="eastAsia"/>
          <w:color w:val="auto"/>
          <w:szCs w:val="21"/>
          <w:highlight w:val="none"/>
        </w:rPr>
        <w:t>《</w:t>
      </w:r>
      <w:r>
        <w:rPr>
          <w:color w:val="auto"/>
          <w:szCs w:val="21"/>
          <w:highlight w:val="none"/>
        </w:rPr>
        <w:t>关于促进政府采购公平竞争优化营商环境的通知</w:t>
      </w:r>
      <w:r>
        <w:rPr>
          <w:rFonts w:hint="eastAsia"/>
          <w:color w:val="auto"/>
          <w:szCs w:val="21"/>
          <w:highlight w:val="none"/>
        </w:rPr>
        <w:t>》（</w:t>
      </w:r>
      <w:r>
        <w:rPr>
          <w:color w:val="auto"/>
          <w:szCs w:val="21"/>
          <w:highlight w:val="none"/>
        </w:rPr>
        <w:t>〔2019〕38号</w:t>
      </w:r>
      <w:r>
        <w:rPr>
          <w:rFonts w:hint="eastAsia"/>
          <w:color w:val="auto"/>
          <w:szCs w:val="21"/>
          <w:highlight w:val="none"/>
        </w:rPr>
        <w:t>）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1"/>
    <w:p w14:paraId="55F99A3A">
      <w:pPr>
        <w:spacing w:before="120" w:line="320" w:lineRule="atLeast"/>
        <w:ind w:firstLine="420" w:firstLineChars="200"/>
        <w:rPr>
          <w:color w:val="auto"/>
          <w:szCs w:val="21"/>
          <w:highlight w:val="none"/>
        </w:rPr>
      </w:pPr>
      <w:bookmarkStart w:id="62" w:name="_Hlk19113363"/>
      <w:r>
        <w:rPr>
          <w:color w:val="auto"/>
          <w:szCs w:val="21"/>
          <w:highlight w:val="none"/>
        </w:rPr>
        <w:t>6.3.1</w:t>
      </w:r>
      <w:r>
        <w:rPr>
          <w:rFonts w:hint="eastAsia"/>
          <w:color w:val="auto"/>
          <w:szCs w:val="21"/>
          <w:highlight w:val="none"/>
          <w:lang w:val="en-US" w:eastAsia="zh-CN"/>
        </w:rPr>
        <w:t>1</w:t>
      </w:r>
      <w:r>
        <w:rPr>
          <w:color w:val="auto"/>
          <w:szCs w:val="21"/>
          <w:highlight w:val="none"/>
        </w:rPr>
        <w:t>比较与评价</w:t>
      </w:r>
    </w:p>
    <w:p w14:paraId="0C5CFCF7">
      <w:pPr>
        <w:spacing w:before="120" w:line="320" w:lineRule="atLeast"/>
        <w:ind w:firstLine="420" w:firstLineChars="200"/>
        <w:rPr>
          <w:color w:val="auto"/>
          <w:szCs w:val="21"/>
          <w:highlight w:val="none"/>
        </w:rPr>
      </w:pPr>
      <w:r>
        <w:rPr>
          <w:rFonts w:hint="eastAsia"/>
          <w:color w:val="auto"/>
          <w:szCs w:val="21"/>
          <w:highlight w:val="none"/>
        </w:rPr>
        <w:t>（1）磋商小组</w:t>
      </w:r>
      <w:r>
        <w:rPr>
          <w:color w:val="auto"/>
          <w:szCs w:val="21"/>
          <w:highlight w:val="none"/>
        </w:rPr>
        <w:t>按采购文件中规定的评审方法和标准，</w:t>
      </w:r>
      <w:r>
        <w:rPr>
          <w:rFonts w:hint="eastAsia"/>
          <w:color w:val="auto"/>
          <w:szCs w:val="21"/>
          <w:highlight w:val="none"/>
        </w:rPr>
        <w:t>对提交最后报价的供应商的响应文件和最后报价进行综合评分。</w:t>
      </w:r>
    </w:p>
    <w:p w14:paraId="3E9E0513">
      <w:pPr>
        <w:spacing w:before="120" w:line="320" w:lineRule="atLeast"/>
        <w:ind w:firstLine="420" w:firstLineChars="200"/>
        <w:rPr>
          <w:color w:val="auto"/>
          <w:szCs w:val="21"/>
          <w:highlight w:val="none"/>
        </w:rPr>
      </w:pPr>
      <w:r>
        <w:rPr>
          <w:rFonts w:hint="eastAsia"/>
          <w:color w:val="auto"/>
          <w:szCs w:val="21"/>
          <w:highlight w:val="none"/>
        </w:rPr>
        <w:t>（2）</w:t>
      </w:r>
      <w:r>
        <w:rPr>
          <w:color w:val="auto"/>
          <w:szCs w:val="21"/>
          <w:highlight w:val="none"/>
        </w:rPr>
        <w:t>磋商小组各成员独立对每个有效供应商的响应文件进行评价</w:t>
      </w:r>
      <w:r>
        <w:rPr>
          <w:rFonts w:hint="eastAsia"/>
          <w:color w:val="auto"/>
          <w:szCs w:val="21"/>
          <w:highlight w:val="none"/>
        </w:rPr>
        <w:t>、打分。评价打分</w:t>
      </w:r>
      <w:r>
        <w:rPr>
          <w:color w:val="auto"/>
          <w:szCs w:val="21"/>
          <w:highlight w:val="none"/>
        </w:rPr>
        <w:t>有误的应及时进行修正。</w:t>
      </w:r>
      <w:r>
        <w:rPr>
          <w:rFonts w:hint="eastAsia"/>
          <w:color w:val="auto"/>
          <w:szCs w:val="21"/>
          <w:highlight w:val="none"/>
        </w:rPr>
        <w:t>评分</w:t>
      </w:r>
      <w:r>
        <w:rPr>
          <w:color w:val="auto"/>
          <w:szCs w:val="21"/>
          <w:highlight w:val="none"/>
        </w:rPr>
        <w:t>标准如有客观分定义，磋商小组所有成员的客观分</w:t>
      </w:r>
      <w:r>
        <w:rPr>
          <w:rFonts w:hint="eastAsia"/>
          <w:color w:val="auto"/>
          <w:szCs w:val="21"/>
          <w:highlight w:val="none"/>
        </w:rPr>
        <w:t>评分分值</w:t>
      </w:r>
      <w:r>
        <w:rPr>
          <w:color w:val="auto"/>
          <w:szCs w:val="21"/>
          <w:highlight w:val="none"/>
        </w:rPr>
        <w:t>应当一致。</w:t>
      </w:r>
    </w:p>
    <w:p w14:paraId="131890D1">
      <w:pPr>
        <w:spacing w:before="120" w:line="320" w:lineRule="atLeast"/>
        <w:ind w:firstLine="420" w:firstLineChars="200"/>
        <w:rPr>
          <w:rFonts w:hint="eastAsia"/>
          <w:color w:val="auto"/>
          <w:szCs w:val="21"/>
          <w:highlight w:val="none"/>
        </w:rPr>
      </w:pPr>
      <w:r>
        <w:rPr>
          <w:rFonts w:hint="eastAsia"/>
          <w:color w:val="auto"/>
          <w:szCs w:val="21"/>
          <w:highlight w:val="none"/>
        </w:rPr>
        <w:t>（3）磋商小组按综合评分由高到低的排列顺序推荐</w:t>
      </w:r>
      <w:r>
        <w:rPr>
          <w:color w:val="auto"/>
          <w:szCs w:val="21"/>
          <w:highlight w:val="none"/>
        </w:rPr>
        <w:t>3</w:t>
      </w:r>
      <w:r>
        <w:rPr>
          <w:rFonts w:hint="eastAsia"/>
          <w:color w:val="auto"/>
          <w:szCs w:val="21"/>
          <w:highlight w:val="none"/>
        </w:rPr>
        <w:t>名以上成交候选供应商，排名第一的为第一成交候选供应商。</w:t>
      </w:r>
      <w:r>
        <w:rPr>
          <w:color w:val="auto"/>
          <w:szCs w:val="21"/>
          <w:highlight w:val="none"/>
        </w:rPr>
        <w:t>若</w:t>
      </w:r>
      <w:r>
        <w:rPr>
          <w:rFonts w:hint="eastAsia"/>
          <w:color w:val="auto"/>
          <w:szCs w:val="21"/>
          <w:highlight w:val="none"/>
        </w:rPr>
        <w:t>成交</w:t>
      </w:r>
      <w:r>
        <w:rPr>
          <w:color w:val="auto"/>
          <w:szCs w:val="21"/>
          <w:highlight w:val="none"/>
        </w:rPr>
        <w:t>候选人综合</w:t>
      </w:r>
      <w:r>
        <w:rPr>
          <w:rFonts w:hint="eastAsia"/>
          <w:color w:val="auto"/>
          <w:szCs w:val="21"/>
          <w:highlight w:val="none"/>
        </w:rPr>
        <w:t>评</w:t>
      </w:r>
      <w:r>
        <w:rPr>
          <w:color w:val="auto"/>
          <w:szCs w:val="21"/>
          <w:highlight w:val="none"/>
        </w:rPr>
        <w:t>分相同的，按</w:t>
      </w:r>
      <w:r>
        <w:rPr>
          <w:rFonts w:hint="eastAsia"/>
          <w:color w:val="auto"/>
          <w:szCs w:val="21"/>
          <w:highlight w:val="none"/>
        </w:rPr>
        <w:t>最后</w:t>
      </w:r>
      <w:r>
        <w:rPr>
          <w:color w:val="auto"/>
          <w:szCs w:val="21"/>
          <w:highlight w:val="none"/>
        </w:rPr>
        <w:t>报价由低到高顺序排列；综合</w:t>
      </w:r>
      <w:r>
        <w:rPr>
          <w:rFonts w:hint="eastAsia"/>
          <w:color w:val="auto"/>
          <w:szCs w:val="21"/>
          <w:highlight w:val="none"/>
        </w:rPr>
        <w:t>评</w:t>
      </w:r>
      <w:r>
        <w:rPr>
          <w:color w:val="auto"/>
          <w:szCs w:val="21"/>
          <w:highlight w:val="none"/>
        </w:rPr>
        <w:t>分且</w:t>
      </w:r>
      <w:r>
        <w:rPr>
          <w:rFonts w:hint="eastAsia"/>
          <w:color w:val="auto"/>
          <w:szCs w:val="21"/>
          <w:highlight w:val="none"/>
        </w:rPr>
        <w:t>最后</w:t>
      </w:r>
      <w:r>
        <w:rPr>
          <w:color w:val="auto"/>
          <w:szCs w:val="21"/>
          <w:highlight w:val="none"/>
        </w:rPr>
        <w:t>报价相同的</w:t>
      </w:r>
      <w:r>
        <w:rPr>
          <w:color w:val="auto"/>
          <w:highlight w:val="none"/>
        </w:rPr>
        <w:t>并列</w:t>
      </w:r>
      <w:r>
        <w:rPr>
          <w:color w:val="auto"/>
          <w:szCs w:val="21"/>
          <w:highlight w:val="none"/>
        </w:rPr>
        <w:t>；</w:t>
      </w:r>
      <w:r>
        <w:rPr>
          <w:rFonts w:hint="eastAsia"/>
          <w:color w:val="auto"/>
          <w:szCs w:val="21"/>
          <w:highlight w:val="none"/>
        </w:rPr>
        <w:t>成交</w:t>
      </w:r>
      <w:r>
        <w:rPr>
          <w:color w:val="auto"/>
          <w:szCs w:val="21"/>
          <w:highlight w:val="none"/>
        </w:rPr>
        <w:t>候选人并列的，按技术部分</w:t>
      </w:r>
      <w:r>
        <w:rPr>
          <w:rFonts w:hint="eastAsia"/>
          <w:color w:val="auto"/>
          <w:szCs w:val="21"/>
          <w:highlight w:val="none"/>
        </w:rPr>
        <w:t>评</w:t>
      </w:r>
      <w:r>
        <w:rPr>
          <w:color w:val="auto"/>
          <w:szCs w:val="21"/>
          <w:highlight w:val="none"/>
        </w:rPr>
        <w:t>分由高到低顺序排列，若综合评分、</w:t>
      </w:r>
      <w:r>
        <w:rPr>
          <w:rFonts w:hint="eastAsia"/>
          <w:color w:val="auto"/>
          <w:szCs w:val="21"/>
          <w:highlight w:val="none"/>
        </w:rPr>
        <w:t>最后</w:t>
      </w:r>
      <w:r>
        <w:rPr>
          <w:color w:val="auto"/>
          <w:szCs w:val="21"/>
          <w:highlight w:val="none"/>
        </w:rPr>
        <w:t>报价、技术部分</w:t>
      </w:r>
      <w:r>
        <w:rPr>
          <w:rFonts w:hint="eastAsia"/>
          <w:color w:val="auto"/>
          <w:szCs w:val="21"/>
          <w:highlight w:val="none"/>
        </w:rPr>
        <w:t>评分</w:t>
      </w:r>
      <w:r>
        <w:rPr>
          <w:color w:val="auto"/>
          <w:szCs w:val="21"/>
          <w:highlight w:val="none"/>
        </w:rPr>
        <w:t>均相同的，按商务</w:t>
      </w:r>
      <w:r>
        <w:rPr>
          <w:rFonts w:hint="eastAsia"/>
          <w:color w:val="auto"/>
          <w:szCs w:val="21"/>
          <w:highlight w:val="none"/>
        </w:rPr>
        <w:t>资信</w:t>
      </w:r>
      <w:r>
        <w:rPr>
          <w:color w:val="auto"/>
          <w:szCs w:val="21"/>
          <w:highlight w:val="none"/>
        </w:rPr>
        <w:t>部分</w:t>
      </w:r>
      <w:r>
        <w:rPr>
          <w:rFonts w:hint="eastAsia"/>
          <w:color w:val="auto"/>
          <w:szCs w:val="21"/>
          <w:highlight w:val="none"/>
        </w:rPr>
        <w:t>评</w:t>
      </w:r>
      <w:r>
        <w:rPr>
          <w:color w:val="auto"/>
          <w:szCs w:val="21"/>
          <w:highlight w:val="none"/>
        </w:rPr>
        <w:t>分由高到低顺序排列。</w:t>
      </w:r>
      <w:r>
        <w:rPr>
          <w:rFonts w:hint="eastAsia"/>
          <w:color w:val="auto"/>
          <w:szCs w:val="21"/>
          <w:highlight w:val="none"/>
        </w:rPr>
        <w:t>若综合评分、最后报价、技术部分评分、商务资信部分评分均相同的，由采购人自行决定。</w:t>
      </w:r>
    </w:p>
    <w:p w14:paraId="6C7EF31E">
      <w:pPr>
        <w:spacing w:before="120" w:line="320" w:lineRule="atLeast"/>
        <w:ind w:firstLine="420" w:firstLineChars="200"/>
        <w:rPr>
          <w:color w:val="auto"/>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）磋商小组根据评审记录及评审结果编写评审报告，磋商小组成员均应当在评审报告上签字，对自己的评审意见承担法律责任。</w:t>
      </w:r>
      <w:r>
        <w:rPr>
          <w:color w:val="auto"/>
          <w:highlight w:val="none"/>
        </w:rPr>
        <w:t>评审报告签署前，经复核发现存在以</w:t>
      </w:r>
      <w:r>
        <w:rPr>
          <w:rFonts w:hint="eastAsia"/>
          <w:color w:val="auto"/>
          <w:highlight w:val="none"/>
        </w:rPr>
        <w:t>下</w:t>
      </w:r>
      <w:r>
        <w:rPr>
          <w:color w:val="auto"/>
          <w:highlight w:val="none"/>
        </w:rPr>
        <w:t>情形之一的，磋商小组应当当场修改评审结果，并在评审报告中记载；评审报告签署后，采购人或者采购代理机构发现存在以</w:t>
      </w:r>
      <w:r>
        <w:rPr>
          <w:rFonts w:hint="eastAsia"/>
          <w:color w:val="auto"/>
          <w:highlight w:val="none"/>
        </w:rPr>
        <w:t>下</w:t>
      </w:r>
      <w:r>
        <w:rPr>
          <w:color w:val="auto"/>
          <w:highlight w:val="none"/>
        </w:rPr>
        <w:t>情形之一的，应当组织原磋商小组进行重新评审。</w:t>
      </w:r>
    </w:p>
    <w:p w14:paraId="50679A3E">
      <w:pPr>
        <w:spacing w:before="120" w:line="320" w:lineRule="atLeast"/>
        <w:ind w:firstLine="420" w:firstLineChars="200"/>
        <w:rPr>
          <w:color w:val="auto"/>
          <w:highlight w:val="none"/>
        </w:rPr>
      </w:pPr>
      <w:r>
        <w:rPr>
          <w:rFonts w:hint="eastAsia"/>
          <w:color w:val="auto"/>
          <w:highlight w:val="none"/>
        </w:rPr>
        <w:t>资格性检查认定错误、分值汇总计算错误、分项评分超出评分标准范围、客观分评分不一致、经磋商小组一致认定评分畸高、畸低。</w:t>
      </w:r>
    </w:p>
    <w:bookmarkEnd w:id="62"/>
    <w:p w14:paraId="224B4BD7">
      <w:pPr>
        <w:spacing w:before="120" w:line="320" w:lineRule="atLeast"/>
        <w:ind w:firstLine="422" w:firstLineChars="200"/>
        <w:outlineLvl w:val="2"/>
        <w:rPr>
          <w:b/>
          <w:bCs/>
          <w:color w:val="auto"/>
          <w:kern w:val="0"/>
          <w:szCs w:val="21"/>
          <w:highlight w:val="none"/>
        </w:rPr>
      </w:pPr>
      <w:r>
        <w:rPr>
          <w:b/>
          <w:bCs/>
          <w:color w:val="auto"/>
          <w:kern w:val="0"/>
          <w:szCs w:val="21"/>
          <w:highlight w:val="none"/>
        </w:rPr>
        <w:t>6.4确定成交供应商</w:t>
      </w:r>
    </w:p>
    <w:p w14:paraId="4A1C551D">
      <w:pPr>
        <w:spacing w:before="120" w:line="276" w:lineRule="auto"/>
        <w:ind w:firstLine="420" w:firstLineChars="200"/>
        <w:rPr>
          <w:color w:val="auto"/>
          <w:szCs w:val="21"/>
          <w:highlight w:val="none"/>
        </w:rPr>
      </w:pPr>
      <w:r>
        <w:rPr>
          <w:rFonts w:hint="eastAsia"/>
          <w:color w:val="auto"/>
          <w:szCs w:val="21"/>
          <w:highlight w:val="none"/>
        </w:rPr>
        <w:t>6.4</w:t>
      </w:r>
      <w:r>
        <w:rPr>
          <w:color w:val="auto"/>
          <w:szCs w:val="21"/>
          <w:highlight w:val="none"/>
        </w:rPr>
        <w:t>.1采购代理机构在评审结束后2个工作日内将评审报告送采购人，采购人在5个工作日内按照评审报告中推荐的成交候选供应商顺序确定成交供应商。</w:t>
      </w:r>
    </w:p>
    <w:p w14:paraId="2F060450">
      <w:pPr>
        <w:spacing w:before="120" w:line="276" w:lineRule="auto"/>
        <w:ind w:firstLine="420" w:firstLineChars="200"/>
        <w:rPr>
          <w:color w:val="auto"/>
          <w:szCs w:val="21"/>
          <w:highlight w:val="none"/>
        </w:rPr>
      </w:pPr>
      <w:r>
        <w:rPr>
          <w:color w:val="auto"/>
          <w:szCs w:val="21"/>
          <w:highlight w:val="none"/>
        </w:rPr>
        <w:t>6.4.2</w:t>
      </w:r>
      <w:r>
        <w:rPr>
          <w:rFonts w:hint="eastAsia"/>
          <w:color w:val="auto"/>
          <w:szCs w:val="21"/>
          <w:highlight w:val="none"/>
        </w:rPr>
        <w:t>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19E6A2E7">
      <w:pPr>
        <w:spacing w:before="120" w:line="320" w:lineRule="atLeast"/>
        <w:ind w:firstLine="422" w:firstLineChars="200"/>
        <w:outlineLvl w:val="2"/>
        <w:rPr>
          <w:b/>
          <w:bCs/>
          <w:color w:val="auto"/>
          <w:kern w:val="0"/>
          <w:szCs w:val="21"/>
          <w:highlight w:val="none"/>
        </w:rPr>
      </w:pPr>
      <w:r>
        <w:rPr>
          <w:b/>
          <w:bCs/>
          <w:color w:val="auto"/>
          <w:kern w:val="0"/>
          <w:szCs w:val="21"/>
          <w:highlight w:val="none"/>
        </w:rPr>
        <w:t>6.5</w:t>
      </w:r>
      <w:r>
        <w:rPr>
          <w:rFonts w:hint="eastAsia"/>
          <w:b/>
          <w:bCs/>
          <w:color w:val="auto"/>
          <w:kern w:val="0"/>
          <w:szCs w:val="21"/>
          <w:highlight w:val="none"/>
        </w:rPr>
        <w:t>结果公告</w:t>
      </w:r>
    </w:p>
    <w:p w14:paraId="5DE744D5">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.5.1自成交供应商确定后2个工作日内，采购代理机构</w:t>
      </w:r>
      <w:r>
        <w:rPr>
          <w:rFonts w:hint="eastAsia"/>
          <w:color w:val="auto"/>
          <w:szCs w:val="21"/>
          <w:highlight w:val="none"/>
        </w:rPr>
        <w:t>按照供应商须知</w:t>
      </w:r>
      <w:r>
        <w:rPr>
          <w:rFonts w:hint="eastAsia"/>
          <w:color w:val="auto"/>
          <w:kern w:val="0"/>
          <w:szCs w:val="21"/>
          <w:highlight w:val="none"/>
        </w:rPr>
        <w:t>前附表的规定</w:t>
      </w:r>
      <w:r>
        <w:rPr>
          <w:color w:val="auto"/>
          <w:kern w:val="0"/>
          <w:szCs w:val="21"/>
          <w:highlight w:val="none"/>
        </w:rPr>
        <w:t>公告</w:t>
      </w:r>
      <w:r>
        <w:rPr>
          <w:color w:val="auto"/>
          <w:szCs w:val="21"/>
          <w:highlight w:val="none"/>
        </w:rPr>
        <w:t>成交结果</w:t>
      </w:r>
      <w:r>
        <w:rPr>
          <w:rFonts w:hint="eastAsia"/>
          <w:color w:val="auto"/>
          <w:szCs w:val="21"/>
          <w:highlight w:val="none"/>
          <w:lang w:eastAsia="zh-CN"/>
        </w:rPr>
        <w:t>，成交</w:t>
      </w:r>
      <w:r>
        <w:rPr>
          <w:rFonts w:hint="eastAsia"/>
          <w:color w:val="auto"/>
          <w:szCs w:val="21"/>
          <w:highlight w:val="none"/>
        </w:rPr>
        <w:t>结果公告期限为1个工作日</w:t>
      </w:r>
      <w:r>
        <w:rPr>
          <w:rFonts w:hint="eastAsia"/>
          <w:color w:val="auto"/>
          <w:szCs w:val="21"/>
          <w:highlight w:val="none"/>
          <w:lang w:eastAsia="zh-CN"/>
        </w:rPr>
        <w:t>，</w:t>
      </w:r>
      <w:r>
        <w:rPr>
          <w:rFonts w:hint="eastAsia"/>
          <w:color w:val="auto"/>
          <w:szCs w:val="21"/>
          <w:highlight w:val="none"/>
        </w:rPr>
        <w:t>发布</w:t>
      </w:r>
      <w:r>
        <w:rPr>
          <w:rFonts w:hint="eastAsia"/>
          <w:color w:val="auto"/>
          <w:szCs w:val="21"/>
          <w:highlight w:val="none"/>
          <w:lang w:eastAsia="zh-CN"/>
        </w:rPr>
        <w:t>成交</w:t>
      </w:r>
      <w:r>
        <w:rPr>
          <w:rFonts w:hint="eastAsia"/>
          <w:color w:val="auto"/>
          <w:szCs w:val="21"/>
          <w:highlight w:val="none"/>
        </w:rPr>
        <w:t>结果公告的同时向</w:t>
      </w:r>
      <w:r>
        <w:rPr>
          <w:rFonts w:hint="eastAsia"/>
          <w:color w:val="auto"/>
          <w:szCs w:val="21"/>
          <w:highlight w:val="none"/>
          <w:lang w:eastAsia="zh-CN"/>
        </w:rPr>
        <w:t>成交</w:t>
      </w:r>
      <w:r>
        <w:rPr>
          <w:rFonts w:hint="eastAsia"/>
          <w:color w:val="auto"/>
          <w:szCs w:val="21"/>
          <w:highlight w:val="none"/>
        </w:rPr>
        <w:t>供应商发出</w:t>
      </w:r>
      <w:r>
        <w:rPr>
          <w:rFonts w:hint="eastAsia"/>
          <w:color w:val="auto"/>
          <w:szCs w:val="21"/>
          <w:highlight w:val="none"/>
          <w:lang w:eastAsia="zh-CN"/>
        </w:rPr>
        <w:t>成交</w:t>
      </w:r>
      <w:r>
        <w:rPr>
          <w:rFonts w:hint="eastAsia"/>
          <w:color w:val="auto"/>
          <w:szCs w:val="21"/>
          <w:highlight w:val="none"/>
        </w:rPr>
        <w:t>通知书。采购代理机构发出</w:t>
      </w:r>
      <w:r>
        <w:rPr>
          <w:rFonts w:hint="eastAsia"/>
          <w:color w:val="auto"/>
          <w:szCs w:val="21"/>
          <w:highlight w:val="none"/>
          <w:lang w:eastAsia="zh-CN"/>
        </w:rPr>
        <w:t>成交</w:t>
      </w:r>
      <w:r>
        <w:rPr>
          <w:rFonts w:hint="eastAsia"/>
          <w:color w:val="auto"/>
          <w:szCs w:val="21"/>
          <w:highlight w:val="none"/>
        </w:rPr>
        <w:t>通知书前，应当对</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信用进行核实，对列入失信被执行人、重大税收违法案件当事人名单、政府采购严重违法失信行为记录名单及其他不符合《中华人民共和国政府采购法》第二十二条规定条件的</w:t>
      </w:r>
      <w:r>
        <w:rPr>
          <w:rFonts w:hint="eastAsia"/>
          <w:color w:val="auto"/>
          <w:szCs w:val="21"/>
          <w:highlight w:val="none"/>
          <w:lang w:val="en-US" w:eastAsia="zh-CN"/>
        </w:rPr>
        <w:t>供应商</w:t>
      </w:r>
      <w:r>
        <w:rPr>
          <w:rFonts w:hint="eastAsia"/>
          <w:color w:val="auto"/>
          <w:szCs w:val="21"/>
          <w:highlight w:val="none"/>
        </w:rPr>
        <w:t>，取消其</w:t>
      </w:r>
      <w:r>
        <w:rPr>
          <w:rFonts w:hint="eastAsia"/>
          <w:color w:val="auto"/>
          <w:szCs w:val="21"/>
          <w:highlight w:val="none"/>
          <w:lang w:eastAsia="zh-CN"/>
        </w:rPr>
        <w:t>成交</w:t>
      </w:r>
      <w:r>
        <w:rPr>
          <w:rFonts w:hint="eastAsia"/>
          <w:color w:val="auto"/>
          <w:szCs w:val="21"/>
          <w:highlight w:val="none"/>
        </w:rPr>
        <w:t>资格，并确定排名第二的</w:t>
      </w:r>
      <w:r>
        <w:rPr>
          <w:rFonts w:hint="eastAsia"/>
          <w:color w:val="auto"/>
          <w:szCs w:val="21"/>
          <w:highlight w:val="none"/>
          <w:lang w:eastAsia="zh-CN"/>
        </w:rPr>
        <w:t>成交</w:t>
      </w:r>
      <w:r>
        <w:rPr>
          <w:rFonts w:hint="eastAsia"/>
          <w:color w:val="auto"/>
          <w:szCs w:val="21"/>
          <w:highlight w:val="none"/>
        </w:rPr>
        <w:t>候选人为</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。排名第二的</w:t>
      </w:r>
      <w:r>
        <w:rPr>
          <w:rFonts w:hint="eastAsia"/>
          <w:color w:val="auto"/>
          <w:szCs w:val="21"/>
          <w:highlight w:val="none"/>
          <w:lang w:eastAsia="zh-CN"/>
        </w:rPr>
        <w:t>成交</w:t>
      </w:r>
      <w:r>
        <w:rPr>
          <w:rFonts w:hint="eastAsia"/>
          <w:color w:val="auto"/>
          <w:szCs w:val="21"/>
          <w:highlight w:val="none"/>
        </w:rPr>
        <w:t>候选人因前款规定的同样原因被取消</w:t>
      </w:r>
      <w:r>
        <w:rPr>
          <w:rFonts w:hint="eastAsia"/>
          <w:color w:val="auto"/>
          <w:szCs w:val="21"/>
          <w:highlight w:val="none"/>
          <w:lang w:eastAsia="zh-CN"/>
        </w:rPr>
        <w:t>成交</w:t>
      </w:r>
      <w:r>
        <w:rPr>
          <w:rFonts w:hint="eastAsia"/>
          <w:color w:val="auto"/>
          <w:szCs w:val="21"/>
          <w:highlight w:val="none"/>
        </w:rPr>
        <w:t>资格的，</w:t>
      </w:r>
      <w:r>
        <w:rPr>
          <w:rFonts w:hint="eastAsia"/>
          <w:color w:val="auto"/>
          <w:szCs w:val="21"/>
          <w:highlight w:val="none"/>
          <w:lang w:val="en-US" w:eastAsia="zh-CN"/>
        </w:rPr>
        <w:t>采购人</w:t>
      </w:r>
      <w:r>
        <w:rPr>
          <w:rFonts w:hint="eastAsia"/>
          <w:color w:val="auto"/>
          <w:szCs w:val="21"/>
          <w:highlight w:val="none"/>
        </w:rPr>
        <w:t>可以确定排名第三的</w:t>
      </w:r>
      <w:r>
        <w:rPr>
          <w:rFonts w:hint="eastAsia"/>
          <w:color w:val="auto"/>
          <w:szCs w:val="21"/>
          <w:highlight w:val="none"/>
          <w:lang w:eastAsia="zh-CN"/>
        </w:rPr>
        <w:t>成交</w:t>
      </w:r>
      <w:r>
        <w:rPr>
          <w:rFonts w:hint="eastAsia"/>
          <w:color w:val="auto"/>
          <w:szCs w:val="21"/>
          <w:highlight w:val="none"/>
        </w:rPr>
        <w:t>候选人为</w:t>
      </w:r>
      <w:r>
        <w:rPr>
          <w:rFonts w:hint="eastAsia"/>
          <w:color w:val="auto"/>
          <w:szCs w:val="21"/>
          <w:highlight w:val="none"/>
          <w:lang w:eastAsia="zh-CN"/>
        </w:rPr>
        <w:t>成交</w:t>
      </w:r>
      <w:r>
        <w:rPr>
          <w:rFonts w:hint="eastAsia"/>
          <w:color w:val="auto"/>
          <w:szCs w:val="21"/>
          <w:highlight w:val="none"/>
          <w:lang w:val="en-US" w:eastAsia="zh-CN"/>
        </w:rPr>
        <w:t>供应商</w:t>
      </w:r>
      <w:r>
        <w:rPr>
          <w:rFonts w:hint="eastAsia"/>
          <w:color w:val="auto"/>
          <w:szCs w:val="21"/>
          <w:highlight w:val="none"/>
        </w:rPr>
        <w:t>，以此类推。以上信息查询记录及相关证据与采购文件一并保存。</w:t>
      </w:r>
    </w:p>
    <w:p w14:paraId="7BFB21A2">
      <w:pPr>
        <w:spacing w:before="120" w:line="320" w:lineRule="atLeast"/>
        <w:ind w:firstLine="420" w:firstLineChars="200"/>
        <w:rPr>
          <w:color w:val="auto"/>
          <w:szCs w:val="21"/>
          <w:highlight w:val="none"/>
        </w:rPr>
      </w:pPr>
      <w:r>
        <w:rPr>
          <w:rFonts w:hint="eastAsia"/>
          <w:color w:val="auto"/>
          <w:szCs w:val="21"/>
          <w:highlight w:val="none"/>
        </w:rPr>
        <w:t>6</w:t>
      </w:r>
      <w:r>
        <w:rPr>
          <w:color w:val="auto"/>
          <w:szCs w:val="21"/>
          <w:highlight w:val="none"/>
        </w:rPr>
        <w:t>.5.2在发布</w:t>
      </w:r>
      <w:r>
        <w:rPr>
          <w:rFonts w:hint="eastAsia"/>
          <w:color w:val="auto"/>
          <w:szCs w:val="21"/>
          <w:highlight w:val="none"/>
        </w:rPr>
        <w:t>结果</w:t>
      </w:r>
      <w:r>
        <w:rPr>
          <w:color w:val="auto"/>
          <w:szCs w:val="21"/>
          <w:highlight w:val="none"/>
        </w:rPr>
        <w:t>公告的同时，采购代理机构以供应商须知前附表规定的形式向成交供应商发出成交通知书。成交通知书发出后，采购人改变成交结果，或者成交供应商放弃成交，应当承担相应的法律责任。</w:t>
      </w:r>
    </w:p>
    <w:p w14:paraId="1DA59F05">
      <w:pPr>
        <w:suppressAutoHyphens/>
        <w:spacing w:before="120" w:line="320" w:lineRule="atLeast"/>
        <w:ind w:firstLine="422" w:firstLineChars="200"/>
        <w:outlineLvl w:val="2"/>
        <w:rPr>
          <w:b/>
          <w:bCs/>
          <w:color w:val="auto"/>
          <w:kern w:val="0"/>
          <w:szCs w:val="21"/>
          <w:highlight w:val="none"/>
        </w:rPr>
      </w:pPr>
      <w:r>
        <w:rPr>
          <w:b/>
          <w:bCs/>
          <w:color w:val="auto"/>
          <w:kern w:val="0"/>
          <w:szCs w:val="21"/>
          <w:highlight w:val="none"/>
        </w:rPr>
        <w:t>6.6</w:t>
      </w:r>
      <w:r>
        <w:rPr>
          <w:rFonts w:hint="eastAsia"/>
          <w:b/>
          <w:bCs/>
          <w:color w:val="auto"/>
          <w:kern w:val="0"/>
          <w:szCs w:val="21"/>
          <w:highlight w:val="none"/>
        </w:rPr>
        <w:t>废标</w:t>
      </w:r>
    </w:p>
    <w:p w14:paraId="641DE6DC">
      <w:pPr>
        <w:spacing w:before="120" w:line="320" w:lineRule="atLeast"/>
        <w:ind w:firstLine="420" w:firstLineChars="200"/>
        <w:rPr>
          <w:color w:val="auto"/>
          <w:kern w:val="1"/>
          <w:szCs w:val="21"/>
          <w:highlight w:val="none"/>
        </w:rPr>
      </w:pPr>
      <w:r>
        <w:rPr>
          <w:color w:val="auto"/>
          <w:kern w:val="1"/>
          <w:szCs w:val="21"/>
          <w:highlight w:val="none"/>
        </w:rPr>
        <w:t>6.6.1</w:t>
      </w:r>
      <w:r>
        <w:rPr>
          <w:rFonts w:hint="eastAsia"/>
          <w:color w:val="auto"/>
          <w:kern w:val="1"/>
          <w:szCs w:val="21"/>
          <w:highlight w:val="none"/>
        </w:rPr>
        <w:t xml:space="preserve">出现下列情形之一，将导致项目废标： </w:t>
      </w:r>
    </w:p>
    <w:p w14:paraId="50B8854F">
      <w:pPr>
        <w:spacing w:before="120" w:line="320" w:lineRule="atLeast"/>
        <w:ind w:firstLine="420" w:firstLineChars="200"/>
        <w:rPr>
          <w:color w:val="auto"/>
          <w:szCs w:val="21"/>
          <w:highlight w:val="none"/>
        </w:rPr>
      </w:pPr>
      <w:r>
        <w:rPr>
          <w:rFonts w:hint="eastAsia"/>
          <w:color w:val="auto"/>
          <w:kern w:val="1"/>
          <w:szCs w:val="21"/>
          <w:highlight w:val="none"/>
        </w:rPr>
        <w:t>（1</w:t>
      </w:r>
      <w:r>
        <w:rPr>
          <w:rFonts w:hint="eastAsia"/>
          <w:color w:val="auto"/>
          <w:szCs w:val="21"/>
          <w:highlight w:val="none"/>
        </w:rPr>
        <w:t>）符合专业条件的供应商或者对采购文件做实质性响应的供应商不足三家；</w:t>
      </w:r>
    </w:p>
    <w:p w14:paraId="623C4C71">
      <w:pPr>
        <w:spacing w:before="120" w:line="320" w:lineRule="atLeast"/>
        <w:ind w:firstLine="420" w:firstLineChars="200"/>
        <w:rPr>
          <w:color w:val="auto"/>
          <w:szCs w:val="21"/>
          <w:highlight w:val="none"/>
        </w:rPr>
      </w:pPr>
      <w:r>
        <w:rPr>
          <w:rFonts w:hint="eastAsia"/>
          <w:color w:val="auto"/>
          <w:szCs w:val="21"/>
          <w:highlight w:val="none"/>
        </w:rPr>
        <w:t>（2）出现影响采购公正的违法、违规行为的；</w:t>
      </w:r>
    </w:p>
    <w:p w14:paraId="4B3956B3">
      <w:pPr>
        <w:spacing w:before="120" w:line="320" w:lineRule="atLeast"/>
        <w:ind w:firstLine="420" w:firstLineChars="200"/>
        <w:rPr>
          <w:color w:val="auto"/>
          <w:szCs w:val="21"/>
          <w:highlight w:val="none"/>
        </w:rPr>
      </w:pPr>
      <w:r>
        <w:rPr>
          <w:rFonts w:hint="eastAsia"/>
          <w:color w:val="auto"/>
          <w:szCs w:val="21"/>
          <w:highlight w:val="none"/>
        </w:rPr>
        <w:t>（3）供应商的报价均超过了采购预算，采购人不能支付的；</w:t>
      </w:r>
    </w:p>
    <w:p w14:paraId="58F9D879">
      <w:pPr>
        <w:spacing w:before="120" w:line="320" w:lineRule="atLeast"/>
        <w:ind w:firstLine="420" w:firstLineChars="200"/>
        <w:rPr>
          <w:color w:val="auto"/>
          <w:highlight w:val="none"/>
        </w:rPr>
      </w:pPr>
      <w:r>
        <w:rPr>
          <w:rFonts w:hint="eastAsia"/>
          <w:color w:val="auto"/>
          <w:szCs w:val="21"/>
          <w:highlight w:val="none"/>
        </w:rPr>
        <w:t>（4）</w:t>
      </w:r>
      <w:r>
        <w:rPr>
          <w:rFonts w:hint="eastAsia"/>
          <w:color w:val="auto"/>
          <w:highlight w:val="none"/>
        </w:rPr>
        <w:t>因发生重大变故或采购任务取消的。</w:t>
      </w:r>
    </w:p>
    <w:p w14:paraId="2DB28FFB">
      <w:pPr>
        <w:spacing w:before="120" w:line="320" w:lineRule="atLeast"/>
        <w:ind w:firstLine="420" w:firstLineChars="200"/>
        <w:rPr>
          <w:color w:val="auto"/>
          <w:szCs w:val="21"/>
          <w:highlight w:val="none"/>
        </w:rPr>
      </w:pPr>
      <w:r>
        <w:rPr>
          <w:color w:val="auto"/>
          <w:kern w:val="1"/>
          <w:szCs w:val="21"/>
          <w:highlight w:val="none"/>
        </w:rPr>
        <w:t>6.6.2</w:t>
      </w:r>
      <w:r>
        <w:rPr>
          <w:rFonts w:hint="eastAsia"/>
          <w:color w:val="auto"/>
          <w:kern w:val="1"/>
          <w:szCs w:val="21"/>
          <w:highlight w:val="none"/>
        </w:rPr>
        <w:t>废标后</w:t>
      </w:r>
      <w:r>
        <w:rPr>
          <w:rFonts w:hint="eastAsia"/>
          <w:color w:val="auto"/>
          <w:szCs w:val="21"/>
          <w:highlight w:val="none"/>
        </w:rPr>
        <w:t>采购</w:t>
      </w:r>
      <w:r>
        <w:rPr>
          <w:rFonts w:hint="eastAsia"/>
          <w:color w:val="auto"/>
          <w:kern w:val="1"/>
          <w:szCs w:val="21"/>
          <w:highlight w:val="none"/>
        </w:rPr>
        <w:t>代理机构将发布废标公告通知供应商。</w:t>
      </w:r>
    </w:p>
    <w:p w14:paraId="322AF7E3">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7．合同</w:t>
      </w:r>
    </w:p>
    <w:p w14:paraId="34C308C5">
      <w:pPr>
        <w:spacing w:before="120" w:line="320" w:lineRule="atLeast"/>
        <w:ind w:firstLine="422" w:firstLineChars="200"/>
        <w:outlineLvl w:val="2"/>
        <w:rPr>
          <w:b/>
          <w:bCs/>
          <w:color w:val="auto"/>
          <w:kern w:val="0"/>
          <w:szCs w:val="21"/>
          <w:highlight w:val="none"/>
        </w:rPr>
      </w:pPr>
      <w:r>
        <w:rPr>
          <w:b/>
          <w:bCs/>
          <w:color w:val="auto"/>
          <w:kern w:val="0"/>
          <w:szCs w:val="21"/>
          <w:highlight w:val="none"/>
        </w:rPr>
        <w:t>7.1合同授予标准</w:t>
      </w:r>
    </w:p>
    <w:p w14:paraId="0A52B423">
      <w:pPr>
        <w:spacing w:before="120" w:line="320" w:lineRule="atLeast"/>
        <w:ind w:firstLine="420" w:firstLineChars="200"/>
        <w:rPr>
          <w:color w:val="auto"/>
          <w:szCs w:val="21"/>
          <w:highlight w:val="none"/>
        </w:rPr>
      </w:pPr>
      <w:r>
        <w:rPr>
          <w:color w:val="auto"/>
          <w:szCs w:val="21"/>
          <w:highlight w:val="none"/>
        </w:rPr>
        <w:t>合同将授予被确定实质上响应采购文件要求，具备履行合同能力，综合评分排名第一的供应商。在</w:t>
      </w:r>
      <w:r>
        <w:rPr>
          <w:rFonts w:hint="eastAsia"/>
          <w:color w:val="auto"/>
          <w:szCs w:val="21"/>
          <w:highlight w:val="none"/>
        </w:rPr>
        <w:t>成交通知书</w:t>
      </w:r>
      <w:r>
        <w:rPr>
          <w:color w:val="auto"/>
          <w:szCs w:val="21"/>
          <w:highlight w:val="none"/>
        </w:rPr>
        <w:t>发出前或签订合同前，如果</w:t>
      </w:r>
      <w:r>
        <w:rPr>
          <w:rFonts w:hint="eastAsia"/>
          <w:color w:val="auto"/>
          <w:szCs w:val="21"/>
          <w:highlight w:val="none"/>
        </w:rPr>
        <w:t>成交供应商</w:t>
      </w:r>
      <w:r>
        <w:rPr>
          <w:color w:val="auto"/>
          <w:szCs w:val="21"/>
          <w:highlight w:val="none"/>
        </w:rPr>
        <w:t>的组织机构</w:t>
      </w:r>
      <w:r>
        <w:rPr>
          <w:rFonts w:hint="eastAsia"/>
          <w:color w:val="auto"/>
          <w:szCs w:val="21"/>
          <w:highlight w:val="none"/>
        </w:rPr>
        <w:t>、</w:t>
      </w:r>
      <w:r>
        <w:rPr>
          <w:color w:val="auto"/>
          <w:szCs w:val="21"/>
          <w:highlight w:val="none"/>
        </w:rPr>
        <w:t>经营、财务状况发生较大变化，可能造成不能履行合同、无法按照</w:t>
      </w:r>
      <w:r>
        <w:rPr>
          <w:rFonts w:hint="eastAsia"/>
          <w:color w:val="auto"/>
          <w:szCs w:val="21"/>
          <w:highlight w:val="none"/>
        </w:rPr>
        <w:t>采购文件</w:t>
      </w:r>
      <w:r>
        <w:rPr>
          <w:color w:val="auto"/>
          <w:szCs w:val="21"/>
          <w:highlight w:val="none"/>
        </w:rPr>
        <w:t>要求提交履约保证金等情形，不符合成交条件或不满足供应商资格条件要求 ，应在</w:t>
      </w:r>
      <w:r>
        <w:rPr>
          <w:rFonts w:hint="eastAsia"/>
          <w:color w:val="auto"/>
          <w:szCs w:val="21"/>
          <w:highlight w:val="none"/>
        </w:rPr>
        <w:t>成交通知书</w:t>
      </w:r>
      <w:r>
        <w:rPr>
          <w:color w:val="auto"/>
          <w:szCs w:val="21"/>
          <w:highlight w:val="none"/>
        </w:rPr>
        <w:t>发出前或签订合同前及时书面告知采购人</w:t>
      </w:r>
      <w:r>
        <w:rPr>
          <w:rFonts w:hint="eastAsia"/>
          <w:color w:val="auto"/>
          <w:szCs w:val="21"/>
          <w:highlight w:val="none"/>
        </w:rPr>
        <w:t>，</w:t>
      </w:r>
      <w:r>
        <w:rPr>
          <w:color w:val="auto"/>
          <w:szCs w:val="21"/>
          <w:highlight w:val="none"/>
        </w:rPr>
        <w:t>未主动告知</w:t>
      </w:r>
      <w:r>
        <w:rPr>
          <w:rFonts w:hint="eastAsia"/>
          <w:color w:val="auto"/>
          <w:szCs w:val="21"/>
          <w:highlight w:val="none"/>
        </w:rPr>
        <w:t>，</w:t>
      </w:r>
      <w:r>
        <w:rPr>
          <w:color w:val="auto"/>
          <w:szCs w:val="21"/>
          <w:highlight w:val="none"/>
        </w:rPr>
        <w:t>给采购人造成损失的</w:t>
      </w:r>
      <w:r>
        <w:rPr>
          <w:rFonts w:hint="eastAsia"/>
          <w:color w:val="auto"/>
          <w:szCs w:val="21"/>
          <w:highlight w:val="none"/>
        </w:rPr>
        <w:t>，</w:t>
      </w:r>
      <w:r>
        <w:rPr>
          <w:color w:val="auto"/>
          <w:szCs w:val="21"/>
          <w:highlight w:val="none"/>
        </w:rPr>
        <w:t>采购人有权</w:t>
      </w:r>
      <w:r>
        <w:rPr>
          <w:rFonts w:hint="eastAsia"/>
          <w:color w:val="auto"/>
          <w:szCs w:val="21"/>
          <w:highlight w:val="none"/>
        </w:rPr>
        <w:t>取消其成交资格并</w:t>
      </w:r>
      <w:r>
        <w:rPr>
          <w:color w:val="auto"/>
          <w:szCs w:val="21"/>
          <w:highlight w:val="none"/>
        </w:rPr>
        <w:t>没收磋商保证金</w:t>
      </w:r>
      <w:r>
        <w:rPr>
          <w:rFonts w:hint="eastAsia"/>
          <w:color w:val="auto"/>
          <w:szCs w:val="21"/>
          <w:highlight w:val="none"/>
        </w:rPr>
        <w:t>。</w:t>
      </w:r>
    </w:p>
    <w:p w14:paraId="6970A074">
      <w:pPr>
        <w:spacing w:before="120" w:line="320" w:lineRule="atLeast"/>
        <w:ind w:firstLine="422" w:firstLineChars="200"/>
        <w:outlineLvl w:val="2"/>
        <w:rPr>
          <w:b/>
          <w:bCs/>
          <w:color w:val="auto"/>
          <w:kern w:val="0"/>
          <w:szCs w:val="21"/>
          <w:highlight w:val="none"/>
        </w:rPr>
      </w:pPr>
      <w:r>
        <w:rPr>
          <w:b/>
          <w:bCs/>
          <w:color w:val="auto"/>
          <w:kern w:val="0"/>
          <w:szCs w:val="21"/>
          <w:highlight w:val="none"/>
        </w:rPr>
        <w:t>7.2签订合同</w:t>
      </w:r>
    </w:p>
    <w:p w14:paraId="4AA98262">
      <w:pPr>
        <w:spacing w:before="120" w:line="320" w:lineRule="atLeast"/>
        <w:ind w:firstLine="420" w:firstLineChars="200"/>
        <w:rPr>
          <w:color w:val="auto"/>
          <w:szCs w:val="21"/>
          <w:highlight w:val="none"/>
        </w:rPr>
      </w:pPr>
      <w:r>
        <w:rPr>
          <w:color w:val="auto"/>
          <w:szCs w:val="21"/>
          <w:highlight w:val="none"/>
        </w:rPr>
        <w:t>7.2.1如</w:t>
      </w:r>
      <w:r>
        <w:rPr>
          <w:rFonts w:hint="eastAsia"/>
          <w:color w:val="auto"/>
          <w:szCs w:val="21"/>
          <w:highlight w:val="none"/>
        </w:rPr>
        <w:t>采购文件</w:t>
      </w:r>
      <w:r>
        <w:rPr>
          <w:color w:val="auto"/>
          <w:szCs w:val="21"/>
          <w:highlight w:val="none"/>
        </w:rPr>
        <w:t>无</w:t>
      </w:r>
      <w:r>
        <w:rPr>
          <w:rFonts w:hint="eastAsia"/>
          <w:color w:val="auto"/>
          <w:szCs w:val="21"/>
          <w:highlight w:val="none"/>
        </w:rPr>
        <w:t>特别</w:t>
      </w:r>
      <w:r>
        <w:rPr>
          <w:color w:val="auto"/>
          <w:szCs w:val="21"/>
          <w:highlight w:val="none"/>
        </w:rPr>
        <w:t>规定，</w:t>
      </w:r>
      <w:r>
        <w:rPr>
          <w:rFonts w:hint="eastAsia"/>
          <w:color w:val="auto"/>
          <w:szCs w:val="21"/>
          <w:highlight w:val="none"/>
        </w:rPr>
        <w:t>成交供应商按采购文件确定的事项签订政府采购合同。</w:t>
      </w:r>
    </w:p>
    <w:p w14:paraId="05AA922E">
      <w:pPr>
        <w:spacing w:before="120" w:line="320" w:lineRule="atLeast"/>
        <w:ind w:firstLine="420" w:firstLineChars="200"/>
        <w:rPr>
          <w:color w:val="auto"/>
          <w:szCs w:val="21"/>
          <w:highlight w:val="none"/>
        </w:rPr>
      </w:pPr>
      <w:r>
        <w:rPr>
          <w:color w:val="auto"/>
          <w:szCs w:val="21"/>
          <w:highlight w:val="none"/>
        </w:rPr>
        <w:t>7.2.2</w:t>
      </w:r>
      <w:r>
        <w:rPr>
          <w:rFonts w:hint="eastAsia"/>
          <w:color w:val="auto"/>
          <w:szCs w:val="21"/>
          <w:highlight w:val="none"/>
        </w:rPr>
        <w:t>政府采购合同应当包括采购人与成交供应商的名称和住所、标的、数量、质量、价款或者报酬、履行期限及地点和方式、验收要求、违约责任、解决争议的方法等内容。</w:t>
      </w:r>
      <w:r>
        <w:rPr>
          <w:color w:val="auto"/>
          <w:szCs w:val="21"/>
          <w:highlight w:val="none"/>
        </w:rPr>
        <w:t>采购文件、成交供应商的响应文件及澄清文件等，均为签订政府采购合同的依据。</w:t>
      </w:r>
    </w:p>
    <w:p w14:paraId="52E0C32C">
      <w:pPr>
        <w:spacing w:before="120" w:line="320" w:lineRule="atLeast"/>
        <w:ind w:firstLine="420" w:firstLineChars="200"/>
        <w:rPr>
          <w:color w:val="auto"/>
          <w:szCs w:val="21"/>
          <w:highlight w:val="none"/>
        </w:rPr>
      </w:pPr>
      <w:r>
        <w:rPr>
          <w:color w:val="auto"/>
          <w:szCs w:val="21"/>
          <w:highlight w:val="none"/>
        </w:rPr>
        <w:t>7.2.3如成交供应商不按成交通知书的规定签订合同，</w:t>
      </w:r>
      <w:r>
        <w:rPr>
          <w:rFonts w:hint="eastAsia"/>
          <w:color w:val="auto"/>
          <w:szCs w:val="21"/>
          <w:highlight w:val="none"/>
        </w:rPr>
        <w:t>其磋商保证金将不予退还，并报由同级政府采购监督管理部门处理。</w:t>
      </w:r>
    </w:p>
    <w:p w14:paraId="745FD3A2">
      <w:pPr>
        <w:spacing w:before="120" w:line="320" w:lineRule="atLeast"/>
        <w:ind w:firstLine="420" w:firstLineChars="200"/>
        <w:rPr>
          <w:color w:val="auto"/>
          <w:szCs w:val="21"/>
          <w:highlight w:val="none"/>
        </w:rPr>
      </w:pPr>
      <w:r>
        <w:rPr>
          <w:rFonts w:hint="eastAsia"/>
          <w:color w:val="auto"/>
          <w:szCs w:val="21"/>
          <w:highlight w:val="none"/>
        </w:rPr>
        <w:t>7</w:t>
      </w:r>
      <w:r>
        <w:rPr>
          <w:color w:val="auto"/>
          <w:szCs w:val="21"/>
          <w:highlight w:val="none"/>
        </w:rPr>
        <w:t>.2.4</w:t>
      </w:r>
      <w:r>
        <w:rPr>
          <w:rFonts w:hint="eastAsia"/>
          <w:color w:val="auto"/>
          <w:szCs w:val="21"/>
          <w:highlight w:val="none"/>
        </w:rPr>
        <w:t>成交供应商拒绝与采购人签订合同的，采购人可以按照评审报告推荐的成交候选人名单排序，确定下一候选人为成交供应商，也可以重新开展政府采购活动。</w:t>
      </w:r>
    </w:p>
    <w:p w14:paraId="3B3CA3DF">
      <w:pPr>
        <w:spacing w:before="120" w:line="320" w:lineRule="atLeast"/>
        <w:ind w:firstLine="420" w:firstLineChars="200"/>
        <w:rPr>
          <w:rFonts w:hint="eastAsia"/>
          <w:color w:val="auto"/>
          <w:szCs w:val="21"/>
          <w:highlight w:val="none"/>
        </w:rPr>
      </w:pPr>
      <w:bookmarkStart w:id="63" w:name="_Hlk155170999"/>
      <w:r>
        <w:rPr>
          <w:rFonts w:hint="eastAsia"/>
          <w:color w:val="auto"/>
          <w:szCs w:val="21"/>
          <w:highlight w:val="none"/>
        </w:rPr>
        <w:t>7</w:t>
      </w:r>
      <w:r>
        <w:rPr>
          <w:color w:val="auto"/>
          <w:szCs w:val="21"/>
          <w:highlight w:val="none"/>
        </w:rPr>
        <w:t>.2.5</w:t>
      </w:r>
      <w:r>
        <w:rPr>
          <w:rFonts w:hint="eastAsia"/>
          <w:color w:val="auto"/>
          <w:szCs w:val="21"/>
          <w:highlight w:val="none"/>
        </w:rPr>
        <w:t>采购人因不可抗力原因迟延签订合同的，应当自不可抗力事由消除之日起5个工作日内完成合同签订事宜。</w:t>
      </w:r>
      <w:bookmarkEnd w:id="63"/>
    </w:p>
    <w:p w14:paraId="24DFCB7A">
      <w:pPr>
        <w:spacing w:before="120" w:line="320" w:lineRule="atLeast"/>
        <w:ind w:firstLine="422" w:firstLineChars="200"/>
        <w:outlineLvl w:val="2"/>
        <w:rPr>
          <w:b/>
          <w:bCs/>
          <w:color w:val="auto"/>
          <w:kern w:val="0"/>
          <w:szCs w:val="21"/>
          <w:highlight w:val="none"/>
        </w:rPr>
      </w:pPr>
      <w:r>
        <w:rPr>
          <w:b/>
          <w:bCs/>
          <w:color w:val="auto"/>
          <w:kern w:val="0"/>
          <w:szCs w:val="21"/>
          <w:highlight w:val="none"/>
        </w:rPr>
        <w:t>7.3合同公告</w:t>
      </w:r>
    </w:p>
    <w:p w14:paraId="2503A5E7">
      <w:pPr>
        <w:spacing w:before="120" w:line="320" w:lineRule="atLeast"/>
        <w:ind w:firstLine="420" w:firstLineChars="200"/>
        <w:rPr>
          <w:color w:val="auto"/>
          <w:szCs w:val="21"/>
          <w:highlight w:val="none"/>
        </w:rPr>
      </w:pPr>
      <w:r>
        <w:rPr>
          <w:color w:val="auto"/>
          <w:szCs w:val="21"/>
          <w:highlight w:val="none"/>
        </w:rPr>
        <w:t>7.3.1如</w:t>
      </w:r>
      <w:r>
        <w:rPr>
          <w:rFonts w:hint="eastAsia"/>
          <w:color w:val="auto"/>
          <w:szCs w:val="21"/>
          <w:highlight w:val="none"/>
        </w:rPr>
        <w:t>采购文件</w:t>
      </w:r>
      <w:r>
        <w:rPr>
          <w:color w:val="auto"/>
          <w:szCs w:val="21"/>
          <w:highlight w:val="none"/>
        </w:rPr>
        <w:t>无特殊规定</w:t>
      </w:r>
      <w:r>
        <w:rPr>
          <w:rFonts w:hint="eastAsia"/>
          <w:color w:val="auto"/>
          <w:szCs w:val="21"/>
          <w:highlight w:val="none"/>
        </w:rPr>
        <w:t>，</w:t>
      </w:r>
      <w:r>
        <w:rPr>
          <w:color w:val="auto"/>
          <w:szCs w:val="21"/>
          <w:highlight w:val="none"/>
        </w:rPr>
        <w:t>成交供应商应在签订合同后1个工作日内，将政府采购合同副本送采购代理机构</w:t>
      </w:r>
      <w:r>
        <w:rPr>
          <w:rFonts w:hint="eastAsia"/>
          <w:color w:val="auto"/>
          <w:szCs w:val="21"/>
          <w:highlight w:val="none"/>
        </w:rPr>
        <w:t>存档</w:t>
      </w:r>
      <w:r>
        <w:rPr>
          <w:color w:val="auto"/>
          <w:szCs w:val="21"/>
          <w:highlight w:val="none"/>
        </w:rPr>
        <w:t>。</w:t>
      </w:r>
    </w:p>
    <w:p w14:paraId="64FFA07C">
      <w:pPr>
        <w:spacing w:before="120" w:line="320" w:lineRule="atLeast"/>
        <w:ind w:firstLine="420" w:firstLineChars="200"/>
        <w:rPr>
          <w:color w:val="auto"/>
          <w:szCs w:val="21"/>
          <w:highlight w:val="none"/>
        </w:rPr>
      </w:pPr>
      <w:r>
        <w:rPr>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2FE187E7">
      <w:pPr>
        <w:spacing w:before="120" w:line="320" w:lineRule="atLeast"/>
        <w:ind w:firstLine="420" w:firstLineChars="200"/>
        <w:rPr>
          <w:rFonts w:hint="eastAsia"/>
          <w:color w:val="auto"/>
          <w:szCs w:val="21"/>
          <w:highlight w:val="none"/>
        </w:rPr>
      </w:pPr>
      <w:bookmarkStart w:id="64" w:name="_Hlk155171014"/>
      <w:r>
        <w:rPr>
          <w:rFonts w:hint="eastAsia"/>
          <w:color w:val="auto"/>
          <w:szCs w:val="21"/>
          <w:highlight w:val="none"/>
        </w:rPr>
        <w:t>7</w:t>
      </w:r>
      <w:r>
        <w:rPr>
          <w:color w:val="auto"/>
          <w:szCs w:val="21"/>
          <w:highlight w:val="none"/>
        </w:rPr>
        <w:t xml:space="preserve">.3.3 </w:t>
      </w:r>
      <w:r>
        <w:rPr>
          <w:rFonts w:hint="eastAsia"/>
          <w:color w:val="auto"/>
          <w:szCs w:val="21"/>
          <w:highlight w:val="none"/>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4"/>
    </w:p>
    <w:p w14:paraId="2F065FF8">
      <w:pPr>
        <w:spacing w:before="120" w:line="320" w:lineRule="atLeast"/>
        <w:ind w:firstLine="422" w:firstLineChars="200"/>
        <w:outlineLvl w:val="2"/>
        <w:rPr>
          <w:b/>
          <w:bCs/>
          <w:color w:val="auto"/>
          <w:kern w:val="0"/>
          <w:szCs w:val="21"/>
          <w:highlight w:val="none"/>
        </w:rPr>
      </w:pPr>
      <w:r>
        <w:rPr>
          <w:b/>
          <w:bCs/>
          <w:color w:val="auto"/>
          <w:kern w:val="0"/>
          <w:szCs w:val="21"/>
          <w:highlight w:val="none"/>
        </w:rPr>
        <w:t>7.4 履行合同</w:t>
      </w:r>
    </w:p>
    <w:p w14:paraId="2055358D">
      <w:pPr>
        <w:spacing w:before="120" w:line="320" w:lineRule="atLeast"/>
        <w:ind w:firstLine="420" w:firstLineChars="200"/>
        <w:rPr>
          <w:color w:val="auto"/>
          <w:szCs w:val="21"/>
          <w:highlight w:val="none"/>
        </w:rPr>
      </w:pPr>
      <w:bookmarkStart w:id="65" w:name="_Toc217446070"/>
      <w:bookmarkStart w:id="66" w:name="_Toc308164814"/>
      <w:r>
        <w:rPr>
          <w:color w:val="auto"/>
          <w:szCs w:val="21"/>
          <w:highlight w:val="none"/>
        </w:rPr>
        <w:t>7.4.1</w:t>
      </w:r>
      <w:r>
        <w:rPr>
          <w:rFonts w:hint="eastAsia"/>
          <w:color w:val="auto"/>
          <w:szCs w:val="21"/>
          <w:highlight w:val="none"/>
        </w:rPr>
        <w:t>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3C2B2838">
      <w:pPr>
        <w:spacing w:before="120" w:line="320" w:lineRule="atLeast"/>
        <w:ind w:firstLine="422" w:firstLineChars="200"/>
        <w:rPr>
          <w:b/>
          <w:bCs/>
          <w:color w:val="auto"/>
          <w:kern w:val="0"/>
          <w:szCs w:val="21"/>
          <w:highlight w:val="none"/>
        </w:rPr>
      </w:pPr>
      <w:r>
        <w:rPr>
          <w:b/>
          <w:bCs/>
          <w:color w:val="auto"/>
          <w:kern w:val="0"/>
          <w:szCs w:val="21"/>
          <w:highlight w:val="none"/>
        </w:rPr>
        <w:t>7.5履约验收</w:t>
      </w:r>
      <w:bookmarkEnd w:id="65"/>
      <w:bookmarkEnd w:id="66"/>
    </w:p>
    <w:p w14:paraId="362A89EC">
      <w:pPr>
        <w:spacing w:before="120" w:line="320" w:lineRule="atLeast"/>
        <w:ind w:firstLine="420" w:firstLineChars="200"/>
        <w:rPr>
          <w:color w:val="auto"/>
          <w:szCs w:val="21"/>
          <w:highlight w:val="none"/>
        </w:rPr>
      </w:pPr>
      <w:r>
        <w:rPr>
          <w:color w:val="auto"/>
          <w:szCs w:val="21"/>
          <w:highlight w:val="none"/>
        </w:rPr>
        <w:t>7.5.1采购人可以根据政府采购项目具体情况自行组织验收，或者委托政府采购代理机构、国家认可的质量检测机构开展采购项目履约验收工作。</w:t>
      </w:r>
    </w:p>
    <w:p w14:paraId="38AA87FD">
      <w:pPr>
        <w:spacing w:before="120" w:line="320" w:lineRule="atLeast"/>
        <w:ind w:firstLine="420" w:firstLineChars="200"/>
        <w:rPr>
          <w:color w:val="auto"/>
          <w:szCs w:val="21"/>
          <w:highlight w:val="none"/>
        </w:rPr>
      </w:pPr>
      <w:r>
        <w:rPr>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5D8901E0">
      <w:pPr>
        <w:spacing w:before="120" w:line="320" w:lineRule="atLeast"/>
        <w:ind w:firstLine="420" w:firstLineChars="200"/>
        <w:rPr>
          <w:color w:val="auto"/>
          <w:szCs w:val="21"/>
          <w:highlight w:val="none"/>
        </w:rPr>
      </w:pPr>
      <w:r>
        <w:rPr>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49AC1449">
      <w:pPr>
        <w:spacing w:before="120" w:line="320" w:lineRule="atLeast"/>
        <w:ind w:firstLine="420" w:firstLineChars="200"/>
        <w:rPr>
          <w:color w:val="auto"/>
          <w:szCs w:val="21"/>
          <w:highlight w:val="none"/>
        </w:rPr>
      </w:pPr>
      <w:r>
        <w:rPr>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6EE49410">
      <w:pPr>
        <w:spacing w:before="120" w:line="320" w:lineRule="atLeast"/>
        <w:ind w:left="2" w:leftChars="1" w:firstLine="422" w:firstLineChars="200"/>
        <w:outlineLvl w:val="1"/>
        <w:rPr>
          <w:b/>
          <w:bCs/>
          <w:color w:val="auto"/>
          <w:kern w:val="0"/>
          <w:szCs w:val="21"/>
          <w:highlight w:val="none"/>
        </w:rPr>
      </w:pPr>
      <w:bookmarkStart w:id="67" w:name="_Toc254970533"/>
      <w:bookmarkStart w:id="68" w:name="_Toc254970674"/>
      <w:r>
        <w:rPr>
          <w:b/>
          <w:bCs/>
          <w:color w:val="auto"/>
          <w:kern w:val="0"/>
          <w:szCs w:val="21"/>
          <w:highlight w:val="none"/>
        </w:rPr>
        <w:t>8．质疑和投诉</w:t>
      </w:r>
      <w:bookmarkEnd w:id="67"/>
      <w:bookmarkEnd w:id="68"/>
    </w:p>
    <w:p w14:paraId="7DEDB25C">
      <w:pPr>
        <w:spacing w:before="120" w:line="320" w:lineRule="atLeast"/>
        <w:ind w:firstLine="422" w:firstLineChars="200"/>
        <w:outlineLvl w:val="2"/>
        <w:rPr>
          <w:b/>
          <w:bCs/>
          <w:color w:val="auto"/>
          <w:kern w:val="0"/>
          <w:szCs w:val="21"/>
          <w:highlight w:val="none"/>
        </w:rPr>
      </w:pPr>
      <w:r>
        <w:rPr>
          <w:b/>
          <w:bCs/>
          <w:color w:val="auto"/>
          <w:kern w:val="0"/>
          <w:szCs w:val="21"/>
          <w:highlight w:val="none"/>
        </w:rPr>
        <w:t>8.1质疑</w:t>
      </w:r>
    </w:p>
    <w:p w14:paraId="4DDDD20D">
      <w:pPr>
        <w:spacing w:before="120" w:line="320" w:lineRule="atLeast"/>
        <w:ind w:firstLine="420" w:firstLineChars="200"/>
        <w:rPr>
          <w:color w:val="auto"/>
          <w:szCs w:val="21"/>
          <w:highlight w:val="none"/>
        </w:rPr>
      </w:pPr>
      <w:r>
        <w:rPr>
          <w:color w:val="auto"/>
          <w:szCs w:val="21"/>
          <w:highlight w:val="none"/>
        </w:rPr>
        <w:t>8.1.1质疑内容、时限</w:t>
      </w:r>
    </w:p>
    <w:p w14:paraId="1AA26B37">
      <w:pPr>
        <w:spacing w:before="120" w:line="320" w:lineRule="atLeast"/>
        <w:ind w:firstLine="420" w:firstLineChars="200"/>
        <w:rPr>
          <w:color w:val="auto"/>
          <w:szCs w:val="21"/>
          <w:highlight w:val="none"/>
        </w:rPr>
      </w:pPr>
      <w:r>
        <w:rPr>
          <w:rFonts w:hint="eastAsia"/>
          <w:color w:val="auto"/>
          <w:szCs w:val="21"/>
          <w:highlight w:val="none"/>
        </w:rPr>
        <w:t>（1）供应商对政府采购活动有疑问的，可以向采购人或采购代理机构提出询问。采购人或者采购代理机构应当在3个工作日内对供应商依法提出的询问作出答复。</w:t>
      </w:r>
    </w:p>
    <w:p w14:paraId="005781E7">
      <w:pPr>
        <w:spacing w:before="120" w:line="320" w:lineRule="atLeast"/>
        <w:ind w:firstLine="420" w:firstLineChars="200"/>
        <w:rPr>
          <w:color w:val="auto"/>
          <w:szCs w:val="21"/>
          <w:highlight w:val="none"/>
        </w:rPr>
      </w:pPr>
      <w:r>
        <w:rPr>
          <w:rFonts w:hint="eastAsia"/>
          <w:color w:val="auto"/>
          <w:szCs w:val="21"/>
          <w:highlight w:val="none"/>
        </w:rPr>
        <w:t>（2）</w:t>
      </w:r>
      <w:r>
        <w:rPr>
          <w:rFonts w:hint="eastAsia"/>
          <w:color w:val="auto"/>
          <w:szCs w:val="21"/>
          <w:highlight w:val="none"/>
          <w:lang w:eastAsia="zh-CN"/>
        </w:rPr>
        <w:t>供应商</w:t>
      </w:r>
      <w:r>
        <w:rPr>
          <w:rFonts w:hint="eastAsia"/>
          <w:color w:val="auto"/>
          <w:szCs w:val="21"/>
          <w:highlight w:val="none"/>
        </w:rPr>
        <w:t>认为采购文件、采购过程、中标或者成交结果使自己的权益受到损害的，可以在知道或者应知其权益受到损害之日起7个工作日内向采购人或采购代理机构提出质疑。采购人或</w:t>
      </w:r>
      <w:r>
        <w:rPr>
          <w:color w:val="auto"/>
          <w:szCs w:val="21"/>
          <w:highlight w:val="none"/>
        </w:rPr>
        <w:t>采购代理机构在收到供应商书面质疑后7个工作日内，对质疑内容作出答复。</w:t>
      </w:r>
    </w:p>
    <w:p w14:paraId="54650087">
      <w:pPr>
        <w:spacing w:before="120" w:line="320" w:lineRule="atLeast"/>
        <w:ind w:firstLine="420" w:firstLineChars="200"/>
        <w:rPr>
          <w:color w:val="auto"/>
          <w:szCs w:val="21"/>
          <w:highlight w:val="none"/>
        </w:rPr>
      </w:pPr>
      <w:r>
        <w:rPr>
          <w:color w:val="auto"/>
          <w:szCs w:val="21"/>
          <w:highlight w:val="none"/>
        </w:rPr>
        <w:t>8.1.2质疑形式</w:t>
      </w:r>
    </w:p>
    <w:p w14:paraId="233DF151">
      <w:pPr>
        <w:spacing w:before="120" w:line="320" w:lineRule="atLeast"/>
        <w:ind w:firstLine="420" w:firstLineChars="200"/>
        <w:rPr>
          <w:color w:val="auto"/>
          <w:szCs w:val="21"/>
          <w:highlight w:val="none"/>
        </w:rPr>
      </w:pPr>
      <w:r>
        <w:rPr>
          <w:color w:val="auto"/>
          <w:szCs w:val="21"/>
          <w:highlight w:val="none"/>
        </w:rPr>
        <w:t>质疑应当采用</w:t>
      </w:r>
      <w:r>
        <w:rPr>
          <w:rFonts w:hint="eastAsia"/>
          <w:color w:val="auto"/>
          <w:szCs w:val="21"/>
          <w:highlight w:val="none"/>
        </w:rPr>
        <w:t>供应商</w:t>
      </w:r>
      <w:r>
        <w:rPr>
          <w:color w:val="auto"/>
          <w:szCs w:val="21"/>
          <w:highlight w:val="none"/>
        </w:rPr>
        <w:t>须知前附表所规定的形式，质疑书应明确阐述</w:t>
      </w:r>
      <w:r>
        <w:rPr>
          <w:rFonts w:hint="eastAsia"/>
          <w:color w:val="auto"/>
          <w:szCs w:val="21"/>
          <w:highlight w:val="none"/>
        </w:rPr>
        <w:t>采购文件</w:t>
      </w:r>
      <w:r>
        <w:rPr>
          <w:color w:val="auto"/>
          <w:szCs w:val="21"/>
          <w:highlight w:val="none"/>
        </w:rPr>
        <w:t>、</w:t>
      </w:r>
      <w:r>
        <w:rPr>
          <w:rFonts w:hint="eastAsia"/>
          <w:color w:val="auto"/>
          <w:szCs w:val="21"/>
          <w:highlight w:val="none"/>
        </w:rPr>
        <w:t>采购</w:t>
      </w:r>
      <w:r>
        <w:rPr>
          <w:color w:val="auto"/>
          <w:szCs w:val="21"/>
          <w:highlight w:val="none"/>
        </w:rPr>
        <w:t>过程或成交结果中使自己合法权益受到损害的实质性内容，提供相关事实、依据和证据及其来源或线索，便于有关单位调查、答复和处理。</w:t>
      </w:r>
    </w:p>
    <w:p w14:paraId="1DC28390">
      <w:pPr>
        <w:spacing w:before="120" w:line="320" w:lineRule="atLeast"/>
        <w:ind w:firstLine="420" w:firstLineChars="200"/>
        <w:rPr>
          <w:color w:val="auto"/>
          <w:szCs w:val="21"/>
          <w:highlight w:val="none"/>
        </w:rPr>
      </w:pPr>
      <w:r>
        <w:rPr>
          <w:rFonts w:hint="eastAsia"/>
          <w:color w:val="auto"/>
          <w:szCs w:val="21"/>
          <w:highlight w:val="none"/>
        </w:rPr>
        <w:t>8</w:t>
      </w:r>
      <w:r>
        <w:rPr>
          <w:color w:val="auto"/>
          <w:szCs w:val="21"/>
          <w:highlight w:val="none"/>
        </w:rPr>
        <w:t>.1.3</w:t>
      </w:r>
      <w:r>
        <w:rPr>
          <w:rFonts w:hint="eastAsia"/>
          <w:color w:val="auto"/>
          <w:highlight w:val="none"/>
        </w:rPr>
        <w:t xml:space="preserve"> </w:t>
      </w:r>
      <w:r>
        <w:rPr>
          <w:rFonts w:hint="eastAsia"/>
          <w:color w:val="auto"/>
          <w:szCs w:val="21"/>
          <w:highlight w:val="none"/>
        </w:rPr>
        <w:t>供应商提出质疑应当提交质疑函和必要的证明材料。质疑函应当包括下列内容：</w:t>
      </w:r>
    </w:p>
    <w:p w14:paraId="476D0839">
      <w:pPr>
        <w:spacing w:before="120" w:line="320" w:lineRule="atLeast"/>
        <w:ind w:firstLine="420" w:firstLineChars="200"/>
        <w:rPr>
          <w:color w:val="auto"/>
          <w:szCs w:val="21"/>
          <w:highlight w:val="none"/>
        </w:rPr>
      </w:pPr>
      <w:r>
        <w:rPr>
          <w:rFonts w:hint="eastAsia"/>
          <w:color w:val="auto"/>
          <w:szCs w:val="21"/>
          <w:highlight w:val="none"/>
        </w:rPr>
        <w:t>（1）</w:t>
      </w:r>
      <w:r>
        <w:rPr>
          <w:rFonts w:hint="eastAsia"/>
          <w:color w:val="auto"/>
          <w:szCs w:val="21"/>
          <w:highlight w:val="none"/>
        </w:rPr>
        <w:tab/>
      </w:r>
      <w:r>
        <w:rPr>
          <w:rFonts w:hint="eastAsia"/>
          <w:color w:val="auto"/>
          <w:szCs w:val="21"/>
          <w:highlight w:val="none"/>
        </w:rPr>
        <w:t>供应商的姓名或者名称、地址、邮编、联系人及联系电话；</w:t>
      </w:r>
    </w:p>
    <w:p w14:paraId="45C3CDAE">
      <w:pPr>
        <w:spacing w:before="120" w:line="320" w:lineRule="atLeast"/>
        <w:ind w:firstLine="420" w:firstLineChars="200"/>
        <w:rPr>
          <w:color w:val="auto"/>
          <w:szCs w:val="21"/>
          <w:highlight w:val="none"/>
        </w:rPr>
      </w:pPr>
      <w:r>
        <w:rPr>
          <w:rFonts w:hint="eastAsia"/>
          <w:color w:val="auto"/>
          <w:szCs w:val="21"/>
          <w:highlight w:val="none"/>
        </w:rPr>
        <w:t>（2）</w:t>
      </w:r>
      <w:r>
        <w:rPr>
          <w:rFonts w:hint="eastAsia"/>
          <w:color w:val="auto"/>
          <w:szCs w:val="21"/>
          <w:highlight w:val="none"/>
        </w:rPr>
        <w:tab/>
      </w:r>
      <w:r>
        <w:rPr>
          <w:rFonts w:hint="eastAsia"/>
          <w:color w:val="auto"/>
          <w:szCs w:val="21"/>
          <w:highlight w:val="none"/>
        </w:rPr>
        <w:t>质疑项目的名称、编号；</w:t>
      </w:r>
    </w:p>
    <w:p w14:paraId="78CFB3F7">
      <w:pPr>
        <w:spacing w:before="120" w:line="320" w:lineRule="atLeast"/>
        <w:ind w:firstLine="420" w:firstLineChars="200"/>
        <w:rPr>
          <w:color w:val="auto"/>
          <w:szCs w:val="21"/>
          <w:highlight w:val="none"/>
        </w:rPr>
      </w:pPr>
      <w:r>
        <w:rPr>
          <w:rFonts w:hint="eastAsia"/>
          <w:color w:val="auto"/>
          <w:szCs w:val="21"/>
          <w:highlight w:val="none"/>
        </w:rPr>
        <w:t>（3）</w:t>
      </w:r>
      <w:r>
        <w:rPr>
          <w:rFonts w:hint="eastAsia"/>
          <w:color w:val="auto"/>
          <w:szCs w:val="21"/>
          <w:highlight w:val="none"/>
        </w:rPr>
        <w:tab/>
      </w:r>
      <w:r>
        <w:rPr>
          <w:rFonts w:hint="eastAsia"/>
          <w:color w:val="auto"/>
          <w:szCs w:val="21"/>
          <w:highlight w:val="none"/>
        </w:rPr>
        <w:t>具体、明确的质疑事项和与质疑事项相关的请求；</w:t>
      </w:r>
    </w:p>
    <w:p w14:paraId="76810EF2">
      <w:pPr>
        <w:spacing w:before="120" w:line="320" w:lineRule="atLeast"/>
        <w:ind w:firstLine="420" w:firstLineChars="200"/>
        <w:rPr>
          <w:color w:val="auto"/>
          <w:szCs w:val="21"/>
          <w:highlight w:val="none"/>
        </w:rPr>
      </w:pPr>
      <w:r>
        <w:rPr>
          <w:rFonts w:hint="eastAsia"/>
          <w:color w:val="auto"/>
          <w:szCs w:val="21"/>
          <w:highlight w:val="none"/>
        </w:rPr>
        <w:t>（4）</w:t>
      </w:r>
      <w:r>
        <w:rPr>
          <w:rFonts w:hint="eastAsia"/>
          <w:color w:val="auto"/>
          <w:szCs w:val="21"/>
          <w:highlight w:val="none"/>
        </w:rPr>
        <w:tab/>
      </w:r>
      <w:r>
        <w:rPr>
          <w:rFonts w:hint="eastAsia"/>
          <w:color w:val="auto"/>
          <w:szCs w:val="21"/>
          <w:highlight w:val="none"/>
        </w:rPr>
        <w:t>事实依据；</w:t>
      </w:r>
    </w:p>
    <w:p w14:paraId="334F7A22">
      <w:pPr>
        <w:spacing w:before="120" w:line="320" w:lineRule="atLeast"/>
        <w:ind w:firstLine="420" w:firstLineChars="200"/>
        <w:rPr>
          <w:color w:val="auto"/>
          <w:szCs w:val="21"/>
          <w:highlight w:val="none"/>
        </w:rPr>
      </w:pPr>
      <w:r>
        <w:rPr>
          <w:rFonts w:hint="eastAsia"/>
          <w:color w:val="auto"/>
          <w:szCs w:val="21"/>
          <w:highlight w:val="none"/>
        </w:rPr>
        <w:t>（5）</w:t>
      </w:r>
      <w:r>
        <w:rPr>
          <w:rFonts w:hint="eastAsia"/>
          <w:color w:val="auto"/>
          <w:szCs w:val="21"/>
          <w:highlight w:val="none"/>
        </w:rPr>
        <w:tab/>
      </w:r>
      <w:r>
        <w:rPr>
          <w:rFonts w:hint="eastAsia"/>
          <w:color w:val="auto"/>
          <w:szCs w:val="21"/>
          <w:highlight w:val="none"/>
        </w:rPr>
        <w:t>必要的法律依据；</w:t>
      </w:r>
    </w:p>
    <w:p w14:paraId="481AFF0E">
      <w:pPr>
        <w:spacing w:before="120" w:line="320" w:lineRule="atLeast"/>
        <w:ind w:firstLine="420" w:firstLineChars="200"/>
        <w:rPr>
          <w:color w:val="auto"/>
          <w:szCs w:val="21"/>
          <w:highlight w:val="none"/>
        </w:rPr>
      </w:pPr>
      <w:r>
        <w:rPr>
          <w:rFonts w:hint="eastAsia"/>
          <w:color w:val="auto"/>
          <w:szCs w:val="21"/>
          <w:highlight w:val="none"/>
        </w:rPr>
        <w:t>（6）</w:t>
      </w:r>
      <w:r>
        <w:rPr>
          <w:rFonts w:hint="eastAsia"/>
          <w:color w:val="auto"/>
          <w:szCs w:val="21"/>
          <w:highlight w:val="none"/>
        </w:rPr>
        <w:tab/>
      </w:r>
      <w:r>
        <w:rPr>
          <w:rFonts w:hint="eastAsia"/>
          <w:color w:val="auto"/>
          <w:szCs w:val="21"/>
          <w:highlight w:val="none"/>
        </w:rPr>
        <w:t>提出质疑的日期。</w:t>
      </w:r>
    </w:p>
    <w:p w14:paraId="31DE2D56">
      <w:pPr>
        <w:spacing w:before="120" w:line="320" w:lineRule="atLeast"/>
        <w:ind w:firstLine="420" w:firstLineChars="200"/>
        <w:rPr>
          <w:color w:val="auto"/>
          <w:szCs w:val="21"/>
          <w:highlight w:val="none"/>
        </w:rPr>
      </w:pPr>
      <w:r>
        <w:rPr>
          <w:rFonts w:hint="eastAsia"/>
          <w:color w:val="auto"/>
          <w:szCs w:val="21"/>
          <w:highlight w:val="none"/>
        </w:rPr>
        <w:t>供应商为自然人的，应当由本人签字；供应商为法人或者其他组织的，应当由法定代表人、主要负责人，或者其授权代表签字或者盖章，并加盖公章。</w:t>
      </w:r>
      <w:r>
        <w:rPr>
          <w:color w:val="auto"/>
          <w:szCs w:val="21"/>
          <w:highlight w:val="none"/>
        </w:rPr>
        <w:t xml:space="preserve"> </w:t>
      </w:r>
    </w:p>
    <w:p w14:paraId="35A7F263">
      <w:pPr>
        <w:spacing w:before="120" w:line="320" w:lineRule="atLeast"/>
        <w:ind w:firstLine="422" w:firstLineChars="200"/>
        <w:outlineLvl w:val="2"/>
        <w:rPr>
          <w:b/>
          <w:bCs/>
          <w:color w:val="auto"/>
          <w:kern w:val="0"/>
          <w:szCs w:val="21"/>
          <w:highlight w:val="none"/>
        </w:rPr>
      </w:pPr>
      <w:r>
        <w:rPr>
          <w:b/>
          <w:bCs/>
          <w:color w:val="auto"/>
          <w:kern w:val="0"/>
          <w:szCs w:val="21"/>
          <w:highlight w:val="none"/>
        </w:rPr>
        <w:t>8.2投诉</w:t>
      </w:r>
    </w:p>
    <w:p w14:paraId="42F585E0">
      <w:pPr>
        <w:spacing w:before="120" w:line="320" w:lineRule="atLeast"/>
        <w:ind w:firstLine="420" w:firstLineChars="200"/>
        <w:rPr>
          <w:color w:val="auto"/>
          <w:szCs w:val="21"/>
          <w:highlight w:val="none"/>
        </w:rPr>
      </w:pPr>
      <w:r>
        <w:rPr>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4AE3361E">
      <w:pPr>
        <w:spacing w:before="120" w:line="320" w:lineRule="atLeast"/>
        <w:ind w:firstLine="420" w:firstLineChars="200"/>
        <w:rPr>
          <w:color w:val="auto"/>
          <w:szCs w:val="21"/>
          <w:highlight w:val="none"/>
        </w:rPr>
      </w:pPr>
      <w:r>
        <w:rPr>
          <w:color w:val="auto"/>
          <w:szCs w:val="21"/>
          <w:highlight w:val="none"/>
        </w:rPr>
        <w:t>8.2.</w:t>
      </w:r>
      <w:r>
        <w:rPr>
          <w:rFonts w:hint="eastAsia"/>
          <w:color w:val="auto"/>
          <w:szCs w:val="21"/>
          <w:highlight w:val="none"/>
        </w:rPr>
        <w:t>2投诉</w:t>
      </w:r>
      <w:r>
        <w:rPr>
          <w:color w:val="auto"/>
          <w:szCs w:val="21"/>
          <w:highlight w:val="none"/>
        </w:rPr>
        <w:t>书应使用财政部发布的</w:t>
      </w:r>
      <w:r>
        <w:rPr>
          <w:rFonts w:hint="eastAsia"/>
          <w:color w:val="auto"/>
          <w:szCs w:val="21"/>
          <w:highlight w:val="none"/>
        </w:rPr>
        <w:t>政府采购供应投诉书范本，并应按照“投诉书制作说明”进行编写。</w:t>
      </w:r>
    </w:p>
    <w:p w14:paraId="223D4431">
      <w:pPr>
        <w:spacing w:before="120" w:line="320" w:lineRule="atLeast"/>
        <w:ind w:firstLine="422" w:firstLineChars="200"/>
        <w:outlineLvl w:val="1"/>
        <w:rPr>
          <w:b/>
          <w:bCs/>
          <w:color w:val="auto"/>
          <w:kern w:val="0"/>
          <w:szCs w:val="21"/>
          <w:highlight w:val="none"/>
        </w:rPr>
      </w:pPr>
      <w:r>
        <w:rPr>
          <w:b/>
          <w:bCs/>
          <w:color w:val="auto"/>
          <w:kern w:val="0"/>
          <w:szCs w:val="21"/>
          <w:highlight w:val="none"/>
        </w:rPr>
        <w:t>9．其他事项</w:t>
      </w:r>
    </w:p>
    <w:p w14:paraId="112502C7">
      <w:pPr>
        <w:spacing w:before="120" w:line="320" w:lineRule="atLeast"/>
        <w:ind w:firstLine="420" w:firstLineChars="200"/>
        <w:rPr>
          <w:color w:val="auto"/>
          <w:szCs w:val="21"/>
          <w:highlight w:val="none"/>
        </w:rPr>
      </w:pPr>
      <w:r>
        <w:rPr>
          <w:color w:val="auto"/>
          <w:szCs w:val="21"/>
          <w:highlight w:val="none"/>
        </w:rPr>
        <w:t>9.1代理服务收费由采购代理机构向成交供应商收取。签订合同前，成交供应商应向采购代理机构一次付清代理服务费。</w:t>
      </w:r>
    </w:p>
    <w:p w14:paraId="175133FE">
      <w:pPr>
        <w:spacing w:before="120" w:line="276" w:lineRule="auto"/>
        <w:ind w:firstLine="420" w:firstLineChars="200"/>
        <w:rPr>
          <w:color w:val="auto"/>
          <w:szCs w:val="21"/>
          <w:highlight w:val="none"/>
        </w:rPr>
      </w:pPr>
      <w:r>
        <w:rPr>
          <w:color w:val="auto"/>
          <w:szCs w:val="21"/>
          <w:highlight w:val="none"/>
        </w:rPr>
        <w:t>9.2</w:t>
      </w:r>
      <w:r>
        <w:rPr>
          <w:rFonts w:hint="eastAsia"/>
          <w:color w:val="auto"/>
          <w:szCs w:val="21"/>
          <w:highlight w:val="none"/>
        </w:rPr>
        <w:t>电子交易活动的中止。采购过程中出现以下情形，导致电子交易平台无法正常运行，或者无法保证电子交易的公平、公正和安全时，采购机构可中止电子交易活动：</w:t>
      </w:r>
    </w:p>
    <w:p w14:paraId="206D0DF1">
      <w:pPr>
        <w:spacing w:before="120" w:line="276" w:lineRule="auto"/>
        <w:ind w:firstLine="420" w:firstLineChars="200"/>
        <w:rPr>
          <w:color w:val="auto"/>
          <w:szCs w:val="21"/>
          <w:highlight w:val="none"/>
        </w:rPr>
      </w:pPr>
      <w:r>
        <w:rPr>
          <w:rFonts w:hint="eastAsia"/>
          <w:color w:val="auto"/>
          <w:szCs w:val="21"/>
          <w:highlight w:val="none"/>
        </w:rPr>
        <w:t xml:space="preserve">（1）电子交易平台发生故障而无法登录访问的； </w:t>
      </w:r>
    </w:p>
    <w:p w14:paraId="4A2177D9">
      <w:pPr>
        <w:spacing w:before="120" w:line="276" w:lineRule="auto"/>
        <w:ind w:firstLine="420" w:firstLineChars="200"/>
        <w:rPr>
          <w:color w:val="auto"/>
          <w:szCs w:val="21"/>
          <w:highlight w:val="none"/>
        </w:rPr>
      </w:pPr>
      <w:r>
        <w:rPr>
          <w:rFonts w:hint="eastAsia"/>
          <w:color w:val="auto"/>
          <w:szCs w:val="21"/>
          <w:highlight w:val="none"/>
        </w:rPr>
        <w:t>（2）电子交易平台应用或数据库出现错误，不能进行正常操作的；</w:t>
      </w:r>
    </w:p>
    <w:p w14:paraId="3D4B3A05">
      <w:pPr>
        <w:spacing w:before="120" w:line="276" w:lineRule="auto"/>
        <w:ind w:firstLine="420" w:firstLineChars="200"/>
        <w:rPr>
          <w:color w:val="auto"/>
          <w:szCs w:val="21"/>
          <w:highlight w:val="none"/>
        </w:rPr>
      </w:pPr>
      <w:r>
        <w:rPr>
          <w:rFonts w:hint="eastAsia"/>
          <w:color w:val="auto"/>
          <w:szCs w:val="21"/>
          <w:highlight w:val="none"/>
        </w:rPr>
        <w:t>（3）电子交易平台发现严重安全漏洞，有潜在泄密危险的；</w:t>
      </w:r>
    </w:p>
    <w:p w14:paraId="46A61922">
      <w:pPr>
        <w:spacing w:before="120" w:line="276" w:lineRule="auto"/>
        <w:ind w:firstLine="420" w:firstLineChars="200"/>
        <w:rPr>
          <w:color w:val="auto"/>
          <w:szCs w:val="21"/>
          <w:highlight w:val="none"/>
        </w:rPr>
      </w:pPr>
      <w:r>
        <w:rPr>
          <w:rFonts w:hint="eastAsia"/>
          <w:color w:val="auto"/>
          <w:szCs w:val="21"/>
          <w:highlight w:val="none"/>
        </w:rPr>
        <w:t xml:space="preserve">（4）病毒发作导致不能进行正常操作的； </w:t>
      </w:r>
    </w:p>
    <w:p w14:paraId="6DF2D272">
      <w:pPr>
        <w:spacing w:before="120" w:line="276" w:lineRule="auto"/>
        <w:ind w:firstLine="420" w:firstLineChars="200"/>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）其他无法保证电子交易的公平、公正和安全的情况。</w:t>
      </w:r>
    </w:p>
    <w:p w14:paraId="210738CB">
      <w:pPr>
        <w:tabs>
          <w:tab w:val="left" w:pos="4820"/>
        </w:tabs>
        <w:spacing w:before="120" w:line="360" w:lineRule="auto"/>
        <w:ind w:firstLine="420" w:firstLineChars="200"/>
        <w:rPr>
          <w:color w:val="auto"/>
          <w:szCs w:val="21"/>
          <w:highlight w:val="none"/>
        </w:rPr>
      </w:pPr>
      <w:r>
        <w:rPr>
          <w:rFonts w:hint="eastAsia"/>
          <w:color w:val="auto"/>
          <w:szCs w:val="21"/>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auto"/>
          <w:szCs w:val="21"/>
          <w:highlight w:val="none"/>
        </w:rPr>
        <w:t xml:space="preserve"> </w:t>
      </w:r>
    </w:p>
    <w:p w14:paraId="781CB259">
      <w:pPr>
        <w:spacing w:line="360" w:lineRule="auto"/>
        <w:ind w:firstLine="420"/>
        <w:rPr>
          <w:color w:val="auto"/>
          <w:szCs w:val="21"/>
          <w:highlight w:val="none"/>
        </w:rPr>
      </w:pPr>
      <w:r>
        <w:rPr>
          <w:color w:val="auto"/>
          <w:szCs w:val="21"/>
          <w:highlight w:val="none"/>
        </w:rPr>
        <w:t>9.3</w:t>
      </w:r>
      <w:r>
        <w:rPr>
          <w:rFonts w:hint="eastAsia"/>
          <w:color w:val="auto"/>
          <w:szCs w:val="21"/>
          <w:highlight w:val="none"/>
        </w:rPr>
        <w:t>本项目的附件及图纸</w:t>
      </w:r>
      <w:r>
        <w:rPr>
          <w:color w:val="auto"/>
          <w:szCs w:val="21"/>
          <w:highlight w:val="none"/>
        </w:rPr>
        <w:t>详见供应商须知前附表</w:t>
      </w:r>
      <w:r>
        <w:rPr>
          <w:rFonts w:hint="eastAsia"/>
          <w:color w:val="auto"/>
          <w:szCs w:val="21"/>
          <w:highlight w:val="none"/>
        </w:rPr>
        <w:t>。</w:t>
      </w:r>
    </w:p>
    <w:p w14:paraId="27B55132">
      <w:pPr>
        <w:spacing w:line="360" w:lineRule="auto"/>
        <w:ind w:firstLine="420"/>
        <w:rPr>
          <w:color w:val="auto"/>
          <w:szCs w:val="21"/>
          <w:highlight w:val="none"/>
        </w:rPr>
      </w:pPr>
      <w:r>
        <w:rPr>
          <w:color w:val="auto"/>
          <w:szCs w:val="21"/>
          <w:highlight w:val="none"/>
        </w:rPr>
        <w:t>9.4</w:t>
      </w:r>
      <w:r>
        <w:rPr>
          <w:rFonts w:hint="eastAsia"/>
          <w:color w:val="auto"/>
          <w:szCs w:val="21"/>
          <w:highlight w:val="none"/>
        </w:rPr>
        <w:t>本项目的其他事项</w:t>
      </w:r>
      <w:r>
        <w:rPr>
          <w:color w:val="auto"/>
          <w:szCs w:val="21"/>
          <w:highlight w:val="none"/>
        </w:rPr>
        <w:t>详见供应商须知前附表</w:t>
      </w:r>
      <w:r>
        <w:rPr>
          <w:rFonts w:hint="eastAsia"/>
          <w:color w:val="auto"/>
          <w:szCs w:val="21"/>
          <w:highlight w:val="none"/>
        </w:rPr>
        <w:t>。</w:t>
      </w:r>
    </w:p>
    <w:p w14:paraId="425A1EC3">
      <w:pPr>
        <w:spacing w:before="120" w:line="320" w:lineRule="atLeast"/>
        <w:ind w:left="2" w:leftChars="1" w:firstLine="422" w:firstLineChars="200"/>
        <w:outlineLvl w:val="1"/>
        <w:rPr>
          <w:b/>
          <w:bCs/>
          <w:color w:val="auto"/>
          <w:kern w:val="0"/>
          <w:szCs w:val="21"/>
          <w:highlight w:val="none"/>
        </w:rPr>
      </w:pPr>
      <w:r>
        <w:rPr>
          <w:b/>
          <w:bCs/>
          <w:color w:val="auto"/>
          <w:kern w:val="0"/>
          <w:szCs w:val="21"/>
          <w:highlight w:val="none"/>
        </w:rPr>
        <w:t>10．</w:t>
      </w:r>
      <w:r>
        <w:rPr>
          <w:rFonts w:hint="eastAsia"/>
          <w:b/>
          <w:bCs/>
          <w:color w:val="auto"/>
          <w:kern w:val="0"/>
          <w:szCs w:val="21"/>
          <w:highlight w:val="none"/>
        </w:rPr>
        <w:t>其他说明</w:t>
      </w:r>
    </w:p>
    <w:p w14:paraId="65C7454D">
      <w:pPr>
        <w:spacing w:before="120" w:line="320" w:lineRule="atLeast"/>
        <w:ind w:left="2" w:leftChars="1" w:firstLine="422" w:firstLineChars="200"/>
        <w:outlineLvl w:val="1"/>
        <w:rPr>
          <w:color w:val="auto"/>
          <w:kern w:val="0"/>
          <w:szCs w:val="21"/>
          <w:highlight w:val="none"/>
        </w:rPr>
      </w:pPr>
      <w:r>
        <w:rPr>
          <w:rFonts w:hint="eastAsia"/>
          <w:b/>
          <w:bCs/>
          <w:color w:val="auto"/>
          <w:kern w:val="0"/>
          <w:szCs w:val="21"/>
          <w:highlight w:val="none"/>
        </w:rPr>
        <w:t>1</w:t>
      </w:r>
      <w:r>
        <w:rPr>
          <w:b/>
          <w:bCs/>
          <w:color w:val="auto"/>
          <w:kern w:val="0"/>
          <w:szCs w:val="21"/>
          <w:highlight w:val="none"/>
        </w:rPr>
        <w:t>0.1</w:t>
      </w:r>
      <w:r>
        <w:rPr>
          <w:rFonts w:hint="eastAsia"/>
          <w:color w:val="auto"/>
          <w:kern w:val="0"/>
          <w:szCs w:val="21"/>
          <w:highlight w:val="none"/>
        </w:rPr>
        <w:t>其余未尽事宜按</w:t>
      </w:r>
      <w:r>
        <w:rPr>
          <w:color w:val="auto"/>
          <w:kern w:val="0"/>
          <w:szCs w:val="21"/>
          <w:highlight w:val="none"/>
        </w:rPr>
        <w:t>《中华人民共和国政府采购法》、《中华人民共和国政府采购法实施条例》</w:t>
      </w:r>
      <w:r>
        <w:rPr>
          <w:rFonts w:hint="eastAsia"/>
          <w:color w:val="auto"/>
          <w:kern w:val="0"/>
          <w:szCs w:val="21"/>
          <w:highlight w:val="none"/>
        </w:rPr>
        <w:t>的相关规定执行。</w:t>
      </w:r>
    </w:p>
    <w:p w14:paraId="061EDDD5">
      <w:pPr>
        <w:spacing w:before="120" w:line="320" w:lineRule="atLeast"/>
        <w:ind w:left="2" w:leftChars="1" w:firstLine="422" w:firstLineChars="200"/>
        <w:outlineLvl w:val="1"/>
        <w:rPr>
          <w:rFonts w:hint="eastAsia"/>
          <w:color w:val="auto"/>
          <w:sz w:val="32"/>
          <w:szCs w:val="32"/>
          <w:highlight w:val="none"/>
        </w:rPr>
        <w:sectPr>
          <w:headerReference r:id="rId18" w:type="first"/>
          <w:headerReference r:id="rId17" w:type="default"/>
          <w:pgSz w:w="11906" w:h="16838"/>
          <w:pgMar w:top="993" w:right="1133" w:bottom="1246" w:left="1418" w:header="851" w:footer="992" w:gutter="0"/>
          <w:pgNumType w:fmt="decimal"/>
          <w:cols w:space="720" w:num="1"/>
          <w:titlePg/>
          <w:docGrid w:linePitch="312" w:charSpace="0"/>
        </w:sectPr>
      </w:pPr>
      <w:r>
        <w:rPr>
          <w:b/>
          <w:bCs/>
          <w:color w:val="auto"/>
          <w:kern w:val="0"/>
          <w:szCs w:val="21"/>
          <w:highlight w:val="none"/>
        </w:rPr>
        <w:t>10.2</w:t>
      </w:r>
      <w:r>
        <w:rPr>
          <w:rFonts w:hint="eastAsia"/>
          <w:color w:val="auto"/>
          <w:highlight w:val="none"/>
        </w:rPr>
        <w:t>本</w:t>
      </w:r>
      <w:r>
        <w:rPr>
          <w:color w:val="auto"/>
          <w:highlight w:val="none"/>
        </w:rPr>
        <w:t>采购文件是根据国家有关法律及有关政策、法规和参照国际惯例编制，解释权属采购代理机构</w:t>
      </w:r>
    </w:p>
    <w:p w14:paraId="79C9D861">
      <w:pPr>
        <w:pStyle w:val="26"/>
        <w:snapToGrid w:val="0"/>
        <w:spacing w:before="120" w:after="120" w:line="320" w:lineRule="exact"/>
        <w:jc w:val="center"/>
        <w:outlineLvl w:val="0"/>
        <w:rPr>
          <w:rFonts w:ascii="Times New Roman" w:hAnsi="Times New Roman" w:cs="Times New Roman"/>
          <w:color w:val="auto"/>
          <w:sz w:val="32"/>
          <w:szCs w:val="32"/>
          <w:highlight w:val="none"/>
        </w:rPr>
      </w:pPr>
      <w:bookmarkStart w:id="69" w:name="_Toc13891"/>
      <w:bookmarkStart w:id="70" w:name="_Toc254970549"/>
      <w:bookmarkStart w:id="71" w:name="_Toc254970690"/>
      <w:r>
        <w:rPr>
          <w:rFonts w:ascii="Times New Roman" w:hAnsi="Times New Roman" w:cs="Times New Roman"/>
          <w:color w:val="auto"/>
          <w:sz w:val="32"/>
          <w:szCs w:val="32"/>
          <w:highlight w:val="none"/>
        </w:rPr>
        <w:t>第四章  评审方法及标准</w:t>
      </w:r>
      <w:bookmarkEnd w:id="69"/>
    </w:p>
    <w:p w14:paraId="7896F3FE">
      <w:pPr>
        <w:spacing w:before="120" w:line="320" w:lineRule="atLeast"/>
        <w:ind w:firstLine="413" w:firstLineChars="196"/>
        <w:outlineLvl w:val="1"/>
        <w:rPr>
          <w:b/>
          <w:bCs/>
          <w:color w:val="auto"/>
          <w:kern w:val="0"/>
          <w:szCs w:val="21"/>
          <w:highlight w:val="none"/>
        </w:rPr>
      </w:pPr>
      <w:r>
        <w:rPr>
          <w:rFonts w:hint="eastAsia"/>
          <w:b/>
          <w:bCs/>
          <w:color w:val="auto"/>
          <w:kern w:val="0"/>
          <w:szCs w:val="21"/>
          <w:highlight w:val="none"/>
        </w:rPr>
        <w:t>1.</w:t>
      </w:r>
      <w:r>
        <w:rPr>
          <w:b/>
          <w:bCs/>
          <w:color w:val="auto"/>
          <w:kern w:val="0"/>
          <w:szCs w:val="21"/>
          <w:highlight w:val="none"/>
        </w:rPr>
        <w:t>评审</w:t>
      </w:r>
      <w:r>
        <w:rPr>
          <w:rFonts w:hint="eastAsia"/>
          <w:b/>
          <w:bCs/>
          <w:color w:val="auto"/>
          <w:kern w:val="0"/>
          <w:szCs w:val="21"/>
          <w:highlight w:val="none"/>
        </w:rPr>
        <w:t>方法</w:t>
      </w:r>
    </w:p>
    <w:p w14:paraId="7CB59168">
      <w:pPr>
        <w:suppressAutoHyphens/>
        <w:spacing w:before="120" w:line="320" w:lineRule="atLeast"/>
        <w:ind w:firstLine="420" w:firstLineChars="200"/>
        <w:rPr>
          <w:color w:val="auto"/>
          <w:kern w:val="1"/>
          <w:szCs w:val="21"/>
          <w:highlight w:val="none"/>
        </w:rPr>
      </w:pPr>
      <w:r>
        <w:rPr>
          <w:color w:val="auto"/>
          <w:szCs w:val="21"/>
          <w:highlight w:val="none"/>
        </w:rPr>
        <w:t>本项目采用</w:t>
      </w:r>
      <w:r>
        <w:rPr>
          <w:bCs/>
          <w:color w:val="auto"/>
          <w:kern w:val="1"/>
          <w:szCs w:val="21"/>
          <w:highlight w:val="none"/>
        </w:rPr>
        <w:t>综合评分法</w:t>
      </w:r>
      <w:r>
        <w:rPr>
          <w:color w:val="auto"/>
          <w:szCs w:val="21"/>
          <w:highlight w:val="none"/>
        </w:rPr>
        <w:t>进行评审</w:t>
      </w:r>
      <w:r>
        <w:rPr>
          <w:bCs/>
          <w:color w:val="auto"/>
          <w:kern w:val="1"/>
          <w:szCs w:val="21"/>
          <w:highlight w:val="none"/>
        </w:rPr>
        <w:t>。</w:t>
      </w:r>
      <w:r>
        <w:rPr>
          <w:color w:val="auto"/>
          <w:szCs w:val="21"/>
          <w:highlight w:val="none"/>
        </w:rPr>
        <w:t>综合评分法，是指响应文件满足采购文件全部实质性要求且按照评审因素的量化指标评审得分最高的</w:t>
      </w:r>
      <w:r>
        <w:rPr>
          <w:rFonts w:hint="eastAsia"/>
          <w:color w:val="auto"/>
          <w:szCs w:val="21"/>
          <w:highlight w:val="none"/>
        </w:rPr>
        <w:t>供应商</w:t>
      </w:r>
      <w:r>
        <w:rPr>
          <w:color w:val="auto"/>
          <w:szCs w:val="21"/>
          <w:highlight w:val="none"/>
        </w:rPr>
        <w:t>为</w:t>
      </w:r>
      <w:r>
        <w:rPr>
          <w:rFonts w:hint="eastAsia"/>
          <w:color w:val="auto"/>
          <w:szCs w:val="21"/>
          <w:highlight w:val="none"/>
        </w:rPr>
        <w:t>成交</w:t>
      </w:r>
      <w:r>
        <w:rPr>
          <w:color w:val="auto"/>
          <w:szCs w:val="21"/>
          <w:highlight w:val="none"/>
        </w:rPr>
        <w:t>候选人的评审方法。</w:t>
      </w:r>
    </w:p>
    <w:p w14:paraId="1EB82185">
      <w:pPr>
        <w:suppressAutoHyphens/>
        <w:spacing w:before="120" w:line="320" w:lineRule="atLeast"/>
        <w:ind w:firstLine="420" w:firstLineChars="200"/>
        <w:rPr>
          <w:color w:val="auto"/>
          <w:kern w:val="1"/>
          <w:szCs w:val="21"/>
          <w:highlight w:val="none"/>
        </w:rPr>
      </w:pPr>
      <w:r>
        <w:rPr>
          <w:rFonts w:hint="eastAsia"/>
          <w:color w:val="auto"/>
          <w:kern w:val="1"/>
          <w:szCs w:val="21"/>
          <w:highlight w:val="none"/>
        </w:rPr>
        <w:t>本项目评审的其他详细规定在第三章供应商须知中规定。</w:t>
      </w:r>
    </w:p>
    <w:p w14:paraId="25419EDC">
      <w:pPr>
        <w:spacing w:before="120" w:line="320" w:lineRule="atLeast"/>
        <w:ind w:firstLine="413" w:firstLineChars="196"/>
        <w:outlineLvl w:val="1"/>
        <w:rPr>
          <w:rFonts w:hint="eastAsia"/>
          <w:b/>
          <w:color w:val="auto"/>
          <w:kern w:val="0"/>
          <w:szCs w:val="21"/>
          <w:highlight w:val="none"/>
        </w:rPr>
      </w:pPr>
      <w:r>
        <w:rPr>
          <w:b/>
          <w:color w:val="auto"/>
          <w:kern w:val="0"/>
          <w:szCs w:val="21"/>
          <w:highlight w:val="none"/>
        </w:rPr>
        <w:t>2</w:t>
      </w:r>
      <w:r>
        <w:rPr>
          <w:rFonts w:hint="eastAsia"/>
          <w:b/>
          <w:color w:val="auto"/>
          <w:kern w:val="0"/>
          <w:szCs w:val="21"/>
          <w:highlight w:val="none"/>
        </w:rPr>
        <w:t>.资格审查标准</w:t>
      </w:r>
      <w:r>
        <w:rPr>
          <w:rFonts w:hint="eastAsia"/>
          <w:b/>
          <w:bCs/>
          <w:color w:val="auto"/>
          <w:kern w:val="0"/>
          <w:szCs w:val="21"/>
          <w:highlight w:val="none"/>
        </w:rPr>
        <w:t>（不满足任何一项审查内容要求，资格审查即为不合格；</w:t>
      </w:r>
      <w:bookmarkStart w:id="72" w:name="_Hlk160525103"/>
      <w:r>
        <w:rPr>
          <w:rFonts w:hint="eastAsia"/>
          <w:b/>
          <w:bCs/>
          <w:color w:val="auto"/>
          <w:kern w:val="0"/>
          <w:szCs w:val="21"/>
          <w:highlight w:val="none"/>
        </w:rPr>
        <w:t>联合体投标的，联合体各方均应提交第一项基本资格要求的资格证明文件）</w:t>
      </w:r>
      <w:bookmarkEnd w:id="72"/>
    </w:p>
    <w:tbl>
      <w:tblPr>
        <w:tblStyle w:val="51"/>
        <w:tblW w:w="893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12E4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noWrap w:val="0"/>
            <w:vAlign w:val="center"/>
          </w:tcPr>
          <w:p w14:paraId="5787ABA0">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因素</w:t>
            </w:r>
          </w:p>
        </w:tc>
        <w:tc>
          <w:tcPr>
            <w:tcW w:w="1843" w:type="dxa"/>
            <w:noWrap w:val="0"/>
            <w:vAlign w:val="center"/>
          </w:tcPr>
          <w:p w14:paraId="457EF6AD">
            <w:pPr>
              <w:spacing w:line="240" w:lineRule="exact"/>
              <w:jc w:val="center"/>
              <w:rPr>
                <w:b/>
                <w:color w:val="auto"/>
                <w:kern w:val="0"/>
                <w:szCs w:val="21"/>
                <w:highlight w:val="none"/>
              </w:rPr>
            </w:pPr>
            <w:r>
              <w:rPr>
                <w:rFonts w:hint="eastAsia"/>
                <w:b/>
                <w:color w:val="auto"/>
                <w:kern w:val="0"/>
                <w:szCs w:val="21"/>
                <w:highlight w:val="none"/>
              </w:rPr>
              <w:t>审查</w:t>
            </w:r>
            <w:r>
              <w:rPr>
                <w:b/>
                <w:color w:val="auto"/>
                <w:kern w:val="0"/>
                <w:szCs w:val="21"/>
                <w:highlight w:val="none"/>
              </w:rPr>
              <w:t>内容</w:t>
            </w:r>
          </w:p>
        </w:tc>
        <w:tc>
          <w:tcPr>
            <w:tcW w:w="6242" w:type="dxa"/>
            <w:noWrap w:val="0"/>
            <w:vAlign w:val="center"/>
          </w:tcPr>
          <w:p w14:paraId="5B5A09A0">
            <w:pPr>
              <w:spacing w:line="240" w:lineRule="exact"/>
              <w:jc w:val="center"/>
              <w:rPr>
                <w:b/>
                <w:color w:val="auto"/>
                <w:kern w:val="0"/>
                <w:szCs w:val="21"/>
                <w:highlight w:val="none"/>
              </w:rPr>
            </w:pPr>
            <w:r>
              <w:rPr>
                <w:rFonts w:hint="eastAsia"/>
                <w:b/>
                <w:color w:val="auto"/>
                <w:kern w:val="0"/>
                <w:szCs w:val="21"/>
                <w:highlight w:val="none"/>
              </w:rPr>
              <w:t>说明</w:t>
            </w:r>
          </w:p>
        </w:tc>
      </w:tr>
      <w:tr w14:paraId="2613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846" w:type="dxa"/>
            <w:vMerge w:val="restart"/>
            <w:noWrap w:val="0"/>
            <w:vAlign w:val="center"/>
          </w:tcPr>
          <w:p w14:paraId="081F1001">
            <w:pPr>
              <w:spacing w:line="240" w:lineRule="exact"/>
              <w:rPr>
                <w:color w:val="auto"/>
                <w:szCs w:val="21"/>
                <w:highlight w:val="none"/>
                <w:lang w:val="zh-CN"/>
              </w:rPr>
            </w:pPr>
            <w:r>
              <w:rPr>
                <w:color w:val="auto"/>
                <w:szCs w:val="21"/>
                <w:highlight w:val="none"/>
                <w:lang w:val="zh-CN"/>
              </w:rPr>
              <w:t>供应商应符合的</w:t>
            </w:r>
            <w:r>
              <w:rPr>
                <w:rFonts w:hint="eastAsia"/>
                <w:color w:val="auto"/>
                <w:szCs w:val="21"/>
                <w:highlight w:val="none"/>
                <w:lang w:val="zh-CN"/>
              </w:rPr>
              <w:t>基本</w:t>
            </w:r>
            <w:r>
              <w:rPr>
                <w:color w:val="auto"/>
                <w:szCs w:val="21"/>
                <w:highlight w:val="none"/>
              </w:rPr>
              <w:t>资格</w:t>
            </w:r>
            <w:r>
              <w:rPr>
                <w:rFonts w:hint="eastAsia"/>
                <w:color w:val="auto"/>
                <w:szCs w:val="21"/>
                <w:highlight w:val="none"/>
              </w:rPr>
              <w:t>要求</w:t>
            </w:r>
          </w:p>
        </w:tc>
        <w:tc>
          <w:tcPr>
            <w:tcW w:w="1843" w:type="dxa"/>
            <w:noWrap w:val="0"/>
            <w:vAlign w:val="center"/>
          </w:tcPr>
          <w:p w14:paraId="37F9FC55">
            <w:pPr>
              <w:spacing w:line="240" w:lineRule="exact"/>
              <w:jc w:val="left"/>
              <w:rPr>
                <w:color w:val="auto"/>
                <w:szCs w:val="21"/>
                <w:highlight w:val="none"/>
              </w:rPr>
            </w:pPr>
            <w:r>
              <w:rPr>
                <w:color w:val="auto"/>
                <w:szCs w:val="21"/>
                <w:highlight w:val="none"/>
              </w:rPr>
              <w:t>（1）具有独立承担民事责任的能力</w:t>
            </w:r>
          </w:p>
        </w:tc>
        <w:tc>
          <w:tcPr>
            <w:tcW w:w="6242" w:type="dxa"/>
            <w:noWrap w:val="0"/>
            <w:vAlign w:val="top"/>
          </w:tcPr>
          <w:p w14:paraId="2EF43185">
            <w:pPr>
              <w:spacing w:line="240" w:lineRule="exact"/>
              <w:rPr>
                <w:color w:val="auto"/>
                <w:szCs w:val="21"/>
                <w:highlight w:val="none"/>
              </w:rPr>
            </w:pPr>
            <w:r>
              <w:rPr>
                <w:rFonts w:hint="eastAsia"/>
                <w:color w:val="auto"/>
                <w:szCs w:val="21"/>
                <w:highlight w:val="none"/>
              </w:rPr>
              <w:t>审查供应商为法人或者其他组织的，提供营业执照等证明文件（如营业执照或者事业单位法人证书或者执业许可证等），供应商为自然人的，提供身份证复印件</w:t>
            </w:r>
          </w:p>
        </w:tc>
      </w:tr>
      <w:tr w14:paraId="00FE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0AEB7F9F">
            <w:pPr>
              <w:spacing w:line="240" w:lineRule="exact"/>
              <w:rPr>
                <w:color w:val="auto"/>
                <w:szCs w:val="21"/>
                <w:highlight w:val="none"/>
                <w:lang w:val="zh-CN"/>
              </w:rPr>
            </w:pPr>
          </w:p>
        </w:tc>
        <w:tc>
          <w:tcPr>
            <w:tcW w:w="1843" w:type="dxa"/>
            <w:noWrap w:val="0"/>
            <w:vAlign w:val="center"/>
          </w:tcPr>
          <w:p w14:paraId="31DACDA3">
            <w:pPr>
              <w:spacing w:line="240" w:lineRule="exact"/>
              <w:jc w:val="left"/>
              <w:rPr>
                <w:color w:val="auto"/>
                <w:szCs w:val="21"/>
                <w:highlight w:val="none"/>
              </w:rPr>
            </w:pPr>
            <w:r>
              <w:rPr>
                <w:color w:val="auto"/>
                <w:szCs w:val="21"/>
                <w:highlight w:val="none"/>
                <w:lang w:val="zh-CN"/>
              </w:rPr>
              <w:t>（2）</w:t>
            </w:r>
            <w:r>
              <w:rPr>
                <w:color w:val="auto"/>
                <w:szCs w:val="21"/>
                <w:highlight w:val="none"/>
              </w:rPr>
              <w:t>具有良好的商业信誉和健全的财务会计制度</w:t>
            </w:r>
          </w:p>
        </w:tc>
        <w:tc>
          <w:tcPr>
            <w:tcW w:w="6242" w:type="dxa"/>
            <w:noWrap w:val="0"/>
            <w:vAlign w:val="top"/>
          </w:tcPr>
          <w:p w14:paraId="4A2CDDD6">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审查商业信誉声明。须提供，格式见第六章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szCs w:val="21"/>
                <w:highlight w:val="none"/>
              </w:rPr>
              <w:t>声明书”。</w:t>
            </w:r>
          </w:p>
          <w:p w14:paraId="704E63E1">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lang w:val="en-US" w:eastAsia="zh-CN"/>
              </w:rPr>
              <w:t>2025</w:t>
            </w:r>
            <w:r>
              <w:rPr>
                <w:rFonts w:hint="eastAsia"/>
                <w:color w:val="auto"/>
                <w:szCs w:val="21"/>
                <w:highlight w:val="none"/>
              </w:rPr>
              <w:t>年</w:t>
            </w:r>
            <w:r>
              <w:rPr>
                <w:color w:val="auto"/>
                <w:szCs w:val="21"/>
                <w:highlight w:val="none"/>
              </w:rPr>
              <w:t>度财务状况报告（表）复印件或银行出具的资信证明复印件，</w:t>
            </w:r>
            <w:r>
              <w:rPr>
                <w:color w:val="auto"/>
                <w:highlight w:val="none"/>
              </w:rPr>
              <w:t>对于从取得营业执照时间起到响应文件递交截止时间为止不足1年的供应商，只需提交</w:t>
            </w:r>
            <w:r>
              <w:rPr>
                <w:rFonts w:hint="eastAsia"/>
                <w:color w:val="auto"/>
                <w:szCs w:val="21"/>
                <w:highlight w:val="none"/>
              </w:rPr>
              <w:t>响应</w:t>
            </w:r>
            <w:r>
              <w:rPr>
                <w:color w:val="auto"/>
                <w:szCs w:val="21"/>
                <w:highlight w:val="none"/>
              </w:rPr>
              <w:t>文件递交截止时间前一个月的财务状况报告（表）复印件。</w:t>
            </w:r>
          </w:p>
        </w:tc>
      </w:tr>
      <w:tr w14:paraId="6E41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C975525">
            <w:pPr>
              <w:spacing w:line="240" w:lineRule="exact"/>
              <w:rPr>
                <w:color w:val="auto"/>
                <w:szCs w:val="21"/>
                <w:highlight w:val="none"/>
                <w:lang w:val="zh-CN"/>
              </w:rPr>
            </w:pPr>
          </w:p>
        </w:tc>
        <w:tc>
          <w:tcPr>
            <w:tcW w:w="1843" w:type="dxa"/>
            <w:noWrap w:val="0"/>
            <w:vAlign w:val="center"/>
          </w:tcPr>
          <w:p w14:paraId="4A4D8846">
            <w:pPr>
              <w:spacing w:line="240" w:lineRule="exact"/>
              <w:jc w:val="left"/>
              <w:rPr>
                <w:color w:val="auto"/>
                <w:szCs w:val="21"/>
                <w:highlight w:val="none"/>
              </w:rPr>
            </w:pPr>
            <w:r>
              <w:rPr>
                <w:color w:val="auto"/>
                <w:szCs w:val="21"/>
                <w:highlight w:val="none"/>
                <w:lang w:val="zh-CN"/>
              </w:rPr>
              <w:t>（3）具有履行合同所必需的设备和专业技术能力</w:t>
            </w:r>
          </w:p>
        </w:tc>
        <w:tc>
          <w:tcPr>
            <w:tcW w:w="6242" w:type="dxa"/>
            <w:noWrap w:val="0"/>
            <w:vAlign w:val="top"/>
          </w:tcPr>
          <w:p w14:paraId="7EB5C2E5">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 xml:space="preserve">审查供应商营业执照，须有效； </w:t>
            </w:r>
          </w:p>
          <w:p w14:paraId="3DD40445">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审查书面声明。须提供，格式见第六章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highlight w:val="none"/>
              </w:rPr>
              <w:t>声明书</w:t>
            </w:r>
            <w:r>
              <w:rPr>
                <w:color w:val="auto"/>
                <w:szCs w:val="21"/>
                <w:highlight w:val="none"/>
              </w:rPr>
              <w:t>”。</w:t>
            </w:r>
          </w:p>
          <w:p w14:paraId="6754EA98">
            <w:pPr>
              <w:spacing w:line="240" w:lineRule="exact"/>
              <w:jc w:val="left"/>
              <w:rPr>
                <w:color w:val="auto"/>
                <w:szCs w:val="21"/>
                <w:highlight w:val="none"/>
              </w:rPr>
            </w:pPr>
            <w:r>
              <w:rPr>
                <w:color w:val="auto"/>
                <w:szCs w:val="21"/>
                <w:highlight w:val="none"/>
              </w:rPr>
              <w:t>审查</w:t>
            </w:r>
            <w:r>
              <w:rPr>
                <w:rFonts w:hint="eastAsia" w:ascii="宋体" w:hAnsi="宋体" w:cs="宋体"/>
                <w:color w:val="auto"/>
                <w:szCs w:val="21"/>
                <w:highlight w:val="none"/>
              </w:rPr>
              <w:t>①</w:t>
            </w:r>
            <w:r>
              <w:rPr>
                <w:color w:val="auto"/>
                <w:szCs w:val="21"/>
                <w:highlight w:val="none"/>
              </w:rPr>
              <w:t>或</w:t>
            </w:r>
            <w:r>
              <w:rPr>
                <w:rFonts w:hint="eastAsia" w:ascii="宋体" w:hAnsi="宋体" w:cs="宋体"/>
                <w:color w:val="auto"/>
                <w:szCs w:val="21"/>
                <w:highlight w:val="none"/>
              </w:rPr>
              <w:t>②</w:t>
            </w:r>
            <w:r>
              <w:rPr>
                <w:color w:val="auto"/>
                <w:szCs w:val="21"/>
                <w:highlight w:val="none"/>
              </w:rPr>
              <w:t>，满足其一，即为符合要求。</w:t>
            </w:r>
          </w:p>
        </w:tc>
      </w:tr>
      <w:tr w14:paraId="15E02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5B41696B">
            <w:pPr>
              <w:spacing w:line="240" w:lineRule="exact"/>
              <w:rPr>
                <w:color w:val="auto"/>
                <w:szCs w:val="21"/>
                <w:highlight w:val="none"/>
                <w:lang w:val="zh-CN"/>
              </w:rPr>
            </w:pPr>
          </w:p>
        </w:tc>
        <w:tc>
          <w:tcPr>
            <w:tcW w:w="1843" w:type="dxa"/>
            <w:noWrap w:val="0"/>
            <w:vAlign w:val="center"/>
          </w:tcPr>
          <w:p w14:paraId="77E8AC14">
            <w:pPr>
              <w:spacing w:line="240" w:lineRule="exact"/>
              <w:jc w:val="left"/>
              <w:rPr>
                <w:color w:val="auto"/>
                <w:szCs w:val="21"/>
                <w:highlight w:val="none"/>
              </w:rPr>
            </w:pPr>
            <w:r>
              <w:rPr>
                <w:color w:val="auto"/>
                <w:szCs w:val="21"/>
                <w:highlight w:val="none"/>
                <w:lang w:val="zh-CN"/>
              </w:rPr>
              <w:t>（4）有依法缴纳税收和社会保障金的良好记录</w:t>
            </w:r>
          </w:p>
        </w:tc>
        <w:tc>
          <w:tcPr>
            <w:tcW w:w="6242" w:type="dxa"/>
            <w:noWrap w:val="0"/>
            <w:vAlign w:val="top"/>
          </w:tcPr>
          <w:p w14:paraId="15475F4B">
            <w:pPr>
              <w:spacing w:line="240" w:lineRule="exact"/>
              <w:jc w:val="left"/>
              <w:rPr>
                <w:color w:val="auto"/>
                <w:szCs w:val="21"/>
                <w:highlight w:val="none"/>
              </w:rPr>
            </w:pPr>
            <w:r>
              <w:rPr>
                <w:rFonts w:hint="eastAsia" w:ascii="宋体" w:hAnsi="宋体" w:cs="宋体"/>
                <w:color w:val="auto"/>
                <w:szCs w:val="21"/>
                <w:highlight w:val="none"/>
              </w:rPr>
              <w:t>①</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依法缴纳税费证明复印件加盖供应商</w:t>
            </w:r>
            <w:r>
              <w:rPr>
                <w:rFonts w:hint="eastAsia"/>
                <w:color w:val="auto"/>
                <w:szCs w:val="21"/>
                <w:highlight w:val="none"/>
              </w:rPr>
              <w:t>电子签章</w:t>
            </w:r>
            <w:r>
              <w:rPr>
                <w:color w:val="auto"/>
                <w:szCs w:val="21"/>
                <w:highlight w:val="none"/>
              </w:rPr>
              <w:t>。</w:t>
            </w:r>
          </w:p>
          <w:p w14:paraId="33398AA2">
            <w:pPr>
              <w:spacing w:line="240" w:lineRule="exact"/>
              <w:jc w:val="left"/>
              <w:rPr>
                <w:color w:val="auto"/>
                <w:szCs w:val="21"/>
                <w:highlight w:val="none"/>
              </w:rPr>
            </w:pPr>
            <w:r>
              <w:rPr>
                <w:rFonts w:hint="eastAsia" w:ascii="宋体" w:hAnsi="宋体" w:cs="宋体"/>
                <w:color w:val="auto"/>
                <w:szCs w:val="21"/>
                <w:highlight w:val="none"/>
              </w:rPr>
              <w:t>②</w:t>
            </w:r>
            <w:r>
              <w:rPr>
                <w:color w:val="auto"/>
                <w:szCs w:val="21"/>
                <w:highlight w:val="none"/>
              </w:rPr>
              <w:t>审查</w:t>
            </w:r>
            <w:r>
              <w:rPr>
                <w:rFonts w:hint="eastAsia"/>
                <w:color w:val="auto"/>
                <w:szCs w:val="21"/>
                <w:highlight w:val="none"/>
              </w:rPr>
              <w:t>响应</w:t>
            </w:r>
            <w:r>
              <w:rPr>
                <w:color w:val="auto"/>
                <w:szCs w:val="21"/>
                <w:highlight w:val="none"/>
              </w:rPr>
              <w:t>截止时间前6个月内，</w:t>
            </w:r>
            <w:r>
              <w:rPr>
                <w:rFonts w:hint="eastAsia"/>
                <w:color w:val="auto"/>
                <w:highlight w:val="none"/>
              </w:rPr>
              <w:t>供应商</w:t>
            </w:r>
            <w:r>
              <w:rPr>
                <w:color w:val="auto"/>
                <w:highlight w:val="none"/>
              </w:rPr>
              <w:t>任意</w:t>
            </w:r>
            <w:r>
              <w:rPr>
                <w:rFonts w:hint="eastAsia"/>
                <w:color w:val="auto"/>
                <w:highlight w:val="none"/>
              </w:rPr>
              <w:t>1个月</w:t>
            </w:r>
            <w:r>
              <w:rPr>
                <w:color w:val="auto"/>
                <w:szCs w:val="21"/>
                <w:highlight w:val="none"/>
              </w:rPr>
              <w:t>的社保缴费证明记录复印件加盖供应商</w:t>
            </w:r>
            <w:r>
              <w:rPr>
                <w:rFonts w:hint="eastAsia"/>
                <w:color w:val="auto"/>
                <w:szCs w:val="21"/>
                <w:highlight w:val="none"/>
              </w:rPr>
              <w:t>电子签章</w:t>
            </w:r>
            <w:r>
              <w:rPr>
                <w:color w:val="auto"/>
                <w:szCs w:val="21"/>
                <w:highlight w:val="none"/>
              </w:rPr>
              <w:t>。</w:t>
            </w:r>
          </w:p>
          <w:p w14:paraId="4F07975B">
            <w:pPr>
              <w:spacing w:line="240" w:lineRule="exact"/>
              <w:jc w:val="left"/>
              <w:rPr>
                <w:color w:val="auto"/>
                <w:szCs w:val="21"/>
                <w:highlight w:val="none"/>
              </w:rPr>
            </w:pPr>
            <w:r>
              <w:rPr>
                <w:color w:val="auto"/>
                <w:szCs w:val="21"/>
                <w:highlight w:val="none"/>
              </w:rPr>
              <w:t>供应商成立不足</w:t>
            </w:r>
            <w:r>
              <w:rPr>
                <w:rFonts w:hint="eastAsia"/>
                <w:color w:val="auto"/>
                <w:szCs w:val="21"/>
                <w:highlight w:val="none"/>
              </w:rPr>
              <w:t>1个月的，无须提供</w:t>
            </w:r>
            <w:r>
              <w:rPr>
                <w:color w:val="auto"/>
                <w:szCs w:val="21"/>
                <w:highlight w:val="none"/>
              </w:rPr>
              <w:t>缴纳税费证明及社保缴费证明加盖供应商电子签章</w:t>
            </w:r>
            <w:r>
              <w:rPr>
                <w:rFonts w:hint="eastAsia"/>
                <w:color w:val="auto"/>
                <w:szCs w:val="21"/>
                <w:highlight w:val="none"/>
              </w:rPr>
              <w:t>。</w:t>
            </w:r>
          </w:p>
          <w:p w14:paraId="5B9B47AD">
            <w:pPr>
              <w:spacing w:line="240" w:lineRule="exact"/>
              <w:jc w:val="left"/>
              <w:rPr>
                <w:color w:val="auto"/>
                <w:szCs w:val="21"/>
                <w:highlight w:val="none"/>
              </w:rPr>
            </w:pPr>
            <w:r>
              <w:rPr>
                <w:color w:val="auto"/>
                <w:szCs w:val="21"/>
                <w:highlight w:val="none"/>
              </w:rPr>
              <w:t>依法免税或不需要缴纳社会保障资金的供应商，须提供相应文件证明其依法免税或不需要缴纳社会保障资金。</w:t>
            </w:r>
          </w:p>
        </w:tc>
      </w:tr>
      <w:tr w14:paraId="62A6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037A0E6">
            <w:pPr>
              <w:spacing w:line="240" w:lineRule="exact"/>
              <w:rPr>
                <w:color w:val="auto"/>
                <w:szCs w:val="21"/>
                <w:highlight w:val="none"/>
                <w:lang w:val="zh-CN"/>
              </w:rPr>
            </w:pPr>
          </w:p>
        </w:tc>
        <w:tc>
          <w:tcPr>
            <w:tcW w:w="1843" w:type="dxa"/>
            <w:noWrap w:val="0"/>
            <w:vAlign w:val="center"/>
          </w:tcPr>
          <w:p w14:paraId="450888A1">
            <w:pPr>
              <w:spacing w:line="240" w:lineRule="exact"/>
              <w:jc w:val="left"/>
              <w:rPr>
                <w:rFonts w:hint="eastAsia"/>
                <w:color w:val="auto"/>
                <w:szCs w:val="21"/>
                <w:highlight w:val="none"/>
              </w:rPr>
            </w:pPr>
            <w:r>
              <w:rPr>
                <w:color w:val="auto"/>
                <w:szCs w:val="21"/>
                <w:highlight w:val="none"/>
              </w:rPr>
              <w:t>（5）参加政府采购活动前三年内，在经营活动中没有重大违法记录</w:t>
            </w:r>
          </w:p>
        </w:tc>
        <w:tc>
          <w:tcPr>
            <w:tcW w:w="6242" w:type="dxa"/>
            <w:noWrap w:val="0"/>
            <w:vAlign w:val="center"/>
          </w:tcPr>
          <w:p w14:paraId="1D62DCF8">
            <w:pPr>
              <w:spacing w:line="240" w:lineRule="exact"/>
              <w:jc w:val="left"/>
              <w:rPr>
                <w:color w:val="auto"/>
                <w:szCs w:val="21"/>
                <w:highlight w:val="none"/>
              </w:rPr>
            </w:pPr>
            <w:r>
              <w:rPr>
                <w:color w:val="auto"/>
                <w:szCs w:val="21"/>
                <w:highlight w:val="none"/>
              </w:rPr>
              <w:t>审查无重大违法记录声明。须提供，格式见第六章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响应</w:t>
            </w:r>
            <w:r>
              <w:rPr>
                <w:color w:val="auto"/>
                <w:szCs w:val="21"/>
                <w:highlight w:val="none"/>
              </w:rPr>
              <w:t xml:space="preserve">声明书”。 </w:t>
            </w:r>
          </w:p>
        </w:tc>
      </w:tr>
      <w:tr w14:paraId="65A5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0D49978E">
            <w:pPr>
              <w:spacing w:line="240" w:lineRule="exact"/>
              <w:rPr>
                <w:color w:val="auto"/>
                <w:szCs w:val="21"/>
                <w:highlight w:val="none"/>
                <w:lang w:val="zh-CN"/>
              </w:rPr>
            </w:pPr>
          </w:p>
        </w:tc>
        <w:tc>
          <w:tcPr>
            <w:tcW w:w="1843" w:type="dxa"/>
            <w:noWrap w:val="0"/>
            <w:vAlign w:val="center"/>
          </w:tcPr>
          <w:p w14:paraId="273905B3">
            <w:pPr>
              <w:spacing w:line="240" w:lineRule="exact"/>
              <w:jc w:val="left"/>
              <w:rPr>
                <w:color w:val="auto"/>
                <w:szCs w:val="21"/>
                <w:highlight w:val="none"/>
              </w:rPr>
            </w:pPr>
            <w:r>
              <w:rPr>
                <w:color w:val="auto"/>
                <w:szCs w:val="21"/>
                <w:highlight w:val="none"/>
              </w:rPr>
              <w:t>（6）具备法律、行政法规规定的其他要求</w:t>
            </w:r>
          </w:p>
        </w:tc>
        <w:tc>
          <w:tcPr>
            <w:tcW w:w="6242" w:type="dxa"/>
            <w:noWrap w:val="0"/>
            <w:vAlign w:val="center"/>
          </w:tcPr>
          <w:p w14:paraId="50E091D2">
            <w:pPr>
              <w:spacing w:line="240" w:lineRule="exact"/>
              <w:jc w:val="left"/>
              <w:rPr>
                <w:color w:val="auto"/>
                <w:szCs w:val="21"/>
                <w:highlight w:val="none"/>
              </w:rPr>
            </w:pPr>
            <w:r>
              <w:rPr>
                <w:color w:val="auto"/>
                <w:szCs w:val="21"/>
                <w:highlight w:val="none"/>
              </w:rPr>
              <w:t>无。</w:t>
            </w:r>
          </w:p>
        </w:tc>
      </w:tr>
      <w:tr w14:paraId="7C02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noWrap w:val="0"/>
            <w:vAlign w:val="center"/>
          </w:tcPr>
          <w:p w14:paraId="68271434">
            <w:pPr>
              <w:spacing w:line="240" w:lineRule="exact"/>
              <w:rPr>
                <w:color w:val="auto"/>
                <w:szCs w:val="21"/>
                <w:highlight w:val="none"/>
                <w:lang w:val="zh-CN"/>
              </w:rPr>
            </w:pPr>
            <w:r>
              <w:rPr>
                <w:rFonts w:hint="eastAsia"/>
                <w:color w:val="auto"/>
                <w:kern w:val="0"/>
                <w:szCs w:val="21"/>
                <w:highlight w:val="none"/>
              </w:rPr>
              <w:t>采购政策</w:t>
            </w:r>
          </w:p>
        </w:tc>
        <w:tc>
          <w:tcPr>
            <w:tcW w:w="1843" w:type="dxa"/>
            <w:noWrap w:val="0"/>
            <w:vAlign w:val="center"/>
          </w:tcPr>
          <w:p w14:paraId="1755EC48">
            <w:pPr>
              <w:spacing w:line="240" w:lineRule="exact"/>
              <w:jc w:val="left"/>
              <w:rPr>
                <w:color w:val="auto"/>
                <w:szCs w:val="21"/>
                <w:highlight w:val="none"/>
              </w:rPr>
            </w:pPr>
            <w:r>
              <w:rPr>
                <w:rFonts w:hint="eastAsia"/>
                <w:color w:val="auto"/>
                <w:szCs w:val="21"/>
                <w:highlight w:val="none"/>
              </w:rPr>
              <w:t>落实政府采购政策需满足的资格要求</w:t>
            </w:r>
          </w:p>
        </w:tc>
        <w:tc>
          <w:tcPr>
            <w:tcW w:w="6242" w:type="dxa"/>
            <w:noWrap w:val="0"/>
            <w:vAlign w:val="center"/>
          </w:tcPr>
          <w:p w14:paraId="7FC7ADF1">
            <w:pPr>
              <w:spacing w:line="240" w:lineRule="exact"/>
              <w:rPr>
                <w:rFonts w:hint="default" w:eastAsia="宋体"/>
                <w:color w:val="auto"/>
                <w:szCs w:val="21"/>
                <w:highlight w:val="none"/>
                <w:lang w:val="en-US" w:eastAsia="zh-CN"/>
              </w:rPr>
            </w:pPr>
            <w:r>
              <w:rPr>
                <w:rFonts w:hint="eastAsia"/>
                <w:color w:val="auto"/>
                <w:szCs w:val="21"/>
                <w:highlight w:val="none"/>
                <w:lang w:val="en-US" w:eastAsia="zh-CN"/>
              </w:rPr>
              <w:t>标项一、二、三：无</w:t>
            </w:r>
          </w:p>
          <w:p w14:paraId="60E7B75E">
            <w:pPr>
              <w:spacing w:line="240" w:lineRule="exac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标项四、五</w:t>
            </w:r>
          </w:p>
          <w:p w14:paraId="021BA507">
            <w:pPr>
              <w:spacing w:line="240" w:lineRule="exact"/>
              <w:rPr>
                <w:rFonts w:ascii="宋体" w:hAnsi="宋体" w:cs="宋体"/>
                <w:color w:val="auto"/>
                <w:szCs w:val="21"/>
                <w:highlight w:val="none"/>
              </w:rPr>
            </w:pPr>
            <w:r>
              <w:rPr>
                <w:rFonts w:hint="eastAsia" w:ascii="宋体" w:hAnsi="宋体" w:cs="宋体"/>
                <w:color w:val="auto"/>
                <w:szCs w:val="21"/>
                <w:highlight w:val="none"/>
              </w:rPr>
              <w:t>供应商独立响应：</w:t>
            </w:r>
          </w:p>
          <w:p w14:paraId="5F377A4F">
            <w:pPr>
              <w:spacing w:line="240" w:lineRule="exact"/>
              <w:rPr>
                <w:color w:val="auto"/>
                <w:szCs w:val="21"/>
                <w:highlight w:val="none"/>
              </w:rPr>
            </w:pPr>
            <w:r>
              <w:rPr>
                <w:rFonts w:hint="eastAsia" w:ascii="宋体" w:hAnsi="宋体" w:cs="宋体"/>
                <w:color w:val="auto"/>
                <w:szCs w:val="21"/>
                <w:highlight w:val="none"/>
              </w:rPr>
              <w:t>提供</w:t>
            </w:r>
            <w:r>
              <w:rPr>
                <w:rFonts w:hint="eastAsia"/>
                <w:color w:val="auto"/>
                <w:szCs w:val="21"/>
                <w:highlight w:val="none"/>
              </w:rPr>
              <w:t>《中小企业声明函》</w:t>
            </w:r>
            <w:r>
              <w:rPr>
                <w:rFonts w:hint="eastAsia" w:ascii="宋体" w:hAnsi="宋体" w:cs="宋体"/>
                <w:color w:val="auto"/>
                <w:szCs w:val="21"/>
                <w:highlight w:val="none"/>
              </w:rPr>
              <w:t>，符合</w:t>
            </w:r>
            <w:r>
              <w:rPr>
                <w:rFonts w:hint="eastAsia"/>
                <w:color w:val="auto"/>
                <w:szCs w:val="21"/>
                <w:highlight w:val="none"/>
              </w:rPr>
              <w:t>提供采购文件标明所属行业的标的物应全部为中型或小型或微型企业</w:t>
            </w:r>
            <w:r>
              <w:rPr>
                <w:rFonts w:hint="eastAsia" w:ascii="宋体" w:hAnsi="宋体" w:cs="宋体"/>
                <w:color w:val="auto"/>
                <w:szCs w:val="21"/>
                <w:highlight w:val="none"/>
              </w:rPr>
              <w:t>的条件</w:t>
            </w:r>
            <w:r>
              <w:rPr>
                <w:rFonts w:hint="eastAsia"/>
                <w:color w:val="auto"/>
                <w:szCs w:val="21"/>
                <w:highlight w:val="none"/>
              </w:rPr>
              <w:t>。</w:t>
            </w:r>
          </w:p>
          <w:p w14:paraId="711ECD22">
            <w:pPr>
              <w:spacing w:line="240" w:lineRule="exact"/>
              <w:jc w:val="left"/>
              <w:rPr>
                <w:rFonts w:hint="eastAsia"/>
                <w:color w:val="auto"/>
                <w:szCs w:val="21"/>
                <w:highlight w:val="none"/>
              </w:rPr>
            </w:pPr>
            <w:r>
              <w:rPr>
                <w:rFonts w:hint="eastAsia"/>
                <w:color w:val="auto"/>
                <w:szCs w:val="21"/>
                <w:highlight w:val="none"/>
              </w:rPr>
              <w:t>注：1、符合监狱企业出具监狱企业证明文件的、符合残疾人福利性单位出具《残疾人福利性单位声明函》的视同小微企业。</w:t>
            </w:r>
          </w:p>
          <w:p w14:paraId="3CDD6FC7">
            <w:pPr>
              <w:spacing w:line="240" w:lineRule="exact"/>
              <w:jc w:val="left"/>
              <w:rPr>
                <w:color w:val="auto"/>
                <w:szCs w:val="21"/>
                <w:highlight w:val="none"/>
              </w:rPr>
            </w:pPr>
            <w:r>
              <w:rPr>
                <w:rFonts w:hint="eastAsia"/>
                <w:color w:val="auto"/>
                <w:szCs w:val="21"/>
                <w:highlight w:val="none"/>
              </w:rPr>
              <w:t>2、律师事务所、司法鉴定机构不适用《中小企业划型标准规定》，不享受中小企业发展政策。</w:t>
            </w:r>
          </w:p>
        </w:tc>
      </w:tr>
      <w:tr w14:paraId="7808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trPr>
        <w:tc>
          <w:tcPr>
            <w:tcW w:w="846" w:type="dxa"/>
            <w:vMerge w:val="restart"/>
            <w:noWrap w:val="0"/>
            <w:vAlign w:val="center"/>
          </w:tcPr>
          <w:p w14:paraId="5CB7BC01">
            <w:pPr>
              <w:spacing w:line="240" w:lineRule="exact"/>
              <w:rPr>
                <w:color w:val="auto"/>
                <w:szCs w:val="21"/>
                <w:highlight w:val="none"/>
              </w:rPr>
            </w:pPr>
            <w:r>
              <w:rPr>
                <w:color w:val="auto"/>
                <w:szCs w:val="21"/>
                <w:highlight w:val="none"/>
                <w:lang w:val="zh-CN"/>
              </w:rPr>
              <w:t>供应商应符合的</w:t>
            </w:r>
            <w:r>
              <w:rPr>
                <w:color w:val="auto"/>
                <w:szCs w:val="21"/>
                <w:highlight w:val="none"/>
              </w:rPr>
              <w:t>特定资格</w:t>
            </w:r>
            <w:r>
              <w:rPr>
                <w:rFonts w:hint="eastAsia"/>
                <w:color w:val="auto"/>
                <w:szCs w:val="21"/>
                <w:highlight w:val="none"/>
              </w:rPr>
              <w:t>要求</w:t>
            </w:r>
          </w:p>
        </w:tc>
        <w:tc>
          <w:tcPr>
            <w:tcW w:w="1843" w:type="dxa"/>
            <w:noWrap w:val="0"/>
            <w:vAlign w:val="center"/>
          </w:tcPr>
          <w:p w14:paraId="06D2BD34">
            <w:pPr>
              <w:spacing w:line="240" w:lineRule="exact"/>
              <w:jc w:val="left"/>
              <w:rPr>
                <w:color w:val="auto"/>
                <w:szCs w:val="21"/>
                <w:highlight w:val="none"/>
              </w:rPr>
            </w:pPr>
            <w:r>
              <w:rPr>
                <w:color w:val="auto"/>
                <w:szCs w:val="21"/>
                <w:highlight w:val="none"/>
              </w:rPr>
              <w:t>（1）资质</w:t>
            </w:r>
            <w:r>
              <w:rPr>
                <w:rFonts w:hint="eastAsia"/>
                <w:color w:val="auto"/>
                <w:szCs w:val="21"/>
                <w:highlight w:val="none"/>
              </w:rPr>
              <w:t>要求</w:t>
            </w:r>
          </w:p>
        </w:tc>
        <w:tc>
          <w:tcPr>
            <w:tcW w:w="6242" w:type="dxa"/>
            <w:noWrap w:val="0"/>
            <w:vAlign w:val="center"/>
          </w:tcPr>
          <w:p w14:paraId="11E3A7A4">
            <w:pPr>
              <w:spacing w:line="240" w:lineRule="exact"/>
              <w:jc w:val="lef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2B1E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6E9EE31B">
            <w:pPr>
              <w:spacing w:line="240" w:lineRule="exact"/>
              <w:rPr>
                <w:color w:val="auto"/>
                <w:szCs w:val="21"/>
                <w:highlight w:val="none"/>
              </w:rPr>
            </w:pPr>
          </w:p>
        </w:tc>
        <w:tc>
          <w:tcPr>
            <w:tcW w:w="1843" w:type="dxa"/>
            <w:noWrap w:val="0"/>
            <w:vAlign w:val="center"/>
          </w:tcPr>
          <w:p w14:paraId="2A41655C">
            <w:pPr>
              <w:spacing w:line="240" w:lineRule="exact"/>
              <w:jc w:val="left"/>
              <w:rPr>
                <w:color w:val="auto"/>
                <w:szCs w:val="21"/>
                <w:highlight w:val="none"/>
              </w:rPr>
            </w:pPr>
            <w:r>
              <w:rPr>
                <w:color w:val="auto"/>
                <w:szCs w:val="21"/>
                <w:highlight w:val="none"/>
              </w:rPr>
              <w:t>（2）业绩要求</w:t>
            </w:r>
          </w:p>
        </w:tc>
        <w:tc>
          <w:tcPr>
            <w:tcW w:w="6242" w:type="dxa"/>
            <w:noWrap w:val="0"/>
            <w:vAlign w:val="center"/>
          </w:tcPr>
          <w:p w14:paraId="69F44E30">
            <w:pPr>
              <w:spacing w:line="240" w:lineRule="exact"/>
              <w:jc w:val="left"/>
              <w:rPr>
                <w:color w:val="auto"/>
                <w:szCs w:val="21"/>
                <w:highlight w:val="none"/>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28B2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rPr>
        <w:tc>
          <w:tcPr>
            <w:tcW w:w="846" w:type="dxa"/>
            <w:vMerge w:val="continue"/>
            <w:noWrap w:val="0"/>
            <w:vAlign w:val="center"/>
          </w:tcPr>
          <w:p w14:paraId="7EFDB68C">
            <w:pPr>
              <w:spacing w:line="240" w:lineRule="exact"/>
              <w:jc w:val="left"/>
              <w:rPr>
                <w:color w:val="auto"/>
                <w:szCs w:val="21"/>
                <w:highlight w:val="none"/>
              </w:rPr>
            </w:pPr>
          </w:p>
        </w:tc>
        <w:tc>
          <w:tcPr>
            <w:tcW w:w="1843" w:type="dxa"/>
            <w:noWrap w:val="0"/>
            <w:vAlign w:val="center"/>
          </w:tcPr>
          <w:p w14:paraId="7AA1C815">
            <w:pPr>
              <w:spacing w:line="240" w:lineRule="exact"/>
              <w:jc w:val="left"/>
              <w:rPr>
                <w:color w:val="auto"/>
                <w:szCs w:val="21"/>
                <w:highlight w:val="none"/>
              </w:rPr>
            </w:pPr>
            <w:r>
              <w:rPr>
                <w:rFonts w:hint="eastAsia"/>
                <w:color w:val="auto"/>
                <w:szCs w:val="21"/>
                <w:highlight w:val="none"/>
              </w:rPr>
              <w:t>（</w:t>
            </w:r>
            <w:r>
              <w:rPr>
                <w:color w:val="auto"/>
                <w:szCs w:val="21"/>
                <w:highlight w:val="none"/>
              </w:rPr>
              <w:t>3</w:t>
            </w:r>
            <w:r>
              <w:rPr>
                <w:rFonts w:hint="eastAsia"/>
                <w:color w:val="auto"/>
                <w:szCs w:val="21"/>
                <w:highlight w:val="none"/>
              </w:rPr>
              <w:t>）供应商不得参加响应的情形</w:t>
            </w:r>
          </w:p>
        </w:tc>
        <w:tc>
          <w:tcPr>
            <w:tcW w:w="6242" w:type="dxa"/>
            <w:noWrap w:val="0"/>
            <w:vAlign w:val="center"/>
          </w:tcPr>
          <w:p w14:paraId="2D088309">
            <w:pPr>
              <w:spacing w:line="240" w:lineRule="exact"/>
              <w:jc w:val="left"/>
              <w:rPr>
                <w:color w:val="auto"/>
                <w:kern w:val="0"/>
                <w:szCs w:val="21"/>
                <w:highlight w:val="none"/>
              </w:rPr>
            </w:pPr>
            <w:r>
              <w:rPr>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color w:val="auto"/>
                <w:kern w:val="0"/>
                <w:szCs w:val="21"/>
                <w:highlight w:val="none"/>
              </w:rPr>
              <w:t>本</w:t>
            </w:r>
            <w:r>
              <w:rPr>
                <w:color w:val="auto"/>
                <w:kern w:val="0"/>
                <w:szCs w:val="21"/>
                <w:highlight w:val="none"/>
              </w:rPr>
              <w:t>项目的采购活动。</w:t>
            </w:r>
          </w:p>
          <w:p w14:paraId="0F41F9CE">
            <w:pPr>
              <w:spacing w:line="240" w:lineRule="exact"/>
              <w:jc w:val="left"/>
              <w:rPr>
                <w:color w:val="auto"/>
                <w:szCs w:val="21"/>
                <w:highlight w:val="none"/>
              </w:rPr>
            </w:pPr>
            <w:r>
              <w:rPr>
                <w:color w:val="auto"/>
                <w:szCs w:val="21"/>
                <w:highlight w:val="none"/>
              </w:rPr>
              <w:t>须提供，格式见第六章</w:t>
            </w:r>
            <w:r>
              <w:rPr>
                <w:rFonts w:hint="eastAsia"/>
                <w:color w:val="auto"/>
                <w:szCs w:val="21"/>
                <w:highlight w:val="none"/>
              </w:rPr>
              <w:t>响应</w:t>
            </w:r>
            <w:r>
              <w:rPr>
                <w:color w:val="auto"/>
                <w:szCs w:val="21"/>
                <w:highlight w:val="none"/>
              </w:rPr>
              <w:t>文件格式“</w:t>
            </w:r>
            <w:r>
              <w:rPr>
                <w:rFonts w:hint="eastAsia"/>
                <w:color w:val="auto"/>
                <w:szCs w:val="21"/>
                <w:highlight w:val="none"/>
              </w:rPr>
              <w:t>供应商直接控股股东、管理关系信息表</w:t>
            </w:r>
            <w:r>
              <w:rPr>
                <w:color w:val="auto"/>
                <w:szCs w:val="21"/>
                <w:highlight w:val="none"/>
              </w:rPr>
              <w:t>”。</w:t>
            </w:r>
          </w:p>
        </w:tc>
      </w:tr>
      <w:tr w14:paraId="1F3EB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0"/>
            <w:vAlign w:val="center"/>
          </w:tcPr>
          <w:p w14:paraId="32A251E6">
            <w:pPr>
              <w:spacing w:line="240" w:lineRule="exact"/>
              <w:jc w:val="left"/>
              <w:rPr>
                <w:color w:val="auto"/>
                <w:kern w:val="0"/>
                <w:szCs w:val="21"/>
                <w:highlight w:val="none"/>
              </w:rPr>
            </w:pPr>
          </w:p>
        </w:tc>
        <w:tc>
          <w:tcPr>
            <w:tcW w:w="1843" w:type="dxa"/>
            <w:noWrap w:val="0"/>
            <w:vAlign w:val="center"/>
          </w:tcPr>
          <w:p w14:paraId="15B7828B">
            <w:pPr>
              <w:spacing w:line="240" w:lineRule="exact"/>
              <w:jc w:val="left"/>
              <w:rPr>
                <w:color w:val="auto"/>
                <w:kern w:val="0"/>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）诚信要求</w:t>
            </w:r>
          </w:p>
        </w:tc>
        <w:tc>
          <w:tcPr>
            <w:tcW w:w="6242" w:type="dxa"/>
            <w:noWrap w:val="0"/>
            <w:vAlign w:val="top"/>
          </w:tcPr>
          <w:p w14:paraId="5F66DF07">
            <w:pPr>
              <w:spacing w:line="240" w:lineRule="exact"/>
              <w:jc w:val="left"/>
              <w:rPr>
                <w:color w:val="auto"/>
                <w:kern w:val="0"/>
                <w:szCs w:val="21"/>
                <w:highlight w:val="none"/>
              </w:rPr>
            </w:pPr>
            <w:r>
              <w:rPr>
                <w:rFonts w:hint="eastAsia"/>
                <w:color w:val="auto"/>
                <w:szCs w:val="21"/>
                <w:highlight w:val="none"/>
              </w:rPr>
              <w:t>未被列入失信被执行人、</w:t>
            </w:r>
            <w:r>
              <w:rPr>
                <w:color w:val="auto"/>
                <w:szCs w:val="21"/>
                <w:highlight w:val="none"/>
              </w:rPr>
              <w:t>重大税收违法失信主体、政府采购严重违法失信行为记录名单</w:t>
            </w:r>
            <w:r>
              <w:rPr>
                <w:rFonts w:hint="eastAsia"/>
                <w:color w:val="auto"/>
                <w:szCs w:val="21"/>
                <w:highlight w:val="none"/>
              </w:rPr>
              <w:t>。</w:t>
            </w:r>
          </w:p>
        </w:tc>
      </w:tr>
      <w:tr w14:paraId="0CC7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0"/>
            <w:vAlign w:val="center"/>
          </w:tcPr>
          <w:p w14:paraId="11F8FC71">
            <w:pPr>
              <w:spacing w:line="240" w:lineRule="exact"/>
              <w:jc w:val="left"/>
              <w:rPr>
                <w:color w:val="auto"/>
                <w:kern w:val="0"/>
                <w:szCs w:val="21"/>
                <w:highlight w:val="none"/>
              </w:rPr>
            </w:pPr>
          </w:p>
        </w:tc>
        <w:tc>
          <w:tcPr>
            <w:tcW w:w="1843" w:type="dxa"/>
            <w:noWrap w:val="0"/>
            <w:vAlign w:val="center"/>
          </w:tcPr>
          <w:p w14:paraId="51AA8282">
            <w:pPr>
              <w:spacing w:line="240" w:lineRule="exact"/>
              <w:jc w:val="left"/>
              <w:rPr>
                <w:color w:val="auto"/>
                <w:szCs w:val="21"/>
                <w:highlight w:val="none"/>
              </w:rPr>
            </w:pPr>
            <w:r>
              <w:rPr>
                <w:rFonts w:hint="eastAsia"/>
                <w:color w:val="auto"/>
                <w:szCs w:val="21"/>
                <w:highlight w:val="none"/>
              </w:rPr>
              <w:t>（5）分公司</w:t>
            </w:r>
          </w:p>
        </w:tc>
        <w:tc>
          <w:tcPr>
            <w:tcW w:w="6242" w:type="dxa"/>
            <w:noWrap w:val="0"/>
            <w:vAlign w:val="center"/>
          </w:tcPr>
          <w:p w14:paraId="54991D56">
            <w:pPr>
              <w:spacing w:line="240" w:lineRule="exact"/>
              <w:rPr>
                <w:color w:val="auto"/>
                <w:szCs w:val="21"/>
                <w:highlight w:val="none"/>
              </w:rPr>
            </w:pPr>
            <w:r>
              <w:rPr>
                <w:rFonts w:hint="eastAsia"/>
                <w:color w:val="auto"/>
                <w:szCs w:val="21"/>
                <w:highlight w:val="none"/>
              </w:rPr>
              <w:t>允许分公司参与响应的，供应商须提供总公司出具的授权其参与本项目的授权文件或制度。</w:t>
            </w:r>
          </w:p>
        </w:tc>
      </w:tr>
      <w:tr w14:paraId="0BE0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0"/>
            <w:vAlign w:val="center"/>
          </w:tcPr>
          <w:p w14:paraId="559E442F">
            <w:pPr>
              <w:spacing w:line="240" w:lineRule="exact"/>
              <w:jc w:val="left"/>
              <w:rPr>
                <w:color w:val="auto"/>
                <w:kern w:val="0"/>
                <w:szCs w:val="21"/>
                <w:highlight w:val="none"/>
              </w:rPr>
            </w:pPr>
          </w:p>
        </w:tc>
        <w:tc>
          <w:tcPr>
            <w:tcW w:w="1843" w:type="dxa"/>
            <w:noWrap w:val="0"/>
            <w:vAlign w:val="center"/>
          </w:tcPr>
          <w:p w14:paraId="308185F2">
            <w:pPr>
              <w:spacing w:line="240" w:lineRule="exact"/>
              <w:jc w:val="left"/>
              <w:rPr>
                <w:rFonts w:hint="eastAsia"/>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）分包</w:t>
            </w:r>
          </w:p>
        </w:tc>
        <w:tc>
          <w:tcPr>
            <w:tcW w:w="6242" w:type="dxa"/>
            <w:noWrap w:val="0"/>
            <w:vAlign w:val="center"/>
          </w:tcPr>
          <w:p w14:paraId="2C9134A9">
            <w:pPr>
              <w:spacing w:line="240" w:lineRule="exact"/>
              <w:rPr>
                <w:rFonts w:hint="eastAsia"/>
                <w:color w:val="auto"/>
                <w:szCs w:val="21"/>
                <w:highlight w:val="none"/>
                <w:lang w:val="zh-CN"/>
              </w:rPr>
            </w:pPr>
            <w:r>
              <w:rPr>
                <w:color w:val="auto"/>
                <w:szCs w:val="21"/>
                <w:highlight w:val="none"/>
              </w:rPr>
              <w:t>须符合</w:t>
            </w:r>
            <w:r>
              <w:rPr>
                <w:rFonts w:hint="eastAsia"/>
                <w:color w:val="auto"/>
                <w:szCs w:val="21"/>
                <w:highlight w:val="none"/>
              </w:rPr>
              <w:t>“磋商公告”</w:t>
            </w:r>
            <w:r>
              <w:rPr>
                <w:color w:val="auto"/>
                <w:szCs w:val="21"/>
                <w:highlight w:val="none"/>
              </w:rPr>
              <w:t>的要求</w:t>
            </w:r>
          </w:p>
        </w:tc>
      </w:tr>
      <w:tr w14:paraId="6BF6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0"/>
            <w:vAlign w:val="center"/>
          </w:tcPr>
          <w:p w14:paraId="0CB886D4">
            <w:pPr>
              <w:spacing w:line="240" w:lineRule="exact"/>
              <w:jc w:val="left"/>
              <w:rPr>
                <w:color w:val="auto"/>
                <w:kern w:val="0"/>
                <w:szCs w:val="21"/>
                <w:highlight w:val="none"/>
              </w:rPr>
            </w:pPr>
          </w:p>
        </w:tc>
        <w:tc>
          <w:tcPr>
            <w:tcW w:w="1843" w:type="dxa"/>
            <w:noWrap w:val="0"/>
            <w:vAlign w:val="center"/>
          </w:tcPr>
          <w:p w14:paraId="6F8EFCAF">
            <w:pPr>
              <w:spacing w:line="240" w:lineRule="exact"/>
              <w:jc w:val="left"/>
              <w:rPr>
                <w:rFonts w:hint="eastAsia"/>
                <w:color w:val="auto"/>
                <w:szCs w:val="21"/>
                <w:highlight w:val="none"/>
              </w:rPr>
            </w:pPr>
            <w:r>
              <w:rPr>
                <w:rFonts w:hint="eastAsia"/>
                <w:color w:val="auto"/>
                <w:szCs w:val="21"/>
                <w:highlight w:val="none"/>
              </w:rPr>
              <w:t>（</w:t>
            </w:r>
            <w:r>
              <w:rPr>
                <w:color w:val="auto"/>
                <w:szCs w:val="21"/>
                <w:highlight w:val="none"/>
              </w:rPr>
              <w:t>7</w:t>
            </w:r>
            <w:r>
              <w:rPr>
                <w:rFonts w:hint="eastAsia"/>
                <w:color w:val="auto"/>
                <w:szCs w:val="21"/>
                <w:highlight w:val="none"/>
              </w:rPr>
              <w:t>）联合体</w:t>
            </w:r>
          </w:p>
        </w:tc>
        <w:tc>
          <w:tcPr>
            <w:tcW w:w="6242" w:type="dxa"/>
            <w:noWrap w:val="0"/>
            <w:vAlign w:val="center"/>
          </w:tcPr>
          <w:p w14:paraId="650C1B86">
            <w:pPr>
              <w:spacing w:line="240" w:lineRule="exact"/>
              <w:rPr>
                <w:rFonts w:hint="eastAsia"/>
                <w:color w:val="auto"/>
                <w:szCs w:val="21"/>
                <w:highlight w:val="none"/>
              </w:rPr>
            </w:pPr>
            <w:r>
              <w:rPr>
                <w:rFonts w:hint="eastAsia"/>
                <w:color w:val="auto"/>
                <w:szCs w:val="21"/>
                <w:highlight w:val="none"/>
                <w:lang w:val="zh-CN"/>
              </w:rPr>
              <w:t>须符合“磋商公告”的要求</w:t>
            </w:r>
          </w:p>
        </w:tc>
      </w:tr>
      <w:tr w14:paraId="4F4F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0"/>
            <w:vAlign w:val="center"/>
          </w:tcPr>
          <w:p w14:paraId="416D3066">
            <w:pPr>
              <w:spacing w:line="240" w:lineRule="exact"/>
              <w:jc w:val="left"/>
              <w:rPr>
                <w:color w:val="auto"/>
                <w:kern w:val="0"/>
                <w:szCs w:val="21"/>
                <w:highlight w:val="none"/>
              </w:rPr>
            </w:pPr>
          </w:p>
        </w:tc>
        <w:tc>
          <w:tcPr>
            <w:tcW w:w="1843" w:type="dxa"/>
            <w:noWrap w:val="0"/>
            <w:vAlign w:val="center"/>
          </w:tcPr>
          <w:p w14:paraId="3AA0FFA0">
            <w:pPr>
              <w:spacing w:line="240" w:lineRule="exact"/>
              <w:jc w:val="left"/>
              <w:rPr>
                <w:color w:val="auto"/>
                <w:szCs w:val="21"/>
                <w:highlight w:val="none"/>
              </w:rPr>
            </w:pPr>
            <w:r>
              <w:rPr>
                <w:rFonts w:hint="eastAsia"/>
                <w:color w:val="auto"/>
                <w:szCs w:val="21"/>
                <w:highlight w:val="none"/>
              </w:rPr>
              <w:t>（</w:t>
            </w:r>
            <w:r>
              <w:rPr>
                <w:color w:val="auto"/>
                <w:szCs w:val="21"/>
                <w:highlight w:val="none"/>
              </w:rPr>
              <w:t>8</w:t>
            </w:r>
            <w:r>
              <w:rPr>
                <w:rFonts w:hint="eastAsia"/>
                <w:color w:val="auto"/>
                <w:szCs w:val="21"/>
                <w:highlight w:val="none"/>
              </w:rPr>
              <w:t>）其他要求</w:t>
            </w:r>
          </w:p>
        </w:tc>
        <w:tc>
          <w:tcPr>
            <w:tcW w:w="6242" w:type="dxa"/>
            <w:noWrap w:val="0"/>
            <w:vAlign w:val="top"/>
          </w:tcPr>
          <w:p w14:paraId="5BA2A35A">
            <w:pPr>
              <w:spacing w:line="312" w:lineRule="auto"/>
              <w:jc w:val="left"/>
              <w:rPr>
                <w:color w:val="auto"/>
                <w:kern w:val="0"/>
                <w:szCs w:val="21"/>
                <w:highlight w:val="none"/>
              </w:rPr>
            </w:pPr>
            <w:r>
              <w:rPr>
                <w:rFonts w:hint="eastAsia"/>
                <w:color w:val="auto"/>
                <w:kern w:val="0"/>
                <w:szCs w:val="21"/>
                <w:highlight w:val="none"/>
              </w:rPr>
              <w:t>按</w:t>
            </w:r>
            <w:r>
              <w:rPr>
                <w:color w:val="auto"/>
                <w:kern w:val="0"/>
                <w:szCs w:val="21"/>
                <w:highlight w:val="none"/>
              </w:rPr>
              <w:t>照</w:t>
            </w:r>
            <w:r>
              <w:rPr>
                <w:rFonts w:hint="eastAsia"/>
                <w:color w:val="auto"/>
                <w:kern w:val="0"/>
                <w:szCs w:val="21"/>
                <w:highlight w:val="none"/>
              </w:rPr>
              <w:t>磋商</w:t>
            </w:r>
            <w:r>
              <w:rPr>
                <w:color w:val="auto"/>
                <w:kern w:val="0"/>
                <w:szCs w:val="21"/>
                <w:highlight w:val="none"/>
              </w:rPr>
              <w:t>公告规定获得</w:t>
            </w:r>
            <w:r>
              <w:rPr>
                <w:rFonts w:hint="eastAsia"/>
                <w:color w:val="auto"/>
                <w:kern w:val="0"/>
                <w:szCs w:val="21"/>
                <w:highlight w:val="none"/>
              </w:rPr>
              <w:t>采购</w:t>
            </w:r>
            <w:r>
              <w:rPr>
                <w:color w:val="auto"/>
                <w:kern w:val="0"/>
                <w:szCs w:val="21"/>
                <w:highlight w:val="none"/>
              </w:rPr>
              <w:t>文件。</w:t>
            </w:r>
            <w:r>
              <w:rPr>
                <w:rFonts w:hint="eastAsia"/>
                <w:color w:val="auto"/>
                <w:kern w:val="0"/>
                <w:szCs w:val="21"/>
                <w:highlight w:val="none"/>
              </w:rPr>
              <w:t>足额、及时缴纳磋商保证金。</w:t>
            </w:r>
          </w:p>
        </w:tc>
      </w:tr>
    </w:tbl>
    <w:p w14:paraId="1B22BEE2">
      <w:pPr>
        <w:spacing w:before="120" w:line="320" w:lineRule="atLeast"/>
        <w:ind w:firstLine="413" w:firstLineChars="196"/>
        <w:outlineLvl w:val="1"/>
        <w:rPr>
          <w:color w:val="auto"/>
          <w:szCs w:val="21"/>
          <w:highlight w:val="none"/>
        </w:rPr>
      </w:pPr>
      <w:r>
        <w:rPr>
          <w:b/>
          <w:bCs/>
          <w:color w:val="auto"/>
          <w:kern w:val="0"/>
          <w:szCs w:val="21"/>
          <w:highlight w:val="none"/>
        </w:rPr>
        <w:t>3</w:t>
      </w:r>
      <w:r>
        <w:rPr>
          <w:rFonts w:hint="eastAsia"/>
          <w:b/>
          <w:bCs/>
          <w:color w:val="auto"/>
          <w:kern w:val="0"/>
          <w:szCs w:val="21"/>
          <w:highlight w:val="none"/>
        </w:rPr>
        <w:t>.</w:t>
      </w:r>
      <w:r>
        <w:rPr>
          <w:b/>
          <w:bCs/>
          <w:color w:val="auto"/>
          <w:kern w:val="0"/>
          <w:szCs w:val="21"/>
          <w:highlight w:val="none"/>
        </w:rPr>
        <w:t>符合性审查</w:t>
      </w:r>
      <w:r>
        <w:rPr>
          <w:rFonts w:hint="eastAsia"/>
          <w:b/>
          <w:bCs/>
          <w:color w:val="auto"/>
          <w:kern w:val="0"/>
          <w:szCs w:val="21"/>
          <w:highlight w:val="none"/>
        </w:rPr>
        <w:t>标准（不满足任何一项审查内容要求，符合性审查即为不合格）</w:t>
      </w:r>
    </w:p>
    <w:tbl>
      <w:tblPr>
        <w:tblStyle w:val="51"/>
        <w:tblW w:w="893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2333"/>
        <w:gridCol w:w="5085"/>
      </w:tblGrid>
      <w:tr w14:paraId="2987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noWrap w:val="0"/>
            <w:vAlign w:val="center"/>
          </w:tcPr>
          <w:p w14:paraId="0D7C34E9">
            <w:pPr>
              <w:spacing w:line="240" w:lineRule="exact"/>
              <w:jc w:val="center"/>
              <w:rPr>
                <w:b/>
                <w:color w:val="auto"/>
                <w:kern w:val="0"/>
                <w:szCs w:val="21"/>
                <w:highlight w:val="none"/>
              </w:rPr>
            </w:pPr>
            <w:bookmarkStart w:id="73" w:name="_Hlk48146640"/>
            <w:bookmarkStart w:id="74" w:name="_Hlk20388968"/>
            <w:r>
              <w:rPr>
                <w:rFonts w:hint="eastAsia"/>
                <w:b/>
                <w:color w:val="auto"/>
                <w:kern w:val="0"/>
                <w:szCs w:val="21"/>
                <w:highlight w:val="none"/>
              </w:rPr>
              <w:t>审查</w:t>
            </w:r>
            <w:r>
              <w:rPr>
                <w:b/>
                <w:color w:val="auto"/>
                <w:kern w:val="0"/>
                <w:szCs w:val="21"/>
                <w:highlight w:val="none"/>
              </w:rPr>
              <w:t>因素</w:t>
            </w:r>
          </w:p>
        </w:tc>
        <w:tc>
          <w:tcPr>
            <w:tcW w:w="2333" w:type="dxa"/>
            <w:noWrap w:val="0"/>
            <w:vAlign w:val="center"/>
          </w:tcPr>
          <w:p w14:paraId="6385114E">
            <w:pPr>
              <w:spacing w:line="240" w:lineRule="exact"/>
              <w:jc w:val="center"/>
              <w:rPr>
                <w:b/>
                <w:color w:val="auto"/>
                <w:kern w:val="0"/>
                <w:szCs w:val="21"/>
                <w:highlight w:val="none"/>
              </w:rPr>
            </w:pPr>
            <w:r>
              <w:rPr>
                <w:rFonts w:hint="eastAsia"/>
                <w:b/>
                <w:color w:val="auto"/>
                <w:kern w:val="0"/>
                <w:szCs w:val="21"/>
                <w:highlight w:val="none"/>
              </w:rPr>
              <w:t>审查内容</w:t>
            </w:r>
          </w:p>
        </w:tc>
        <w:tc>
          <w:tcPr>
            <w:tcW w:w="5085" w:type="dxa"/>
            <w:noWrap w:val="0"/>
            <w:vAlign w:val="top"/>
          </w:tcPr>
          <w:p w14:paraId="2CB0B0CB">
            <w:pPr>
              <w:spacing w:line="240" w:lineRule="exact"/>
              <w:jc w:val="center"/>
              <w:rPr>
                <w:b/>
                <w:color w:val="auto"/>
                <w:kern w:val="0"/>
                <w:szCs w:val="21"/>
                <w:highlight w:val="none"/>
              </w:rPr>
            </w:pPr>
          </w:p>
          <w:p w14:paraId="3FED1C12">
            <w:pPr>
              <w:spacing w:line="240" w:lineRule="exact"/>
              <w:jc w:val="center"/>
              <w:rPr>
                <w:b/>
                <w:color w:val="auto"/>
                <w:kern w:val="0"/>
                <w:szCs w:val="21"/>
                <w:highlight w:val="none"/>
              </w:rPr>
            </w:pPr>
            <w:r>
              <w:rPr>
                <w:rFonts w:hint="eastAsia"/>
                <w:b/>
                <w:color w:val="auto"/>
                <w:kern w:val="0"/>
                <w:szCs w:val="21"/>
                <w:highlight w:val="none"/>
              </w:rPr>
              <w:t>说明</w:t>
            </w:r>
          </w:p>
        </w:tc>
      </w:tr>
      <w:tr w14:paraId="7126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1512" w:type="dxa"/>
            <w:vMerge w:val="restart"/>
            <w:noWrap w:val="0"/>
            <w:vAlign w:val="center"/>
          </w:tcPr>
          <w:p w14:paraId="064AEBFF">
            <w:pPr>
              <w:spacing w:line="240" w:lineRule="exact"/>
              <w:jc w:val="center"/>
              <w:rPr>
                <w:color w:val="auto"/>
                <w:kern w:val="0"/>
                <w:szCs w:val="21"/>
                <w:highlight w:val="none"/>
              </w:rPr>
            </w:pPr>
            <w:r>
              <w:rPr>
                <w:rFonts w:hint="eastAsia"/>
                <w:color w:val="auto"/>
                <w:kern w:val="0"/>
                <w:szCs w:val="21"/>
                <w:highlight w:val="none"/>
              </w:rPr>
              <w:t>商务资信</w:t>
            </w:r>
          </w:p>
        </w:tc>
        <w:tc>
          <w:tcPr>
            <w:tcW w:w="2333" w:type="dxa"/>
            <w:noWrap w:val="0"/>
            <w:vAlign w:val="center"/>
          </w:tcPr>
          <w:p w14:paraId="3514162A">
            <w:pPr>
              <w:spacing w:line="240" w:lineRule="exact"/>
              <w:rPr>
                <w:color w:val="auto"/>
                <w:highlight w:val="none"/>
              </w:rPr>
            </w:pPr>
            <w:r>
              <w:rPr>
                <w:rFonts w:hint="eastAsia"/>
                <w:color w:val="auto"/>
                <w:highlight w:val="none"/>
              </w:rPr>
              <w:t>法定代表人身份证明及授权委托书</w:t>
            </w:r>
          </w:p>
        </w:tc>
        <w:tc>
          <w:tcPr>
            <w:tcW w:w="5085" w:type="dxa"/>
            <w:noWrap w:val="0"/>
            <w:vAlign w:val="center"/>
          </w:tcPr>
          <w:p w14:paraId="1CA94C32">
            <w:pPr>
              <w:spacing w:line="240" w:lineRule="exact"/>
              <w:rPr>
                <w:color w:val="auto"/>
                <w:szCs w:val="21"/>
                <w:highlight w:val="none"/>
              </w:rPr>
            </w:pPr>
            <w:r>
              <w:rPr>
                <w:rFonts w:hint="eastAsia"/>
                <w:color w:val="auto"/>
                <w:szCs w:val="21"/>
                <w:highlight w:val="none"/>
              </w:rPr>
              <w:t>授权</w:t>
            </w:r>
            <w:r>
              <w:rPr>
                <w:color w:val="auto"/>
                <w:szCs w:val="21"/>
                <w:highlight w:val="none"/>
              </w:rPr>
              <w:t>代表</w:t>
            </w:r>
            <w:r>
              <w:rPr>
                <w:rFonts w:hint="eastAsia"/>
                <w:color w:val="auto"/>
                <w:szCs w:val="21"/>
                <w:highlight w:val="none"/>
              </w:rPr>
              <w:t>参加响应</w:t>
            </w:r>
            <w:r>
              <w:rPr>
                <w:color w:val="auto"/>
                <w:szCs w:val="21"/>
                <w:highlight w:val="none"/>
              </w:rPr>
              <w:t>时审查</w:t>
            </w:r>
            <w:r>
              <w:rPr>
                <w:color w:val="auto"/>
                <w:highlight w:val="none"/>
              </w:rPr>
              <w:t>：</w:t>
            </w:r>
            <w:r>
              <w:rPr>
                <w:rFonts w:ascii="宋体" w:hAnsi="宋体"/>
                <w:color w:val="auto"/>
                <w:szCs w:val="21"/>
                <w:highlight w:val="none"/>
              </w:rPr>
              <w:t>法定代表人授权委托书及附件</w:t>
            </w:r>
            <w:r>
              <w:rPr>
                <w:color w:val="auto"/>
                <w:szCs w:val="21"/>
                <w:highlight w:val="none"/>
              </w:rPr>
              <w:t xml:space="preserve"> </w:t>
            </w:r>
          </w:p>
          <w:p w14:paraId="5EAD7EBB">
            <w:pPr>
              <w:spacing w:line="240" w:lineRule="exact"/>
              <w:rPr>
                <w:rFonts w:ascii="宋体" w:hAnsi="宋体"/>
                <w:color w:val="auto"/>
                <w:szCs w:val="21"/>
                <w:highlight w:val="none"/>
              </w:rPr>
            </w:pPr>
            <w:r>
              <w:rPr>
                <w:rFonts w:hint="eastAsia"/>
                <w:color w:val="auto"/>
                <w:szCs w:val="21"/>
                <w:highlight w:val="none"/>
              </w:rPr>
              <w:t>法定代表人直接参加响应</w:t>
            </w:r>
            <w:r>
              <w:rPr>
                <w:color w:val="auto"/>
                <w:szCs w:val="21"/>
                <w:highlight w:val="none"/>
              </w:rPr>
              <w:t>时审查</w:t>
            </w:r>
            <w:r>
              <w:rPr>
                <w:color w:val="auto"/>
                <w:highlight w:val="none"/>
              </w:rPr>
              <w:t>：</w:t>
            </w:r>
            <w:r>
              <w:rPr>
                <w:rFonts w:ascii="宋体" w:hAnsi="宋体"/>
                <w:color w:val="auto"/>
                <w:szCs w:val="21"/>
                <w:highlight w:val="none"/>
              </w:rPr>
              <w:t>法定代表人身份证明</w:t>
            </w:r>
            <w:r>
              <w:rPr>
                <w:rFonts w:hint="eastAsia" w:ascii="宋体" w:hAnsi="宋体"/>
                <w:color w:val="auto"/>
                <w:szCs w:val="21"/>
                <w:highlight w:val="none"/>
              </w:rPr>
              <w:t>及</w:t>
            </w:r>
            <w:r>
              <w:rPr>
                <w:rFonts w:ascii="宋体" w:hAnsi="宋体"/>
                <w:color w:val="auto"/>
                <w:szCs w:val="21"/>
                <w:highlight w:val="none"/>
              </w:rPr>
              <w:t>附件</w:t>
            </w:r>
          </w:p>
          <w:p w14:paraId="19AA47B8">
            <w:pPr>
              <w:spacing w:line="240" w:lineRule="exact"/>
              <w:rPr>
                <w:color w:val="auto"/>
                <w:highlight w:val="none"/>
              </w:rPr>
            </w:pPr>
            <w:r>
              <w:rPr>
                <w:rFonts w:ascii="宋体" w:hAnsi="宋体"/>
                <w:color w:val="auto"/>
                <w:szCs w:val="21"/>
                <w:highlight w:val="none"/>
              </w:rPr>
              <w:t>格式及附件见第六章响应文件格式要求</w:t>
            </w:r>
          </w:p>
        </w:tc>
      </w:tr>
      <w:tr w14:paraId="500D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Merge w:val="continue"/>
            <w:noWrap w:val="0"/>
            <w:vAlign w:val="center"/>
          </w:tcPr>
          <w:p w14:paraId="1F49A772">
            <w:pPr>
              <w:spacing w:line="240" w:lineRule="exact"/>
              <w:jc w:val="center"/>
              <w:rPr>
                <w:color w:val="auto"/>
                <w:kern w:val="0"/>
                <w:szCs w:val="21"/>
                <w:highlight w:val="none"/>
              </w:rPr>
            </w:pPr>
          </w:p>
        </w:tc>
        <w:tc>
          <w:tcPr>
            <w:tcW w:w="2333" w:type="dxa"/>
            <w:noWrap w:val="0"/>
            <w:vAlign w:val="center"/>
          </w:tcPr>
          <w:p w14:paraId="1C74E899">
            <w:pPr>
              <w:spacing w:line="240" w:lineRule="exact"/>
              <w:rPr>
                <w:color w:val="auto"/>
                <w:szCs w:val="21"/>
                <w:highlight w:val="none"/>
              </w:rPr>
            </w:pPr>
            <w:r>
              <w:rPr>
                <w:rFonts w:hint="eastAsia"/>
                <w:color w:val="auto"/>
                <w:szCs w:val="21"/>
                <w:highlight w:val="none"/>
              </w:rPr>
              <w:t>实质性条款响应</w:t>
            </w:r>
          </w:p>
        </w:tc>
        <w:tc>
          <w:tcPr>
            <w:tcW w:w="5085" w:type="dxa"/>
            <w:noWrap w:val="0"/>
            <w:vAlign w:val="center"/>
          </w:tcPr>
          <w:p w14:paraId="7393955A">
            <w:pPr>
              <w:spacing w:line="240" w:lineRule="exact"/>
              <w:rPr>
                <w:color w:val="auto"/>
                <w:szCs w:val="21"/>
                <w:highlight w:val="none"/>
              </w:rPr>
            </w:pPr>
            <w:r>
              <w:rPr>
                <w:rFonts w:hint="eastAsia" w:ascii="宋体" w:hAnsi="宋体"/>
                <w:color w:val="auto"/>
                <w:szCs w:val="21"/>
                <w:highlight w:val="none"/>
              </w:rPr>
              <w:t>采购文件实质性要求响应均无负偏离</w:t>
            </w:r>
          </w:p>
        </w:tc>
      </w:tr>
      <w:tr w14:paraId="52F4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512" w:type="dxa"/>
            <w:vMerge w:val="continue"/>
            <w:noWrap w:val="0"/>
            <w:vAlign w:val="center"/>
          </w:tcPr>
          <w:p w14:paraId="08AFA13F">
            <w:pPr>
              <w:spacing w:line="240" w:lineRule="exact"/>
              <w:jc w:val="center"/>
              <w:rPr>
                <w:color w:val="auto"/>
                <w:kern w:val="0"/>
                <w:szCs w:val="21"/>
                <w:highlight w:val="none"/>
              </w:rPr>
            </w:pPr>
          </w:p>
        </w:tc>
        <w:tc>
          <w:tcPr>
            <w:tcW w:w="2333" w:type="dxa"/>
            <w:noWrap w:val="0"/>
            <w:vAlign w:val="center"/>
          </w:tcPr>
          <w:p w14:paraId="3AB25760">
            <w:pPr>
              <w:spacing w:line="240" w:lineRule="exact"/>
              <w:rPr>
                <w:color w:val="auto"/>
                <w:szCs w:val="21"/>
                <w:highlight w:val="none"/>
              </w:rPr>
            </w:pPr>
            <w:r>
              <w:rPr>
                <w:rFonts w:hint="eastAsia"/>
                <w:color w:val="auto"/>
                <w:szCs w:val="21"/>
                <w:highlight w:val="none"/>
              </w:rPr>
              <w:t>串通投标</w:t>
            </w:r>
          </w:p>
        </w:tc>
        <w:tc>
          <w:tcPr>
            <w:tcW w:w="5085" w:type="dxa"/>
            <w:noWrap w:val="0"/>
            <w:vAlign w:val="center"/>
          </w:tcPr>
          <w:p w14:paraId="7FF8DEE6">
            <w:pPr>
              <w:spacing w:line="240" w:lineRule="exact"/>
              <w:rPr>
                <w:color w:val="auto"/>
                <w:szCs w:val="21"/>
                <w:highlight w:val="none"/>
              </w:rPr>
            </w:pPr>
            <w:r>
              <w:rPr>
                <w:rFonts w:hint="eastAsia" w:ascii="宋体" w:hAnsi="宋体"/>
                <w:color w:val="auto"/>
                <w:szCs w:val="21"/>
                <w:highlight w:val="none"/>
              </w:rPr>
              <w:t>不属于供应商须知正文第</w:t>
            </w:r>
            <w:r>
              <w:rPr>
                <w:rFonts w:ascii="宋体" w:hAnsi="宋体"/>
                <w:color w:val="auto"/>
                <w:szCs w:val="21"/>
                <w:highlight w:val="none"/>
              </w:rPr>
              <w:t>6</w:t>
            </w: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hint="eastAsia" w:ascii="宋体" w:hAnsi="宋体"/>
                <w:color w:val="auto"/>
                <w:szCs w:val="21"/>
                <w:highlight w:val="none"/>
                <w:lang w:val="en-US" w:eastAsia="zh-CN"/>
              </w:rPr>
              <w:t>9</w:t>
            </w:r>
            <w:r>
              <w:rPr>
                <w:rFonts w:hint="eastAsia" w:ascii="宋体" w:hAnsi="宋体"/>
                <w:color w:val="auto"/>
                <w:szCs w:val="21"/>
                <w:highlight w:val="none"/>
              </w:rPr>
              <w:t>规定的串通投标情形，见</w:t>
            </w:r>
            <w:r>
              <w:rPr>
                <w:rFonts w:ascii="宋体" w:hAnsi="宋体"/>
                <w:color w:val="auto"/>
                <w:szCs w:val="21"/>
                <w:highlight w:val="none"/>
              </w:rPr>
              <w:t>第六章响应文件格式要求</w:t>
            </w:r>
          </w:p>
        </w:tc>
      </w:tr>
      <w:tr w14:paraId="4D1B8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restart"/>
            <w:noWrap w:val="0"/>
            <w:vAlign w:val="center"/>
          </w:tcPr>
          <w:p w14:paraId="2DCC7CAB">
            <w:pPr>
              <w:spacing w:line="240" w:lineRule="exact"/>
              <w:jc w:val="center"/>
              <w:rPr>
                <w:color w:val="auto"/>
                <w:kern w:val="0"/>
                <w:szCs w:val="21"/>
                <w:highlight w:val="none"/>
              </w:rPr>
            </w:pPr>
            <w:r>
              <w:rPr>
                <w:rFonts w:hint="eastAsia"/>
                <w:color w:val="auto"/>
                <w:kern w:val="0"/>
                <w:szCs w:val="21"/>
                <w:highlight w:val="none"/>
              </w:rPr>
              <w:t>报价</w:t>
            </w:r>
          </w:p>
        </w:tc>
        <w:tc>
          <w:tcPr>
            <w:tcW w:w="2333" w:type="dxa"/>
            <w:noWrap w:val="0"/>
            <w:vAlign w:val="center"/>
          </w:tcPr>
          <w:p w14:paraId="072B83E8">
            <w:pPr>
              <w:spacing w:line="240" w:lineRule="exact"/>
              <w:rPr>
                <w:color w:val="auto"/>
                <w:szCs w:val="21"/>
                <w:highlight w:val="none"/>
              </w:rPr>
            </w:pPr>
            <w:r>
              <w:rPr>
                <w:rFonts w:hint="eastAsia"/>
                <w:color w:val="auto"/>
                <w:szCs w:val="21"/>
                <w:highlight w:val="none"/>
              </w:rPr>
              <w:t>有效报价</w:t>
            </w:r>
          </w:p>
        </w:tc>
        <w:tc>
          <w:tcPr>
            <w:tcW w:w="5085" w:type="dxa"/>
            <w:noWrap w:val="0"/>
            <w:vAlign w:val="center"/>
          </w:tcPr>
          <w:p w14:paraId="484A444A">
            <w:pPr>
              <w:spacing w:line="240" w:lineRule="exact"/>
              <w:rPr>
                <w:bCs/>
                <w:color w:val="auto"/>
                <w:kern w:val="0"/>
                <w:szCs w:val="21"/>
                <w:highlight w:val="none"/>
              </w:rPr>
            </w:pPr>
            <w:r>
              <w:rPr>
                <w:rFonts w:hint="eastAsia"/>
                <w:color w:val="auto"/>
                <w:highlight w:val="none"/>
              </w:rPr>
              <w:t>报价未超出采购预算金额，也未超出最高限价（如有）</w:t>
            </w:r>
          </w:p>
        </w:tc>
      </w:tr>
      <w:tr w14:paraId="7E6F5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noWrap w:val="0"/>
            <w:vAlign w:val="center"/>
          </w:tcPr>
          <w:p w14:paraId="08C9C252">
            <w:pPr>
              <w:spacing w:line="240" w:lineRule="exact"/>
              <w:jc w:val="center"/>
              <w:rPr>
                <w:color w:val="auto"/>
                <w:kern w:val="0"/>
                <w:szCs w:val="21"/>
                <w:highlight w:val="none"/>
              </w:rPr>
            </w:pPr>
          </w:p>
        </w:tc>
        <w:tc>
          <w:tcPr>
            <w:tcW w:w="2333" w:type="dxa"/>
            <w:noWrap w:val="0"/>
            <w:vAlign w:val="center"/>
          </w:tcPr>
          <w:p w14:paraId="6B02DACA">
            <w:pPr>
              <w:spacing w:line="240" w:lineRule="exact"/>
              <w:rPr>
                <w:bCs/>
                <w:color w:val="auto"/>
                <w:kern w:val="0"/>
                <w:szCs w:val="21"/>
                <w:highlight w:val="none"/>
              </w:rPr>
            </w:pPr>
            <w:r>
              <w:rPr>
                <w:rFonts w:hint="eastAsia"/>
                <w:bCs/>
                <w:color w:val="auto"/>
                <w:kern w:val="0"/>
                <w:szCs w:val="21"/>
                <w:highlight w:val="none"/>
              </w:rPr>
              <w:t>漏项报价</w:t>
            </w:r>
          </w:p>
        </w:tc>
        <w:tc>
          <w:tcPr>
            <w:tcW w:w="5085" w:type="dxa"/>
            <w:noWrap w:val="0"/>
            <w:vAlign w:val="center"/>
          </w:tcPr>
          <w:p w14:paraId="0BA850D9">
            <w:pPr>
              <w:spacing w:line="240" w:lineRule="exact"/>
              <w:rPr>
                <w:rFonts w:hAnsi="宋体"/>
                <w:color w:val="auto"/>
                <w:szCs w:val="21"/>
                <w:highlight w:val="none"/>
              </w:rPr>
            </w:pPr>
            <w:r>
              <w:rPr>
                <w:rFonts w:hint="eastAsia" w:ascii="宋体" w:hAnsi="宋体"/>
                <w:color w:val="auto"/>
                <w:szCs w:val="21"/>
                <w:highlight w:val="none"/>
              </w:rPr>
              <w:t>未就所投分标进行报价或者存在漏项报价；</w:t>
            </w:r>
          </w:p>
        </w:tc>
      </w:tr>
      <w:tr w14:paraId="39EF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noWrap w:val="0"/>
            <w:vAlign w:val="center"/>
          </w:tcPr>
          <w:p w14:paraId="769C3711">
            <w:pPr>
              <w:spacing w:line="240" w:lineRule="exact"/>
              <w:jc w:val="center"/>
              <w:rPr>
                <w:color w:val="auto"/>
                <w:kern w:val="0"/>
                <w:szCs w:val="21"/>
                <w:highlight w:val="none"/>
              </w:rPr>
            </w:pPr>
          </w:p>
        </w:tc>
        <w:tc>
          <w:tcPr>
            <w:tcW w:w="2333" w:type="dxa"/>
            <w:noWrap w:val="0"/>
            <w:vAlign w:val="center"/>
          </w:tcPr>
          <w:p w14:paraId="3C842F2B">
            <w:pPr>
              <w:spacing w:line="240" w:lineRule="exact"/>
              <w:rPr>
                <w:rFonts w:hAnsi="宋体"/>
                <w:color w:val="auto"/>
                <w:szCs w:val="21"/>
                <w:highlight w:val="none"/>
              </w:rPr>
            </w:pPr>
            <w:r>
              <w:rPr>
                <w:rFonts w:hint="eastAsia" w:hAnsi="宋体"/>
                <w:color w:val="auto"/>
                <w:szCs w:val="21"/>
                <w:highlight w:val="none"/>
              </w:rPr>
              <w:t>响应报价唯一性</w:t>
            </w:r>
          </w:p>
        </w:tc>
        <w:tc>
          <w:tcPr>
            <w:tcW w:w="5085" w:type="dxa"/>
            <w:noWrap w:val="0"/>
            <w:vAlign w:val="center"/>
          </w:tcPr>
          <w:p w14:paraId="5F46D60B">
            <w:pPr>
              <w:spacing w:line="240" w:lineRule="exact"/>
              <w:rPr>
                <w:color w:val="auto"/>
                <w:szCs w:val="21"/>
                <w:highlight w:val="none"/>
              </w:rPr>
            </w:pPr>
            <w:r>
              <w:rPr>
                <w:rFonts w:hint="eastAsia" w:ascii="宋体" w:hAnsi="宋体"/>
                <w:color w:val="auto"/>
                <w:szCs w:val="21"/>
                <w:highlight w:val="none"/>
              </w:rPr>
              <w:t>不存在有选择、有条件的最后报价（采购文件允许有备选方案或者其他约定的除外）</w:t>
            </w:r>
          </w:p>
        </w:tc>
      </w:tr>
      <w:tr w14:paraId="79F7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noWrap w:val="0"/>
            <w:vAlign w:val="center"/>
          </w:tcPr>
          <w:p w14:paraId="779FC3AD">
            <w:pPr>
              <w:spacing w:line="240" w:lineRule="exact"/>
              <w:jc w:val="center"/>
              <w:rPr>
                <w:color w:val="auto"/>
                <w:kern w:val="0"/>
                <w:szCs w:val="21"/>
                <w:highlight w:val="none"/>
              </w:rPr>
            </w:pPr>
          </w:p>
        </w:tc>
        <w:tc>
          <w:tcPr>
            <w:tcW w:w="2333" w:type="dxa"/>
            <w:shd w:val="clear" w:color="auto" w:fill="auto"/>
            <w:noWrap w:val="0"/>
            <w:vAlign w:val="center"/>
          </w:tcPr>
          <w:p w14:paraId="73FDC2D6">
            <w:pPr>
              <w:spacing w:line="240" w:lineRule="exact"/>
              <w:rPr>
                <w:rFonts w:hint="eastAsia" w:ascii="Times New Roman" w:hAnsi="Times New Roman" w:eastAsia="宋体" w:cs="Times New Roman"/>
                <w:color w:val="auto"/>
                <w:kern w:val="2"/>
                <w:sz w:val="21"/>
                <w:szCs w:val="24"/>
                <w:highlight w:val="none"/>
                <w:lang w:val="zh-CN" w:eastAsia="zh-CN" w:bidi="ar-SA"/>
              </w:rPr>
            </w:pPr>
            <w:r>
              <w:rPr>
                <w:rFonts w:hint="eastAsia"/>
                <w:color w:val="auto"/>
                <w:szCs w:val="21"/>
                <w:highlight w:val="none"/>
                <w:lang w:val="zh-CN"/>
              </w:rPr>
              <w:t>过低报价合理性</w:t>
            </w:r>
          </w:p>
        </w:tc>
        <w:tc>
          <w:tcPr>
            <w:tcW w:w="5085" w:type="dxa"/>
            <w:shd w:val="clear" w:color="auto" w:fill="auto"/>
            <w:noWrap w:val="0"/>
            <w:vAlign w:val="center"/>
          </w:tcPr>
          <w:p w14:paraId="1316D192">
            <w:pPr>
              <w:spacing w:line="240" w:lineRule="exact"/>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应当要求其在评标现场合理的时间内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应当将其作为无效投标处理。</w:t>
            </w:r>
          </w:p>
        </w:tc>
      </w:tr>
      <w:tr w14:paraId="38AA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512" w:type="dxa"/>
            <w:vMerge w:val="continue"/>
            <w:noWrap w:val="0"/>
            <w:vAlign w:val="center"/>
          </w:tcPr>
          <w:p w14:paraId="6B2D156B">
            <w:pPr>
              <w:spacing w:line="240" w:lineRule="exact"/>
              <w:jc w:val="center"/>
              <w:rPr>
                <w:color w:val="auto"/>
                <w:kern w:val="0"/>
                <w:szCs w:val="21"/>
                <w:highlight w:val="none"/>
              </w:rPr>
            </w:pPr>
          </w:p>
        </w:tc>
        <w:tc>
          <w:tcPr>
            <w:tcW w:w="2333" w:type="dxa"/>
            <w:noWrap w:val="0"/>
            <w:vAlign w:val="center"/>
          </w:tcPr>
          <w:p w14:paraId="3FDD96FF">
            <w:pPr>
              <w:spacing w:line="240" w:lineRule="exact"/>
              <w:rPr>
                <w:rFonts w:ascii="宋体" w:hAnsi="宋体"/>
                <w:color w:val="auto"/>
                <w:szCs w:val="21"/>
                <w:highlight w:val="none"/>
              </w:rPr>
            </w:pPr>
            <w:r>
              <w:rPr>
                <w:rFonts w:hint="eastAsia"/>
                <w:color w:val="auto"/>
                <w:szCs w:val="21"/>
                <w:highlight w:val="none"/>
              </w:rPr>
              <w:t>响应有效期</w:t>
            </w:r>
          </w:p>
        </w:tc>
        <w:tc>
          <w:tcPr>
            <w:tcW w:w="5085" w:type="dxa"/>
            <w:noWrap w:val="0"/>
            <w:vAlign w:val="center"/>
          </w:tcPr>
          <w:p w14:paraId="59CBB16C">
            <w:pPr>
              <w:spacing w:line="240" w:lineRule="exact"/>
              <w:rPr>
                <w:color w:val="auto"/>
                <w:szCs w:val="21"/>
                <w:highlight w:val="none"/>
              </w:rPr>
            </w:pPr>
            <w:r>
              <w:rPr>
                <w:rFonts w:hint="eastAsia" w:ascii="宋体" w:hAnsi="宋体"/>
                <w:color w:val="auto"/>
                <w:szCs w:val="21"/>
                <w:highlight w:val="none"/>
              </w:rPr>
              <w:t>满足采购文件规定</w:t>
            </w:r>
          </w:p>
        </w:tc>
      </w:tr>
      <w:bookmarkEnd w:id="73"/>
      <w:bookmarkEnd w:id="74"/>
    </w:tbl>
    <w:p w14:paraId="2E46233A">
      <w:pPr>
        <w:spacing w:before="120" w:line="320" w:lineRule="atLeast"/>
        <w:rPr>
          <w:rFonts w:hint="eastAsia"/>
          <w:color w:val="auto"/>
          <w:highlight w:val="none"/>
        </w:rPr>
      </w:pPr>
    </w:p>
    <w:p w14:paraId="4FD3E2EF">
      <w:pPr>
        <w:spacing w:before="120" w:line="320" w:lineRule="atLeast"/>
        <w:rPr>
          <w:rFonts w:hint="eastAsia"/>
          <w:color w:val="auto"/>
          <w:highlight w:val="none"/>
        </w:rPr>
      </w:pPr>
    </w:p>
    <w:p w14:paraId="2B100E81">
      <w:pPr>
        <w:tabs>
          <w:tab w:val="left" w:pos="1950"/>
        </w:tabs>
        <w:spacing w:before="120" w:line="320" w:lineRule="atLeast"/>
        <w:jc w:val="left"/>
        <w:outlineLvl w:val="1"/>
        <w:rPr>
          <w:rFonts w:hint="eastAsia"/>
          <w:b/>
          <w:bCs/>
          <w:color w:val="auto"/>
          <w:kern w:val="0"/>
          <w:szCs w:val="21"/>
          <w:highlight w:val="none"/>
        </w:rPr>
      </w:pPr>
      <w:r>
        <w:rPr>
          <w:b/>
          <w:bCs/>
          <w:color w:val="auto"/>
          <w:kern w:val="0"/>
          <w:highlight w:val="none"/>
        </w:rPr>
        <w:br w:type="page"/>
      </w:r>
      <w:r>
        <w:rPr>
          <w:b/>
          <w:bCs/>
          <w:color w:val="auto"/>
          <w:kern w:val="0"/>
          <w:szCs w:val="21"/>
          <w:highlight w:val="none"/>
        </w:rPr>
        <w:t>4.</w:t>
      </w:r>
      <w:r>
        <w:rPr>
          <w:rFonts w:hint="eastAsia"/>
          <w:b/>
          <w:bCs/>
          <w:color w:val="auto"/>
          <w:kern w:val="0"/>
          <w:szCs w:val="21"/>
          <w:highlight w:val="none"/>
          <w:lang w:val="en-US" w:eastAsia="zh-CN"/>
        </w:rPr>
        <w:t xml:space="preserve"> </w:t>
      </w:r>
      <w:r>
        <w:rPr>
          <w:rFonts w:hint="eastAsia"/>
          <w:b/>
          <w:bCs/>
          <w:color w:val="auto"/>
          <w:kern w:val="0"/>
          <w:szCs w:val="21"/>
          <w:highlight w:val="none"/>
        </w:rPr>
        <w:t>评审标准</w:t>
      </w:r>
      <w:r>
        <w:rPr>
          <w:rFonts w:hint="eastAsia"/>
          <w:b/>
          <w:bCs/>
          <w:color w:val="auto"/>
          <w:kern w:val="0"/>
          <w:szCs w:val="21"/>
          <w:highlight w:val="none"/>
          <w:lang w:eastAsia="zh-CN"/>
        </w:rPr>
        <w:t>（</w:t>
      </w:r>
      <w:r>
        <w:rPr>
          <w:rFonts w:hint="eastAsia"/>
          <w:b/>
          <w:bCs/>
          <w:color w:val="auto"/>
          <w:kern w:val="0"/>
          <w:szCs w:val="21"/>
          <w:highlight w:val="none"/>
          <w:lang w:val="en-US" w:eastAsia="zh-CN"/>
        </w:rPr>
        <w:t>适用于标项一、二、三）</w:t>
      </w:r>
    </w:p>
    <w:p w14:paraId="61CAB5E6">
      <w:pPr>
        <w:ind w:firstLine="420" w:firstLineChars="200"/>
        <w:rPr>
          <w:color w:val="auto"/>
          <w:highlight w:val="none"/>
        </w:rPr>
      </w:pPr>
    </w:p>
    <w:p w14:paraId="34EF91EA">
      <w:pPr>
        <w:spacing w:line="360" w:lineRule="auto"/>
        <w:ind w:firstLine="420"/>
        <w:rPr>
          <w:rFonts w:ascii="宋体" w:hAnsi="宋体" w:cs="宋体"/>
          <w:bCs/>
          <w:color w:val="auto"/>
          <w:szCs w:val="21"/>
          <w:highlight w:val="none"/>
        </w:rPr>
      </w:pPr>
      <w:r>
        <w:rPr>
          <w:rFonts w:ascii="宋体" w:hAnsi="宋体" w:cs="宋体"/>
          <w:bCs/>
          <w:color w:val="auto"/>
          <w:szCs w:val="21"/>
          <w:highlight w:val="none"/>
        </w:rPr>
        <w:t>评审依据：磋商小组将以磋商响应文件为评审依据，对供应商的报价、技术、商务等方面内容按百分制打分。（计分方法按四舍五入取至百分位）</w:t>
      </w:r>
    </w:p>
    <w:p w14:paraId="168C661E">
      <w:pPr>
        <w:spacing w:line="360" w:lineRule="auto"/>
        <w:jc w:val="center"/>
        <w:rPr>
          <w:rFonts w:ascii="宋体" w:hAnsi="宋体" w:cs="宋体"/>
          <w:b/>
          <w:color w:val="auto"/>
          <w:szCs w:val="21"/>
          <w:highlight w:val="none"/>
        </w:rPr>
      </w:pPr>
      <w:r>
        <w:rPr>
          <w:rFonts w:ascii="宋体" w:hAnsi="宋体" w:cs="宋体"/>
          <w:b/>
          <w:color w:val="auto"/>
          <w:szCs w:val="21"/>
          <w:highlight w:val="none"/>
        </w:rPr>
        <w:t>综合评分法</w:t>
      </w:r>
    </w:p>
    <w:tbl>
      <w:tblPr>
        <w:tblStyle w:val="51"/>
        <w:tblW w:w="9100" w:type="dxa"/>
        <w:jc w:val="center"/>
        <w:tblBorders>
          <w:top w:val="single" w:color="auto" w:sz="4" w:space="0"/>
          <w:left w:val="single" w:color="auto" w:sz="4" w:space="0"/>
          <w:bottom w:val="single" w:color="auto" w:sz="4" w:space="0"/>
          <w:right w:val="none" w:color="auto" w:sz="0" w:space="0"/>
          <w:insideH w:val="single" w:color="auto" w:sz="4" w:space="0"/>
          <w:insideV w:val="none" w:color="auto" w:sz="0" w:space="0"/>
        </w:tblBorders>
        <w:tblLayout w:type="autofit"/>
        <w:tblCellMar>
          <w:top w:w="0" w:type="dxa"/>
          <w:left w:w="103" w:type="dxa"/>
          <w:bottom w:w="0" w:type="dxa"/>
          <w:right w:w="108" w:type="dxa"/>
        </w:tblCellMar>
      </w:tblPr>
      <w:tblGrid>
        <w:gridCol w:w="633"/>
        <w:gridCol w:w="1318"/>
        <w:gridCol w:w="6285"/>
        <w:gridCol w:w="864"/>
      </w:tblGrid>
      <w:tr w14:paraId="7DC65419">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12"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54C78B27">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序号</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2DC1E3E5">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评审因素</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18F7E6B1">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评审因素具体内容</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676E66BF">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分值</w:t>
            </w:r>
          </w:p>
        </w:tc>
      </w:tr>
      <w:tr w14:paraId="35382FBF">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673"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3A9A0AC9">
            <w:pPr>
              <w:widowControl/>
              <w:spacing w:line="440" w:lineRule="exact"/>
              <w:jc w:val="center"/>
              <w:rPr>
                <w:rFonts w:ascii="宋体" w:hAnsi="宋体" w:cs="Tahoma"/>
                <w:b w:val="0"/>
                <w:bCs w:val="0"/>
                <w:color w:val="auto"/>
                <w:szCs w:val="21"/>
                <w:highlight w:val="none"/>
              </w:rPr>
            </w:pPr>
            <w:r>
              <w:rPr>
                <w:rFonts w:ascii="宋体" w:hAnsi="宋体" w:cs="Tahoma"/>
                <w:b w:val="0"/>
                <w:bCs w:val="0"/>
                <w:color w:val="auto"/>
                <w:szCs w:val="21"/>
                <w:highlight w:val="none"/>
              </w:rPr>
              <w:t>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0F3B4624">
            <w:pPr>
              <w:widowControl/>
              <w:spacing w:line="440" w:lineRule="exact"/>
              <w:jc w:val="center"/>
              <w:rPr>
                <w:rFonts w:hint="eastAsia" w:ascii="宋体" w:hAnsi="宋体" w:eastAsia="宋体" w:cs="Tahoma"/>
                <w:b w:val="0"/>
                <w:bCs w:val="0"/>
                <w:color w:val="auto"/>
                <w:szCs w:val="21"/>
                <w:highlight w:val="none"/>
                <w:lang w:eastAsia="zh-CN"/>
              </w:rPr>
            </w:pPr>
            <w:r>
              <w:rPr>
                <w:rFonts w:ascii="宋体" w:hAnsi="宋体" w:cs="Tahoma"/>
                <w:b w:val="0"/>
                <w:bCs w:val="0"/>
                <w:color w:val="auto"/>
                <w:szCs w:val="21"/>
                <w:highlight w:val="none"/>
              </w:rPr>
              <w:t>价格分</w:t>
            </w:r>
            <w:r>
              <w:rPr>
                <w:rFonts w:hint="eastAsia" w:ascii="宋体" w:hAnsi="宋体" w:cs="Tahoma"/>
                <w:b w:val="0"/>
                <w:bCs w:val="0"/>
                <w:color w:val="auto"/>
                <w:szCs w:val="21"/>
                <w:highlight w:val="none"/>
                <w:lang w:eastAsia="zh-CN"/>
              </w:rPr>
              <w:t>（</w:t>
            </w:r>
            <w:r>
              <w:rPr>
                <w:rFonts w:hint="eastAsia" w:ascii="宋体" w:hAnsi="宋体" w:cs="Tahoma"/>
                <w:b w:val="0"/>
                <w:bCs w:val="0"/>
                <w:color w:val="auto"/>
                <w:szCs w:val="21"/>
                <w:highlight w:val="none"/>
                <w:lang w:val="en-US" w:eastAsia="zh-CN"/>
              </w:rPr>
              <w:t>满分20分</w:t>
            </w:r>
            <w:r>
              <w:rPr>
                <w:rFonts w:hint="eastAsia" w:ascii="宋体" w:hAnsi="宋体" w:cs="Tahoma"/>
                <w:b w:val="0"/>
                <w:bCs w:val="0"/>
                <w:color w:val="auto"/>
                <w:szCs w:val="21"/>
                <w:highlight w:val="none"/>
                <w:lang w:eastAsia="zh-CN"/>
              </w:rPr>
              <w:t>）</w:t>
            </w:r>
          </w:p>
        </w:tc>
        <w:tc>
          <w:tcPr>
            <w:tcW w:w="6285" w:type="dxa"/>
            <w:tcBorders>
              <w:top w:val="single" w:color="000000" w:sz="4" w:space="0"/>
              <w:left w:val="single" w:color="000000" w:sz="4" w:space="0"/>
              <w:bottom w:val="single" w:color="000000" w:sz="4" w:space="0"/>
            </w:tcBorders>
            <w:noWrap w:val="0"/>
            <w:tcMar>
              <w:left w:w="103" w:type="dxa"/>
            </w:tcMar>
            <w:vAlign w:val="top"/>
          </w:tcPr>
          <w:p w14:paraId="7FB249A3">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（1）评审报价为供应商的最终竞标总报价进行政策性扣除后的价格，评标报价只是作为评审时使用。最终成交人的成交金额等于最终竞标总报价。</w:t>
            </w:r>
          </w:p>
          <w:p w14:paraId="5FBE051D">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（2）政策性扣除计算方法。</w:t>
            </w:r>
          </w:p>
          <w:p w14:paraId="63DB576E">
            <w:pPr>
              <w:snapToGrid w:val="0"/>
              <w:spacing w:line="440" w:lineRule="exact"/>
              <w:ind w:firstLine="443"/>
              <w:rPr>
                <w:rFonts w:ascii="宋体" w:hAnsi="宋体" w:cs="宋体"/>
                <w:b w:val="0"/>
                <w:bCs w:val="0"/>
                <w:color w:val="auto"/>
                <w:szCs w:val="21"/>
                <w:highlight w:val="none"/>
              </w:rPr>
            </w:pPr>
            <w:bookmarkStart w:id="75" w:name="_Hlk65858438"/>
            <w:r>
              <w:rPr>
                <w:rFonts w:ascii="宋体" w:hAnsi="宋体" w:cs="宋体"/>
                <w:b w:val="0"/>
                <w:bCs w:val="0"/>
                <w:color w:val="auto"/>
                <w:szCs w:val="21"/>
                <w:highlight w:val="none"/>
              </w:rPr>
              <w:t>根据《政府采购促进中小企业发展管理办法》（财库〔2020〕46号）的规定，竞标人在其响应文件中提供《中小企业声明函》，且其竞标全部服务由小微企业承接的，对其竞标报价给予10%的扣除，扣除后的价格为评审报价，即评审报价=最终竞标总报价×（1-10%</w:t>
            </w:r>
            <w:bookmarkEnd w:id="75"/>
            <w:r>
              <w:rPr>
                <w:rFonts w:ascii="宋体" w:hAnsi="宋体" w:cs="宋体"/>
                <w:b w:val="0"/>
                <w:bCs w:val="0"/>
                <w:color w:val="auto"/>
                <w:szCs w:val="21"/>
                <w:highlight w:val="none"/>
              </w:rPr>
              <w:t>）。</w:t>
            </w:r>
          </w:p>
          <w:p w14:paraId="7F1A095B">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070A9B3A">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AB20D36">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（5）满足竞争性磋商文件要求且评审报价最低的最终竞标总报价为评审基准价，其价格分为满分。</w:t>
            </w:r>
          </w:p>
          <w:p w14:paraId="270AC928">
            <w:pPr>
              <w:snapToGrid w:val="0"/>
              <w:spacing w:line="440" w:lineRule="exact"/>
              <w:ind w:firstLine="443"/>
              <w:rPr>
                <w:rFonts w:ascii="宋体" w:hAnsi="宋体" w:cs="宋体"/>
                <w:b w:val="0"/>
                <w:bCs w:val="0"/>
                <w:color w:val="auto"/>
                <w:sz w:val="21"/>
                <w:szCs w:val="21"/>
                <w:highlight w:val="none"/>
              </w:rPr>
            </w:pPr>
            <w:r>
              <w:rPr>
                <w:rFonts w:ascii="宋体" w:hAnsi="宋体" w:cs="宋体"/>
                <w:b w:val="0"/>
                <w:bCs w:val="0"/>
                <w:color w:val="auto"/>
                <w:sz w:val="21"/>
                <w:szCs w:val="21"/>
                <w:highlight w:val="none"/>
              </w:rPr>
              <w:t>（6）某供应商价格分=（基准价/供应商的最后报价）×</w:t>
            </w:r>
            <w:r>
              <w:rPr>
                <w:rFonts w:hint="eastAsia" w:ascii="宋体" w:hAnsi="宋体" w:cs="宋体"/>
                <w:b w:val="0"/>
                <w:bCs w:val="0"/>
                <w:color w:val="auto"/>
                <w:sz w:val="21"/>
                <w:szCs w:val="21"/>
                <w:highlight w:val="none"/>
                <w:lang w:val="en-US" w:eastAsia="zh-CN"/>
              </w:rPr>
              <w:t>20</w:t>
            </w:r>
            <w:r>
              <w:rPr>
                <w:rFonts w:ascii="宋体" w:hAnsi="宋体" w:cs="宋体"/>
                <w:b w:val="0"/>
                <w:bCs w:val="0"/>
                <w:color w:val="auto"/>
                <w:sz w:val="21"/>
                <w:szCs w:val="21"/>
                <w:highlight w:val="none"/>
              </w:rPr>
              <w:t>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06B2A83E">
            <w:pPr>
              <w:widowControl/>
              <w:spacing w:line="360" w:lineRule="auto"/>
              <w:jc w:val="center"/>
              <w:rPr>
                <w:rFonts w:ascii="宋体" w:hAnsi="宋体" w:cs="Tahoma"/>
                <w:b w:val="0"/>
                <w:bCs w:val="0"/>
                <w:color w:val="auto"/>
                <w:szCs w:val="21"/>
                <w:highlight w:val="none"/>
              </w:rPr>
            </w:pPr>
            <w:r>
              <w:rPr>
                <w:rFonts w:hint="eastAsia" w:ascii="宋体" w:hAnsi="宋体" w:cs="Tahoma"/>
                <w:b w:val="0"/>
                <w:bCs w:val="0"/>
                <w:color w:val="auto"/>
                <w:szCs w:val="21"/>
                <w:highlight w:val="none"/>
                <w:lang w:val="en-US" w:eastAsia="zh-CN"/>
              </w:rPr>
              <w:t>满分20</w:t>
            </w:r>
            <w:r>
              <w:rPr>
                <w:rFonts w:ascii="宋体" w:hAnsi="宋体" w:cs="Tahoma"/>
                <w:b w:val="0"/>
                <w:bCs w:val="0"/>
                <w:color w:val="auto"/>
                <w:szCs w:val="21"/>
                <w:highlight w:val="none"/>
              </w:rPr>
              <w:t>分</w:t>
            </w:r>
          </w:p>
        </w:tc>
      </w:tr>
      <w:tr w14:paraId="5C8C296D">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12"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034933C7">
            <w:pPr>
              <w:widowControl/>
              <w:spacing w:line="440" w:lineRule="exact"/>
              <w:jc w:val="center"/>
              <w:rPr>
                <w:rFonts w:ascii="宋体" w:hAnsi="宋体" w:cs="Tahoma"/>
                <w:b w:val="0"/>
                <w:bCs w:val="0"/>
                <w:color w:val="auto"/>
                <w:szCs w:val="21"/>
                <w:highlight w:val="none"/>
              </w:rPr>
            </w:pPr>
            <w:r>
              <w:rPr>
                <w:rFonts w:ascii="宋体" w:hAnsi="宋体" w:cs="宋体"/>
                <w:b w:val="0"/>
                <w:bCs w:val="0"/>
                <w:color w:val="auto"/>
                <w:szCs w:val="21"/>
                <w:highlight w:val="none"/>
              </w:rPr>
              <w:t>2</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2FB16E0F">
            <w:pPr>
              <w:widowControl/>
              <w:spacing w:line="440" w:lineRule="exact"/>
              <w:jc w:val="center"/>
              <w:rPr>
                <w:rFonts w:hint="eastAsia" w:ascii="宋体" w:hAnsi="宋体" w:eastAsia="宋体" w:cs="Tahoma"/>
                <w:b w:val="0"/>
                <w:bCs w:val="0"/>
                <w:color w:val="auto"/>
                <w:szCs w:val="21"/>
                <w:highlight w:val="none"/>
                <w:lang w:eastAsia="zh-CN"/>
              </w:rPr>
            </w:pPr>
            <w:r>
              <w:rPr>
                <w:rFonts w:ascii="宋体" w:hAnsi="宋体" w:cs="宋体"/>
                <w:b w:val="0"/>
                <w:bCs w:val="0"/>
                <w:color w:val="auto"/>
                <w:szCs w:val="21"/>
                <w:highlight w:val="none"/>
              </w:rPr>
              <w:t>技术分</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满分70分</w:t>
            </w:r>
            <w:r>
              <w:rPr>
                <w:rFonts w:hint="eastAsia" w:ascii="宋体" w:hAnsi="宋体" w:cs="宋体"/>
                <w:b w:val="0"/>
                <w:bCs w:val="0"/>
                <w:color w:val="auto"/>
                <w:szCs w:val="21"/>
                <w:highlight w:val="none"/>
                <w:lang w:eastAsia="zh-CN"/>
              </w:rPr>
              <w:t>）</w:t>
            </w:r>
          </w:p>
        </w:tc>
        <w:tc>
          <w:tcPr>
            <w:tcW w:w="7149" w:type="dxa"/>
            <w:gridSpan w:val="2"/>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68289AEF">
            <w:pPr>
              <w:widowControl/>
              <w:snapToGrid w:val="0"/>
              <w:spacing w:line="440" w:lineRule="exact"/>
              <w:ind w:firstLine="443"/>
              <w:jc w:val="center"/>
              <w:rPr>
                <w:rFonts w:ascii="宋体" w:hAnsi="宋体" w:cs="宋体"/>
                <w:b w:val="0"/>
                <w:bCs w:val="0"/>
                <w:color w:val="auto"/>
                <w:szCs w:val="21"/>
                <w:highlight w:val="none"/>
              </w:rPr>
            </w:pPr>
            <w:r>
              <w:rPr>
                <w:rFonts w:ascii="宋体" w:hAnsi="宋体" w:cs="宋体"/>
                <w:b w:val="0"/>
                <w:bCs w:val="0"/>
                <w:color w:val="auto"/>
                <w:szCs w:val="21"/>
                <w:highlight w:val="none"/>
              </w:rPr>
              <w:t>评审因素</w:t>
            </w:r>
          </w:p>
        </w:tc>
      </w:tr>
      <w:tr w14:paraId="5498E3CA">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5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355198C2">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1D7CB284">
            <w:pPr>
              <w:spacing w:line="440" w:lineRule="exact"/>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项目整体组织实施方案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4D296F64">
            <w:pPr>
              <w:autoSpaceDE/>
              <w:snapToGrid w:val="0"/>
              <w:spacing w:line="440" w:lineRule="exact"/>
              <w:ind w:firstLine="443"/>
              <w:jc w:val="left"/>
              <w:rPr>
                <w:rFonts w:ascii="宋体" w:hAnsi="宋体" w:cs="宋体"/>
                <w:b w:val="0"/>
                <w:bCs w:val="0"/>
                <w:color w:val="auto"/>
                <w:szCs w:val="21"/>
                <w:highlight w:val="none"/>
              </w:rPr>
            </w:pPr>
            <w:r>
              <w:rPr>
                <w:rFonts w:ascii="宋体" w:hAnsi="宋体" w:cs="宋体"/>
                <w:b w:val="0"/>
                <w:bCs w:val="0"/>
                <w:color w:val="auto"/>
                <w:szCs w:val="21"/>
                <w:highlight w:val="none"/>
              </w:rPr>
              <w:t>由磋商小组成员根据供应商提供的项目整体组织实施方案（包含但不限于以下内容：①对项目需求服务的理解②项目前期准备③抽检监测时间安排④整体工作进度等）进行独立评审，并独立打分。</w:t>
            </w:r>
          </w:p>
          <w:p w14:paraId="35D0518F">
            <w:pPr>
              <w:snapToGrid w:val="0"/>
              <w:spacing w:line="440" w:lineRule="exact"/>
              <w:ind w:firstLine="443"/>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一档(</w:t>
            </w:r>
            <w:r>
              <w:rPr>
                <w:rFonts w:hint="eastAsia" w:ascii="宋体" w:hAnsi="宋体" w:cs="宋体"/>
                <w:b w:val="0"/>
                <w:bCs w:val="0"/>
                <w:color w:val="auto"/>
                <w:sz w:val="21"/>
                <w:szCs w:val="21"/>
                <w:highlight w:val="none"/>
                <w:lang w:val="en-US" w:eastAsia="zh-CN"/>
              </w:rPr>
              <w:t>0</w:t>
            </w:r>
            <w:r>
              <w:rPr>
                <w:rFonts w:ascii="宋体" w:hAnsi="宋体" w:eastAsia="宋体" w:cs="宋体"/>
                <w:b w:val="0"/>
                <w:bCs w:val="0"/>
                <w:color w:val="auto"/>
                <w:sz w:val="21"/>
                <w:szCs w:val="21"/>
                <w:highlight w:val="none"/>
              </w:rPr>
              <w:t>分)：供应商提供有整体组织实施方案，但方案内容不完整，缺少上述4项要求或其中任意一项的；</w:t>
            </w:r>
          </w:p>
          <w:p w14:paraId="63B91022">
            <w:pPr>
              <w:snapToGrid w:val="0"/>
              <w:spacing w:line="440" w:lineRule="exact"/>
              <w:ind w:firstLine="443"/>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二档（</w:t>
            </w:r>
            <w:r>
              <w:rPr>
                <w:rFonts w:hint="eastAsia" w:ascii="宋体" w:hAnsi="宋体" w:cs="宋体"/>
                <w:b w:val="0"/>
                <w:bCs w:val="0"/>
                <w:color w:val="auto"/>
                <w:sz w:val="21"/>
                <w:szCs w:val="21"/>
                <w:highlight w:val="none"/>
                <w:lang w:val="en-US" w:eastAsia="zh-CN"/>
              </w:rPr>
              <w:t>3</w:t>
            </w:r>
            <w:r>
              <w:rPr>
                <w:rFonts w:ascii="宋体" w:hAnsi="宋体" w:eastAsia="宋体" w:cs="宋体"/>
                <w:b w:val="0"/>
                <w:bCs w:val="0"/>
                <w:color w:val="auto"/>
                <w:sz w:val="21"/>
                <w:szCs w:val="21"/>
                <w:highlight w:val="none"/>
              </w:rPr>
              <w:t>分）：供应商提供有基本的整体组织实施方案，方案内容包含有对项目需求服务的理解、项目前期准备、抽检监测时间安排、整体工作进度等，但内容不够全面；</w:t>
            </w:r>
          </w:p>
          <w:p w14:paraId="76C04B44">
            <w:pPr>
              <w:snapToGrid w:val="0"/>
              <w:spacing w:line="440" w:lineRule="exact"/>
              <w:ind w:firstLine="443"/>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三档（</w:t>
            </w:r>
            <w:r>
              <w:rPr>
                <w:rFonts w:hint="eastAsia" w:ascii="宋体" w:hAnsi="宋体" w:cs="宋体"/>
                <w:b w:val="0"/>
                <w:bCs w:val="0"/>
                <w:color w:val="auto"/>
                <w:sz w:val="21"/>
                <w:szCs w:val="21"/>
                <w:highlight w:val="none"/>
                <w:lang w:val="en-US" w:eastAsia="zh-CN"/>
              </w:rPr>
              <w:t>5</w:t>
            </w:r>
            <w:r>
              <w:rPr>
                <w:rFonts w:ascii="宋体" w:hAnsi="宋体" w:eastAsia="宋体" w:cs="宋体"/>
                <w:b w:val="0"/>
                <w:bCs w:val="0"/>
                <w:color w:val="auto"/>
                <w:sz w:val="21"/>
                <w:szCs w:val="21"/>
                <w:highlight w:val="none"/>
              </w:rPr>
              <w:t>分）：供应商提供有基本的整体组织实施方案，方案内容包含有对项目需求服务的理解、项目前期准备、抽检监测时间安排、整体工作进度等，且方案同时包含有项目整体实施进度计划横道图或网络图、项目管理组织机构框架图，内容基本齐全，各项保证措施基本合理可行，但针对性较差；</w:t>
            </w:r>
          </w:p>
          <w:p w14:paraId="483884E8">
            <w:pPr>
              <w:snapToGrid w:val="0"/>
              <w:spacing w:line="440" w:lineRule="exact"/>
              <w:ind w:firstLine="443"/>
              <w:rPr>
                <w:rFonts w:ascii="宋体" w:hAnsi="宋体" w:cs="宋体"/>
                <w:b w:val="0"/>
                <w:bCs w:val="0"/>
                <w:color w:val="auto"/>
                <w:sz w:val="21"/>
                <w:szCs w:val="21"/>
                <w:highlight w:val="none"/>
              </w:rPr>
            </w:pPr>
            <w:r>
              <w:rPr>
                <w:rFonts w:ascii="宋体" w:hAnsi="宋体" w:eastAsia="宋体" w:cs="宋体"/>
                <w:b w:val="0"/>
                <w:bCs w:val="0"/>
                <w:color w:val="auto"/>
                <w:sz w:val="21"/>
                <w:szCs w:val="21"/>
                <w:highlight w:val="none"/>
              </w:rPr>
              <w:t>四档(</w:t>
            </w:r>
            <w:r>
              <w:rPr>
                <w:rFonts w:hint="eastAsia" w:ascii="宋体" w:hAnsi="宋体" w:cs="宋体"/>
                <w:b w:val="0"/>
                <w:bCs w:val="0"/>
                <w:color w:val="auto"/>
                <w:sz w:val="21"/>
                <w:szCs w:val="21"/>
                <w:highlight w:val="none"/>
                <w:lang w:val="en-US" w:eastAsia="zh-CN"/>
              </w:rPr>
              <w:t>7</w:t>
            </w:r>
            <w:r>
              <w:rPr>
                <w:rFonts w:ascii="宋体" w:hAnsi="宋体" w:eastAsia="宋体" w:cs="宋体"/>
                <w:b w:val="0"/>
                <w:bCs w:val="0"/>
                <w:color w:val="auto"/>
                <w:sz w:val="21"/>
                <w:szCs w:val="21"/>
                <w:highlight w:val="none"/>
              </w:rPr>
              <w:t>分)：供应商提供有整体组织实施方案，方案内容包含有对项目需求服务的理解、项目前期准备、抽检监测时间安排、整体工作进度等，且方案同时包含有项目整体实施进度计划横道图或网络图、项目管理组织机构框架图，还包含了本项目实施过程中的重点和难点及保证措施、协助配合采购人抽样、验收的组织方案等内容，项目整体组织实施方案及各项保证措施科学合理可行，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4FA4971B">
            <w:pPr>
              <w:spacing w:line="360" w:lineRule="auto"/>
              <w:jc w:val="center"/>
              <w:rPr>
                <w:rFonts w:ascii="宋体" w:hAnsi="宋体" w:cs="Courier New"/>
                <w:b w:val="0"/>
                <w:bCs w:val="0"/>
                <w:color w:val="auto"/>
                <w:szCs w:val="21"/>
                <w:highlight w:val="none"/>
              </w:rPr>
            </w:pPr>
            <w:r>
              <w:rPr>
                <w:rFonts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7</w:t>
            </w:r>
            <w:r>
              <w:rPr>
                <w:rFonts w:ascii="宋体" w:hAnsi="宋体" w:cs="宋体"/>
                <w:b w:val="0"/>
                <w:bCs w:val="0"/>
                <w:color w:val="auto"/>
                <w:szCs w:val="21"/>
                <w:highlight w:val="none"/>
              </w:rPr>
              <w:t>分</w:t>
            </w:r>
          </w:p>
        </w:tc>
      </w:tr>
      <w:tr w14:paraId="6F05ECC7">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5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03BC96FB">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2.2</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18EE53DF">
            <w:pPr>
              <w:spacing w:line="440" w:lineRule="exact"/>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抽样方案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61B3EEE8">
            <w:pPr>
              <w:pStyle w:val="185"/>
              <w:spacing w:line="440" w:lineRule="exact"/>
              <w:rPr>
                <w:rFonts w:cs="宋体"/>
                <w:b w:val="0"/>
                <w:bCs w:val="0"/>
                <w:color w:val="auto"/>
                <w:sz w:val="21"/>
                <w:highlight w:val="none"/>
              </w:rPr>
            </w:pPr>
            <w:r>
              <w:rPr>
                <w:rFonts w:cs="宋体"/>
                <w:b w:val="0"/>
                <w:bCs w:val="0"/>
                <w:color w:val="auto"/>
                <w:sz w:val="21"/>
                <w:highlight w:val="none"/>
              </w:rPr>
              <w:t>由磋商小组成员根据供应商提供的抽样方案（包含但不限于以下内容：①抽样检验前准备工作②抽样过程合法合规性保证③抽样工作实施④样品保存和运输方法等）进行独立评审，并独立打分。</w:t>
            </w:r>
          </w:p>
          <w:p w14:paraId="2C0B2465">
            <w:pPr>
              <w:pStyle w:val="20"/>
              <w:spacing w:line="440" w:lineRule="exact"/>
              <w:ind w:firstLine="420"/>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一档(</w:t>
            </w:r>
            <w:r>
              <w:rPr>
                <w:rFonts w:hint="eastAsia" w:ascii="宋体" w:hAnsi="宋体" w:eastAsia="宋体" w:cs="宋体"/>
                <w:b w:val="0"/>
                <w:bCs w:val="0"/>
                <w:color w:val="auto"/>
                <w:sz w:val="21"/>
                <w:szCs w:val="21"/>
                <w:highlight w:val="none"/>
                <w:lang w:val="en-US" w:eastAsia="zh-CN"/>
              </w:rPr>
              <w:t>0</w:t>
            </w:r>
            <w:r>
              <w:rPr>
                <w:rFonts w:ascii="宋体" w:hAnsi="宋体" w:eastAsia="宋体" w:cs="宋体"/>
                <w:b w:val="0"/>
                <w:bCs w:val="0"/>
                <w:color w:val="auto"/>
                <w:sz w:val="21"/>
                <w:szCs w:val="21"/>
                <w:highlight w:val="none"/>
              </w:rPr>
              <w:t>分)：供应商提供的抽样方案，但方案内容不完整，缺少上述4项要求或其中任意一项的；</w:t>
            </w:r>
          </w:p>
          <w:p w14:paraId="07F852EB">
            <w:pPr>
              <w:spacing w:line="440" w:lineRule="exact"/>
              <w:ind w:firstLine="420"/>
              <w:jc w:val="left"/>
              <w:rPr>
                <w:rFonts w:ascii="宋体" w:hAnsi="宋体" w:cs="宋体"/>
                <w:b w:val="0"/>
                <w:bCs w:val="0"/>
                <w:color w:val="auto"/>
                <w:szCs w:val="21"/>
                <w:highlight w:val="none"/>
              </w:rPr>
            </w:pPr>
            <w:r>
              <w:rPr>
                <w:rFonts w:ascii="宋体" w:hAnsi="宋体" w:cs="宋体"/>
                <w:b w:val="0"/>
                <w:bCs w:val="0"/>
                <w:color w:val="auto"/>
                <w:szCs w:val="21"/>
                <w:highlight w:val="none"/>
              </w:rPr>
              <w:t>二档（</w:t>
            </w:r>
            <w:r>
              <w:rPr>
                <w:rFonts w:hint="eastAsia" w:ascii="宋体" w:hAnsi="宋体" w:cs="宋体"/>
                <w:b w:val="0"/>
                <w:bCs w:val="0"/>
                <w:color w:val="auto"/>
                <w:szCs w:val="21"/>
                <w:highlight w:val="none"/>
                <w:lang w:val="en-US" w:eastAsia="zh-CN"/>
              </w:rPr>
              <w:t>4</w:t>
            </w:r>
            <w:r>
              <w:rPr>
                <w:rFonts w:ascii="宋体" w:hAnsi="宋体" w:cs="宋体"/>
                <w:b w:val="0"/>
                <w:bCs w:val="0"/>
                <w:color w:val="auto"/>
                <w:szCs w:val="21"/>
                <w:highlight w:val="none"/>
              </w:rPr>
              <w:t>分）：供应商提供有基本的抽样方案，方案内容包含有抽样检验前准备工作、抽样过程合法合规性保证、抽样工作实施、样品保存和运输方法等，但内容不够全面；</w:t>
            </w:r>
          </w:p>
          <w:p w14:paraId="0B78349A">
            <w:pPr>
              <w:spacing w:line="440" w:lineRule="exact"/>
              <w:ind w:firstLine="420"/>
              <w:jc w:val="left"/>
              <w:rPr>
                <w:rFonts w:ascii="宋体" w:hAnsi="宋体" w:cs="宋体"/>
                <w:b w:val="0"/>
                <w:bCs w:val="0"/>
                <w:color w:val="auto"/>
                <w:szCs w:val="21"/>
                <w:highlight w:val="none"/>
              </w:rPr>
            </w:pPr>
            <w:r>
              <w:rPr>
                <w:rFonts w:ascii="宋体" w:hAnsi="宋体" w:cs="宋体"/>
                <w:b w:val="0"/>
                <w:bCs w:val="0"/>
                <w:color w:val="auto"/>
                <w:szCs w:val="21"/>
                <w:highlight w:val="none"/>
              </w:rPr>
              <w:t>三档(</w:t>
            </w:r>
            <w:r>
              <w:rPr>
                <w:rFonts w:hint="eastAsia" w:ascii="宋体" w:hAnsi="宋体" w:cs="宋体"/>
                <w:b w:val="0"/>
                <w:bCs w:val="0"/>
                <w:color w:val="auto"/>
                <w:szCs w:val="21"/>
                <w:highlight w:val="none"/>
                <w:lang w:val="en-US" w:eastAsia="zh-CN"/>
              </w:rPr>
              <w:t>6</w:t>
            </w:r>
            <w:r>
              <w:rPr>
                <w:rFonts w:ascii="宋体" w:hAnsi="宋体" w:cs="宋体"/>
                <w:b w:val="0"/>
                <w:bCs w:val="0"/>
                <w:color w:val="auto"/>
                <w:szCs w:val="21"/>
                <w:highlight w:val="none"/>
              </w:rPr>
              <w:t>分)：供应商提供有基本的抽样方案，方案内容包含有抽样检验前准备工作、抽样过程合法合规性保证、抽样工作实施、样品保存和运输方法等，内容基本齐全，各项保证措施基本合理可行，但针对性较差；</w:t>
            </w:r>
          </w:p>
          <w:p w14:paraId="6BEC9BE2">
            <w:pPr>
              <w:pStyle w:val="186"/>
              <w:spacing w:line="440" w:lineRule="exact"/>
              <w:rPr>
                <w:rFonts w:ascii="宋体" w:hAnsi="宋体" w:cs="宋体"/>
                <w:b w:val="0"/>
                <w:bCs w:val="0"/>
                <w:color w:val="auto"/>
                <w:szCs w:val="21"/>
                <w:highlight w:val="none"/>
              </w:rPr>
            </w:pPr>
            <w:r>
              <w:rPr>
                <w:rFonts w:ascii="宋体" w:hAnsi="宋体" w:cs="宋体"/>
                <w:b w:val="0"/>
                <w:bCs w:val="0"/>
                <w:color w:val="auto"/>
                <w:szCs w:val="21"/>
                <w:highlight w:val="none"/>
              </w:rPr>
              <w:t>四档(</w:t>
            </w:r>
            <w:r>
              <w:rPr>
                <w:rFonts w:hint="eastAsia" w:ascii="宋体" w:hAnsi="宋体" w:cs="宋体"/>
                <w:b w:val="0"/>
                <w:bCs w:val="0"/>
                <w:color w:val="auto"/>
                <w:szCs w:val="21"/>
                <w:highlight w:val="none"/>
                <w:lang w:val="en-US" w:eastAsia="zh-CN"/>
              </w:rPr>
              <w:t>8</w:t>
            </w:r>
            <w:r>
              <w:rPr>
                <w:rFonts w:ascii="宋体" w:hAnsi="宋体" w:cs="宋体"/>
                <w:b w:val="0"/>
                <w:bCs w:val="0"/>
                <w:color w:val="auto"/>
                <w:szCs w:val="21"/>
                <w:highlight w:val="none"/>
              </w:rPr>
              <w:t>分)：供应商提供有抽样方案，方案内容包含有抽样检验前准备工作、抽样过程合法合规性保证、抽样工作实施、样品保存和运输方法等，且在符合项目实际情况的基础上，方案内容更详尽，为采购人考虑周全，能够精准把握本项目重点难点，各项保证措施科学合理可行，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6497D410">
            <w:pPr>
              <w:spacing w:line="360" w:lineRule="auto"/>
              <w:jc w:val="center"/>
              <w:rPr>
                <w:rFonts w:ascii="宋体" w:hAnsi="宋体" w:cs="Courier New"/>
                <w:b w:val="0"/>
                <w:bCs w:val="0"/>
                <w:color w:val="auto"/>
                <w:szCs w:val="21"/>
                <w:highlight w:val="none"/>
              </w:rPr>
            </w:pPr>
            <w:r>
              <w:rPr>
                <w:rFonts w:ascii="宋体" w:hAnsi="宋体" w:cs="Courier New"/>
                <w:b w:val="0"/>
                <w:bCs w:val="0"/>
                <w:color w:val="auto"/>
                <w:szCs w:val="21"/>
                <w:highlight w:val="none"/>
              </w:rPr>
              <w:t>满分</w:t>
            </w:r>
            <w:r>
              <w:rPr>
                <w:rFonts w:hint="eastAsia" w:ascii="宋体" w:hAnsi="宋体" w:cs="Courier New"/>
                <w:b w:val="0"/>
                <w:bCs w:val="0"/>
                <w:color w:val="auto"/>
                <w:szCs w:val="21"/>
                <w:highlight w:val="none"/>
                <w:lang w:val="en-US" w:eastAsia="zh-CN"/>
              </w:rPr>
              <w:t xml:space="preserve">  8</w:t>
            </w:r>
            <w:r>
              <w:rPr>
                <w:rFonts w:ascii="宋体" w:hAnsi="宋体" w:cs="Courier New"/>
                <w:b w:val="0"/>
                <w:bCs w:val="0"/>
                <w:color w:val="auto"/>
                <w:szCs w:val="21"/>
                <w:highlight w:val="none"/>
              </w:rPr>
              <w:t>分</w:t>
            </w:r>
          </w:p>
        </w:tc>
      </w:tr>
      <w:tr w14:paraId="78772119">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5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1A7BDCED">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2.3</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608D9F84">
            <w:pPr>
              <w:spacing w:line="440" w:lineRule="exact"/>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检测方案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5620FE10">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由磋商小组成员根据供应商提供的检测方案（包含但不限于以下内容：①检验项目②检验依据及检测方法③数据处理与质量控制④检验过程的质量控制等）进行独立评审，并独立打分。</w:t>
            </w:r>
          </w:p>
          <w:p w14:paraId="0D229E49">
            <w:pPr>
              <w:snapToGrid w:val="0"/>
              <w:spacing w:line="440" w:lineRule="exact"/>
              <w:ind w:firstLine="443"/>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一档（</w:t>
            </w:r>
            <w:r>
              <w:rPr>
                <w:rFonts w:hint="eastAsia" w:ascii="宋体" w:hAnsi="宋体" w:cs="宋体"/>
                <w:b w:val="0"/>
                <w:bCs w:val="0"/>
                <w:color w:val="auto"/>
                <w:szCs w:val="21"/>
                <w:highlight w:val="none"/>
                <w:lang w:val="en-US" w:eastAsia="zh-CN"/>
              </w:rPr>
              <w:t>0</w:t>
            </w:r>
            <w:r>
              <w:rPr>
                <w:rFonts w:ascii="宋体" w:hAnsi="宋体" w:cs="宋体"/>
                <w:b w:val="0"/>
                <w:bCs w:val="0"/>
                <w:color w:val="auto"/>
                <w:szCs w:val="21"/>
                <w:highlight w:val="none"/>
              </w:rPr>
              <w:t>分）：供应商提供的检测方案，但方案内容不完整，缺少上述4项要求或其中任意一项的；</w:t>
            </w:r>
          </w:p>
          <w:p w14:paraId="4D72C9E2">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二档（</w:t>
            </w:r>
            <w:r>
              <w:rPr>
                <w:rFonts w:hint="eastAsia" w:ascii="宋体" w:hAnsi="宋体" w:cs="宋体"/>
                <w:b w:val="0"/>
                <w:bCs w:val="0"/>
                <w:color w:val="auto"/>
                <w:szCs w:val="21"/>
                <w:highlight w:val="none"/>
                <w:lang w:val="en-US" w:eastAsia="zh-CN"/>
              </w:rPr>
              <w:t>4</w:t>
            </w:r>
            <w:r>
              <w:rPr>
                <w:rFonts w:ascii="宋体" w:hAnsi="宋体" w:cs="宋体"/>
                <w:b w:val="0"/>
                <w:bCs w:val="0"/>
                <w:color w:val="auto"/>
                <w:szCs w:val="21"/>
                <w:highlight w:val="none"/>
              </w:rPr>
              <w:t>分）：供应商提供有基本的检测方案，方案内容包含有检验项目、检验依据及检测方法、数据处理与质量控制、检验过程的质量控制等，但内容不够全面；</w:t>
            </w:r>
          </w:p>
          <w:p w14:paraId="19810874">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三档（</w:t>
            </w:r>
            <w:r>
              <w:rPr>
                <w:rFonts w:hint="eastAsia" w:ascii="宋体" w:hAnsi="宋体" w:cs="宋体"/>
                <w:b w:val="0"/>
                <w:bCs w:val="0"/>
                <w:color w:val="auto"/>
                <w:szCs w:val="21"/>
                <w:highlight w:val="none"/>
                <w:lang w:val="en-US" w:eastAsia="zh-CN"/>
              </w:rPr>
              <w:t>6</w:t>
            </w:r>
            <w:r>
              <w:rPr>
                <w:rFonts w:ascii="宋体" w:hAnsi="宋体" w:cs="宋体"/>
                <w:b w:val="0"/>
                <w:bCs w:val="0"/>
                <w:color w:val="auto"/>
                <w:szCs w:val="21"/>
                <w:highlight w:val="none"/>
              </w:rPr>
              <w:t>分）：供应商提供有基本的检测方案，方案内容包含有检验项目、检验依据及检测方法、数据处理与质量控制、检验过程的质量控制等，使用检验依据和检测方法基本合理，各项保证措施基本合理可行，但针对性较差；</w:t>
            </w:r>
          </w:p>
          <w:p w14:paraId="71382D7F">
            <w:pPr>
              <w:snapToGrid w:val="0"/>
              <w:spacing w:line="440" w:lineRule="exact"/>
              <w:ind w:firstLine="443"/>
              <w:rPr>
                <w:rFonts w:ascii="宋体" w:hAnsi="宋体" w:cs="宋体"/>
                <w:b w:val="0"/>
                <w:bCs w:val="0"/>
                <w:color w:val="auto"/>
                <w:szCs w:val="21"/>
                <w:highlight w:val="none"/>
              </w:rPr>
            </w:pPr>
            <w:r>
              <w:rPr>
                <w:rFonts w:hint="default" w:ascii="宋体" w:hAnsi="宋体" w:cs="宋体"/>
                <w:b w:val="0"/>
                <w:bCs w:val="0"/>
                <w:color w:val="auto"/>
                <w:szCs w:val="21"/>
                <w:highlight w:val="none"/>
              </w:rPr>
              <w:t>四</w:t>
            </w:r>
            <w:r>
              <w:rPr>
                <w:rFonts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8</w:t>
            </w:r>
            <w:r>
              <w:rPr>
                <w:rFonts w:ascii="宋体" w:hAnsi="宋体" w:cs="宋体"/>
                <w:b w:val="0"/>
                <w:bCs w:val="0"/>
                <w:color w:val="auto"/>
                <w:szCs w:val="21"/>
                <w:highlight w:val="none"/>
              </w:rPr>
              <w:t>分）：供应商提供有检测方案，方案内容包含有检验项目、检验依据及检测方法、数据处理与质量控制、检验过程的质量控制等，且在符合项目实际情况的基础上，使用检验依据和检测方法科学合理，方案内容更详尽，为采购人考虑周全，能够精准把握本项目重点难点，各项保证措施科学合理可行，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6D4F4D90">
            <w:pPr>
              <w:spacing w:line="360" w:lineRule="auto"/>
              <w:jc w:val="center"/>
              <w:rPr>
                <w:rFonts w:ascii="宋体" w:hAnsi="宋体" w:cs="Courier New"/>
                <w:b w:val="0"/>
                <w:bCs w:val="0"/>
                <w:color w:val="auto"/>
                <w:szCs w:val="21"/>
                <w:highlight w:val="none"/>
              </w:rPr>
            </w:pPr>
            <w:r>
              <w:rPr>
                <w:rFonts w:ascii="宋体" w:hAnsi="宋体" w:cs="Courier New"/>
                <w:b w:val="0"/>
                <w:bCs w:val="0"/>
                <w:color w:val="auto"/>
                <w:szCs w:val="21"/>
                <w:highlight w:val="none"/>
              </w:rPr>
              <w:t>满分</w:t>
            </w:r>
            <w:r>
              <w:rPr>
                <w:rFonts w:hint="eastAsia" w:ascii="宋体" w:hAnsi="宋体" w:cs="Courier New"/>
                <w:b w:val="0"/>
                <w:bCs w:val="0"/>
                <w:color w:val="auto"/>
                <w:szCs w:val="21"/>
                <w:highlight w:val="none"/>
                <w:lang w:val="en-US" w:eastAsia="zh-CN"/>
              </w:rPr>
              <w:t xml:space="preserve">  8</w:t>
            </w:r>
            <w:r>
              <w:rPr>
                <w:rFonts w:ascii="宋体" w:hAnsi="宋体" w:cs="Courier New"/>
                <w:b w:val="0"/>
                <w:bCs w:val="0"/>
                <w:color w:val="auto"/>
                <w:szCs w:val="21"/>
                <w:highlight w:val="none"/>
              </w:rPr>
              <w:t>分</w:t>
            </w:r>
          </w:p>
        </w:tc>
      </w:tr>
      <w:tr w14:paraId="549E1B3A">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90"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7E824499">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2.4</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13897039">
            <w:pPr>
              <w:spacing w:line="440" w:lineRule="exact"/>
              <w:jc w:val="center"/>
              <w:textAlignment w:val="auto"/>
              <w:rPr>
                <w:rFonts w:hint="eastAsia" w:ascii="宋体" w:hAnsi="宋体" w:eastAsia="宋体" w:cs="Courier New"/>
                <w:b w:val="0"/>
                <w:bCs w:val="0"/>
                <w:color w:val="auto"/>
                <w:szCs w:val="21"/>
                <w:highlight w:val="none"/>
                <w:lang w:eastAsia="zh-CN"/>
              </w:rPr>
            </w:pPr>
            <w:r>
              <w:rPr>
                <w:rFonts w:ascii="宋体" w:hAnsi="宋体" w:cs="宋体"/>
                <w:b w:val="0"/>
                <w:bCs w:val="0"/>
                <w:color w:val="auto"/>
                <w:szCs w:val="21"/>
                <w:highlight w:val="none"/>
              </w:rPr>
              <w:t>工作实施方案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261B0DC6">
            <w:pPr>
              <w:pStyle w:val="185"/>
              <w:spacing w:line="440" w:lineRule="exact"/>
              <w:rPr>
                <w:rFonts w:cs="宋体"/>
                <w:b w:val="0"/>
                <w:bCs w:val="0"/>
                <w:color w:val="auto"/>
                <w:sz w:val="21"/>
                <w:highlight w:val="none"/>
              </w:rPr>
            </w:pPr>
            <w:r>
              <w:rPr>
                <w:rFonts w:cs="宋体"/>
                <w:b w:val="0"/>
                <w:bCs w:val="0"/>
                <w:color w:val="auto"/>
                <w:sz w:val="21"/>
                <w:highlight w:val="none"/>
              </w:rPr>
              <w:t>由磋商小组成员根据供应商提供的工作实施方案（包含但不限于以下内容：①报告判定原则及结果报送要求②异议及后处理及备份样品处置规范③统计分析报告纲要及工作纪律④应急预案等）</w:t>
            </w:r>
          </w:p>
          <w:p w14:paraId="6DD03D26">
            <w:pPr>
              <w:pStyle w:val="185"/>
              <w:spacing w:line="440" w:lineRule="exact"/>
              <w:rPr>
                <w:rFonts w:cs="宋体"/>
                <w:b w:val="0"/>
                <w:bCs w:val="0"/>
                <w:color w:val="auto"/>
                <w:sz w:val="21"/>
                <w:highlight w:val="none"/>
              </w:rPr>
            </w:pPr>
            <w:r>
              <w:rPr>
                <w:rFonts w:cs="宋体"/>
                <w:b w:val="0"/>
                <w:bCs w:val="0"/>
                <w:color w:val="auto"/>
                <w:sz w:val="21"/>
                <w:highlight w:val="none"/>
              </w:rPr>
              <w:t>下列标准进行独立评审，并独立打分。</w:t>
            </w:r>
          </w:p>
          <w:p w14:paraId="41B6D23F">
            <w:pPr>
              <w:pStyle w:val="20"/>
              <w:spacing w:line="440" w:lineRule="exact"/>
              <w:ind w:firstLine="420"/>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一档(</w:t>
            </w:r>
            <w:r>
              <w:rPr>
                <w:rFonts w:hint="eastAsia" w:ascii="宋体" w:hAnsi="宋体" w:eastAsia="宋体" w:cs="宋体"/>
                <w:b w:val="0"/>
                <w:bCs w:val="0"/>
                <w:color w:val="auto"/>
                <w:sz w:val="21"/>
                <w:szCs w:val="21"/>
                <w:highlight w:val="none"/>
                <w:lang w:val="en-US" w:eastAsia="zh-CN"/>
              </w:rPr>
              <w:t>0</w:t>
            </w:r>
            <w:r>
              <w:rPr>
                <w:rFonts w:ascii="宋体" w:hAnsi="宋体" w:eastAsia="宋体" w:cs="宋体"/>
                <w:b w:val="0"/>
                <w:bCs w:val="0"/>
                <w:color w:val="auto"/>
                <w:sz w:val="21"/>
                <w:szCs w:val="21"/>
                <w:highlight w:val="none"/>
              </w:rPr>
              <w:t>分)：供应商提供的工作实施方案，但方案内容不完整，缺少上述4项要求或其中任意一项的；</w:t>
            </w:r>
          </w:p>
          <w:p w14:paraId="14118851">
            <w:pPr>
              <w:pStyle w:val="20"/>
              <w:spacing w:line="440" w:lineRule="exact"/>
              <w:ind w:firstLine="420"/>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二档（</w:t>
            </w:r>
            <w:r>
              <w:rPr>
                <w:rFonts w:hint="eastAsia" w:ascii="宋体" w:hAnsi="宋体" w:eastAsia="宋体" w:cs="宋体"/>
                <w:b w:val="0"/>
                <w:bCs w:val="0"/>
                <w:color w:val="auto"/>
                <w:sz w:val="21"/>
                <w:szCs w:val="21"/>
                <w:highlight w:val="none"/>
                <w:lang w:val="en-US" w:eastAsia="zh-CN"/>
              </w:rPr>
              <w:t>3</w:t>
            </w:r>
            <w:r>
              <w:rPr>
                <w:rFonts w:ascii="宋体" w:hAnsi="宋体" w:eastAsia="宋体" w:cs="宋体"/>
                <w:b w:val="0"/>
                <w:bCs w:val="0"/>
                <w:color w:val="auto"/>
                <w:sz w:val="21"/>
                <w:szCs w:val="21"/>
                <w:highlight w:val="none"/>
              </w:rPr>
              <w:t>分)；供应商提供有基本的工作实施方案，方案内容包含有报告判定原则及结果报送要求、异议及后处理及备份样品处置规范、统计分析报告纲要及工作纪律、应急预案等，但内容不够全面；</w:t>
            </w:r>
          </w:p>
          <w:p w14:paraId="58221C1A">
            <w:pPr>
              <w:pStyle w:val="186"/>
              <w:spacing w:line="440" w:lineRule="exact"/>
              <w:rPr>
                <w:rFonts w:ascii="宋体" w:hAnsi="宋体" w:cs="宋体"/>
                <w:b w:val="0"/>
                <w:bCs w:val="0"/>
                <w:color w:val="auto"/>
                <w:szCs w:val="21"/>
                <w:highlight w:val="none"/>
              </w:rPr>
            </w:pPr>
            <w:r>
              <w:rPr>
                <w:rFonts w:ascii="宋体" w:hAnsi="宋体" w:cs="宋体"/>
                <w:b w:val="0"/>
                <w:bCs w:val="0"/>
                <w:color w:val="auto"/>
                <w:szCs w:val="21"/>
                <w:highlight w:val="none"/>
              </w:rPr>
              <w:t>三档（</w:t>
            </w:r>
            <w:r>
              <w:rPr>
                <w:rFonts w:hint="eastAsia" w:ascii="宋体" w:hAnsi="宋体" w:cs="宋体"/>
                <w:b w:val="0"/>
                <w:bCs w:val="0"/>
                <w:color w:val="auto"/>
                <w:szCs w:val="21"/>
                <w:highlight w:val="none"/>
                <w:lang w:val="en-US" w:eastAsia="zh-CN"/>
              </w:rPr>
              <w:t>5</w:t>
            </w:r>
            <w:r>
              <w:rPr>
                <w:rFonts w:ascii="宋体" w:hAnsi="宋体" w:cs="宋体"/>
                <w:b w:val="0"/>
                <w:bCs w:val="0"/>
                <w:color w:val="auto"/>
                <w:szCs w:val="21"/>
                <w:highlight w:val="none"/>
              </w:rPr>
              <w:t>分)：供应商提供有基本的工作实施方案，方案内容包含有报告判定原则及结果报送要求、异议及后处理及备份样品处置规范、统计分析报告纲要及工作纪律、应急预案等，内容基本齐全，基本能理解本次抽检任务的特点，各项内容有情况分析和说明，基本合理可行，但针对性较差；</w:t>
            </w:r>
          </w:p>
          <w:p w14:paraId="2342E5F6">
            <w:pPr>
              <w:pStyle w:val="186"/>
              <w:spacing w:line="440" w:lineRule="exact"/>
              <w:rPr>
                <w:rFonts w:ascii="宋体" w:hAnsi="宋体" w:cs="宋体"/>
                <w:b w:val="0"/>
                <w:bCs w:val="0"/>
                <w:color w:val="auto"/>
                <w:szCs w:val="21"/>
                <w:highlight w:val="none"/>
              </w:rPr>
            </w:pPr>
            <w:r>
              <w:rPr>
                <w:rFonts w:hint="default" w:ascii="宋体" w:hAnsi="宋体" w:cs="宋体"/>
                <w:b w:val="0"/>
                <w:bCs w:val="0"/>
                <w:color w:val="auto"/>
                <w:szCs w:val="21"/>
                <w:highlight w:val="none"/>
              </w:rPr>
              <w:t>四</w:t>
            </w:r>
            <w:r>
              <w:rPr>
                <w:rFonts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7</w:t>
            </w:r>
            <w:r>
              <w:rPr>
                <w:rFonts w:ascii="宋体" w:hAnsi="宋体" w:cs="宋体"/>
                <w:b w:val="0"/>
                <w:bCs w:val="0"/>
                <w:color w:val="auto"/>
                <w:szCs w:val="21"/>
                <w:highlight w:val="none"/>
              </w:rPr>
              <w:t>分)：供应商提供有工作实施方案，方案内容包含有报告判定原则及结果报送要求、异议及后处理及备份样品处置规范、统计分析报告纲要及工作纪律、应急预案等，能够准确理解本次抽检任务的特点，精准把握本项目的技术重点和难点，提出完整可行的工作方案，所提供方案内容均有具体详细分析和说明，全面、准确、科学合理，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3C5966EB">
            <w:pPr>
              <w:spacing w:line="360" w:lineRule="auto"/>
              <w:jc w:val="center"/>
              <w:rPr>
                <w:rFonts w:ascii="宋体" w:hAnsi="宋体" w:cs="Courier New"/>
                <w:b w:val="0"/>
                <w:bCs w:val="0"/>
                <w:color w:val="auto"/>
                <w:szCs w:val="21"/>
                <w:highlight w:val="none"/>
              </w:rPr>
            </w:pPr>
            <w:r>
              <w:rPr>
                <w:rFonts w:ascii="宋体" w:hAnsi="宋体" w:cs="Courier New"/>
                <w:b w:val="0"/>
                <w:bCs w:val="0"/>
                <w:color w:val="auto"/>
                <w:szCs w:val="21"/>
                <w:highlight w:val="none"/>
              </w:rPr>
              <w:t>满分</w:t>
            </w:r>
            <w:r>
              <w:rPr>
                <w:rFonts w:hint="eastAsia" w:ascii="宋体" w:hAnsi="宋体" w:cs="Courier New"/>
                <w:b w:val="0"/>
                <w:bCs w:val="0"/>
                <w:color w:val="auto"/>
                <w:szCs w:val="21"/>
                <w:highlight w:val="none"/>
                <w:lang w:val="en-US" w:eastAsia="zh-CN"/>
              </w:rPr>
              <w:t xml:space="preserve">  7</w:t>
            </w:r>
            <w:r>
              <w:rPr>
                <w:rFonts w:ascii="宋体" w:hAnsi="宋体" w:cs="Courier New"/>
                <w:b w:val="0"/>
                <w:bCs w:val="0"/>
                <w:color w:val="auto"/>
                <w:szCs w:val="21"/>
                <w:highlight w:val="none"/>
              </w:rPr>
              <w:t>分</w:t>
            </w:r>
          </w:p>
        </w:tc>
      </w:tr>
      <w:tr w14:paraId="615541FB">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6F5AA1D9">
            <w:pPr>
              <w:spacing w:line="440" w:lineRule="exact"/>
              <w:ind w:left="-105" w:right="-105"/>
              <w:jc w:val="center"/>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2.5</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2CDF0DAB">
            <w:pPr>
              <w:spacing w:line="440" w:lineRule="exact"/>
              <w:jc w:val="center"/>
              <w:textAlignment w:val="auto"/>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rPr>
              <w:t>人员配置</w:t>
            </w:r>
          </w:p>
        </w:tc>
        <w:tc>
          <w:tcPr>
            <w:tcW w:w="6285" w:type="dxa"/>
            <w:tcBorders>
              <w:top w:val="single" w:color="000000" w:sz="4" w:space="0"/>
              <w:left w:val="single" w:color="000000" w:sz="4" w:space="0"/>
            </w:tcBorders>
            <w:noWrap w:val="0"/>
            <w:tcMar>
              <w:left w:w="103" w:type="dxa"/>
            </w:tcMar>
            <w:vAlign w:val="center"/>
          </w:tcPr>
          <w:p w14:paraId="00665A3F">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pacing w:val="0"/>
                <w:sz w:val="21"/>
                <w:szCs w:val="21"/>
                <w:highlight w:val="none"/>
              </w:rPr>
            </w:pPr>
            <w:r>
              <w:rPr>
                <w:rFonts w:hint="default" w:ascii="宋体" w:hAnsi="宋体" w:eastAsia="宋体" w:cs="宋体"/>
                <w:b w:val="0"/>
                <w:bCs w:val="0"/>
                <w:color w:val="auto"/>
                <w:spacing w:val="0"/>
                <w:sz w:val="21"/>
                <w:szCs w:val="21"/>
                <w:highlight w:val="none"/>
              </w:rPr>
              <w:t>根据供应商拟投入本项目的</w:t>
            </w:r>
            <w:r>
              <w:rPr>
                <w:rFonts w:hint="default" w:ascii="宋体" w:hAnsi="宋体" w:eastAsia="宋体" w:cs="宋体"/>
                <w:b w:val="0"/>
                <w:bCs w:val="0"/>
                <w:color w:val="auto"/>
                <w:spacing w:val="0"/>
                <w:sz w:val="21"/>
                <w:szCs w:val="21"/>
                <w:highlight w:val="none"/>
                <w:lang w:val="en-US" w:eastAsia="zh-CN"/>
              </w:rPr>
              <w:t>技术</w:t>
            </w:r>
            <w:r>
              <w:rPr>
                <w:rFonts w:hint="default" w:ascii="宋体" w:hAnsi="宋体" w:eastAsia="宋体" w:cs="宋体"/>
                <w:b w:val="0"/>
                <w:bCs w:val="0"/>
                <w:color w:val="auto"/>
                <w:spacing w:val="0"/>
                <w:sz w:val="21"/>
                <w:szCs w:val="21"/>
                <w:highlight w:val="none"/>
              </w:rPr>
              <w:t>人员配备情况，就人员数量、人员职称情况等内容进行评定。（供应商</w:t>
            </w:r>
            <w:r>
              <w:rPr>
                <w:rFonts w:hint="default" w:ascii="宋体" w:hAnsi="宋体" w:eastAsia="宋体" w:cs="宋体"/>
                <w:b w:val="0"/>
                <w:bCs w:val="0"/>
                <w:color w:val="auto"/>
                <w:spacing w:val="0"/>
                <w:sz w:val="21"/>
                <w:szCs w:val="21"/>
                <w:highlight w:val="none"/>
                <w:lang w:val="en-US" w:eastAsia="zh-CN"/>
              </w:rPr>
              <w:t>应提供拟投入本项目</w:t>
            </w:r>
            <w:r>
              <w:rPr>
                <w:rFonts w:hint="default" w:ascii="宋体" w:hAnsi="宋体" w:eastAsia="宋体" w:cs="宋体"/>
                <w:b w:val="0"/>
                <w:bCs w:val="0"/>
                <w:color w:val="auto"/>
                <w:spacing w:val="0"/>
                <w:sz w:val="21"/>
                <w:szCs w:val="21"/>
                <w:highlight w:val="none"/>
              </w:rPr>
              <w:t>人员202</w:t>
            </w:r>
            <w:r>
              <w:rPr>
                <w:rFonts w:hint="default" w:ascii="宋体" w:hAnsi="宋体" w:eastAsia="宋体" w:cs="宋体"/>
                <w:b w:val="0"/>
                <w:bCs w:val="0"/>
                <w:color w:val="auto"/>
                <w:spacing w:val="0"/>
                <w:sz w:val="21"/>
                <w:szCs w:val="21"/>
                <w:highlight w:val="none"/>
                <w:lang w:val="en-US" w:eastAsia="zh-CN"/>
              </w:rPr>
              <w:t>6</w:t>
            </w:r>
            <w:r>
              <w:rPr>
                <w:rFonts w:hint="default" w:ascii="宋体" w:hAnsi="宋体" w:eastAsia="宋体" w:cs="宋体"/>
                <w:b w:val="0"/>
                <w:bCs w:val="0"/>
                <w:color w:val="auto"/>
                <w:spacing w:val="0"/>
                <w:sz w:val="21"/>
                <w:szCs w:val="21"/>
                <w:highlight w:val="none"/>
              </w:rPr>
              <w:t>年</w:t>
            </w:r>
            <w:r>
              <w:rPr>
                <w:rFonts w:hint="eastAsia" w:ascii="宋体" w:hAnsi="宋体" w:eastAsia="宋体" w:cs="宋体"/>
                <w:b w:val="0"/>
                <w:bCs w:val="0"/>
                <w:color w:val="auto"/>
                <w:spacing w:val="0"/>
                <w:sz w:val="21"/>
                <w:szCs w:val="21"/>
                <w:highlight w:val="none"/>
                <w:lang w:val="en-US" w:eastAsia="zh-CN"/>
              </w:rPr>
              <w:t>任意一个</w:t>
            </w:r>
            <w:r>
              <w:rPr>
                <w:rFonts w:hint="default" w:ascii="宋体" w:hAnsi="宋体" w:eastAsia="宋体" w:cs="宋体"/>
                <w:b w:val="0"/>
                <w:bCs w:val="0"/>
                <w:color w:val="auto"/>
                <w:spacing w:val="0"/>
                <w:sz w:val="21"/>
                <w:szCs w:val="21"/>
                <w:highlight w:val="none"/>
              </w:rPr>
              <w:t>月</w:t>
            </w:r>
            <w:r>
              <w:rPr>
                <w:rFonts w:hint="eastAsia" w:ascii="宋体" w:hAnsi="宋体" w:eastAsia="宋体" w:cs="宋体"/>
                <w:b w:val="0"/>
                <w:bCs w:val="0"/>
                <w:color w:val="auto"/>
                <w:spacing w:val="0"/>
                <w:sz w:val="21"/>
                <w:szCs w:val="21"/>
                <w:highlight w:val="none"/>
                <w:lang w:eastAsia="zh-CN"/>
              </w:rPr>
              <w:t>工资流水或</w:t>
            </w:r>
            <w:r>
              <w:rPr>
                <w:rFonts w:hint="eastAsia" w:ascii="宋体" w:hAnsi="宋体" w:eastAsia="宋体" w:cs="宋体"/>
                <w:b w:val="0"/>
                <w:bCs w:val="0"/>
                <w:color w:val="auto"/>
                <w:spacing w:val="0"/>
                <w:sz w:val="21"/>
                <w:szCs w:val="21"/>
                <w:highlight w:val="none"/>
                <w:lang w:val="en-US" w:eastAsia="zh-CN"/>
              </w:rPr>
              <w:t>2026年4月至6月</w:t>
            </w:r>
            <w:r>
              <w:rPr>
                <w:rFonts w:hint="default" w:ascii="宋体" w:hAnsi="宋体" w:eastAsia="宋体" w:cs="宋体"/>
                <w:b w:val="0"/>
                <w:bCs w:val="0"/>
                <w:color w:val="auto"/>
                <w:spacing w:val="0"/>
                <w:sz w:val="21"/>
                <w:szCs w:val="21"/>
                <w:highlight w:val="none"/>
              </w:rPr>
              <w:t>的依法缴纳社保</w:t>
            </w:r>
            <w:r>
              <w:rPr>
                <w:rFonts w:hint="default" w:ascii="宋体" w:hAnsi="宋体" w:eastAsia="宋体" w:cs="宋体"/>
                <w:b w:val="0"/>
                <w:bCs w:val="0"/>
                <w:color w:val="auto"/>
                <w:spacing w:val="0"/>
                <w:sz w:val="21"/>
                <w:szCs w:val="21"/>
                <w:highlight w:val="none"/>
                <w:lang w:val="en-US" w:eastAsia="zh-CN"/>
              </w:rPr>
              <w:t>的</w:t>
            </w:r>
            <w:r>
              <w:rPr>
                <w:rFonts w:hint="default" w:ascii="宋体" w:hAnsi="宋体" w:eastAsia="宋体" w:cs="宋体"/>
                <w:b w:val="0"/>
                <w:bCs w:val="0"/>
                <w:color w:val="auto"/>
                <w:spacing w:val="0"/>
                <w:sz w:val="21"/>
                <w:szCs w:val="21"/>
                <w:highlight w:val="none"/>
              </w:rPr>
              <w:t>证明</w:t>
            </w:r>
            <w:r>
              <w:rPr>
                <w:rFonts w:hint="default" w:ascii="宋体" w:hAnsi="宋体" w:eastAsia="宋体" w:cs="宋体"/>
                <w:b w:val="0"/>
                <w:bCs w:val="0"/>
                <w:color w:val="auto"/>
                <w:spacing w:val="0"/>
                <w:sz w:val="21"/>
                <w:szCs w:val="21"/>
                <w:highlight w:val="none"/>
                <w:lang w:val="en-US" w:eastAsia="zh-CN"/>
              </w:rPr>
              <w:t>材料以及</w:t>
            </w:r>
            <w:r>
              <w:rPr>
                <w:rFonts w:hint="default" w:ascii="宋体" w:hAnsi="宋体" w:eastAsia="宋体" w:cs="宋体"/>
                <w:b w:val="0"/>
                <w:bCs w:val="0"/>
                <w:color w:val="auto"/>
                <w:spacing w:val="0"/>
                <w:sz w:val="21"/>
                <w:szCs w:val="21"/>
                <w:highlight w:val="none"/>
              </w:rPr>
              <w:t>专业技术职称证书</w:t>
            </w:r>
            <w:r>
              <w:rPr>
                <w:rFonts w:hint="default" w:ascii="宋体" w:hAnsi="宋体" w:eastAsia="宋体" w:cs="宋体"/>
                <w:b w:val="0"/>
                <w:bCs w:val="0"/>
                <w:color w:val="auto"/>
                <w:spacing w:val="0"/>
                <w:sz w:val="21"/>
                <w:szCs w:val="21"/>
                <w:highlight w:val="none"/>
                <w:lang w:val="en-US" w:eastAsia="zh-CN"/>
              </w:rPr>
              <w:t>复印件</w:t>
            </w:r>
            <w:r>
              <w:rPr>
                <w:rFonts w:hint="default" w:ascii="宋体" w:hAnsi="宋体" w:eastAsia="宋体" w:cs="宋体"/>
                <w:b w:val="0"/>
                <w:bCs w:val="0"/>
                <w:color w:val="auto"/>
                <w:spacing w:val="0"/>
                <w:sz w:val="21"/>
                <w:szCs w:val="21"/>
                <w:highlight w:val="none"/>
              </w:rPr>
              <w:t>）</w:t>
            </w:r>
          </w:p>
          <w:p w14:paraId="4F4C7EC6">
            <w:pPr>
              <w:pStyle w:val="5"/>
              <w:keepNext w:val="0"/>
              <w:keepLines w:val="0"/>
              <w:numPr>
                <w:ilvl w:val="0"/>
                <w:numId w:val="0"/>
              </w:numPr>
              <w:spacing w:line="440" w:lineRule="exact"/>
              <w:ind w:firstLine="420" w:firstLineChars="200"/>
              <w:rPr>
                <w:rFonts w:hint="default" w:ascii="宋体" w:hAnsi="宋体" w:eastAsia="宋体" w:cs="宋体"/>
                <w:b w:val="0"/>
                <w:bCs w:val="0"/>
                <w:color w:val="auto"/>
                <w:spacing w:val="0"/>
                <w:sz w:val="21"/>
                <w:szCs w:val="21"/>
                <w:highlight w:val="none"/>
              </w:rPr>
            </w:pPr>
            <w:r>
              <w:rPr>
                <w:rFonts w:hint="default" w:ascii="宋体" w:hAnsi="宋体" w:eastAsia="宋体" w:cs="宋体"/>
                <w:b w:val="0"/>
                <w:bCs w:val="0"/>
                <w:color w:val="auto"/>
                <w:spacing w:val="0"/>
                <w:sz w:val="21"/>
                <w:szCs w:val="21"/>
                <w:highlight w:val="none"/>
                <w:lang w:val="en-US" w:eastAsia="zh-CN"/>
              </w:rPr>
              <w:t>一</w:t>
            </w:r>
            <w:r>
              <w:rPr>
                <w:rFonts w:hint="default" w:ascii="宋体" w:hAnsi="宋体" w:eastAsia="宋体" w:cs="宋体"/>
                <w:b w:val="0"/>
                <w:bCs w:val="0"/>
                <w:color w:val="auto"/>
                <w:spacing w:val="0"/>
                <w:sz w:val="21"/>
                <w:szCs w:val="21"/>
                <w:highlight w:val="none"/>
              </w:rPr>
              <w:t>档（</w:t>
            </w:r>
            <w:r>
              <w:rPr>
                <w:rFonts w:hint="eastAsia" w:ascii="宋体" w:hAnsi="宋体" w:eastAsia="宋体" w:cs="宋体"/>
                <w:b w:val="0"/>
                <w:bCs w:val="0"/>
                <w:color w:val="auto"/>
                <w:spacing w:val="0"/>
                <w:sz w:val="21"/>
                <w:szCs w:val="21"/>
                <w:highlight w:val="none"/>
                <w:lang w:val="en-US" w:eastAsia="zh-CN"/>
              </w:rPr>
              <w:t>4</w:t>
            </w:r>
            <w:r>
              <w:rPr>
                <w:rFonts w:hint="default" w:ascii="宋体" w:hAnsi="宋体" w:eastAsia="宋体" w:cs="宋体"/>
                <w:b w:val="0"/>
                <w:bCs w:val="0"/>
                <w:color w:val="auto"/>
                <w:spacing w:val="0"/>
                <w:sz w:val="21"/>
                <w:szCs w:val="21"/>
                <w:highlight w:val="none"/>
              </w:rPr>
              <w:t>分）：拟投入本项目的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10人（含）以上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5</w:t>
            </w:r>
            <w:r>
              <w:rPr>
                <w:rFonts w:hint="default" w:ascii="宋体" w:hAnsi="宋体" w:eastAsia="宋体" w:cs="宋体"/>
                <w:b w:val="0"/>
                <w:bCs w:val="0"/>
                <w:color w:val="auto"/>
                <w:spacing w:val="0"/>
                <w:sz w:val="21"/>
                <w:szCs w:val="21"/>
                <w:highlight w:val="none"/>
              </w:rPr>
              <w:t xml:space="preserve"> 人及以上。</w:t>
            </w:r>
          </w:p>
          <w:p w14:paraId="3EDA8A73">
            <w:pPr>
              <w:pStyle w:val="5"/>
              <w:keepNext w:val="0"/>
              <w:keepLines w:val="0"/>
              <w:numPr>
                <w:ilvl w:val="0"/>
                <w:numId w:val="0"/>
              </w:numPr>
              <w:spacing w:line="440" w:lineRule="exact"/>
              <w:ind w:firstLine="420" w:firstLineChars="200"/>
              <w:rPr>
                <w:rFonts w:hint="default" w:ascii="宋体" w:hAnsi="宋体" w:eastAsia="宋体" w:cs="宋体"/>
                <w:b w:val="0"/>
                <w:bCs w:val="0"/>
                <w:color w:val="auto"/>
                <w:sz w:val="21"/>
                <w:szCs w:val="21"/>
                <w:highlight w:val="none"/>
                <w:lang w:eastAsia="zh-CN"/>
              </w:rPr>
            </w:pPr>
            <w:r>
              <w:rPr>
                <w:rFonts w:hint="default" w:ascii="宋体" w:hAnsi="宋体" w:eastAsia="宋体" w:cs="宋体"/>
                <w:b w:val="0"/>
                <w:bCs w:val="0"/>
                <w:color w:val="auto"/>
                <w:spacing w:val="0"/>
                <w:sz w:val="21"/>
                <w:szCs w:val="21"/>
                <w:highlight w:val="none"/>
                <w:lang w:val="en-US" w:eastAsia="zh-CN"/>
              </w:rPr>
              <w:t>二</w:t>
            </w:r>
            <w:r>
              <w:rPr>
                <w:rFonts w:hint="default" w:ascii="宋体" w:hAnsi="宋体" w:eastAsia="宋体" w:cs="宋体"/>
                <w:b w:val="0"/>
                <w:bCs w:val="0"/>
                <w:color w:val="auto"/>
                <w:spacing w:val="0"/>
                <w:sz w:val="21"/>
                <w:szCs w:val="21"/>
                <w:highlight w:val="none"/>
              </w:rPr>
              <w:t>档（</w:t>
            </w:r>
            <w:r>
              <w:rPr>
                <w:rFonts w:hint="eastAsia" w:ascii="宋体" w:hAnsi="宋体" w:eastAsia="宋体" w:cs="宋体"/>
                <w:b w:val="0"/>
                <w:bCs w:val="0"/>
                <w:color w:val="auto"/>
                <w:spacing w:val="0"/>
                <w:sz w:val="21"/>
                <w:szCs w:val="21"/>
                <w:highlight w:val="none"/>
                <w:lang w:val="en-US" w:eastAsia="zh-CN"/>
              </w:rPr>
              <w:t>6</w:t>
            </w:r>
            <w:r>
              <w:rPr>
                <w:rFonts w:hint="default" w:ascii="宋体" w:hAnsi="宋体" w:eastAsia="宋体" w:cs="宋体"/>
                <w:b w:val="0"/>
                <w:bCs w:val="0"/>
                <w:color w:val="auto"/>
                <w:spacing w:val="0"/>
                <w:sz w:val="21"/>
                <w:szCs w:val="21"/>
                <w:highlight w:val="none"/>
              </w:rPr>
              <w:t>分）：拟投入本项目的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15人（含）以上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10</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z w:val="21"/>
                <w:szCs w:val="21"/>
                <w:highlight w:val="none"/>
                <w:lang w:eastAsia="zh-CN"/>
              </w:rPr>
              <w:t>。</w:t>
            </w:r>
          </w:p>
          <w:p w14:paraId="7891AC88">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z w:val="21"/>
                <w:szCs w:val="21"/>
                <w:highlight w:val="none"/>
                <w:lang w:val="en-US" w:eastAsia="zh-CN"/>
              </w:rPr>
            </w:pPr>
            <w:r>
              <w:rPr>
                <w:rFonts w:hint="default" w:ascii="宋体" w:hAnsi="宋体" w:eastAsia="宋体" w:cs="宋体"/>
                <w:b w:val="0"/>
                <w:bCs w:val="0"/>
                <w:color w:val="auto"/>
                <w:sz w:val="21"/>
                <w:szCs w:val="21"/>
                <w:highlight w:val="none"/>
                <w:lang w:val="en-US" w:eastAsia="zh-CN"/>
              </w:rPr>
              <w:t>三</w:t>
            </w:r>
            <w:r>
              <w:rPr>
                <w:rFonts w:hint="default" w:ascii="宋体" w:hAnsi="宋体" w:eastAsia="宋体" w:cs="宋体"/>
                <w:b w:val="0"/>
                <w:bCs w:val="0"/>
                <w:color w:val="auto"/>
                <w:sz w:val="21"/>
                <w:szCs w:val="21"/>
                <w:highlight w:val="none"/>
                <w:lang w:eastAsia="zh-CN"/>
              </w:rPr>
              <w:t>档（</w:t>
            </w:r>
            <w:r>
              <w:rPr>
                <w:rFonts w:hint="eastAsia" w:ascii="宋体" w:hAnsi="宋体" w:eastAsia="宋体" w:cs="宋体"/>
                <w:b w:val="0"/>
                <w:bCs w:val="0"/>
                <w:color w:val="auto"/>
                <w:sz w:val="21"/>
                <w:szCs w:val="21"/>
                <w:highlight w:val="none"/>
                <w:lang w:val="en-US" w:eastAsia="zh-CN"/>
              </w:rPr>
              <w:t>8</w:t>
            </w:r>
            <w:r>
              <w:rPr>
                <w:rFonts w:hint="default" w:ascii="宋体" w:hAnsi="宋体" w:eastAsia="宋体" w:cs="宋体"/>
                <w:b w:val="0"/>
                <w:bCs w:val="0"/>
                <w:color w:val="auto"/>
                <w:sz w:val="21"/>
                <w:szCs w:val="21"/>
                <w:highlight w:val="none"/>
                <w:lang w:val="en-US" w:eastAsia="zh-CN"/>
              </w:rPr>
              <w:t>分</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pacing w:val="0"/>
                <w:sz w:val="21"/>
                <w:szCs w:val="21"/>
                <w:highlight w:val="none"/>
              </w:rPr>
              <w:t>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25人（含）以上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20</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pacing w:val="0"/>
                <w:sz w:val="21"/>
                <w:szCs w:val="21"/>
                <w:highlight w:val="none"/>
                <w:lang w:eastAsia="zh-CN"/>
              </w:rPr>
              <w:t>，</w:t>
            </w:r>
            <w:r>
              <w:rPr>
                <w:rFonts w:hint="default" w:ascii="宋体" w:hAnsi="宋体" w:eastAsia="宋体" w:cs="宋体"/>
                <w:b w:val="0"/>
                <w:bCs w:val="0"/>
                <w:color w:val="auto"/>
                <w:sz w:val="21"/>
                <w:szCs w:val="21"/>
                <w:highlight w:val="none"/>
                <w:lang w:eastAsia="zh-CN"/>
              </w:rPr>
              <w:t>且</w:t>
            </w:r>
            <w:r>
              <w:rPr>
                <w:rFonts w:hint="default" w:ascii="宋体" w:hAnsi="宋体" w:eastAsia="宋体" w:cs="宋体"/>
                <w:b w:val="0"/>
                <w:bCs w:val="0"/>
                <w:color w:val="auto"/>
                <w:sz w:val="21"/>
                <w:szCs w:val="21"/>
                <w:highlight w:val="none"/>
                <w:lang w:val="en-US" w:eastAsia="zh-CN"/>
              </w:rPr>
              <w:t>技术负责人具有副高级以上（含）专业技术职称。</w:t>
            </w:r>
          </w:p>
          <w:p w14:paraId="5807FB02">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 w:val="21"/>
                <w:szCs w:val="21"/>
                <w:highlight w:val="none"/>
                <w:lang w:val="en-US" w:eastAsia="zh-CN"/>
              </w:rPr>
              <w:t>四</w:t>
            </w:r>
            <w:r>
              <w:rPr>
                <w:rFonts w:hint="default" w:ascii="宋体" w:hAnsi="宋体" w:eastAsia="宋体" w:cs="宋体"/>
                <w:b w:val="0"/>
                <w:bCs w:val="0"/>
                <w:color w:val="auto"/>
                <w:sz w:val="21"/>
                <w:szCs w:val="21"/>
                <w:highlight w:val="none"/>
                <w:lang w:eastAsia="zh-CN"/>
              </w:rPr>
              <w:t>档（</w:t>
            </w:r>
            <w:r>
              <w:rPr>
                <w:rFonts w:hint="default"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0</w:t>
            </w:r>
            <w:r>
              <w:rPr>
                <w:rFonts w:hint="default" w:ascii="宋体" w:hAnsi="宋体" w:eastAsia="宋体" w:cs="宋体"/>
                <w:b w:val="0"/>
                <w:bCs w:val="0"/>
                <w:color w:val="auto"/>
                <w:sz w:val="21"/>
                <w:szCs w:val="21"/>
                <w:highlight w:val="none"/>
                <w:lang w:val="en-US" w:eastAsia="zh-CN"/>
              </w:rPr>
              <w:t>分</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pacing w:val="0"/>
                <w:sz w:val="21"/>
                <w:szCs w:val="21"/>
                <w:highlight w:val="none"/>
              </w:rPr>
              <w:t>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30人（含）以上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25</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pacing w:val="0"/>
                <w:sz w:val="21"/>
                <w:szCs w:val="21"/>
                <w:highlight w:val="none"/>
                <w:lang w:eastAsia="zh-CN"/>
              </w:rPr>
              <w:t>，</w:t>
            </w:r>
            <w:r>
              <w:rPr>
                <w:rFonts w:hint="default" w:ascii="宋体" w:hAnsi="宋体" w:eastAsia="宋体" w:cs="宋体"/>
                <w:b w:val="0"/>
                <w:bCs w:val="0"/>
                <w:color w:val="auto"/>
                <w:sz w:val="21"/>
                <w:szCs w:val="21"/>
                <w:highlight w:val="none"/>
                <w:lang w:eastAsia="zh-CN"/>
              </w:rPr>
              <w:t>且</w:t>
            </w:r>
            <w:r>
              <w:rPr>
                <w:rFonts w:hint="default" w:ascii="宋体" w:hAnsi="宋体" w:eastAsia="宋体" w:cs="宋体"/>
                <w:b w:val="0"/>
                <w:bCs w:val="0"/>
                <w:color w:val="auto"/>
                <w:sz w:val="21"/>
                <w:szCs w:val="21"/>
                <w:highlight w:val="none"/>
                <w:lang w:val="en-US" w:eastAsia="zh-CN"/>
              </w:rPr>
              <w:t>技术负责人具有正高级专业技术职称（除</w:t>
            </w:r>
            <w:r>
              <w:rPr>
                <w:rFonts w:hint="default" w:ascii="宋体" w:hAnsi="宋体" w:eastAsia="宋体" w:cs="宋体"/>
                <w:b w:val="0"/>
                <w:bCs w:val="0"/>
                <w:color w:val="auto"/>
                <w:sz w:val="21"/>
                <w:szCs w:val="21"/>
                <w:highlight w:val="none"/>
              </w:rPr>
              <w:t>食品质量安全或农产品质量安全或食品科学与工程专业</w:t>
            </w:r>
            <w:r>
              <w:rPr>
                <w:rFonts w:hint="default" w:ascii="宋体" w:hAnsi="宋体" w:eastAsia="宋体" w:cs="宋体"/>
                <w:b w:val="0"/>
                <w:bCs w:val="0"/>
                <w:color w:val="auto"/>
                <w:sz w:val="21"/>
                <w:szCs w:val="21"/>
                <w:highlight w:val="none"/>
                <w:lang w:val="en-US" w:eastAsia="zh-CN"/>
              </w:rPr>
              <w:t>外）。</w:t>
            </w:r>
          </w:p>
          <w:p w14:paraId="508AADE5">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z w:val="21"/>
                <w:szCs w:val="21"/>
                <w:highlight w:val="none"/>
                <w:lang w:val="en-US" w:eastAsia="zh-CN"/>
              </w:rPr>
            </w:pPr>
            <w:r>
              <w:rPr>
                <w:rFonts w:hint="default" w:ascii="宋体" w:hAnsi="宋体" w:eastAsia="宋体" w:cs="宋体"/>
                <w:b w:val="0"/>
                <w:bCs w:val="0"/>
                <w:color w:val="auto"/>
                <w:sz w:val="21"/>
                <w:szCs w:val="21"/>
                <w:highlight w:val="none"/>
                <w:lang w:val="en-US" w:eastAsia="zh-CN"/>
              </w:rPr>
              <w:t>五</w:t>
            </w:r>
            <w:r>
              <w:rPr>
                <w:rFonts w:hint="default" w:ascii="宋体" w:hAnsi="宋体" w:eastAsia="宋体" w:cs="宋体"/>
                <w:b w:val="0"/>
                <w:bCs w:val="0"/>
                <w:color w:val="auto"/>
                <w:sz w:val="21"/>
                <w:szCs w:val="21"/>
                <w:highlight w:val="none"/>
                <w:lang w:eastAsia="zh-CN"/>
              </w:rPr>
              <w:t>档（</w:t>
            </w:r>
            <w:r>
              <w:rPr>
                <w:rFonts w:hint="default"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2</w:t>
            </w:r>
            <w:r>
              <w:rPr>
                <w:rFonts w:hint="default" w:ascii="宋体" w:hAnsi="宋体" w:eastAsia="宋体" w:cs="宋体"/>
                <w:b w:val="0"/>
                <w:bCs w:val="0"/>
                <w:color w:val="auto"/>
                <w:sz w:val="21"/>
                <w:szCs w:val="21"/>
                <w:highlight w:val="none"/>
                <w:lang w:val="en-US" w:eastAsia="zh-CN"/>
              </w:rPr>
              <w:t>分</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pacing w:val="0"/>
                <w:sz w:val="21"/>
                <w:szCs w:val="21"/>
                <w:highlight w:val="none"/>
              </w:rPr>
              <w:t>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30人（含）以上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25</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pacing w:val="0"/>
                <w:sz w:val="21"/>
                <w:szCs w:val="21"/>
                <w:highlight w:val="none"/>
                <w:lang w:eastAsia="zh-CN"/>
              </w:rPr>
              <w:t>，</w:t>
            </w:r>
            <w:r>
              <w:rPr>
                <w:rFonts w:hint="default" w:ascii="宋体" w:hAnsi="宋体" w:eastAsia="宋体" w:cs="宋体"/>
                <w:b w:val="0"/>
                <w:bCs w:val="0"/>
                <w:color w:val="auto"/>
                <w:sz w:val="21"/>
                <w:szCs w:val="21"/>
                <w:highlight w:val="none"/>
                <w:lang w:eastAsia="zh-CN"/>
              </w:rPr>
              <w:t>且</w:t>
            </w:r>
            <w:r>
              <w:rPr>
                <w:rFonts w:hint="default" w:ascii="宋体" w:hAnsi="宋体" w:eastAsia="宋体" w:cs="宋体"/>
                <w:b w:val="0"/>
                <w:bCs w:val="0"/>
                <w:color w:val="auto"/>
                <w:sz w:val="21"/>
                <w:szCs w:val="21"/>
                <w:highlight w:val="none"/>
                <w:lang w:val="en-US" w:eastAsia="zh-CN"/>
              </w:rPr>
              <w:t>技术负责人</w:t>
            </w:r>
            <w:r>
              <w:rPr>
                <w:rFonts w:hint="default" w:ascii="宋体" w:hAnsi="宋体" w:eastAsia="宋体" w:cs="宋体"/>
                <w:b w:val="0"/>
                <w:bCs w:val="0"/>
                <w:color w:val="auto"/>
                <w:spacing w:val="0"/>
                <w:sz w:val="21"/>
                <w:szCs w:val="21"/>
                <w:highlight w:val="none"/>
              </w:rPr>
              <w:t>具有食品质量安全或农产品质量安全或食品科学与工程专业</w:t>
            </w:r>
            <w:r>
              <w:rPr>
                <w:rFonts w:hint="default" w:ascii="宋体" w:hAnsi="宋体" w:eastAsia="宋体" w:cs="宋体"/>
                <w:b w:val="0"/>
                <w:bCs w:val="0"/>
                <w:color w:val="auto"/>
                <w:spacing w:val="0"/>
                <w:sz w:val="21"/>
                <w:szCs w:val="21"/>
                <w:highlight w:val="none"/>
                <w:lang w:val="en-US" w:eastAsia="zh-CN"/>
              </w:rPr>
              <w:t>正高</w:t>
            </w:r>
            <w:r>
              <w:rPr>
                <w:rFonts w:hint="default" w:ascii="宋体" w:hAnsi="宋体" w:eastAsia="宋体" w:cs="宋体"/>
                <w:b w:val="0"/>
                <w:bCs w:val="0"/>
                <w:color w:val="auto"/>
                <w:sz w:val="21"/>
                <w:szCs w:val="21"/>
                <w:highlight w:val="none"/>
                <w:lang w:val="en-US" w:eastAsia="zh-CN"/>
              </w:rPr>
              <w:t>级专业技术职称。</w:t>
            </w:r>
          </w:p>
          <w:p w14:paraId="4FDF87F7">
            <w:pPr>
              <w:pStyle w:val="5"/>
              <w:keepNext w:val="0"/>
              <w:keepLines w:val="0"/>
              <w:numPr>
                <w:ilvl w:val="0"/>
                <w:numId w:val="0"/>
              </w:numPr>
              <w:spacing w:line="440" w:lineRule="exact"/>
              <w:ind w:firstLine="420" w:firstLineChars="200"/>
              <w:rPr>
                <w:rFonts w:hint="default" w:ascii="宋体" w:hAnsi="宋体" w:cs="宋体"/>
                <w:b w:val="0"/>
                <w:bCs w:val="0"/>
                <w:color w:val="auto"/>
                <w:szCs w:val="21"/>
                <w:highlight w:val="none"/>
              </w:rPr>
            </w:pPr>
            <w:r>
              <w:rPr>
                <w:rFonts w:hint="default" w:ascii="宋体" w:hAnsi="宋体" w:eastAsia="宋体" w:cs="宋体"/>
                <w:b w:val="0"/>
                <w:bCs w:val="0"/>
                <w:color w:val="auto"/>
                <w:spacing w:val="0"/>
                <w:sz w:val="21"/>
                <w:szCs w:val="21"/>
                <w:highlight w:val="none"/>
                <w:lang w:val="en-US" w:eastAsia="zh-CN"/>
              </w:rPr>
              <w:t>注：专业技术人员中、高级职称须提供职称证书复印件。拟投入本项目的技术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须满足条件：在</w:t>
            </w:r>
            <w:r>
              <w:rPr>
                <w:rFonts w:hint="default" w:ascii="宋体" w:hAnsi="宋体" w:eastAsia="宋体" w:cs="宋体"/>
                <w:b w:val="0"/>
                <w:bCs w:val="0"/>
                <w:color w:val="auto"/>
                <w:spacing w:val="0"/>
                <w:sz w:val="21"/>
                <w:szCs w:val="21"/>
                <w:highlight w:val="none"/>
                <w:lang w:eastAsia="zh-CN"/>
              </w:rPr>
              <w:t>本单位</w:t>
            </w:r>
            <w:r>
              <w:rPr>
                <w:rFonts w:hint="default" w:ascii="宋体" w:hAnsi="宋体" w:eastAsia="宋体" w:cs="宋体"/>
                <w:b w:val="0"/>
                <w:bCs w:val="0"/>
                <w:color w:val="auto"/>
                <w:spacing w:val="0"/>
                <w:sz w:val="21"/>
                <w:szCs w:val="21"/>
                <w:highlight w:val="none"/>
                <w:lang w:val="en-US" w:eastAsia="zh-CN"/>
              </w:rPr>
              <w:t>从事食品（含农产</w:t>
            </w:r>
            <w:r>
              <w:rPr>
                <w:rFonts w:hint="default" w:ascii="宋体" w:hAnsi="宋体" w:eastAsia="宋体" w:cs="宋体"/>
                <w:b w:val="0"/>
                <w:bCs w:val="0"/>
                <w:color w:val="auto"/>
                <w:spacing w:val="0"/>
                <w:sz w:val="21"/>
                <w:szCs w:val="21"/>
                <w:highlight w:val="none"/>
                <w:lang w:eastAsia="zh-CN"/>
              </w:rPr>
              <w:t>品）抽</w:t>
            </w:r>
            <w:r>
              <w:rPr>
                <w:rFonts w:hint="default" w:ascii="宋体" w:hAnsi="宋体" w:eastAsia="宋体" w:cs="宋体"/>
                <w:b w:val="0"/>
                <w:bCs w:val="0"/>
                <w:color w:val="auto"/>
                <w:spacing w:val="0"/>
                <w:sz w:val="21"/>
                <w:szCs w:val="21"/>
                <w:highlight w:val="none"/>
                <w:lang w:val="en-US" w:eastAsia="zh-CN"/>
              </w:rPr>
              <w:t>制样、</w:t>
            </w:r>
            <w:r>
              <w:rPr>
                <w:rFonts w:hint="default" w:ascii="宋体" w:hAnsi="宋体" w:eastAsia="宋体" w:cs="宋体"/>
                <w:b w:val="0"/>
                <w:bCs w:val="0"/>
                <w:color w:val="auto"/>
                <w:spacing w:val="0"/>
                <w:sz w:val="21"/>
                <w:szCs w:val="21"/>
                <w:highlight w:val="none"/>
                <w:lang w:eastAsia="zh-CN"/>
              </w:rPr>
              <w:t>检</w:t>
            </w:r>
            <w:r>
              <w:rPr>
                <w:rFonts w:hint="default" w:ascii="宋体" w:hAnsi="宋体" w:eastAsia="宋体" w:cs="宋体"/>
                <w:b w:val="0"/>
                <w:bCs w:val="0"/>
                <w:color w:val="auto"/>
                <w:spacing w:val="0"/>
                <w:sz w:val="21"/>
                <w:szCs w:val="21"/>
                <w:highlight w:val="none"/>
                <w:lang w:val="en-US" w:eastAsia="zh-CN"/>
              </w:rPr>
              <w:t>验、报告审核、报告批准、仪器设备管理、质量管理、技术管理等与检验相关工作的人员，须提供单位授权书或任务书或工作证或上岗证等佐证材料复印件。</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13115032">
            <w:pPr>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12</w:t>
            </w:r>
            <w:r>
              <w:rPr>
                <w:rFonts w:hint="eastAsia" w:ascii="宋体" w:hAnsi="宋体" w:cs="宋体"/>
                <w:b w:val="0"/>
                <w:bCs w:val="0"/>
                <w:color w:val="auto"/>
                <w:szCs w:val="21"/>
                <w:highlight w:val="none"/>
              </w:rPr>
              <w:t>分</w:t>
            </w:r>
          </w:p>
          <w:p w14:paraId="1A4F983F">
            <w:pPr>
              <w:spacing w:line="360" w:lineRule="auto"/>
              <w:jc w:val="center"/>
              <w:rPr>
                <w:rFonts w:hint="eastAsia" w:ascii="宋体" w:hAnsi="宋体" w:cs="宋体"/>
                <w:b w:val="0"/>
                <w:bCs w:val="0"/>
                <w:color w:val="auto"/>
                <w:szCs w:val="21"/>
                <w:highlight w:val="none"/>
              </w:rPr>
            </w:pPr>
          </w:p>
          <w:p w14:paraId="355ECE02">
            <w:pPr>
              <w:spacing w:line="360" w:lineRule="auto"/>
              <w:jc w:val="center"/>
              <w:rPr>
                <w:rFonts w:hint="eastAsia" w:ascii="宋体" w:hAnsi="宋体" w:cs="宋体"/>
                <w:b w:val="0"/>
                <w:bCs w:val="0"/>
                <w:color w:val="auto"/>
                <w:szCs w:val="21"/>
                <w:highlight w:val="none"/>
              </w:rPr>
            </w:pPr>
          </w:p>
        </w:tc>
      </w:tr>
      <w:tr w14:paraId="3EEB4D31">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021C9ECE">
            <w:pPr>
              <w:spacing w:line="440" w:lineRule="exact"/>
              <w:jc w:val="center"/>
              <w:rPr>
                <w:rFonts w:hint="default" w:ascii="宋体" w:hAnsi="宋体" w:eastAsia="宋体" w:cs="宋体"/>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2.6</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2BE798E6">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仪器设备</w:t>
            </w:r>
          </w:p>
        </w:tc>
        <w:tc>
          <w:tcPr>
            <w:tcW w:w="6285" w:type="dxa"/>
            <w:tcBorders>
              <w:top w:val="single" w:color="000000" w:sz="4" w:space="0"/>
              <w:left w:val="single" w:color="000000" w:sz="4" w:space="0"/>
            </w:tcBorders>
            <w:noWrap w:val="0"/>
            <w:tcMar>
              <w:left w:w="103" w:type="dxa"/>
            </w:tcMar>
            <w:vAlign w:val="top"/>
          </w:tcPr>
          <w:p w14:paraId="5B0D56D3">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供应商</w:t>
            </w:r>
            <w:r>
              <w:rPr>
                <w:rFonts w:ascii="宋体" w:hAnsi="宋体" w:cs="宋体"/>
                <w:b w:val="0"/>
                <w:bCs w:val="0"/>
                <w:color w:val="auto"/>
                <w:szCs w:val="21"/>
                <w:highlight w:val="none"/>
              </w:rPr>
              <w:t>拟投入的</w:t>
            </w:r>
            <w:r>
              <w:rPr>
                <w:rFonts w:hint="default" w:ascii="宋体" w:hAnsi="宋体" w:cs="宋体"/>
                <w:b w:val="0"/>
                <w:bCs w:val="0"/>
                <w:color w:val="auto"/>
                <w:szCs w:val="21"/>
                <w:highlight w:val="none"/>
              </w:rPr>
              <w:t>实验室须具有液相色谱仪、气相色谱仪、液相色谱-质谱联用仪、气相色谱-质谱联用仪、离子色谱仪、液相色谱原子荧光联用仪、全自动细菌鉴定仪、</w:t>
            </w:r>
            <w:r>
              <w:rPr>
                <w:rFonts w:hint="default" w:ascii="宋体" w:hAnsi="宋体" w:eastAsia="宋体" w:cs="宋体"/>
                <w:b w:val="0"/>
                <w:bCs w:val="0"/>
                <w:color w:val="auto"/>
                <w:spacing w:val="0"/>
                <w:sz w:val="21"/>
                <w:szCs w:val="21"/>
                <w:highlight w:val="none"/>
                <w:lang w:val="en-US" w:eastAsia="zh-CN"/>
              </w:rPr>
              <w:t>ICP-MS</w:t>
            </w:r>
            <w:r>
              <w:rPr>
                <w:rFonts w:hint="eastAsia" w:ascii="宋体" w:hAnsi="宋体" w:cs="宋体"/>
                <w:b w:val="0"/>
                <w:bCs w:val="0"/>
                <w:color w:val="auto"/>
                <w:spacing w:val="0"/>
                <w:sz w:val="21"/>
                <w:szCs w:val="21"/>
                <w:highlight w:val="none"/>
                <w:lang w:val="en-US" w:eastAsia="zh-CN"/>
              </w:rPr>
              <w:t>（电感耦合等离子体质谱仪）</w:t>
            </w:r>
            <w:r>
              <w:rPr>
                <w:rFonts w:hint="default" w:ascii="宋体" w:hAnsi="宋体" w:eastAsia="宋体" w:cs="宋体"/>
                <w:b w:val="0"/>
                <w:bCs w:val="0"/>
                <w:color w:val="auto"/>
                <w:spacing w:val="0"/>
                <w:sz w:val="21"/>
                <w:szCs w:val="21"/>
                <w:highlight w:val="none"/>
              </w:rPr>
              <w:t>等</w:t>
            </w:r>
            <w:r>
              <w:rPr>
                <w:rFonts w:hint="default" w:ascii="宋体" w:hAnsi="宋体" w:cs="宋体"/>
                <w:b w:val="0"/>
                <w:bCs w:val="0"/>
                <w:color w:val="auto"/>
                <w:szCs w:val="21"/>
                <w:highlight w:val="none"/>
              </w:rPr>
              <w:t>仪器设备的得</w:t>
            </w:r>
            <w:r>
              <w:rPr>
                <w:rFonts w:hint="eastAsia"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分，每缺一种仪器设备扣0.</w:t>
            </w:r>
            <w:r>
              <w:rPr>
                <w:rFonts w:hint="default"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分，扣完为止。</w:t>
            </w:r>
          </w:p>
          <w:p w14:paraId="7E1A289E">
            <w:pPr>
              <w:snapToGrid w:val="0"/>
              <w:spacing w:line="440" w:lineRule="exact"/>
              <w:ind w:firstLine="443"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注：响应文件中须提供检验仪器设备一览表及购置发票扫描件</w:t>
            </w:r>
            <w:r>
              <w:rPr>
                <w:rFonts w:hint="eastAsia" w:ascii="宋体" w:hAnsi="宋体" w:cs="宋体"/>
                <w:b w:val="0"/>
                <w:bCs w:val="0"/>
                <w:color w:val="auto"/>
                <w:szCs w:val="21"/>
                <w:highlight w:val="none"/>
                <w:lang w:val="en-US" w:eastAsia="zh-CN"/>
              </w:rPr>
              <w:t>或</w:t>
            </w:r>
            <w:r>
              <w:rPr>
                <w:rFonts w:hint="default" w:ascii="宋体" w:hAnsi="宋体" w:cs="宋体"/>
                <w:b w:val="0"/>
                <w:bCs w:val="0"/>
                <w:color w:val="auto"/>
                <w:szCs w:val="21"/>
                <w:highlight w:val="none"/>
              </w:rPr>
              <w:t>检验仪器设备</w:t>
            </w:r>
            <w:r>
              <w:rPr>
                <w:rFonts w:hint="eastAsia" w:ascii="宋体" w:hAnsi="宋体" w:cs="宋体"/>
                <w:b w:val="0"/>
                <w:bCs w:val="0"/>
                <w:color w:val="auto"/>
                <w:szCs w:val="21"/>
                <w:highlight w:val="none"/>
                <w:lang w:val="en-US" w:eastAsia="zh-CN"/>
              </w:rPr>
              <w:t>的租赁合同</w:t>
            </w:r>
            <w:r>
              <w:rPr>
                <w:rFonts w:hint="default" w:ascii="宋体" w:hAnsi="宋体" w:cs="宋体"/>
                <w:b w:val="0"/>
                <w:bCs w:val="0"/>
                <w:color w:val="auto"/>
                <w:szCs w:val="21"/>
                <w:highlight w:val="none"/>
              </w:rPr>
              <w:t>，否则不予计分。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25DCF0EB">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4</w:t>
            </w:r>
            <w:r>
              <w:rPr>
                <w:rFonts w:hint="eastAsia" w:ascii="宋体" w:hAnsi="宋体" w:cs="宋体"/>
                <w:b w:val="0"/>
                <w:bCs w:val="0"/>
                <w:color w:val="auto"/>
                <w:szCs w:val="21"/>
                <w:highlight w:val="none"/>
              </w:rPr>
              <w:t>分</w:t>
            </w:r>
          </w:p>
        </w:tc>
      </w:tr>
      <w:tr w14:paraId="02D14601">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1A80E9CC">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2.7</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0D98FBBC">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实验室能力验证情况</w:t>
            </w:r>
          </w:p>
        </w:tc>
        <w:tc>
          <w:tcPr>
            <w:tcW w:w="6285" w:type="dxa"/>
            <w:tcBorders>
              <w:top w:val="single" w:color="000000" w:sz="4" w:space="0"/>
              <w:left w:val="single" w:color="000000" w:sz="4" w:space="0"/>
            </w:tcBorders>
            <w:noWrap w:val="0"/>
            <w:tcMar>
              <w:left w:w="103" w:type="dxa"/>
            </w:tcMar>
            <w:vAlign w:val="top"/>
          </w:tcPr>
          <w:p w14:paraId="2DD0E1CF">
            <w:pPr>
              <w:pStyle w:val="186"/>
              <w:spacing w:line="440" w:lineRule="exact"/>
              <w:ind w:firstLine="420" w:firstLineChars="20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提供自202</w:t>
            </w:r>
            <w:r>
              <w:rPr>
                <w:rFonts w:hint="eastAsia"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年1月1日至响应文件递交截止时间止</w:t>
            </w:r>
            <w:r>
              <w:rPr>
                <w:rFonts w:hint="eastAsia" w:ascii="宋体" w:hAnsi="宋体" w:cs="宋体"/>
                <w:b w:val="0"/>
                <w:bCs w:val="0"/>
                <w:color w:val="auto"/>
                <w:szCs w:val="21"/>
                <w:highlight w:val="none"/>
                <w:lang w:eastAsia="zh-CN"/>
              </w:rPr>
              <w:t>，供应商</w:t>
            </w:r>
            <w:r>
              <w:rPr>
                <w:rFonts w:hint="default" w:ascii="宋体" w:hAnsi="宋体" w:cs="宋体"/>
                <w:b w:val="0"/>
                <w:bCs w:val="0"/>
                <w:color w:val="auto"/>
                <w:szCs w:val="21"/>
                <w:highlight w:val="none"/>
              </w:rPr>
              <w:t>参与国内外相关组织的实验室食品能力验证情况</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项目应属于食品中重金属、微生物/毒素、农兽药、食品添加剂、非法添加物（或非食用物质）5个领域，其他领域不得分</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w:t>
            </w:r>
          </w:p>
          <w:p w14:paraId="369E067F">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（1）获得不少于</w:t>
            </w:r>
            <w:r>
              <w:rPr>
                <w:rFonts w:hint="eastAsia"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0项次（含）满意结果</w:t>
            </w:r>
            <w:r>
              <w:rPr>
                <w:rFonts w:hint="eastAsia" w:ascii="宋体" w:hAnsi="宋体" w:cs="宋体"/>
                <w:b w:val="0"/>
                <w:bCs w:val="0"/>
                <w:color w:val="auto"/>
                <w:szCs w:val="21"/>
                <w:highlight w:val="none"/>
                <w:lang w:eastAsia="zh-CN"/>
              </w:rPr>
              <w:t>，得</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分；</w:t>
            </w:r>
          </w:p>
          <w:p w14:paraId="79C9E313">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（2）获得不少于</w:t>
            </w:r>
            <w:r>
              <w:rPr>
                <w:rFonts w:hint="eastAsia" w:ascii="宋体" w:hAnsi="宋体" w:cs="宋体"/>
                <w:b w:val="0"/>
                <w:bCs w:val="0"/>
                <w:color w:val="auto"/>
                <w:szCs w:val="21"/>
                <w:highlight w:val="none"/>
                <w:lang w:val="en-US" w:eastAsia="zh-CN"/>
              </w:rPr>
              <w:t>6</w:t>
            </w:r>
            <w:r>
              <w:rPr>
                <w:rFonts w:hint="default" w:ascii="宋体" w:hAnsi="宋体" w:cs="宋体"/>
                <w:b w:val="0"/>
                <w:bCs w:val="0"/>
                <w:color w:val="auto"/>
                <w:szCs w:val="21"/>
                <w:highlight w:val="none"/>
              </w:rPr>
              <w:t>0项次（含）满意结果</w:t>
            </w:r>
            <w:r>
              <w:rPr>
                <w:rFonts w:hint="eastAsia" w:ascii="宋体" w:hAnsi="宋体" w:cs="宋体"/>
                <w:b w:val="0"/>
                <w:bCs w:val="0"/>
                <w:color w:val="auto"/>
                <w:szCs w:val="21"/>
                <w:highlight w:val="none"/>
                <w:lang w:eastAsia="zh-CN"/>
              </w:rPr>
              <w:t>，得</w:t>
            </w:r>
            <w:r>
              <w:rPr>
                <w:rFonts w:hint="default"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5F55F4DD">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（3）获得不少于</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0项次（含）满意结果</w:t>
            </w:r>
            <w:r>
              <w:rPr>
                <w:rFonts w:hint="eastAsia" w:ascii="宋体" w:hAnsi="宋体" w:cs="宋体"/>
                <w:b w:val="0"/>
                <w:bCs w:val="0"/>
                <w:color w:val="auto"/>
                <w:szCs w:val="21"/>
                <w:highlight w:val="none"/>
                <w:lang w:eastAsia="zh-CN"/>
              </w:rPr>
              <w:t>，得</w:t>
            </w:r>
            <w:r>
              <w:rPr>
                <w:rFonts w:hint="eastAsia"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rPr>
              <w:t>分。</w:t>
            </w:r>
          </w:p>
          <w:p w14:paraId="2EE2A2F0">
            <w:pPr>
              <w:pStyle w:val="186"/>
              <w:spacing w:line="440" w:lineRule="exact"/>
              <w:ind w:firstLine="420" w:firstLineChars="20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注：响应文件中须提供相关证明文件并加盖供应商单位电子签章，否则不予计分。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42052ED1">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满分  3</w:t>
            </w:r>
            <w:r>
              <w:rPr>
                <w:rFonts w:hint="eastAsia" w:ascii="宋体" w:hAnsi="宋体" w:cs="宋体"/>
                <w:b w:val="0"/>
                <w:bCs w:val="0"/>
                <w:color w:val="auto"/>
                <w:szCs w:val="21"/>
                <w:highlight w:val="none"/>
              </w:rPr>
              <w:t>分</w:t>
            </w:r>
          </w:p>
        </w:tc>
      </w:tr>
      <w:tr w14:paraId="01DAF44B">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138068A8">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2.8</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6A6DB462">
            <w:pPr>
              <w:widowControl/>
              <w:spacing w:line="440" w:lineRule="exact"/>
              <w:jc w:val="center"/>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rPr>
              <w:t>实验室</w:t>
            </w:r>
            <w:r>
              <w:rPr>
                <w:rFonts w:hint="eastAsia" w:ascii="宋体" w:hAnsi="宋体" w:cs="宋体"/>
                <w:b w:val="0"/>
                <w:bCs w:val="0"/>
                <w:color w:val="auto"/>
                <w:szCs w:val="21"/>
                <w:highlight w:val="none"/>
                <w:lang w:val="en-US" w:eastAsia="zh-CN"/>
              </w:rPr>
              <w:t xml:space="preserve">资质 </w:t>
            </w:r>
          </w:p>
        </w:tc>
        <w:tc>
          <w:tcPr>
            <w:tcW w:w="6285" w:type="dxa"/>
            <w:tcBorders>
              <w:top w:val="single" w:color="000000" w:sz="4" w:space="0"/>
              <w:left w:val="single" w:color="000000" w:sz="4" w:space="0"/>
            </w:tcBorders>
            <w:noWrap w:val="0"/>
            <w:tcMar>
              <w:left w:w="103" w:type="dxa"/>
            </w:tcMar>
            <w:vAlign w:val="top"/>
          </w:tcPr>
          <w:p w14:paraId="53DBD6B3">
            <w:pPr>
              <w:pStyle w:val="186"/>
              <w:spacing w:line="440" w:lineRule="exact"/>
              <w:ind w:firstLine="420" w:firstLineChars="200"/>
              <w:rPr>
                <w:rFonts w:hint="default"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供应商</w:t>
            </w:r>
            <w:r>
              <w:rPr>
                <w:rFonts w:hint="default" w:ascii="宋体" w:hAnsi="宋体" w:cs="宋体"/>
                <w:b w:val="0"/>
                <w:bCs w:val="0"/>
                <w:color w:val="auto"/>
                <w:szCs w:val="21"/>
                <w:highlight w:val="none"/>
              </w:rPr>
              <w:t>获得市场监管总局、国家卫生健康委、农业农村部三部门共同认定的食品复检机构或实验室通过CNAS认证的，得</w:t>
            </w:r>
            <w:r>
              <w:rPr>
                <w:rFonts w:hint="eastAsia"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5D1FDD4D">
            <w:pPr>
              <w:pStyle w:val="186"/>
              <w:spacing w:line="440" w:lineRule="exact"/>
              <w:ind w:firstLine="420"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（注：供应商须提供属于复检机构或实验室通过CNAS认证的相关证明复印件并加盖供应商电子签章，未提供该项不得分。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5866045F">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2</w:t>
            </w:r>
            <w:r>
              <w:rPr>
                <w:rFonts w:hint="eastAsia" w:ascii="宋体" w:hAnsi="宋体" w:cs="宋体"/>
                <w:b w:val="0"/>
                <w:bCs w:val="0"/>
                <w:color w:val="auto"/>
                <w:szCs w:val="21"/>
                <w:highlight w:val="none"/>
              </w:rPr>
              <w:t>分</w:t>
            </w:r>
          </w:p>
        </w:tc>
      </w:tr>
      <w:tr w14:paraId="09B82F9D">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044860C4">
            <w:pPr>
              <w:spacing w:line="440" w:lineRule="exact"/>
              <w:jc w:val="center"/>
              <w:rPr>
                <w:rFonts w:hint="eastAsia" w:ascii="宋体" w:hAnsi="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2.9</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78E8EA6E">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2025年或2026年度</w:t>
            </w:r>
            <w:r>
              <w:rPr>
                <w:rFonts w:hint="eastAsia" w:ascii="宋体" w:hAnsi="宋体" w:cs="宋体"/>
                <w:b w:val="0"/>
                <w:bCs w:val="0"/>
                <w:color w:val="auto"/>
                <w:szCs w:val="21"/>
                <w:highlight w:val="none"/>
              </w:rPr>
              <w:t>食品安全监督抽检情况</w:t>
            </w:r>
          </w:p>
        </w:tc>
        <w:tc>
          <w:tcPr>
            <w:tcW w:w="6285" w:type="dxa"/>
            <w:tcBorders>
              <w:top w:val="single" w:color="000000" w:sz="4" w:space="0"/>
              <w:left w:val="single" w:color="000000" w:sz="4" w:space="0"/>
            </w:tcBorders>
            <w:noWrap w:val="0"/>
            <w:tcMar>
              <w:left w:w="103" w:type="dxa"/>
            </w:tcMar>
            <w:vAlign w:val="top"/>
          </w:tcPr>
          <w:p w14:paraId="0FE0BC7E">
            <w:pPr>
              <w:snapToGrid w:val="0"/>
              <w:spacing w:line="440" w:lineRule="exact"/>
              <w:ind w:firstLine="443"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供应商参加</w:t>
            </w:r>
            <w:r>
              <w:rPr>
                <w:rFonts w:hint="default" w:ascii="宋体" w:hAnsi="宋体" w:cs="宋体"/>
                <w:b w:val="0"/>
                <w:bCs w:val="0"/>
                <w:color w:val="auto"/>
                <w:szCs w:val="21"/>
                <w:highlight w:val="none"/>
                <w:lang w:val="en-US" w:eastAsia="zh-CN"/>
              </w:rPr>
              <w:t>2026年度</w:t>
            </w:r>
            <w:r>
              <w:rPr>
                <w:rFonts w:hint="default" w:ascii="宋体" w:hAnsi="宋体" w:cs="宋体"/>
                <w:b w:val="0"/>
                <w:bCs w:val="0"/>
                <w:color w:val="auto"/>
                <w:szCs w:val="21"/>
                <w:highlight w:val="none"/>
              </w:rPr>
              <w:t>食品安全监督抽检，在各省</w:t>
            </w:r>
            <w:r>
              <w:rPr>
                <w:rFonts w:hint="default" w:ascii="宋体" w:hAnsi="宋体" w:cs="宋体"/>
                <w:b w:val="0"/>
                <w:bCs w:val="0"/>
                <w:color w:val="auto"/>
                <w:szCs w:val="21"/>
                <w:highlight w:val="none"/>
                <w:lang w:eastAsia="zh-CN"/>
              </w:rPr>
              <w:t>或直辖市</w:t>
            </w:r>
            <w:r>
              <w:rPr>
                <w:rFonts w:hint="default" w:ascii="宋体" w:hAnsi="宋体" w:cs="宋体"/>
                <w:b w:val="0"/>
                <w:bCs w:val="0"/>
                <w:color w:val="auto"/>
                <w:szCs w:val="21"/>
                <w:highlight w:val="none"/>
              </w:rPr>
              <w:t>食品安全抽检监测数据统计分析系统上查询到的本机构</w:t>
            </w: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w:t>
            </w:r>
            <w:r>
              <w:rPr>
                <w:rFonts w:hint="default" w:ascii="宋体" w:hAnsi="宋体" w:cs="宋体"/>
                <w:b w:val="0"/>
                <w:bCs w:val="0"/>
                <w:color w:val="auto"/>
                <w:szCs w:val="21"/>
                <w:highlight w:val="none"/>
                <w:lang w:val="en-US" w:eastAsia="zh-CN"/>
              </w:rPr>
              <w:t>年度</w:t>
            </w:r>
            <w:r>
              <w:rPr>
                <w:rFonts w:hint="default" w:ascii="宋体" w:hAnsi="宋体" w:cs="宋体"/>
                <w:b w:val="0"/>
                <w:bCs w:val="0"/>
                <w:color w:val="auto"/>
                <w:szCs w:val="21"/>
                <w:highlight w:val="none"/>
              </w:rPr>
              <w:t>样品状态为已完全提交的全部检验样品不合格率</w:t>
            </w:r>
            <w:r>
              <w:rPr>
                <w:rFonts w:hint="default" w:ascii="宋体" w:hAnsi="宋体" w:cs="宋体"/>
                <w:b w:val="0"/>
                <w:bCs w:val="0"/>
                <w:color w:val="auto"/>
                <w:szCs w:val="21"/>
                <w:highlight w:val="none"/>
                <w:lang w:eastAsia="zh-CN"/>
              </w:rPr>
              <w:t>，查询时间为响应文件提交</w:t>
            </w:r>
            <w:r>
              <w:rPr>
                <w:rFonts w:ascii="宋体" w:hAnsi="宋体" w:cs="宋体"/>
                <w:b w:val="0"/>
                <w:bCs w:val="0"/>
                <w:color w:val="auto"/>
                <w:szCs w:val="21"/>
                <w:highlight w:val="none"/>
              </w:rPr>
              <w:t>（上传</w:t>
            </w:r>
            <w:r>
              <w:rPr>
                <w:rFonts w:hint="default" w:ascii="宋体" w:hAnsi="宋体" w:cs="宋体"/>
                <w:b w:val="0"/>
                <w:bCs w:val="0"/>
                <w:color w:val="auto"/>
                <w:szCs w:val="21"/>
                <w:highlight w:val="none"/>
                <w:lang w:eastAsia="zh-CN"/>
              </w:rPr>
              <w:t>）截止日之前</w:t>
            </w:r>
            <w:r>
              <w:rPr>
                <w:rFonts w:hint="default"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lang w:eastAsia="zh-CN"/>
              </w:rPr>
              <w:t>天</w:t>
            </w:r>
            <w:r>
              <w:rPr>
                <w:rFonts w:hint="default" w:ascii="宋体" w:hAnsi="宋体" w:cs="宋体"/>
                <w:b w:val="0"/>
                <w:bCs w:val="0"/>
                <w:color w:val="auto"/>
                <w:szCs w:val="21"/>
                <w:highlight w:val="none"/>
                <w:lang w:val="en-US" w:eastAsia="zh-CN"/>
              </w:rPr>
              <w:t>内</w:t>
            </w:r>
            <w:r>
              <w:rPr>
                <w:rFonts w:hint="default"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p>
          <w:p w14:paraId="1B820C0D">
            <w:pPr>
              <w:snapToGrid w:val="0"/>
              <w:spacing w:line="440" w:lineRule="exact"/>
              <w:ind w:firstLine="443"/>
              <w:rPr>
                <w:rFonts w:hint="default" w:ascii="宋体" w:hAnsi="宋体" w:eastAsia="宋体" w:cs="宋体"/>
                <w:b w:val="0"/>
                <w:bCs w:val="0"/>
                <w:color w:val="auto"/>
                <w:szCs w:val="21"/>
                <w:highlight w:val="none"/>
                <w:lang w:eastAsia="zh-CN"/>
              </w:rPr>
            </w:pPr>
            <w:r>
              <w:rPr>
                <w:rFonts w:hint="default"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%（含）以上</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r>
              <w:rPr>
                <w:rFonts w:hint="default" w:ascii="宋体" w:hAnsi="宋体" w:cs="宋体"/>
                <w:b w:val="0"/>
                <w:bCs w:val="0"/>
                <w:color w:val="auto"/>
                <w:szCs w:val="21"/>
                <w:highlight w:val="none"/>
                <w:lang w:eastAsia="zh-CN"/>
              </w:rPr>
              <w:t>；</w:t>
            </w:r>
          </w:p>
          <w:p w14:paraId="06755B09">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7%（含）—</w:t>
            </w:r>
            <w:r>
              <w:rPr>
                <w:rFonts w:hint="default"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%（不含）</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eastAsia" w:ascii="宋体" w:hAnsi="宋体" w:cs="宋体"/>
                <w:b w:val="0"/>
                <w:bCs w:val="0"/>
                <w:color w:val="auto"/>
                <w:szCs w:val="21"/>
                <w:highlight w:val="none"/>
                <w:lang w:val="en-US" w:eastAsia="zh-CN"/>
              </w:rPr>
              <w:t>6</w:t>
            </w:r>
            <w:r>
              <w:rPr>
                <w:rFonts w:hint="default" w:ascii="宋体" w:hAnsi="宋体" w:cs="宋体"/>
                <w:b w:val="0"/>
                <w:bCs w:val="0"/>
                <w:color w:val="auto"/>
                <w:szCs w:val="21"/>
                <w:highlight w:val="none"/>
              </w:rPr>
              <w:t>分；</w:t>
            </w:r>
          </w:p>
          <w:p w14:paraId="7C3022C7">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5%（含）—</w:t>
            </w:r>
            <w:r>
              <w:rPr>
                <w:rFonts w:hint="default" w:ascii="宋体" w:hAnsi="宋体" w:cs="宋体"/>
                <w:b w:val="0"/>
                <w:bCs w:val="0"/>
                <w:color w:val="auto"/>
                <w:szCs w:val="21"/>
                <w:highlight w:val="none"/>
                <w:lang w:val="en-US" w:eastAsia="zh-CN"/>
              </w:rPr>
              <w:t>7</w:t>
            </w:r>
            <w:r>
              <w:rPr>
                <w:rFonts w:hint="default" w:ascii="宋体" w:hAnsi="宋体" w:cs="宋体"/>
                <w:b w:val="0"/>
                <w:bCs w:val="0"/>
                <w:color w:val="auto"/>
                <w:szCs w:val="21"/>
                <w:highlight w:val="none"/>
              </w:rPr>
              <w:t>%（不含）</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分；</w:t>
            </w:r>
          </w:p>
          <w:p w14:paraId="1A64D1A9">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4%（含）—5%（不含）</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1E35990A">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4%（不含）</w:t>
            </w:r>
            <w:r>
              <w:rPr>
                <w:rFonts w:hint="eastAsia" w:ascii="宋体" w:hAnsi="宋体" w:cs="宋体"/>
                <w:b w:val="0"/>
                <w:bCs w:val="0"/>
                <w:color w:val="auto"/>
                <w:szCs w:val="21"/>
                <w:highlight w:val="none"/>
                <w:lang w:val="en-US" w:eastAsia="zh-CN"/>
              </w:rPr>
              <w:t>以下，</w:t>
            </w:r>
            <w:r>
              <w:rPr>
                <w:rFonts w:hint="default" w:ascii="宋体" w:hAnsi="宋体" w:cs="宋体"/>
                <w:b w:val="0"/>
                <w:bCs w:val="0"/>
                <w:color w:val="auto"/>
                <w:szCs w:val="21"/>
                <w:highlight w:val="none"/>
              </w:rPr>
              <w:t>不得分。</w:t>
            </w:r>
          </w:p>
          <w:p w14:paraId="5F99AD8D">
            <w:pPr>
              <w:snapToGrid w:val="0"/>
              <w:spacing w:line="440" w:lineRule="exact"/>
              <w:ind w:firstLine="443" w:firstLineChars="0"/>
              <w:rPr>
                <w:rFonts w:hint="eastAsia" w:ascii="宋体" w:hAnsi="宋体" w:eastAsia="宋体" w:cs="宋体"/>
                <w:b w:val="0"/>
                <w:bCs w:val="0"/>
                <w:color w:val="auto"/>
                <w:szCs w:val="21"/>
                <w:highlight w:val="none"/>
                <w:lang w:val="en-US" w:eastAsia="zh-CN"/>
              </w:rPr>
            </w:pPr>
            <w:r>
              <w:rPr>
                <w:rFonts w:hint="default" w:ascii="宋体" w:hAnsi="宋体" w:cs="宋体"/>
                <w:b w:val="0"/>
                <w:bCs w:val="0"/>
                <w:color w:val="auto"/>
                <w:szCs w:val="21"/>
                <w:highlight w:val="none"/>
              </w:rPr>
              <w:t>注：不合格率应提供以下证明材料：</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提供各省</w:t>
            </w:r>
            <w:r>
              <w:rPr>
                <w:rFonts w:hint="default" w:ascii="宋体" w:hAnsi="宋体" w:cs="宋体"/>
                <w:b w:val="0"/>
                <w:bCs w:val="0"/>
                <w:color w:val="auto"/>
                <w:szCs w:val="21"/>
                <w:highlight w:val="none"/>
                <w:lang w:eastAsia="zh-CN"/>
              </w:rPr>
              <w:t>或直辖市</w:t>
            </w:r>
            <w:r>
              <w:rPr>
                <w:rFonts w:hint="default" w:ascii="宋体" w:hAnsi="宋体" w:cs="宋体"/>
                <w:b w:val="0"/>
                <w:bCs w:val="0"/>
                <w:color w:val="auto"/>
                <w:szCs w:val="21"/>
                <w:highlight w:val="none"/>
              </w:rPr>
              <w:t>食品安全抽检监测数据统计分析系统上本机构</w:t>
            </w: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w:t>
            </w:r>
            <w:r>
              <w:rPr>
                <w:rFonts w:hint="default" w:ascii="宋体" w:hAnsi="宋体" w:cs="宋体"/>
                <w:b w:val="0"/>
                <w:bCs w:val="0"/>
                <w:color w:val="auto"/>
                <w:szCs w:val="21"/>
                <w:highlight w:val="none"/>
                <w:lang w:val="en-US" w:eastAsia="zh-CN"/>
              </w:rPr>
              <w:t>年度</w:t>
            </w:r>
            <w:r>
              <w:rPr>
                <w:rFonts w:hint="default" w:ascii="宋体" w:hAnsi="宋体" w:cs="宋体"/>
                <w:b w:val="0"/>
                <w:bCs w:val="0"/>
                <w:color w:val="auto"/>
                <w:szCs w:val="21"/>
                <w:highlight w:val="none"/>
              </w:rPr>
              <w:t>的基本统计数据截图，截图1：</w:t>
            </w:r>
            <w:r>
              <w:rPr>
                <w:rFonts w:hint="default" w:ascii="宋体" w:hAnsi="宋体" w:cs="宋体"/>
                <w:b w:val="0"/>
                <w:bCs w:val="0"/>
                <w:color w:val="auto"/>
                <w:szCs w:val="21"/>
                <w:highlight w:val="none"/>
                <w:lang w:eastAsia="zh-CN"/>
              </w:rPr>
              <w:t>统计维度选择“检验机构”，</w:t>
            </w:r>
            <w:r>
              <w:rPr>
                <w:rFonts w:hint="default" w:ascii="宋体" w:hAnsi="宋体" w:cs="宋体"/>
                <w:b w:val="0"/>
                <w:bCs w:val="0"/>
                <w:color w:val="auto"/>
                <w:szCs w:val="21"/>
                <w:highlight w:val="none"/>
              </w:rPr>
              <w:t>显示更多筛选条件显示查询年度为</w:t>
            </w: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w:t>
            </w:r>
            <w:r>
              <w:rPr>
                <w:rFonts w:hint="default" w:ascii="宋体" w:hAnsi="宋体" w:cs="宋体"/>
                <w:b w:val="0"/>
                <w:bCs w:val="0"/>
                <w:color w:val="auto"/>
                <w:szCs w:val="21"/>
                <w:highlight w:val="none"/>
                <w:lang w:val="en-US" w:eastAsia="zh-CN"/>
              </w:rPr>
              <w:t>年度</w:t>
            </w:r>
            <w:r>
              <w:rPr>
                <w:rFonts w:hint="default" w:ascii="宋体" w:hAnsi="宋体" w:cs="宋体"/>
                <w:b w:val="0"/>
                <w:bCs w:val="0"/>
                <w:color w:val="auto"/>
                <w:szCs w:val="21"/>
                <w:highlight w:val="none"/>
              </w:rPr>
              <w:t>，样品状态为已完全提交</w:t>
            </w:r>
            <w:r>
              <w:rPr>
                <w:rFonts w:hint="default" w:ascii="宋体" w:hAnsi="宋体" w:cs="宋体"/>
                <w:b w:val="0"/>
                <w:bCs w:val="0"/>
                <w:color w:val="auto"/>
                <w:szCs w:val="21"/>
                <w:highlight w:val="none"/>
                <w:lang w:eastAsia="zh-CN"/>
              </w:rPr>
              <w:t>，其他选项都不选</w:t>
            </w:r>
            <w:r>
              <w:rPr>
                <w:rFonts w:hint="default" w:ascii="宋体" w:hAnsi="宋体" w:cs="宋体"/>
                <w:b w:val="0"/>
                <w:bCs w:val="0"/>
                <w:color w:val="auto"/>
                <w:szCs w:val="21"/>
                <w:highlight w:val="none"/>
              </w:rPr>
              <w:t>；截图2：显示检验机构名称、总批次、不合格批次、不合格样品率信息</w:t>
            </w:r>
            <w:r>
              <w:rPr>
                <w:rFonts w:hint="eastAsia" w:ascii="宋体" w:hAnsi="宋体" w:cs="宋体"/>
                <w:b w:val="0"/>
                <w:bCs w:val="0"/>
                <w:color w:val="auto"/>
                <w:szCs w:val="21"/>
                <w:highlight w:val="none"/>
                <w:lang w:eastAsia="zh-CN"/>
              </w:rPr>
              <w:t>。缺少任何一个信息均不得分，未能提供证明材料的不得分。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411BD72D">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8</w:t>
            </w:r>
            <w:r>
              <w:rPr>
                <w:rFonts w:hint="eastAsia" w:ascii="宋体" w:hAnsi="宋体" w:cs="宋体"/>
                <w:b w:val="0"/>
                <w:bCs w:val="0"/>
                <w:color w:val="auto"/>
                <w:szCs w:val="21"/>
                <w:highlight w:val="none"/>
              </w:rPr>
              <w:t>分</w:t>
            </w:r>
          </w:p>
        </w:tc>
      </w:tr>
      <w:tr w14:paraId="031B3134">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0E570F38">
            <w:pPr>
              <w:spacing w:line="440" w:lineRule="exact"/>
              <w:jc w:val="center"/>
              <w:rPr>
                <w:rFonts w:hint="default" w:ascii="宋体" w:hAnsi="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2.10</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29FC0CA8">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全区食品安全抽检数据质量情况</w:t>
            </w:r>
          </w:p>
        </w:tc>
        <w:tc>
          <w:tcPr>
            <w:tcW w:w="6285" w:type="dxa"/>
            <w:tcBorders>
              <w:top w:val="single" w:color="000000" w:sz="4" w:space="0"/>
              <w:left w:val="single" w:color="000000" w:sz="4" w:space="0"/>
            </w:tcBorders>
            <w:noWrap w:val="0"/>
            <w:tcMar>
              <w:left w:w="103" w:type="dxa"/>
            </w:tcMar>
            <w:vAlign w:val="top"/>
          </w:tcPr>
          <w:p w14:paraId="2F5BB6BF">
            <w:pPr>
              <w:snapToGrid w:val="0"/>
              <w:spacing w:line="440" w:lineRule="exact"/>
              <w:ind w:firstLine="443" w:firstLineChars="0"/>
              <w:rPr>
                <w:rFonts w:hint="default" w:ascii="宋体" w:hAnsi="宋体" w:cs="宋体"/>
                <w:b w:val="0"/>
                <w:bCs w:val="0"/>
                <w:color w:val="auto"/>
                <w:szCs w:val="21"/>
                <w:highlight w:val="none"/>
                <w:lang w:val="en-US" w:eastAsia="zh-CN"/>
              </w:rPr>
            </w:pPr>
            <w:r>
              <w:rPr>
                <w:rFonts w:hint="default" w:ascii="宋体" w:hAnsi="宋体" w:cs="宋体"/>
                <w:b w:val="0"/>
                <w:bCs w:val="0"/>
                <w:color w:val="auto"/>
                <w:szCs w:val="21"/>
                <w:highlight w:val="none"/>
              </w:rPr>
              <w:t>供应商</w:t>
            </w:r>
            <w:r>
              <w:rPr>
                <w:rFonts w:hint="default" w:ascii="宋体" w:hAnsi="宋体" w:cs="宋体"/>
                <w:b w:val="0"/>
                <w:bCs w:val="0"/>
                <w:color w:val="auto"/>
                <w:szCs w:val="21"/>
                <w:highlight w:val="none"/>
                <w:lang w:eastAsia="zh-CN"/>
              </w:rPr>
              <w:t>在最近一次</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2025年7-9月</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lang w:val="en-US" w:eastAsia="zh-CN"/>
              </w:rPr>
              <w:t>全区食品安全抽检数据质量核查中的问题率。（满分</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lang w:val="en-US" w:eastAsia="zh-CN"/>
              </w:rPr>
              <w:t>分）</w:t>
            </w:r>
          </w:p>
          <w:p w14:paraId="2E75E099">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未发现数据质量问题的，</w:t>
            </w:r>
            <w:r>
              <w:rPr>
                <w:rFonts w:hint="default" w:ascii="宋体" w:hAnsi="宋体" w:cs="宋体"/>
                <w:b w:val="0"/>
                <w:bCs w:val="0"/>
                <w:color w:val="auto"/>
                <w:szCs w:val="21"/>
                <w:highlight w:val="none"/>
              </w:rPr>
              <w:t>得</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p>
          <w:p w14:paraId="4E11621B">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0.01</w:t>
            </w:r>
            <w:r>
              <w:rPr>
                <w:rFonts w:hint="default" w:ascii="宋体" w:hAnsi="宋体" w:cs="宋体"/>
                <w:b w:val="0"/>
                <w:bCs w:val="0"/>
                <w:color w:val="auto"/>
                <w:szCs w:val="21"/>
                <w:highlight w:val="none"/>
              </w:rPr>
              <w:t>%（含）—</w:t>
            </w:r>
            <w:r>
              <w:rPr>
                <w:rFonts w:hint="default" w:ascii="宋体" w:hAnsi="宋体" w:cs="宋体"/>
                <w:b w:val="0"/>
                <w:bCs w:val="0"/>
                <w:color w:val="auto"/>
                <w:szCs w:val="21"/>
                <w:highlight w:val="none"/>
                <w:lang w:val="en-US" w:eastAsia="zh-CN"/>
              </w:rPr>
              <w:t>0.1</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6</w:t>
            </w:r>
            <w:r>
              <w:rPr>
                <w:rFonts w:hint="default" w:ascii="宋体" w:hAnsi="宋体" w:cs="宋体"/>
                <w:b w:val="0"/>
                <w:bCs w:val="0"/>
                <w:color w:val="auto"/>
                <w:szCs w:val="21"/>
                <w:highlight w:val="none"/>
              </w:rPr>
              <w:t>分；</w:t>
            </w:r>
          </w:p>
          <w:p w14:paraId="545B05FC">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0.1</w:t>
            </w:r>
            <w:r>
              <w:rPr>
                <w:rFonts w:hint="default" w:ascii="宋体" w:hAnsi="宋体" w:cs="宋体"/>
                <w:b w:val="0"/>
                <w:bCs w:val="0"/>
                <w:color w:val="auto"/>
                <w:szCs w:val="21"/>
                <w:highlight w:val="none"/>
              </w:rPr>
              <w:t>%（含）—</w:t>
            </w:r>
            <w:r>
              <w:rPr>
                <w:rFonts w:hint="default" w:ascii="宋体" w:hAnsi="宋体" w:cs="宋体"/>
                <w:b w:val="0"/>
                <w:bCs w:val="0"/>
                <w:color w:val="auto"/>
                <w:szCs w:val="21"/>
                <w:highlight w:val="none"/>
                <w:lang w:val="en-US" w:eastAsia="zh-CN"/>
              </w:rPr>
              <w:t>0.5</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分；</w:t>
            </w:r>
          </w:p>
          <w:p w14:paraId="11F989CF">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0.5</w:t>
            </w:r>
            <w:r>
              <w:rPr>
                <w:rFonts w:hint="default" w:ascii="宋体" w:hAnsi="宋体" w:cs="宋体"/>
                <w:b w:val="0"/>
                <w:bCs w:val="0"/>
                <w:color w:val="auto"/>
                <w:szCs w:val="21"/>
                <w:highlight w:val="none"/>
              </w:rPr>
              <w:t>%（含）—</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1CA7FB4D">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val="en-US" w:eastAsia="zh-CN"/>
              </w:rPr>
              <w:t>以上，</w:t>
            </w:r>
            <w:r>
              <w:rPr>
                <w:rFonts w:hint="default" w:ascii="宋体" w:hAnsi="宋体" w:cs="宋体"/>
                <w:b w:val="0"/>
                <w:bCs w:val="0"/>
                <w:color w:val="auto"/>
                <w:szCs w:val="21"/>
                <w:highlight w:val="none"/>
              </w:rPr>
              <w:t>不得分。</w:t>
            </w:r>
          </w:p>
          <w:p w14:paraId="6BF59576">
            <w:pPr>
              <w:snapToGrid w:val="0"/>
              <w:spacing w:line="440" w:lineRule="exact"/>
              <w:ind w:firstLine="443"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注：采购人提前提供食品抽检秘书处《关于2025年7-9月全区食品安全抽检数据质量核查情况的通报》（无签章版）给评审专家。供应商需提供该通报作为佐证材料，若发现供应商提供的问题率与食品抽检秘书处通报上的问题率不相符的，则该项目不得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77966BD8">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满分8分</w:t>
            </w:r>
          </w:p>
        </w:tc>
      </w:tr>
      <w:tr w14:paraId="10F02174">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41AC943E">
            <w:pPr>
              <w:spacing w:line="440" w:lineRule="exact"/>
              <w:jc w:val="center"/>
              <w:rPr>
                <w:rFonts w:hint="default" w:ascii="宋体" w:hAnsi="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2.11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6AD8A8D5">
            <w:pPr>
              <w:widowControl/>
              <w:spacing w:line="440" w:lineRule="exact"/>
              <w:jc w:val="center"/>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食品监督抽检不合格率检出承诺</w:t>
            </w:r>
          </w:p>
        </w:tc>
        <w:tc>
          <w:tcPr>
            <w:tcW w:w="6285" w:type="dxa"/>
            <w:tcBorders>
              <w:top w:val="single" w:color="000000" w:sz="4" w:space="0"/>
              <w:left w:val="single" w:color="000000" w:sz="4" w:space="0"/>
            </w:tcBorders>
            <w:noWrap w:val="0"/>
            <w:tcMar>
              <w:left w:w="103" w:type="dxa"/>
            </w:tcMar>
            <w:vAlign w:val="top"/>
          </w:tcPr>
          <w:p w14:paraId="75100B42">
            <w:pPr>
              <w:snapToGrid w:val="0"/>
              <w:spacing w:line="440" w:lineRule="exact"/>
              <w:ind w:firstLine="443" w:firstLineChars="0"/>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若供应商承诺检出食品监督抽检不合格率</w:t>
            </w:r>
            <w:r>
              <w:rPr>
                <w:rFonts w:hint="eastAsia" w:ascii="东文宋体" w:hAnsi="东文宋体" w:eastAsia="东文宋体" w:cs="东文宋体"/>
                <w:b w:val="0"/>
                <w:bCs w:val="0"/>
                <w:color w:val="auto"/>
                <w:szCs w:val="21"/>
                <w:highlight w:val="none"/>
                <w:lang w:val="en-US" w:eastAsia="zh-CN"/>
              </w:rPr>
              <w:t>≥</w:t>
            </w:r>
            <w:r>
              <w:rPr>
                <w:rFonts w:hint="eastAsia" w:ascii="宋体" w:hAnsi="宋体" w:cs="宋体"/>
                <w:b w:val="0"/>
                <w:bCs w:val="0"/>
                <w:color w:val="auto"/>
                <w:szCs w:val="21"/>
                <w:highlight w:val="none"/>
                <w:lang w:val="en-US" w:eastAsia="zh-CN"/>
              </w:rPr>
              <w:t>5%的，得3分；</w:t>
            </w:r>
          </w:p>
          <w:p w14:paraId="0F625A31">
            <w:pPr>
              <w:snapToGrid w:val="0"/>
              <w:spacing w:line="440" w:lineRule="exact"/>
              <w:ind w:firstLine="443" w:firstLineChars="0"/>
              <w:rPr>
                <w:rFonts w:hint="eastAsia" w:ascii="宋体" w:hAnsi="宋体" w:cs="宋体"/>
                <w:color w:val="auto"/>
                <w:szCs w:val="21"/>
                <w:highlight w:val="none"/>
                <w:lang w:val="en-US" w:eastAsia="zh-CN"/>
              </w:rPr>
            </w:pPr>
            <w:r>
              <w:rPr>
                <w:rFonts w:hint="eastAsia" w:ascii="宋体" w:hAnsi="宋体" w:cs="宋体"/>
                <w:b w:val="0"/>
                <w:bCs w:val="0"/>
                <w:color w:val="auto"/>
                <w:szCs w:val="21"/>
                <w:highlight w:val="none"/>
                <w:lang w:val="en-US" w:eastAsia="zh-CN"/>
              </w:rPr>
              <w:t>若供应商承诺检出食品监督抽检不合格率在</w:t>
            </w:r>
            <w:r>
              <w:rPr>
                <w:rFonts w:hint="eastAsia" w:ascii="宋体" w:hAnsi="宋体" w:cs="宋体"/>
                <w:color w:val="auto"/>
                <w:szCs w:val="21"/>
                <w:highlight w:val="none"/>
              </w:rPr>
              <w:t>4%（含）—5%（不含）</w:t>
            </w:r>
            <w:r>
              <w:rPr>
                <w:rFonts w:hint="eastAsia" w:ascii="宋体" w:hAnsi="宋体" w:cs="宋体"/>
                <w:color w:val="auto"/>
                <w:szCs w:val="21"/>
                <w:highlight w:val="none"/>
                <w:lang w:eastAsia="zh-CN"/>
              </w:rPr>
              <w:t>的，得</w:t>
            </w:r>
            <w:r>
              <w:rPr>
                <w:rFonts w:hint="eastAsia" w:ascii="宋体" w:hAnsi="宋体" w:cs="宋体"/>
                <w:color w:val="auto"/>
                <w:szCs w:val="21"/>
                <w:highlight w:val="none"/>
                <w:lang w:val="en-US" w:eastAsia="zh-CN"/>
              </w:rPr>
              <w:t>2分；</w:t>
            </w:r>
          </w:p>
          <w:p w14:paraId="08D19D58">
            <w:pPr>
              <w:snapToGrid w:val="0"/>
              <w:spacing w:line="440" w:lineRule="exact"/>
              <w:ind w:firstLine="443"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若供应商承诺检出食品监督抽检不合格率</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4%的，得1分。</w:t>
            </w:r>
          </w:p>
          <w:p w14:paraId="03B49C77">
            <w:pPr>
              <w:snapToGrid w:val="0"/>
              <w:spacing w:line="440" w:lineRule="exact"/>
              <w:ind w:firstLine="443" w:firstLineChars="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注：需提供书面承诺材料。</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795C0C61">
            <w:pPr>
              <w:widowControl/>
              <w:spacing w:line="360" w:lineRule="auto"/>
              <w:jc w:val="center"/>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满分3分</w:t>
            </w:r>
          </w:p>
        </w:tc>
      </w:tr>
      <w:tr w14:paraId="6CDC9B08">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624"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4D3FB172">
            <w:pPr>
              <w:widowControl/>
              <w:spacing w:line="440" w:lineRule="exact"/>
              <w:jc w:val="center"/>
              <w:rPr>
                <w:rFonts w:hint="eastAsia" w:ascii="宋体" w:hAnsi="宋体" w:eastAsia="宋体" w:cs="Tahoma"/>
                <w:b w:val="0"/>
                <w:bCs w:val="0"/>
                <w:color w:val="auto"/>
                <w:szCs w:val="21"/>
                <w:highlight w:val="none"/>
                <w:lang w:eastAsia="zh-CN"/>
              </w:rPr>
            </w:pPr>
            <w:r>
              <w:rPr>
                <w:rFonts w:hint="eastAsia" w:ascii="宋体" w:hAnsi="宋体" w:cs="Tahoma"/>
                <w:b w:val="0"/>
                <w:bCs w:val="0"/>
                <w:color w:val="auto"/>
                <w:szCs w:val="21"/>
                <w:highlight w:val="none"/>
                <w:lang w:val="en-US" w:eastAsia="zh-CN"/>
              </w:rPr>
              <w:t>3</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3EC3859B">
            <w:pPr>
              <w:widowControl/>
              <w:spacing w:line="440" w:lineRule="exact"/>
              <w:jc w:val="center"/>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rPr>
              <w:t>商务分</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满分10分</w:t>
            </w:r>
            <w:r>
              <w:rPr>
                <w:rFonts w:hint="eastAsia" w:ascii="宋体" w:hAnsi="宋体" w:cs="宋体"/>
                <w:b w:val="0"/>
                <w:bCs w:val="0"/>
                <w:color w:val="auto"/>
                <w:szCs w:val="21"/>
                <w:highlight w:val="none"/>
                <w:lang w:eastAsia="zh-CN"/>
              </w:rPr>
              <w:t>）</w:t>
            </w:r>
          </w:p>
        </w:tc>
        <w:tc>
          <w:tcPr>
            <w:tcW w:w="7149" w:type="dxa"/>
            <w:gridSpan w:val="2"/>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45F046B0">
            <w:pPr>
              <w:widowControl/>
              <w:snapToGrid w:val="0"/>
              <w:spacing w:line="440" w:lineRule="exact"/>
              <w:ind w:firstLine="443"/>
              <w:jc w:val="left"/>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评审因素</w:t>
            </w:r>
          </w:p>
        </w:tc>
      </w:tr>
      <w:tr w14:paraId="1FEB9A2F">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2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7384B6BE">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3.1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491A3C75">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开展食品抽检任务服务时效性</w:t>
            </w:r>
          </w:p>
        </w:tc>
        <w:tc>
          <w:tcPr>
            <w:tcW w:w="6285" w:type="dxa"/>
            <w:tcBorders>
              <w:top w:val="single" w:color="000000" w:sz="4" w:space="0"/>
              <w:left w:val="single" w:color="000000" w:sz="4" w:space="0"/>
              <w:bottom w:val="single" w:color="000000" w:sz="4" w:space="0"/>
            </w:tcBorders>
            <w:noWrap w:val="0"/>
            <w:tcMar>
              <w:left w:w="103" w:type="dxa"/>
            </w:tcMar>
            <w:vAlign w:val="top"/>
          </w:tcPr>
          <w:p w14:paraId="0179498F">
            <w:pPr>
              <w:pStyle w:val="186"/>
              <w:spacing w:line="440" w:lineRule="exact"/>
              <w:ind w:firstLine="0"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eastAsia="zh-CN"/>
              </w:rPr>
              <w:t>一</w:t>
            </w:r>
            <w:r>
              <w:rPr>
                <w:rFonts w:hint="default" w:ascii="宋体" w:hAnsi="宋体" w:cs="宋体"/>
                <w:b w:val="0"/>
                <w:bCs w:val="0"/>
                <w:color w:val="auto"/>
                <w:szCs w:val="21"/>
                <w:highlight w:val="none"/>
              </w:rPr>
              <w:t>档（</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分）：供应商提供抽样后6小时内（含）能快速完成样品运输并抵达实验室承诺的（提供承诺书面材料），得</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分。</w:t>
            </w:r>
          </w:p>
          <w:p w14:paraId="2C29D0DD">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eastAsia="zh-CN"/>
              </w:rPr>
              <w:t>二</w:t>
            </w:r>
            <w:r>
              <w:rPr>
                <w:rFonts w:hint="default" w:ascii="宋体" w:hAnsi="宋体" w:cs="宋体"/>
                <w:b w:val="0"/>
                <w:bCs w:val="0"/>
                <w:color w:val="auto"/>
                <w:szCs w:val="21"/>
                <w:highlight w:val="none"/>
              </w:rPr>
              <w:t>档（</w:t>
            </w:r>
            <w:r>
              <w:rPr>
                <w:rFonts w:hint="default"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rPr>
              <w:t>分）：供应商提供抽样后4小时内（含）能快速完成样品运输并抵达实验室承诺的（提供承诺书面材料），得</w:t>
            </w:r>
            <w:r>
              <w:rPr>
                <w:rFonts w:hint="default"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rPr>
              <w:t>分。</w:t>
            </w:r>
          </w:p>
          <w:p w14:paraId="010CBEBA">
            <w:pPr>
              <w:pStyle w:val="186"/>
              <w:spacing w:line="440" w:lineRule="exact"/>
              <w:ind w:firstLine="0"/>
              <w:rPr>
                <w:rFonts w:hint="default" w:ascii="宋体" w:hAnsi="宋体" w:cs="宋体"/>
                <w:b w:val="0"/>
                <w:bCs w:val="0"/>
                <w:color w:val="auto"/>
                <w:szCs w:val="21"/>
                <w:highlight w:val="none"/>
              </w:rPr>
            </w:pPr>
            <w:bookmarkStart w:id="76" w:name="OLE_LINK4"/>
            <w:bookmarkEnd w:id="76"/>
            <w:r>
              <w:rPr>
                <w:rFonts w:hint="default" w:ascii="宋体" w:hAnsi="宋体" w:cs="宋体"/>
                <w:b w:val="0"/>
                <w:bCs w:val="0"/>
                <w:color w:val="auto"/>
                <w:szCs w:val="21"/>
                <w:highlight w:val="none"/>
                <w:lang w:eastAsia="zh-CN"/>
              </w:rPr>
              <w:t>三</w:t>
            </w:r>
            <w:r>
              <w:rPr>
                <w:rFonts w:hint="default"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分）：供应商提供抽样后2小时内（含）能快速完成样品运输并抵达实验室承诺的（提供承诺书面材料），得</w:t>
            </w:r>
            <w:r>
              <w:rPr>
                <w:rFonts w:hint="eastAsia"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分。</w:t>
            </w:r>
          </w:p>
          <w:p w14:paraId="6829E289">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eastAsia="zh-CN"/>
              </w:rPr>
              <w:t>四</w:t>
            </w:r>
            <w:r>
              <w:rPr>
                <w:rFonts w:hint="default"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供应商提供抽样后1小时内（含）能快速完成样品运输并抵达实验室承诺的（提供承诺书面材料），得</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p>
          <w:p w14:paraId="2CD8DEE8">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注：响应文件中须提供书面承诺材料。</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3FD0BC08">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8</w:t>
            </w:r>
            <w:r>
              <w:rPr>
                <w:rFonts w:hint="eastAsia" w:ascii="宋体" w:hAnsi="宋体" w:cs="宋体"/>
                <w:b w:val="0"/>
                <w:bCs w:val="0"/>
                <w:color w:val="auto"/>
                <w:szCs w:val="21"/>
                <w:highlight w:val="none"/>
              </w:rPr>
              <w:t>分</w:t>
            </w:r>
          </w:p>
        </w:tc>
      </w:tr>
      <w:tr w14:paraId="0FF548CA">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2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677617C1">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3.2</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60529DF1">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风险分析服务承诺</w:t>
            </w:r>
          </w:p>
        </w:tc>
        <w:tc>
          <w:tcPr>
            <w:tcW w:w="6285" w:type="dxa"/>
            <w:tcBorders>
              <w:top w:val="single" w:color="000000" w:sz="4" w:space="0"/>
              <w:left w:val="single" w:color="000000" w:sz="4" w:space="0"/>
              <w:bottom w:val="single" w:color="000000" w:sz="4" w:space="0"/>
            </w:tcBorders>
            <w:noWrap w:val="0"/>
            <w:tcMar>
              <w:left w:w="103" w:type="dxa"/>
            </w:tcMar>
            <w:vAlign w:val="top"/>
          </w:tcPr>
          <w:p w14:paraId="480F2407">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为加强检测工作的服务能力，提升采购单位监管质量，供应商须承诺能够按每个季度对采购单位进行一次抽检监测工作风险分析汇报，对检测的数据及抽检过程中可能出现的问题进行分析并出具分析报告，对采购单位相关人员进行培训的得2分，满分2 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57E44BCC">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w:t>
            </w:r>
            <w:r>
              <w:rPr>
                <w:rFonts w:hint="eastAsia" w:ascii="宋体" w:hAnsi="宋体" w:cs="宋体"/>
                <w:b w:val="0"/>
                <w:bCs w:val="0"/>
                <w:color w:val="auto"/>
                <w:szCs w:val="21"/>
                <w:highlight w:val="none"/>
              </w:rPr>
              <w:t>2分</w:t>
            </w:r>
          </w:p>
        </w:tc>
      </w:tr>
      <w:tr w14:paraId="39145B15">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458" w:hRule="atLeast"/>
          <w:jc w:val="center"/>
        </w:trPr>
        <w:tc>
          <w:tcPr>
            <w:tcW w:w="8236" w:type="dxa"/>
            <w:gridSpan w:val="3"/>
            <w:tcBorders>
              <w:top w:val="single" w:color="000000" w:sz="4" w:space="0"/>
              <w:left w:val="single" w:color="000000" w:sz="4" w:space="0"/>
              <w:bottom w:val="single" w:color="000000" w:sz="4" w:space="0"/>
            </w:tcBorders>
            <w:noWrap w:val="0"/>
            <w:tcMar>
              <w:left w:w="103" w:type="dxa"/>
            </w:tcMar>
            <w:vAlign w:val="top"/>
          </w:tcPr>
          <w:p w14:paraId="10269F74">
            <w:pPr>
              <w:pStyle w:val="185"/>
              <w:spacing w:line="360" w:lineRule="auto"/>
              <w:ind w:firstLine="420"/>
              <w:rPr>
                <w:b w:val="0"/>
                <w:bCs w:val="0"/>
                <w:color w:val="auto"/>
                <w:sz w:val="21"/>
                <w:highlight w:val="none"/>
              </w:rPr>
            </w:pPr>
            <w:r>
              <w:rPr>
                <w:b w:val="0"/>
                <w:bCs w:val="0"/>
                <w:color w:val="auto"/>
                <w:sz w:val="21"/>
                <w:highlight w:val="none"/>
              </w:rPr>
              <w:t>总得分＝1＋2＋3</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09BCB12A">
            <w:pPr>
              <w:widowControl/>
              <w:snapToGrid w:val="0"/>
              <w:spacing w:line="360" w:lineRule="auto"/>
              <w:jc w:val="center"/>
              <w:rPr>
                <w:rFonts w:ascii="宋体" w:hAnsi="宋体" w:cs="Tahoma"/>
                <w:b w:val="0"/>
                <w:bCs w:val="0"/>
                <w:color w:val="auto"/>
                <w:szCs w:val="21"/>
                <w:highlight w:val="none"/>
              </w:rPr>
            </w:pPr>
          </w:p>
        </w:tc>
      </w:tr>
    </w:tbl>
    <w:p w14:paraId="3C6F33B9">
      <w:pPr>
        <w:spacing w:line="360" w:lineRule="auto"/>
        <w:jc w:val="center"/>
        <w:rPr>
          <w:rFonts w:ascii="宋体" w:hAnsi="宋体" w:cs="宋体"/>
          <w:b/>
          <w:color w:val="auto"/>
          <w:szCs w:val="21"/>
          <w:highlight w:val="none"/>
        </w:rPr>
      </w:pPr>
    </w:p>
    <w:p w14:paraId="0A974ACF">
      <w:pPr>
        <w:rPr>
          <w:color w:val="auto"/>
          <w:highlight w:val="none"/>
        </w:rPr>
      </w:pPr>
      <w:r>
        <w:rPr>
          <w:color w:val="auto"/>
          <w:highlight w:val="none"/>
        </w:rPr>
        <w:br w:type="page"/>
      </w:r>
    </w:p>
    <w:p w14:paraId="5338D617">
      <w:pPr>
        <w:spacing w:line="360" w:lineRule="auto"/>
        <w:jc w:val="center"/>
        <w:rPr>
          <w:rFonts w:hint="eastAsia" w:ascii="宋体" w:hAnsi="宋体" w:eastAsia="宋体" w:cs="宋体"/>
          <w:b/>
          <w:color w:val="auto"/>
          <w:szCs w:val="21"/>
          <w:highlight w:val="none"/>
          <w:lang w:eastAsia="zh-CN"/>
        </w:rPr>
      </w:pPr>
      <w:r>
        <w:rPr>
          <w:rFonts w:hint="eastAsia" w:ascii="宋体" w:hAnsi="宋体" w:cs="宋体"/>
          <w:b/>
          <w:color w:val="auto"/>
          <w:szCs w:val="21"/>
          <w:highlight w:val="none"/>
          <w:lang w:val="en-US" w:eastAsia="zh-CN"/>
        </w:rPr>
        <w:t>4.</w:t>
      </w:r>
      <w:r>
        <w:rPr>
          <w:rFonts w:hint="eastAsia" w:ascii="宋体" w:hAnsi="宋体" w:cs="宋体"/>
          <w:b/>
          <w:color w:val="auto"/>
          <w:szCs w:val="21"/>
          <w:highlight w:val="none"/>
          <w:lang w:eastAsia="zh-CN"/>
        </w:rPr>
        <w:t>评审标准（</w:t>
      </w:r>
      <w:r>
        <w:rPr>
          <w:rFonts w:hint="eastAsia" w:ascii="宋体" w:hAnsi="宋体" w:cs="宋体"/>
          <w:b/>
          <w:color w:val="auto"/>
          <w:szCs w:val="21"/>
          <w:highlight w:val="none"/>
          <w:lang w:val="en-US" w:eastAsia="zh-CN"/>
        </w:rPr>
        <w:t>适用于标项四、五</w:t>
      </w:r>
      <w:r>
        <w:rPr>
          <w:rFonts w:hint="eastAsia" w:ascii="宋体" w:hAnsi="宋体" w:cs="宋体"/>
          <w:b/>
          <w:color w:val="auto"/>
          <w:szCs w:val="21"/>
          <w:highlight w:val="none"/>
          <w:lang w:eastAsia="zh-CN"/>
        </w:rPr>
        <w:t>）</w:t>
      </w:r>
    </w:p>
    <w:tbl>
      <w:tblPr>
        <w:tblStyle w:val="51"/>
        <w:tblW w:w="9100" w:type="dxa"/>
        <w:jc w:val="center"/>
        <w:tblBorders>
          <w:top w:val="single" w:color="auto" w:sz="4" w:space="0"/>
          <w:left w:val="single" w:color="auto" w:sz="4" w:space="0"/>
          <w:bottom w:val="single" w:color="auto" w:sz="4" w:space="0"/>
          <w:right w:val="none" w:color="auto" w:sz="0" w:space="0"/>
          <w:insideH w:val="single" w:color="auto" w:sz="4" w:space="0"/>
          <w:insideV w:val="none" w:color="auto" w:sz="0" w:space="0"/>
        </w:tblBorders>
        <w:tblLayout w:type="autofit"/>
        <w:tblCellMar>
          <w:top w:w="0" w:type="dxa"/>
          <w:left w:w="103" w:type="dxa"/>
          <w:bottom w:w="0" w:type="dxa"/>
          <w:right w:w="108" w:type="dxa"/>
        </w:tblCellMar>
      </w:tblPr>
      <w:tblGrid>
        <w:gridCol w:w="633"/>
        <w:gridCol w:w="1318"/>
        <w:gridCol w:w="6285"/>
        <w:gridCol w:w="864"/>
      </w:tblGrid>
      <w:tr w14:paraId="75065931">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12"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08C586BB">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序号</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1A83E404">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评审因素</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784BE867">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评审因素具体内容</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603AA796">
            <w:pPr>
              <w:widowControl/>
              <w:spacing w:line="360" w:lineRule="auto"/>
              <w:jc w:val="center"/>
              <w:rPr>
                <w:rFonts w:ascii="宋体" w:hAnsi="宋体" w:cs="Tahoma"/>
                <w:b/>
                <w:bCs/>
                <w:color w:val="auto"/>
                <w:szCs w:val="21"/>
                <w:highlight w:val="none"/>
              </w:rPr>
            </w:pPr>
            <w:r>
              <w:rPr>
                <w:rFonts w:ascii="宋体" w:hAnsi="宋体" w:cs="Tahoma"/>
                <w:b/>
                <w:bCs/>
                <w:color w:val="auto"/>
                <w:szCs w:val="21"/>
                <w:highlight w:val="none"/>
              </w:rPr>
              <w:t>分值</w:t>
            </w:r>
          </w:p>
        </w:tc>
      </w:tr>
      <w:tr w14:paraId="6840DD11">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282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74FD8E45">
            <w:pPr>
              <w:widowControl/>
              <w:spacing w:line="440" w:lineRule="exact"/>
              <w:jc w:val="center"/>
              <w:rPr>
                <w:rFonts w:ascii="宋体" w:hAnsi="宋体" w:cs="Tahoma"/>
                <w:b w:val="0"/>
                <w:bCs w:val="0"/>
                <w:color w:val="auto"/>
                <w:szCs w:val="21"/>
                <w:highlight w:val="none"/>
              </w:rPr>
            </w:pPr>
            <w:r>
              <w:rPr>
                <w:rFonts w:ascii="宋体" w:hAnsi="宋体" w:cs="Tahoma"/>
                <w:b w:val="0"/>
                <w:bCs w:val="0"/>
                <w:color w:val="auto"/>
                <w:szCs w:val="21"/>
                <w:highlight w:val="none"/>
              </w:rPr>
              <w:t>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4F83E497">
            <w:pPr>
              <w:widowControl/>
              <w:spacing w:line="440" w:lineRule="exact"/>
              <w:jc w:val="center"/>
              <w:rPr>
                <w:rFonts w:hint="eastAsia" w:ascii="宋体" w:hAnsi="宋体" w:eastAsia="宋体" w:cs="Tahoma"/>
                <w:b w:val="0"/>
                <w:bCs w:val="0"/>
                <w:color w:val="auto"/>
                <w:szCs w:val="21"/>
                <w:highlight w:val="none"/>
                <w:lang w:eastAsia="zh-CN"/>
              </w:rPr>
            </w:pPr>
            <w:r>
              <w:rPr>
                <w:rFonts w:ascii="宋体" w:hAnsi="宋体" w:cs="Tahoma"/>
                <w:b w:val="0"/>
                <w:bCs w:val="0"/>
                <w:color w:val="auto"/>
                <w:szCs w:val="21"/>
                <w:highlight w:val="none"/>
              </w:rPr>
              <w:t>价格分</w:t>
            </w:r>
            <w:r>
              <w:rPr>
                <w:rFonts w:hint="eastAsia" w:ascii="宋体" w:hAnsi="宋体" w:cs="Tahoma"/>
                <w:b w:val="0"/>
                <w:bCs w:val="0"/>
                <w:color w:val="auto"/>
                <w:szCs w:val="21"/>
                <w:highlight w:val="none"/>
                <w:lang w:eastAsia="zh-CN"/>
              </w:rPr>
              <w:t>（</w:t>
            </w:r>
            <w:r>
              <w:rPr>
                <w:rFonts w:hint="eastAsia" w:ascii="宋体" w:hAnsi="宋体" w:cs="Tahoma"/>
                <w:b w:val="0"/>
                <w:bCs w:val="0"/>
                <w:color w:val="auto"/>
                <w:szCs w:val="21"/>
                <w:highlight w:val="none"/>
                <w:lang w:val="en-US" w:eastAsia="zh-CN"/>
              </w:rPr>
              <w:t>满分20分</w:t>
            </w:r>
            <w:r>
              <w:rPr>
                <w:rFonts w:hint="eastAsia" w:ascii="宋体" w:hAnsi="宋体" w:cs="Tahoma"/>
                <w:b w:val="0"/>
                <w:bCs w:val="0"/>
                <w:color w:val="auto"/>
                <w:szCs w:val="21"/>
                <w:highlight w:val="none"/>
                <w:lang w:eastAsia="zh-CN"/>
              </w:rPr>
              <w:t>）</w:t>
            </w:r>
          </w:p>
        </w:tc>
        <w:tc>
          <w:tcPr>
            <w:tcW w:w="6285" w:type="dxa"/>
            <w:tcBorders>
              <w:top w:val="single" w:color="000000" w:sz="4" w:space="0"/>
              <w:left w:val="single" w:color="000000" w:sz="4" w:space="0"/>
              <w:bottom w:val="single" w:color="000000" w:sz="4" w:space="0"/>
            </w:tcBorders>
            <w:noWrap w:val="0"/>
            <w:tcMar>
              <w:left w:w="103" w:type="dxa"/>
            </w:tcMar>
            <w:vAlign w:val="top"/>
          </w:tcPr>
          <w:p w14:paraId="1F308514">
            <w:pPr>
              <w:snapToGrid w:val="0"/>
              <w:spacing w:line="360" w:lineRule="auto"/>
              <w:ind w:firstLine="441" w:firstLineChars="210"/>
              <w:rPr>
                <w:rFonts w:ascii="宋体" w:hAnsi="宋体" w:cs="宋体"/>
                <w:bCs/>
                <w:color w:val="auto"/>
                <w:szCs w:val="21"/>
                <w:highlight w:val="none"/>
              </w:rPr>
            </w:pPr>
            <w:r>
              <w:rPr>
                <w:rFonts w:ascii="宋体" w:hAnsi="宋体" w:cs="宋体"/>
                <w:bCs/>
                <w:color w:val="auto"/>
                <w:szCs w:val="21"/>
                <w:highlight w:val="none"/>
              </w:rPr>
              <w:t>（1）本项目属于专门面向中小企业采购的项目，故不再对各供应商的竞标报价进行政策性扣减。最终成交人的成交金额等于</w:t>
            </w:r>
            <w:r>
              <w:rPr>
                <w:color w:val="auto"/>
                <w:highlight w:val="none"/>
              </w:rPr>
              <w:t>最后报价</w:t>
            </w:r>
            <w:r>
              <w:rPr>
                <w:rFonts w:ascii="宋体" w:hAnsi="宋体" w:cs="宋体"/>
                <w:bCs/>
                <w:color w:val="auto"/>
                <w:szCs w:val="21"/>
                <w:highlight w:val="none"/>
              </w:rPr>
              <w:t>。</w:t>
            </w:r>
          </w:p>
          <w:p w14:paraId="4E251986">
            <w:pPr>
              <w:snapToGrid w:val="0"/>
              <w:spacing w:line="360" w:lineRule="auto"/>
              <w:ind w:firstLine="441" w:firstLineChars="210"/>
              <w:rPr>
                <w:rFonts w:ascii="宋体" w:hAnsi="宋体" w:cs="宋体"/>
                <w:bCs/>
                <w:color w:val="auto"/>
                <w:szCs w:val="21"/>
                <w:highlight w:val="none"/>
              </w:rPr>
            </w:pPr>
            <w:r>
              <w:rPr>
                <w:rFonts w:ascii="宋体" w:hAnsi="宋体" w:cs="宋体"/>
                <w:bCs/>
                <w:color w:val="auto"/>
                <w:szCs w:val="21"/>
                <w:highlight w:val="none"/>
              </w:rPr>
              <w:t>（2）满足竞争性磋商文件要求且</w:t>
            </w:r>
            <w:r>
              <w:rPr>
                <w:color w:val="auto"/>
                <w:highlight w:val="none"/>
              </w:rPr>
              <w:t>最低的最后报价</w:t>
            </w:r>
            <w:r>
              <w:rPr>
                <w:rFonts w:ascii="宋体" w:hAnsi="宋体" w:cs="宋体"/>
                <w:bCs/>
                <w:color w:val="auto"/>
                <w:szCs w:val="21"/>
                <w:highlight w:val="none"/>
              </w:rPr>
              <w:t>为评审基准价，其价格分为满分。</w:t>
            </w:r>
          </w:p>
          <w:p w14:paraId="0635E78F">
            <w:pPr>
              <w:snapToGrid w:val="0"/>
              <w:spacing w:line="440" w:lineRule="exact"/>
              <w:ind w:firstLine="443"/>
              <w:rPr>
                <w:rFonts w:ascii="宋体" w:hAnsi="宋体" w:cs="宋体"/>
                <w:b w:val="0"/>
                <w:bCs w:val="0"/>
                <w:color w:val="auto"/>
                <w:sz w:val="21"/>
                <w:szCs w:val="21"/>
                <w:highlight w:val="none"/>
              </w:rPr>
            </w:pPr>
            <w:r>
              <w:rPr>
                <w:rFonts w:cs="宋体"/>
                <w:bCs/>
                <w:color w:val="auto"/>
                <w:highlight w:val="none"/>
              </w:rPr>
              <w:t>（3）某供应商价格分=（基准价/供应商的最后报价）×</w:t>
            </w:r>
            <w:r>
              <w:rPr>
                <w:rFonts w:hint="eastAsia" w:cs="宋体"/>
                <w:bCs/>
                <w:color w:val="auto"/>
                <w:highlight w:val="none"/>
                <w:lang w:val="en-US" w:eastAsia="zh-CN"/>
              </w:rPr>
              <w:t>20</w:t>
            </w:r>
            <w:r>
              <w:rPr>
                <w:rFonts w:cs="宋体"/>
                <w:bCs/>
                <w:color w:val="auto"/>
                <w:highlight w:val="none"/>
              </w:rPr>
              <w:t>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1C34ED6B">
            <w:pPr>
              <w:widowControl/>
              <w:spacing w:line="360" w:lineRule="auto"/>
              <w:jc w:val="center"/>
              <w:rPr>
                <w:rFonts w:ascii="宋体" w:hAnsi="宋体" w:cs="Tahoma"/>
                <w:b w:val="0"/>
                <w:bCs w:val="0"/>
                <w:color w:val="auto"/>
                <w:szCs w:val="21"/>
                <w:highlight w:val="none"/>
              </w:rPr>
            </w:pPr>
            <w:r>
              <w:rPr>
                <w:rFonts w:hint="eastAsia" w:ascii="宋体" w:hAnsi="宋体" w:cs="Tahoma"/>
                <w:b w:val="0"/>
                <w:bCs w:val="0"/>
                <w:color w:val="auto"/>
                <w:szCs w:val="21"/>
                <w:highlight w:val="none"/>
                <w:lang w:val="en-US" w:eastAsia="zh-CN"/>
              </w:rPr>
              <w:t>满分20</w:t>
            </w:r>
            <w:r>
              <w:rPr>
                <w:rFonts w:ascii="宋体" w:hAnsi="宋体" w:cs="Tahoma"/>
                <w:b w:val="0"/>
                <w:bCs w:val="0"/>
                <w:color w:val="auto"/>
                <w:szCs w:val="21"/>
                <w:highlight w:val="none"/>
              </w:rPr>
              <w:t>分</w:t>
            </w:r>
          </w:p>
        </w:tc>
      </w:tr>
      <w:tr w14:paraId="48899082">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12"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7E9A035A">
            <w:pPr>
              <w:widowControl/>
              <w:spacing w:line="440" w:lineRule="exact"/>
              <w:jc w:val="center"/>
              <w:rPr>
                <w:rFonts w:ascii="宋体" w:hAnsi="宋体" w:cs="Tahoma"/>
                <w:b w:val="0"/>
                <w:bCs w:val="0"/>
                <w:color w:val="auto"/>
                <w:szCs w:val="21"/>
                <w:highlight w:val="none"/>
              </w:rPr>
            </w:pPr>
            <w:r>
              <w:rPr>
                <w:rFonts w:ascii="宋体" w:hAnsi="宋体" w:cs="宋体"/>
                <w:b w:val="0"/>
                <w:bCs w:val="0"/>
                <w:color w:val="auto"/>
                <w:szCs w:val="21"/>
                <w:highlight w:val="none"/>
              </w:rPr>
              <w:t>2</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5C56D03D">
            <w:pPr>
              <w:widowControl/>
              <w:spacing w:line="440" w:lineRule="exact"/>
              <w:jc w:val="center"/>
              <w:rPr>
                <w:rFonts w:hint="eastAsia" w:ascii="宋体" w:hAnsi="宋体" w:eastAsia="宋体" w:cs="Tahoma"/>
                <w:b w:val="0"/>
                <w:bCs w:val="0"/>
                <w:color w:val="auto"/>
                <w:szCs w:val="21"/>
                <w:highlight w:val="none"/>
                <w:lang w:eastAsia="zh-CN"/>
              </w:rPr>
            </w:pPr>
            <w:r>
              <w:rPr>
                <w:rFonts w:ascii="宋体" w:hAnsi="宋体" w:cs="宋体"/>
                <w:b w:val="0"/>
                <w:bCs w:val="0"/>
                <w:color w:val="auto"/>
                <w:szCs w:val="21"/>
                <w:highlight w:val="none"/>
              </w:rPr>
              <w:t>技术分</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满分70分</w:t>
            </w:r>
            <w:r>
              <w:rPr>
                <w:rFonts w:hint="eastAsia" w:ascii="宋体" w:hAnsi="宋体" w:cs="宋体"/>
                <w:b w:val="0"/>
                <w:bCs w:val="0"/>
                <w:color w:val="auto"/>
                <w:szCs w:val="21"/>
                <w:highlight w:val="none"/>
                <w:lang w:eastAsia="zh-CN"/>
              </w:rPr>
              <w:t>）</w:t>
            </w:r>
          </w:p>
        </w:tc>
        <w:tc>
          <w:tcPr>
            <w:tcW w:w="7149" w:type="dxa"/>
            <w:gridSpan w:val="2"/>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7C1C0F37">
            <w:pPr>
              <w:widowControl/>
              <w:snapToGrid w:val="0"/>
              <w:spacing w:line="440" w:lineRule="exact"/>
              <w:ind w:firstLine="443"/>
              <w:jc w:val="center"/>
              <w:rPr>
                <w:rFonts w:ascii="宋体" w:hAnsi="宋体" w:cs="宋体"/>
                <w:b w:val="0"/>
                <w:bCs w:val="0"/>
                <w:color w:val="auto"/>
                <w:szCs w:val="21"/>
                <w:highlight w:val="none"/>
              </w:rPr>
            </w:pPr>
            <w:r>
              <w:rPr>
                <w:rFonts w:ascii="宋体" w:hAnsi="宋体" w:cs="宋体"/>
                <w:b w:val="0"/>
                <w:bCs w:val="0"/>
                <w:color w:val="auto"/>
                <w:szCs w:val="21"/>
                <w:highlight w:val="none"/>
              </w:rPr>
              <w:t>评审因素</w:t>
            </w:r>
          </w:p>
        </w:tc>
      </w:tr>
      <w:tr w14:paraId="088CC2EE">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5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01D3F61D">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6BC6C7A0">
            <w:pPr>
              <w:spacing w:line="440" w:lineRule="exact"/>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项目整体组织实施方案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2612F97B">
            <w:pPr>
              <w:autoSpaceDE/>
              <w:snapToGrid w:val="0"/>
              <w:spacing w:line="440" w:lineRule="exact"/>
              <w:ind w:firstLine="443"/>
              <w:jc w:val="left"/>
              <w:rPr>
                <w:rFonts w:ascii="宋体" w:hAnsi="宋体" w:cs="宋体"/>
                <w:b w:val="0"/>
                <w:bCs w:val="0"/>
                <w:color w:val="auto"/>
                <w:szCs w:val="21"/>
                <w:highlight w:val="none"/>
              </w:rPr>
            </w:pPr>
            <w:r>
              <w:rPr>
                <w:rFonts w:ascii="宋体" w:hAnsi="宋体" w:cs="宋体"/>
                <w:b w:val="0"/>
                <w:bCs w:val="0"/>
                <w:color w:val="auto"/>
                <w:szCs w:val="21"/>
                <w:highlight w:val="none"/>
              </w:rPr>
              <w:t>由磋商小组成员根据供应商提供的项目整体组织实施方案（包含但不限于以下内容：①对项目需求服务的理解②项目前期准备③抽检监测时间安排④整体工作进度等）进行独立评审，并独立打分。</w:t>
            </w:r>
          </w:p>
          <w:p w14:paraId="626DA887">
            <w:pPr>
              <w:snapToGrid w:val="0"/>
              <w:spacing w:line="440" w:lineRule="exact"/>
              <w:ind w:firstLine="443"/>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一档(</w:t>
            </w:r>
            <w:r>
              <w:rPr>
                <w:rFonts w:hint="eastAsia" w:ascii="宋体" w:hAnsi="宋体" w:cs="宋体"/>
                <w:b w:val="0"/>
                <w:bCs w:val="0"/>
                <w:color w:val="auto"/>
                <w:sz w:val="21"/>
                <w:szCs w:val="21"/>
                <w:highlight w:val="none"/>
                <w:lang w:val="en-US" w:eastAsia="zh-CN"/>
              </w:rPr>
              <w:t>0</w:t>
            </w:r>
            <w:r>
              <w:rPr>
                <w:rFonts w:ascii="宋体" w:hAnsi="宋体" w:eastAsia="宋体" w:cs="宋体"/>
                <w:b w:val="0"/>
                <w:bCs w:val="0"/>
                <w:color w:val="auto"/>
                <w:sz w:val="21"/>
                <w:szCs w:val="21"/>
                <w:highlight w:val="none"/>
              </w:rPr>
              <w:t>分)：供应商提供有整体组织实施方案，但方案内容不完整，缺少上述4项要求或其中任意一项的；</w:t>
            </w:r>
          </w:p>
          <w:p w14:paraId="25F71F88">
            <w:pPr>
              <w:snapToGrid w:val="0"/>
              <w:spacing w:line="440" w:lineRule="exact"/>
              <w:ind w:firstLine="443"/>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二档（</w:t>
            </w:r>
            <w:r>
              <w:rPr>
                <w:rFonts w:hint="eastAsia" w:ascii="宋体" w:hAnsi="宋体" w:cs="宋体"/>
                <w:b w:val="0"/>
                <w:bCs w:val="0"/>
                <w:color w:val="auto"/>
                <w:sz w:val="21"/>
                <w:szCs w:val="21"/>
                <w:highlight w:val="none"/>
                <w:lang w:val="en-US" w:eastAsia="zh-CN"/>
              </w:rPr>
              <w:t>3</w:t>
            </w:r>
            <w:r>
              <w:rPr>
                <w:rFonts w:ascii="宋体" w:hAnsi="宋体" w:eastAsia="宋体" w:cs="宋体"/>
                <w:b w:val="0"/>
                <w:bCs w:val="0"/>
                <w:color w:val="auto"/>
                <w:sz w:val="21"/>
                <w:szCs w:val="21"/>
                <w:highlight w:val="none"/>
              </w:rPr>
              <w:t>分）：供应商提供有基本的整体组织实施方案，方案内容包含有对项目需求服务的理解、项目前期准备、抽检监测时间安排、整体工作进度等，但内容不够全面；</w:t>
            </w:r>
          </w:p>
          <w:p w14:paraId="7C0C2CC3">
            <w:pPr>
              <w:snapToGrid w:val="0"/>
              <w:spacing w:line="440" w:lineRule="exact"/>
              <w:ind w:firstLine="443"/>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三档（</w:t>
            </w:r>
            <w:r>
              <w:rPr>
                <w:rFonts w:hint="eastAsia" w:ascii="宋体" w:hAnsi="宋体" w:cs="宋体"/>
                <w:b w:val="0"/>
                <w:bCs w:val="0"/>
                <w:color w:val="auto"/>
                <w:sz w:val="21"/>
                <w:szCs w:val="21"/>
                <w:highlight w:val="none"/>
                <w:lang w:val="en-US" w:eastAsia="zh-CN"/>
              </w:rPr>
              <w:t>5</w:t>
            </w:r>
            <w:r>
              <w:rPr>
                <w:rFonts w:ascii="宋体" w:hAnsi="宋体" w:eastAsia="宋体" w:cs="宋体"/>
                <w:b w:val="0"/>
                <w:bCs w:val="0"/>
                <w:color w:val="auto"/>
                <w:sz w:val="21"/>
                <w:szCs w:val="21"/>
                <w:highlight w:val="none"/>
              </w:rPr>
              <w:t>分）：供应商提供有基本的整体组织实施方案，方案内容包含有对项目需求服务的理解、项目前期准备、抽检监测时间安排、整体工作进度等，且方案同时包含有项目整体实施进度计划横道图或网络图、项目管理组织机构框架图，内容基本齐全，各项保证措施基本合理可行，但针对性较差；</w:t>
            </w:r>
          </w:p>
          <w:p w14:paraId="43CDEF83">
            <w:pPr>
              <w:snapToGrid w:val="0"/>
              <w:spacing w:line="440" w:lineRule="exact"/>
              <w:ind w:firstLine="443"/>
              <w:rPr>
                <w:rFonts w:ascii="宋体" w:hAnsi="宋体" w:cs="宋体"/>
                <w:b w:val="0"/>
                <w:bCs w:val="0"/>
                <w:color w:val="auto"/>
                <w:sz w:val="21"/>
                <w:szCs w:val="21"/>
                <w:highlight w:val="none"/>
              </w:rPr>
            </w:pPr>
            <w:r>
              <w:rPr>
                <w:rFonts w:ascii="宋体" w:hAnsi="宋体" w:eastAsia="宋体" w:cs="宋体"/>
                <w:b w:val="0"/>
                <w:bCs w:val="0"/>
                <w:color w:val="auto"/>
                <w:sz w:val="21"/>
                <w:szCs w:val="21"/>
                <w:highlight w:val="none"/>
              </w:rPr>
              <w:t>四档(</w:t>
            </w:r>
            <w:r>
              <w:rPr>
                <w:rFonts w:hint="eastAsia" w:ascii="宋体" w:hAnsi="宋体" w:cs="宋体"/>
                <w:b w:val="0"/>
                <w:bCs w:val="0"/>
                <w:color w:val="auto"/>
                <w:sz w:val="21"/>
                <w:szCs w:val="21"/>
                <w:highlight w:val="none"/>
                <w:lang w:val="en-US" w:eastAsia="zh-CN"/>
              </w:rPr>
              <w:t>7</w:t>
            </w:r>
            <w:r>
              <w:rPr>
                <w:rFonts w:ascii="宋体" w:hAnsi="宋体" w:eastAsia="宋体" w:cs="宋体"/>
                <w:b w:val="0"/>
                <w:bCs w:val="0"/>
                <w:color w:val="auto"/>
                <w:sz w:val="21"/>
                <w:szCs w:val="21"/>
                <w:highlight w:val="none"/>
              </w:rPr>
              <w:t>分)：供应商提供有整体组织实施方案，方案内容包含有对项目需求服务的理解、项目前期准备、抽检监测时间安排、整体工作进度等，且方案同时包含有项目整体实施进度计划横道图或网络图、项目管理组织机构框架图，还包含了本项目实施过程中的重点和难点及保证措施、协助配合采购人抽样、验收的组织方案等内容，项目整体组织实施方案及各项保证措施科学合理可行，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2E7FB36D">
            <w:pPr>
              <w:spacing w:line="360" w:lineRule="auto"/>
              <w:jc w:val="center"/>
              <w:rPr>
                <w:rFonts w:ascii="宋体" w:hAnsi="宋体" w:cs="Courier New"/>
                <w:b w:val="0"/>
                <w:bCs w:val="0"/>
                <w:color w:val="auto"/>
                <w:szCs w:val="21"/>
                <w:highlight w:val="none"/>
              </w:rPr>
            </w:pPr>
            <w:r>
              <w:rPr>
                <w:rFonts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7</w:t>
            </w:r>
            <w:r>
              <w:rPr>
                <w:rFonts w:ascii="宋体" w:hAnsi="宋体" w:cs="宋体"/>
                <w:b w:val="0"/>
                <w:bCs w:val="0"/>
                <w:color w:val="auto"/>
                <w:szCs w:val="21"/>
                <w:highlight w:val="none"/>
              </w:rPr>
              <w:t>分</w:t>
            </w:r>
          </w:p>
        </w:tc>
      </w:tr>
      <w:tr w14:paraId="725259F7">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5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6A86B1D5">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2.2</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5CE09F26">
            <w:pPr>
              <w:spacing w:line="440" w:lineRule="exact"/>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抽样方案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369D572C">
            <w:pPr>
              <w:pStyle w:val="185"/>
              <w:spacing w:line="440" w:lineRule="exact"/>
              <w:rPr>
                <w:rFonts w:cs="宋体"/>
                <w:b w:val="0"/>
                <w:bCs w:val="0"/>
                <w:color w:val="auto"/>
                <w:sz w:val="21"/>
                <w:highlight w:val="none"/>
              </w:rPr>
            </w:pPr>
            <w:r>
              <w:rPr>
                <w:rFonts w:cs="宋体"/>
                <w:b w:val="0"/>
                <w:bCs w:val="0"/>
                <w:color w:val="auto"/>
                <w:sz w:val="21"/>
                <w:highlight w:val="none"/>
              </w:rPr>
              <w:t>由磋商小组成员根据供应商提供的抽样方案（包含但不限于以下内容：①抽样检验前准备工作②抽样过程合法合规性保证③抽样工作实施④样品保存和运输方法等）进行独立评审，并独立打分。</w:t>
            </w:r>
          </w:p>
          <w:p w14:paraId="4F769A53">
            <w:pPr>
              <w:pStyle w:val="20"/>
              <w:spacing w:line="440" w:lineRule="exact"/>
              <w:ind w:firstLine="420"/>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一档(</w:t>
            </w:r>
            <w:r>
              <w:rPr>
                <w:rFonts w:hint="eastAsia" w:ascii="宋体" w:hAnsi="宋体" w:eastAsia="宋体" w:cs="宋体"/>
                <w:b w:val="0"/>
                <w:bCs w:val="0"/>
                <w:color w:val="auto"/>
                <w:sz w:val="21"/>
                <w:szCs w:val="21"/>
                <w:highlight w:val="none"/>
                <w:lang w:val="en-US" w:eastAsia="zh-CN"/>
              </w:rPr>
              <w:t>0</w:t>
            </w:r>
            <w:r>
              <w:rPr>
                <w:rFonts w:ascii="宋体" w:hAnsi="宋体" w:eastAsia="宋体" w:cs="宋体"/>
                <w:b w:val="0"/>
                <w:bCs w:val="0"/>
                <w:color w:val="auto"/>
                <w:sz w:val="21"/>
                <w:szCs w:val="21"/>
                <w:highlight w:val="none"/>
              </w:rPr>
              <w:t>分)：供应商提供的抽样方案，但方案内容不完整，缺少上述4项要求或其中任意一项的；</w:t>
            </w:r>
          </w:p>
          <w:p w14:paraId="1534057B">
            <w:pPr>
              <w:spacing w:line="440" w:lineRule="exact"/>
              <w:ind w:firstLine="420"/>
              <w:jc w:val="left"/>
              <w:rPr>
                <w:rFonts w:ascii="宋体" w:hAnsi="宋体" w:cs="宋体"/>
                <w:b w:val="0"/>
                <w:bCs w:val="0"/>
                <w:color w:val="auto"/>
                <w:szCs w:val="21"/>
                <w:highlight w:val="none"/>
              </w:rPr>
            </w:pPr>
            <w:r>
              <w:rPr>
                <w:rFonts w:ascii="宋体" w:hAnsi="宋体" w:cs="宋体"/>
                <w:b w:val="0"/>
                <w:bCs w:val="0"/>
                <w:color w:val="auto"/>
                <w:szCs w:val="21"/>
                <w:highlight w:val="none"/>
              </w:rPr>
              <w:t>二档（</w:t>
            </w:r>
            <w:r>
              <w:rPr>
                <w:rFonts w:hint="eastAsia" w:ascii="宋体" w:hAnsi="宋体" w:cs="宋体"/>
                <w:b w:val="0"/>
                <w:bCs w:val="0"/>
                <w:color w:val="auto"/>
                <w:szCs w:val="21"/>
                <w:highlight w:val="none"/>
                <w:lang w:val="en-US" w:eastAsia="zh-CN"/>
              </w:rPr>
              <w:t>4</w:t>
            </w:r>
            <w:r>
              <w:rPr>
                <w:rFonts w:ascii="宋体" w:hAnsi="宋体" w:cs="宋体"/>
                <w:b w:val="0"/>
                <w:bCs w:val="0"/>
                <w:color w:val="auto"/>
                <w:szCs w:val="21"/>
                <w:highlight w:val="none"/>
              </w:rPr>
              <w:t>分）：供应商提供有基本的抽样方案，方案内容包含有抽样检验前准备工作、抽样过程合法合规性保证、抽样工作实施、样品保存和运输方法等，但内容不够全面；</w:t>
            </w:r>
          </w:p>
          <w:p w14:paraId="39ECB420">
            <w:pPr>
              <w:spacing w:line="440" w:lineRule="exact"/>
              <w:ind w:firstLine="420"/>
              <w:jc w:val="left"/>
              <w:rPr>
                <w:rFonts w:ascii="宋体" w:hAnsi="宋体" w:cs="宋体"/>
                <w:b w:val="0"/>
                <w:bCs w:val="0"/>
                <w:color w:val="auto"/>
                <w:szCs w:val="21"/>
                <w:highlight w:val="none"/>
              </w:rPr>
            </w:pPr>
            <w:r>
              <w:rPr>
                <w:rFonts w:ascii="宋体" w:hAnsi="宋体" w:cs="宋体"/>
                <w:b w:val="0"/>
                <w:bCs w:val="0"/>
                <w:color w:val="auto"/>
                <w:szCs w:val="21"/>
                <w:highlight w:val="none"/>
              </w:rPr>
              <w:t>三档(</w:t>
            </w:r>
            <w:r>
              <w:rPr>
                <w:rFonts w:hint="eastAsia" w:ascii="宋体" w:hAnsi="宋体" w:cs="宋体"/>
                <w:b w:val="0"/>
                <w:bCs w:val="0"/>
                <w:color w:val="auto"/>
                <w:szCs w:val="21"/>
                <w:highlight w:val="none"/>
                <w:lang w:val="en-US" w:eastAsia="zh-CN"/>
              </w:rPr>
              <w:t>6</w:t>
            </w:r>
            <w:r>
              <w:rPr>
                <w:rFonts w:ascii="宋体" w:hAnsi="宋体" w:cs="宋体"/>
                <w:b w:val="0"/>
                <w:bCs w:val="0"/>
                <w:color w:val="auto"/>
                <w:szCs w:val="21"/>
                <w:highlight w:val="none"/>
              </w:rPr>
              <w:t>分)：供应商提供有基本的抽样方案，方案内容包含有抽样检验前准备工作、抽样过程合法合规性保证、抽样工作实施、样品保存和运输方法等，内容基本齐全，各项保证措施基本合理可行，但针对性较差；</w:t>
            </w:r>
          </w:p>
          <w:p w14:paraId="31D8AAA2">
            <w:pPr>
              <w:pStyle w:val="186"/>
              <w:spacing w:line="440" w:lineRule="exact"/>
              <w:rPr>
                <w:rFonts w:ascii="宋体" w:hAnsi="宋体" w:cs="宋体"/>
                <w:b w:val="0"/>
                <w:bCs w:val="0"/>
                <w:color w:val="auto"/>
                <w:szCs w:val="21"/>
                <w:highlight w:val="none"/>
              </w:rPr>
            </w:pPr>
            <w:r>
              <w:rPr>
                <w:rFonts w:ascii="宋体" w:hAnsi="宋体" w:cs="宋体"/>
                <w:b w:val="0"/>
                <w:bCs w:val="0"/>
                <w:color w:val="auto"/>
                <w:szCs w:val="21"/>
                <w:highlight w:val="none"/>
              </w:rPr>
              <w:t>四档(</w:t>
            </w:r>
            <w:r>
              <w:rPr>
                <w:rFonts w:hint="eastAsia" w:ascii="宋体" w:hAnsi="宋体" w:cs="宋体"/>
                <w:b w:val="0"/>
                <w:bCs w:val="0"/>
                <w:color w:val="auto"/>
                <w:szCs w:val="21"/>
                <w:highlight w:val="none"/>
                <w:lang w:val="en-US" w:eastAsia="zh-CN"/>
              </w:rPr>
              <w:t>8</w:t>
            </w:r>
            <w:r>
              <w:rPr>
                <w:rFonts w:ascii="宋体" w:hAnsi="宋体" w:cs="宋体"/>
                <w:b w:val="0"/>
                <w:bCs w:val="0"/>
                <w:color w:val="auto"/>
                <w:szCs w:val="21"/>
                <w:highlight w:val="none"/>
              </w:rPr>
              <w:t>分)：供应商提供有抽样方案，方案内容包含有抽样检验前准备工作、抽样过程合法合规性保证、抽样工作实施、样品保存和运输方法等，且在符合项目实际情况的基础上，方案内容更详尽，为采购人考虑周全，能够精准把握本项目重点难点，各项保证措施科学合理可行，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35A60789">
            <w:pPr>
              <w:spacing w:line="360" w:lineRule="auto"/>
              <w:jc w:val="center"/>
              <w:rPr>
                <w:rFonts w:ascii="宋体" w:hAnsi="宋体" w:cs="Courier New"/>
                <w:b w:val="0"/>
                <w:bCs w:val="0"/>
                <w:color w:val="auto"/>
                <w:szCs w:val="21"/>
                <w:highlight w:val="none"/>
              </w:rPr>
            </w:pPr>
          </w:p>
          <w:p w14:paraId="66EB16C5">
            <w:pPr>
              <w:spacing w:line="360" w:lineRule="auto"/>
              <w:jc w:val="center"/>
              <w:rPr>
                <w:rFonts w:ascii="宋体" w:hAnsi="宋体" w:cs="Courier New"/>
                <w:b w:val="0"/>
                <w:bCs w:val="0"/>
                <w:color w:val="auto"/>
                <w:szCs w:val="21"/>
                <w:highlight w:val="none"/>
              </w:rPr>
            </w:pPr>
          </w:p>
          <w:p w14:paraId="105E22AD">
            <w:pPr>
              <w:spacing w:line="360" w:lineRule="auto"/>
              <w:jc w:val="center"/>
              <w:rPr>
                <w:rFonts w:ascii="宋体" w:hAnsi="宋体" w:cs="Courier New"/>
                <w:b w:val="0"/>
                <w:bCs w:val="0"/>
                <w:color w:val="auto"/>
                <w:szCs w:val="21"/>
                <w:highlight w:val="none"/>
              </w:rPr>
            </w:pPr>
          </w:p>
          <w:p w14:paraId="0B3FC3D6">
            <w:pPr>
              <w:spacing w:line="360" w:lineRule="auto"/>
              <w:jc w:val="center"/>
              <w:rPr>
                <w:rFonts w:ascii="宋体" w:hAnsi="宋体" w:cs="Courier New"/>
                <w:b w:val="0"/>
                <w:bCs w:val="0"/>
                <w:color w:val="auto"/>
                <w:szCs w:val="21"/>
                <w:highlight w:val="none"/>
              </w:rPr>
            </w:pPr>
            <w:r>
              <w:rPr>
                <w:rFonts w:ascii="宋体" w:hAnsi="宋体" w:cs="Courier New"/>
                <w:b w:val="0"/>
                <w:bCs w:val="0"/>
                <w:color w:val="auto"/>
                <w:szCs w:val="21"/>
                <w:highlight w:val="none"/>
              </w:rPr>
              <w:t>满分</w:t>
            </w:r>
            <w:r>
              <w:rPr>
                <w:rFonts w:hint="eastAsia" w:ascii="宋体" w:hAnsi="宋体" w:cs="Courier New"/>
                <w:b w:val="0"/>
                <w:bCs w:val="0"/>
                <w:color w:val="auto"/>
                <w:szCs w:val="21"/>
                <w:highlight w:val="none"/>
                <w:lang w:val="en-US" w:eastAsia="zh-CN"/>
              </w:rPr>
              <w:t xml:space="preserve">  8</w:t>
            </w:r>
            <w:r>
              <w:rPr>
                <w:rFonts w:ascii="宋体" w:hAnsi="宋体" w:cs="Courier New"/>
                <w:b w:val="0"/>
                <w:bCs w:val="0"/>
                <w:color w:val="auto"/>
                <w:szCs w:val="21"/>
                <w:highlight w:val="none"/>
              </w:rPr>
              <w:t>分</w:t>
            </w:r>
          </w:p>
        </w:tc>
      </w:tr>
      <w:tr w14:paraId="58D624C9">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5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43DA691D">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2.3</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5BD6AD57">
            <w:pPr>
              <w:spacing w:line="440" w:lineRule="exact"/>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检测方案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23CAC5AF">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由磋商小组成员根据供应商提供的检测方案（包含但不限于以下内容：①检验项目②检验依据及检测方法③数据处理与质量控制④检验过程的质量控制等）进行独立评审，并独立打分。</w:t>
            </w:r>
          </w:p>
          <w:p w14:paraId="090D2B6A">
            <w:pPr>
              <w:snapToGrid w:val="0"/>
              <w:spacing w:line="440" w:lineRule="exact"/>
              <w:ind w:firstLine="443"/>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一档（</w:t>
            </w:r>
            <w:r>
              <w:rPr>
                <w:rFonts w:hint="eastAsia" w:ascii="宋体" w:hAnsi="宋体" w:cs="宋体"/>
                <w:b w:val="0"/>
                <w:bCs w:val="0"/>
                <w:color w:val="auto"/>
                <w:szCs w:val="21"/>
                <w:highlight w:val="none"/>
                <w:lang w:val="en-US" w:eastAsia="zh-CN"/>
              </w:rPr>
              <w:t>0</w:t>
            </w:r>
            <w:r>
              <w:rPr>
                <w:rFonts w:ascii="宋体" w:hAnsi="宋体" w:cs="宋体"/>
                <w:b w:val="0"/>
                <w:bCs w:val="0"/>
                <w:color w:val="auto"/>
                <w:szCs w:val="21"/>
                <w:highlight w:val="none"/>
              </w:rPr>
              <w:t>分）：供应商提供的检测方案，但方案内容不完整，缺少上述4项要求或其中任意一项的；</w:t>
            </w:r>
          </w:p>
          <w:p w14:paraId="66A56499">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二档（</w:t>
            </w:r>
            <w:r>
              <w:rPr>
                <w:rFonts w:hint="eastAsia" w:ascii="宋体" w:hAnsi="宋体" w:cs="宋体"/>
                <w:b w:val="0"/>
                <w:bCs w:val="0"/>
                <w:color w:val="auto"/>
                <w:szCs w:val="21"/>
                <w:highlight w:val="none"/>
                <w:lang w:val="en-US" w:eastAsia="zh-CN"/>
              </w:rPr>
              <w:t>4</w:t>
            </w:r>
            <w:r>
              <w:rPr>
                <w:rFonts w:ascii="宋体" w:hAnsi="宋体" w:cs="宋体"/>
                <w:b w:val="0"/>
                <w:bCs w:val="0"/>
                <w:color w:val="auto"/>
                <w:szCs w:val="21"/>
                <w:highlight w:val="none"/>
              </w:rPr>
              <w:t>分）：供应商提供有基本的检测方案，方案内容包含有检验项目、检验依据及检测方法、数据处理与质量控制、检验过程的质量控制等，但内容不够全面；</w:t>
            </w:r>
          </w:p>
          <w:p w14:paraId="190B45C3">
            <w:pPr>
              <w:snapToGrid w:val="0"/>
              <w:spacing w:line="440" w:lineRule="exact"/>
              <w:ind w:firstLine="443"/>
              <w:rPr>
                <w:rFonts w:ascii="宋体" w:hAnsi="宋体" w:cs="宋体"/>
                <w:b w:val="0"/>
                <w:bCs w:val="0"/>
                <w:color w:val="auto"/>
                <w:szCs w:val="21"/>
                <w:highlight w:val="none"/>
              </w:rPr>
            </w:pPr>
            <w:r>
              <w:rPr>
                <w:rFonts w:ascii="宋体" w:hAnsi="宋体" w:cs="宋体"/>
                <w:b w:val="0"/>
                <w:bCs w:val="0"/>
                <w:color w:val="auto"/>
                <w:szCs w:val="21"/>
                <w:highlight w:val="none"/>
              </w:rPr>
              <w:t>三档（</w:t>
            </w:r>
            <w:r>
              <w:rPr>
                <w:rFonts w:hint="eastAsia" w:ascii="宋体" w:hAnsi="宋体" w:cs="宋体"/>
                <w:b w:val="0"/>
                <w:bCs w:val="0"/>
                <w:color w:val="auto"/>
                <w:szCs w:val="21"/>
                <w:highlight w:val="none"/>
                <w:lang w:val="en-US" w:eastAsia="zh-CN"/>
              </w:rPr>
              <w:t>6</w:t>
            </w:r>
            <w:r>
              <w:rPr>
                <w:rFonts w:ascii="宋体" w:hAnsi="宋体" w:cs="宋体"/>
                <w:b w:val="0"/>
                <w:bCs w:val="0"/>
                <w:color w:val="auto"/>
                <w:szCs w:val="21"/>
                <w:highlight w:val="none"/>
              </w:rPr>
              <w:t>分）：供应商提供有基本的检测方案，方案内容包含有检验项目、检验依据及检测方法、数据处理与质量控制、检验过程的质量控制等，使用检验依据和检测方法基本合理，各项保证措施基本合理可行，但针对性较差；</w:t>
            </w:r>
          </w:p>
          <w:p w14:paraId="51F7B3C9">
            <w:pPr>
              <w:snapToGrid w:val="0"/>
              <w:spacing w:line="440" w:lineRule="exact"/>
              <w:ind w:firstLine="443"/>
              <w:rPr>
                <w:rFonts w:ascii="宋体" w:hAnsi="宋体" w:cs="宋体"/>
                <w:b w:val="0"/>
                <w:bCs w:val="0"/>
                <w:color w:val="auto"/>
                <w:szCs w:val="21"/>
                <w:highlight w:val="none"/>
              </w:rPr>
            </w:pPr>
            <w:r>
              <w:rPr>
                <w:rFonts w:hint="default" w:ascii="宋体" w:hAnsi="宋体" w:cs="宋体"/>
                <w:b w:val="0"/>
                <w:bCs w:val="0"/>
                <w:color w:val="auto"/>
                <w:szCs w:val="21"/>
                <w:highlight w:val="none"/>
              </w:rPr>
              <w:t>四</w:t>
            </w:r>
            <w:r>
              <w:rPr>
                <w:rFonts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8</w:t>
            </w:r>
            <w:r>
              <w:rPr>
                <w:rFonts w:ascii="宋体" w:hAnsi="宋体" w:cs="宋体"/>
                <w:b w:val="0"/>
                <w:bCs w:val="0"/>
                <w:color w:val="auto"/>
                <w:szCs w:val="21"/>
                <w:highlight w:val="none"/>
              </w:rPr>
              <w:t>分）：供应商提供有检测方案，方案内容包含有检验项目、检验依据及检测方法、数据处理与质量控制、检验过程的质量控制等，且在符合项目实际情况的基础上，使用检验依据和检测方法科学合理，方案内容更详尽，为采购人考虑周全，能够精准把握本项目重点难点，各项保证措施科学合理可行，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0B047B9C">
            <w:pPr>
              <w:spacing w:line="360" w:lineRule="auto"/>
              <w:jc w:val="center"/>
              <w:rPr>
                <w:rFonts w:ascii="宋体" w:hAnsi="宋体" w:cs="Courier New"/>
                <w:b w:val="0"/>
                <w:bCs w:val="0"/>
                <w:color w:val="auto"/>
                <w:szCs w:val="21"/>
                <w:highlight w:val="none"/>
              </w:rPr>
            </w:pPr>
            <w:r>
              <w:rPr>
                <w:rFonts w:ascii="宋体" w:hAnsi="宋体" w:cs="Courier New"/>
                <w:b w:val="0"/>
                <w:bCs w:val="0"/>
                <w:color w:val="auto"/>
                <w:szCs w:val="21"/>
                <w:highlight w:val="none"/>
              </w:rPr>
              <w:t>满分</w:t>
            </w:r>
            <w:r>
              <w:rPr>
                <w:rFonts w:hint="eastAsia" w:ascii="宋体" w:hAnsi="宋体" w:cs="Courier New"/>
                <w:b w:val="0"/>
                <w:bCs w:val="0"/>
                <w:color w:val="auto"/>
                <w:szCs w:val="21"/>
                <w:highlight w:val="none"/>
                <w:lang w:val="en-US" w:eastAsia="zh-CN"/>
              </w:rPr>
              <w:t xml:space="preserve">  8</w:t>
            </w:r>
            <w:r>
              <w:rPr>
                <w:rFonts w:ascii="宋体" w:hAnsi="宋体" w:cs="Courier New"/>
                <w:b w:val="0"/>
                <w:bCs w:val="0"/>
                <w:color w:val="auto"/>
                <w:szCs w:val="21"/>
                <w:highlight w:val="none"/>
              </w:rPr>
              <w:t>分</w:t>
            </w:r>
          </w:p>
        </w:tc>
      </w:tr>
      <w:tr w14:paraId="1837481C">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90"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64AADCB5">
            <w:pPr>
              <w:spacing w:line="440" w:lineRule="exact"/>
              <w:ind w:left="-105" w:right="-105"/>
              <w:jc w:val="center"/>
              <w:textAlignment w:val="auto"/>
              <w:rPr>
                <w:rFonts w:ascii="宋体" w:hAnsi="宋体" w:cs="宋体"/>
                <w:b w:val="0"/>
                <w:bCs w:val="0"/>
                <w:color w:val="auto"/>
                <w:szCs w:val="21"/>
                <w:highlight w:val="none"/>
              </w:rPr>
            </w:pPr>
            <w:r>
              <w:rPr>
                <w:rFonts w:ascii="宋体" w:hAnsi="宋体" w:cs="宋体"/>
                <w:b w:val="0"/>
                <w:bCs w:val="0"/>
                <w:color w:val="auto"/>
                <w:szCs w:val="21"/>
                <w:highlight w:val="none"/>
              </w:rPr>
              <w:t>2.4</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03BF5915">
            <w:pPr>
              <w:spacing w:line="440" w:lineRule="exact"/>
              <w:jc w:val="center"/>
              <w:textAlignment w:val="auto"/>
              <w:rPr>
                <w:rFonts w:hint="eastAsia" w:ascii="宋体" w:hAnsi="宋体" w:eastAsia="宋体" w:cs="Courier New"/>
                <w:b w:val="0"/>
                <w:bCs w:val="0"/>
                <w:color w:val="auto"/>
                <w:szCs w:val="21"/>
                <w:highlight w:val="none"/>
                <w:lang w:eastAsia="zh-CN"/>
              </w:rPr>
            </w:pPr>
            <w:r>
              <w:rPr>
                <w:rFonts w:ascii="宋体" w:hAnsi="宋体" w:cs="宋体"/>
                <w:b w:val="0"/>
                <w:bCs w:val="0"/>
                <w:color w:val="auto"/>
                <w:szCs w:val="21"/>
                <w:highlight w:val="none"/>
              </w:rPr>
              <w:t>工作实施方案</w:t>
            </w:r>
          </w:p>
        </w:tc>
        <w:tc>
          <w:tcPr>
            <w:tcW w:w="6285" w:type="dxa"/>
            <w:tcBorders>
              <w:top w:val="single" w:color="000000" w:sz="4" w:space="0"/>
              <w:left w:val="single" w:color="000000" w:sz="4" w:space="0"/>
              <w:bottom w:val="single" w:color="000000" w:sz="4" w:space="0"/>
            </w:tcBorders>
            <w:noWrap w:val="0"/>
            <w:tcMar>
              <w:left w:w="103" w:type="dxa"/>
            </w:tcMar>
            <w:vAlign w:val="center"/>
          </w:tcPr>
          <w:p w14:paraId="1B6F322C">
            <w:pPr>
              <w:pStyle w:val="185"/>
              <w:spacing w:line="440" w:lineRule="exact"/>
              <w:rPr>
                <w:rFonts w:cs="宋体"/>
                <w:b w:val="0"/>
                <w:bCs w:val="0"/>
                <w:color w:val="auto"/>
                <w:sz w:val="21"/>
                <w:highlight w:val="none"/>
              </w:rPr>
            </w:pPr>
            <w:r>
              <w:rPr>
                <w:rFonts w:cs="宋体"/>
                <w:b w:val="0"/>
                <w:bCs w:val="0"/>
                <w:color w:val="auto"/>
                <w:sz w:val="21"/>
                <w:highlight w:val="none"/>
              </w:rPr>
              <w:t>由磋商小组成员根据供应商提供的工作实施方案（包含但不限于以下内容：①报告判定原则及结果报送要求②异议及后处理及备份样品处置规范③统计分析报告纲要及工作纪律④应急预案等）</w:t>
            </w:r>
          </w:p>
          <w:p w14:paraId="0C27815D">
            <w:pPr>
              <w:pStyle w:val="185"/>
              <w:spacing w:line="440" w:lineRule="exact"/>
              <w:rPr>
                <w:rFonts w:cs="宋体"/>
                <w:b w:val="0"/>
                <w:bCs w:val="0"/>
                <w:color w:val="auto"/>
                <w:sz w:val="21"/>
                <w:highlight w:val="none"/>
              </w:rPr>
            </w:pPr>
            <w:r>
              <w:rPr>
                <w:rFonts w:cs="宋体"/>
                <w:b w:val="0"/>
                <w:bCs w:val="0"/>
                <w:color w:val="auto"/>
                <w:sz w:val="21"/>
                <w:highlight w:val="none"/>
              </w:rPr>
              <w:t>下列标准进行独立评审，并独立打分。</w:t>
            </w:r>
          </w:p>
          <w:p w14:paraId="4774A0B8">
            <w:pPr>
              <w:pStyle w:val="20"/>
              <w:spacing w:line="440" w:lineRule="exact"/>
              <w:ind w:firstLine="420"/>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一档(</w:t>
            </w:r>
            <w:r>
              <w:rPr>
                <w:rFonts w:hint="eastAsia" w:ascii="宋体" w:hAnsi="宋体" w:eastAsia="宋体" w:cs="宋体"/>
                <w:b w:val="0"/>
                <w:bCs w:val="0"/>
                <w:color w:val="auto"/>
                <w:sz w:val="21"/>
                <w:szCs w:val="21"/>
                <w:highlight w:val="none"/>
                <w:lang w:val="en-US" w:eastAsia="zh-CN"/>
              </w:rPr>
              <w:t>0</w:t>
            </w:r>
            <w:r>
              <w:rPr>
                <w:rFonts w:ascii="宋体" w:hAnsi="宋体" w:eastAsia="宋体" w:cs="宋体"/>
                <w:b w:val="0"/>
                <w:bCs w:val="0"/>
                <w:color w:val="auto"/>
                <w:sz w:val="21"/>
                <w:szCs w:val="21"/>
                <w:highlight w:val="none"/>
              </w:rPr>
              <w:t>分)：供应商提供的工作实施方案，但方案内容不完整，缺少上述4项要求或其中任意一项的；</w:t>
            </w:r>
          </w:p>
          <w:p w14:paraId="7CB36FE6">
            <w:pPr>
              <w:pStyle w:val="20"/>
              <w:spacing w:line="440" w:lineRule="exact"/>
              <w:ind w:firstLine="420"/>
              <w:rPr>
                <w:rFonts w:ascii="宋体" w:hAnsi="宋体" w:eastAsia="宋体" w:cs="宋体"/>
                <w:b w:val="0"/>
                <w:bCs w:val="0"/>
                <w:color w:val="auto"/>
                <w:sz w:val="21"/>
                <w:szCs w:val="21"/>
                <w:highlight w:val="none"/>
              </w:rPr>
            </w:pPr>
            <w:r>
              <w:rPr>
                <w:rFonts w:ascii="宋体" w:hAnsi="宋体" w:eastAsia="宋体" w:cs="宋体"/>
                <w:b w:val="0"/>
                <w:bCs w:val="0"/>
                <w:color w:val="auto"/>
                <w:sz w:val="21"/>
                <w:szCs w:val="21"/>
                <w:highlight w:val="none"/>
              </w:rPr>
              <w:t>二档（</w:t>
            </w:r>
            <w:r>
              <w:rPr>
                <w:rFonts w:hint="eastAsia" w:ascii="宋体" w:hAnsi="宋体" w:eastAsia="宋体" w:cs="宋体"/>
                <w:b w:val="0"/>
                <w:bCs w:val="0"/>
                <w:color w:val="auto"/>
                <w:sz w:val="21"/>
                <w:szCs w:val="21"/>
                <w:highlight w:val="none"/>
                <w:lang w:val="en-US" w:eastAsia="zh-CN"/>
              </w:rPr>
              <w:t>3</w:t>
            </w:r>
            <w:r>
              <w:rPr>
                <w:rFonts w:ascii="宋体" w:hAnsi="宋体" w:eastAsia="宋体" w:cs="宋体"/>
                <w:b w:val="0"/>
                <w:bCs w:val="0"/>
                <w:color w:val="auto"/>
                <w:sz w:val="21"/>
                <w:szCs w:val="21"/>
                <w:highlight w:val="none"/>
              </w:rPr>
              <w:t>分)；供应商提供有基本的工作实施方案，方案内容包含有报告判定原则及结果报送要求、异议及后处理及备份样品处置规范、统计分析报告纲要及工作纪律、应急预案等，但内容不够全面；</w:t>
            </w:r>
          </w:p>
          <w:p w14:paraId="1FA738AB">
            <w:pPr>
              <w:pStyle w:val="186"/>
              <w:spacing w:line="440" w:lineRule="exact"/>
              <w:rPr>
                <w:rFonts w:ascii="宋体" w:hAnsi="宋体" w:cs="宋体"/>
                <w:b w:val="0"/>
                <w:bCs w:val="0"/>
                <w:color w:val="auto"/>
                <w:szCs w:val="21"/>
                <w:highlight w:val="none"/>
              </w:rPr>
            </w:pPr>
            <w:r>
              <w:rPr>
                <w:rFonts w:ascii="宋体" w:hAnsi="宋体" w:cs="宋体"/>
                <w:b w:val="0"/>
                <w:bCs w:val="0"/>
                <w:color w:val="auto"/>
                <w:szCs w:val="21"/>
                <w:highlight w:val="none"/>
              </w:rPr>
              <w:t>三档（</w:t>
            </w:r>
            <w:r>
              <w:rPr>
                <w:rFonts w:hint="eastAsia" w:ascii="宋体" w:hAnsi="宋体" w:cs="宋体"/>
                <w:b w:val="0"/>
                <w:bCs w:val="0"/>
                <w:color w:val="auto"/>
                <w:szCs w:val="21"/>
                <w:highlight w:val="none"/>
                <w:lang w:val="en-US" w:eastAsia="zh-CN"/>
              </w:rPr>
              <w:t>5</w:t>
            </w:r>
            <w:r>
              <w:rPr>
                <w:rFonts w:ascii="宋体" w:hAnsi="宋体" w:cs="宋体"/>
                <w:b w:val="0"/>
                <w:bCs w:val="0"/>
                <w:color w:val="auto"/>
                <w:szCs w:val="21"/>
                <w:highlight w:val="none"/>
              </w:rPr>
              <w:t>分)：供应商提供有基本的工作实施方案，方案内容包含有报告判定原则及结果报送要求、异议及后处理及备份样品处置规范、统计分析报告纲要及工作纪律、应急预案等，内容基本齐全，基本能理解本次抽检任务的特点，各项内容有情况分析和说明，基本合理可行，但针对性较差；</w:t>
            </w:r>
          </w:p>
          <w:p w14:paraId="42ADC367">
            <w:pPr>
              <w:pStyle w:val="186"/>
              <w:spacing w:line="440" w:lineRule="exact"/>
              <w:rPr>
                <w:rFonts w:ascii="宋体" w:hAnsi="宋体" w:cs="宋体"/>
                <w:b w:val="0"/>
                <w:bCs w:val="0"/>
                <w:color w:val="auto"/>
                <w:szCs w:val="21"/>
                <w:highlight w:val="none"/>
              </w:rPr>
            </w:pPr>
            <w:r>
              <w:rPr>
                <w:rFonts w:hint="default" w:ascii="宋体" w:hAnsi="宋体" w:cs="宋体"/>
                <w:b w:val="0"/>
                <w:bCs w:val="0"/>
                <w:color w:val="auto"/>
                <w:szCs w:val="21"/>
                <w:highlight w:val="none"/>
              </w:rPr>
              <w:t>四</w:t>
            </w:r>
            <w:r>
              <w:rPr>
                <w:rFonts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7</w:t>
            </w:r>
            <w:r>
              <w:rPr>
                <w:rFonts w:ascii="宋体" w:hAnsi="宋体" w:cs="宋体"/>
                <w:b w:val="0"/>
                <w:bCs w:val="0"/>
                <w:color w:val="auto"/>
                <w:szCs w:val="21"/>
                <w:highlight w:val="none"/>
              </w:rPr>
              <w:t>分)：供应商提供有工作实施方案，方案内容包含有报告判定原则及结果报送要求、异议及后处理及备份样品处置规范、统计分析报告纲要及工作纪律、应急预案等，能够准确理解本次抽检任务的特点，精准把握本项目的技术重点和难点，提出完整可行的工作方案，所提供方案内容均有具体详细分析和说明，全面、准确、科学合理，针对性强。</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38257325">
            <w:pPr>
              <w:spacing w:line="360" w:lineRule="auto"/>
              <w:jc w:val="center"/>
              <w:rPr>
                <w:rFonts w:ascii="宋体" w:hAnsi="宋体" w:cs="Courier New"/>
                <w:b w:val="0"/>
                <w:bCs w:val="0"/>
                <w:color w:val="auto"/>
                <w:szCs w:val="21"/>
                <w:highlight w:val="none"/>
              </w:rPr>
            </w:pPr>
            <w:r>
              <w:rPr>
                <w:rFonts w:ascii="宋体" w:hAnsi="宋体" w:cs="Courier New"/>
                <w:b w:val="0"/>
                <w:bCs w:val="0"/>
                <w:color w:val="auto"/>
                <w:szCs w:val="21"/>
                <w:highlight w:val="none"/>
              </w:rPr>
              <w:t>满分</w:t>
            </w:r>
            <w:r>
              <w:rPr>
                <w:rFonts w:hint="eastAsia" w:ascii="宋体" w:hAnsi="宋体" w:cs="Courier New"/>
                <w:b w:val="0"/>
                <w:bCs w:val="0"/>
                <w:color w:val="auto"/>
                <w:szCs w:val="21"/>
                <w:highlight w:val="none"/>
                <w:lang w:val="en-US" w:eastAsia="zh-CN"/>
              </w:rPr>
              <w:t xml:space="preserve">  7</w:t>
            </w:r>
            <w:r>
              <w:rPr>
                <w:rFonts w:ascii="宋体" w:hAnsi="宋体" w:cs="Courier New"/>
                <w:b w:val="0"/>
                <w:bCs w:val="0"/>
                <w:color w:val="auto"/>
                <w:szCs w:val="21"/>
                <w:highlight w:val="none"/>
              </w:rPr>
              <w:t>分</w:t>
            </w:r>
          </w:p>
        </w:tc>
      </w:tr>
      <w:tr w14:paraId="14EFC492">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517" w:hRule="atLeast"/>
          <w:jc w:val="center"/>
        </w:trPr>
        <w:tc>
          <w:tcPr>
            <w:tcW w:w="633" w:type="dxa"/>
            <w:tcBorders>
              <w:top w:val="single" w:color="000000" w:sz="4" w:space="0"/>
              <w:left w:val="single" w:color="000000" w:sz="4" w:space="0"/>
            </w:tcBorders>
            <w:noWrap w:val="0"/>
            <w:tcMar>
              <w:left w:w="103" w:type="dxa"/>
            </w:tcMar>
            <w:vAlign w:val="center"/>
          </w:tcPr>
          <w:p w14:paraId="00923BFC">
            <w:pPr>
              <w:spacing w:line="440" w:lineRule="exact"/>
              <w:ind w:left="-105" w:right="-105"/>
              <w:jc w:val="center"/>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2.5</w:t>
            </w:r>
          </w:p>
        </w:tc>
        <w:tc>
          <w:tcPr>
            <w:tcW w:w="1318" w:type="dxa"/>
            <w:tcBorders>
              <w:top w:val="single" w:color="000000" w:sz="4" w:space="0"/>
              <w:left w:val="single" w:color="000000" w:sz="4" w:space="0"/>
            </w:tcBorders>
            <w:noWrap w:val="0"/>
            <w:tcMar>
              <w:left w:w="103" w:type="dxa"/>
            </w:tcMar>
            <w:vAlign w:val="center"/>
          </w:tcPr>
          <w:p w14:paraId="5636ECAD">
            <w:pPr>
              <w:spacing w:line="440" w:lineRule="exact"/>
              <w:jc w:val="center"/>
              <w:textAlignment w:val="auto"/>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rPr>
              <w:t>人员配置</w:t>
            </w:r>
          </w:p>
        </w:tc>
        <w:tc>
          <w:tcPr>
            <w:tcW w:w="6285" w:type="dxa"/>
            <w:tcBorders>
              <w:top w:val="single" w:color="000000" w:sz="4" w:space="0"/>
              <w:left w:val="single" w:color="000000" w:sz="4" w:space="0"/>
            </w:tcBorders>
            <w:noWrap w:val="0"/>
            <w:tcMar>
              <w:left w:w="103" w:type="dxa"/>
            </w:tcMar>
            <w:vAlign w:val="center"/>
          </w:tcPr>
          <w:p w14:paraId="176DA504">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pacing w:val="0"/>
                <w:sz w:val="21"/>
                <w:szCs w:val="21"/>
                <w:highlight w:val="none"/>
              </w:rPr>
            </w:pPr>
            <w:r>
              <w:rPr>
                <w:rFonts w:hint="default" w:ascii="宋体" w:hAnsi="宋体" w:eastAsia="宋体" w:cs="宋体"/>
                <w:b w:val="0"/>
                <w:bCs w:val="0"/>
                <w:color w:val="auto"/>
                <w:spacing w:val="0"/>
                <w:sz w:val="21"/>
                <w:szCs w:val="21"/>
                <w:highlight w:val="none"/>
              </w:rPr>
              <w:t>根据供应商拟投入本项目的</w:t>
            </w:r>
            <w:r>
              <w:rPr>
                <w:rFonts w:hint="default" w:ascii="宋体" w:hAnsi="宋体" w:eastAsia="宋体" w:cs="宋体"/>
                <w:b w:val="0"/>
                <w:bCs w:val="0"/>
                <w:color w:val="auto"/>
                <w:spacing w:val="0"/>
                <w:sz w:val="21"/>
                <w:szCs w:val="21"/>
                <w:highlight w:val="none"/>
                <w:lang w:val="en-US" w:eastAsia="zh-CN"/>
              </w:rPr>
              <w:t>技术</w:t>
            </w:r>
            <w:r>
              <w:rPr>
                <w:rFonts w:hint="default" w:ascii="宋体" w:hAnsi="宋体" w:eastAsia="宋体" w:cs="宋体"/>
                <w:b w:val="0"/>
                <w:bCs w:val="0"/>
                <w:color w:val="auto"/>
                <w:spacing w:val="0"/>
                <w:sz w:val="21"/>
                <w:szCs w:val="21"/>
                <w:highlight w:val="none"/>
              </w:rPr>
              <w:t>人员配备情况，就人员数量、人员职称情况等内容进行评定。（供应商</w:t>
            </w:r>
            <w:r>
              <w:rPr>
                <w:rFonts w:hint="default" w:ascii="宋体" w:hAnsi="宋体" w:eastAsia="宋体" w:cs="宋体"/>
                <w:b w:val="0"/>
                <w:bCs w:val="0"/>
                <w:color w:val="auto"/>
                <w:spacing w:val="0"/>
                <w:sz w:val="21"/>
                <w:szCs w:val="21"/>
                <w:highlight w:val="none"/>
                <w:lang w:val="en-US" w:eastAsia="zh-CN"/>
              </w:rPr>
              <w:t>应提供拟投入本项目</w:t>
            </w:r>
            <w:r>
              <w:rPr>
                <w:rFonts w:hint="default" w:ascii="宋体" w:hAnsi="宋体" w:eastAsia="宋体" w:cs="宋体"/>
                <w:b w:val="0"/>
                <w:bCs w:val="0"/>
                <w:color w:val="auto"/>
                <w:spacing w:val="0"/>
                <w:sz w:val="21"/>
                <w:szCs w:val="21"/>
                <w:highlight w:val="none"/>
              </w:rPr>
              <w:t>人员202</w:t>
            </w:r>
            <w:r>
              <w:rPr>
                <w:rFonts w:hint="default" w:ascii="宋体" w:hAnsi="宋体" w:eastAsia="宋体" w:cs="宋体"/>
                <w:b w:val="0"/>
                <w:bCs w:val="0"/>
                <w:color w:val="auto"/>
                <w:spacing w:val="0"/>
                <w:sz w:val="21"/>
                <w:szCs w:val="21"/>
                <w:highlight w:val="none"/>
                <w:lang w:val="en-US" w:eastAsia="zh-CN"/>
              </w:rPr>
              <w:t>6</w:t>
            </w:r>
            <w:r>
              <w:rPr>
                <w:rFonts w:hint="default" w:ascii="宋体" w:hAnsi="宋体" w:eastAsia="宋体" w:cs="宋体"/>
                <w:b w:val="0"/>
                <w:bCs w:val="0"/>
                <w:color w:val="auto"/>
                <w:spacing w:val="0"/>
                <w:sz w:val="21"/>
                <w:szCs w:val="21"/>
                <w:highlight w:val="none"/>
              </w:rPr>
              <w:t>年</w:t>
            </w:r>
            <w:r>
              <w:rPr>
                <w:rFonts w:hint="default" w:ascii="宋体" w:hAnsi="宋体" w:eastAsia="宋体" w:cs="宋体"/>
                <w:b w:val="0"/>
                <w:bCs w:val="0"/>
                <w:color w:val="auto"/>
                <w:spacing w:val="0"/>
                <w:sz w:val="21"/>
                <w:szCs w:val="21"/>
                <w:highlight w:val="none"/>
                <w:lang w:val="en-US" w:eastAsia="zh-CN"/>
              </w:rPr>
              <w:t>任意一个</w:t>
            </w:r>
            <w:r>
              <w:rPr>
                <w:rFonts w:hint="default" w:ascii="宋体" w:hAnsi="宋体" w:eastAsia="宋体" w:cs="宋体"/>
                <w:b w:val="0"/>
                <w:bCs w:val="0"/>
                <w:color w:val="auto"/>
                <w:spacing w:val="0"/>
                <w:sz w:val="21"/>
                <w:szCs w:val="21"/>
                <w:highlight w:val="none"/>
              </w:rPr>
              <w:t>月</w:t>
            </w:r>
            <w:r>
              <w:rPr>
                <w:rFonts w:hint="eastAsia" w:ascii="宋体" w:hAnsi="宋体" w:eastAsia="宋体" w:cs="宋体"/>
                <w:b w:val="0"/>
                <w:bCs w:val="0"/>
                <w:color w:val="auto"/>
                <w:spacing w:val="0"/>
                <w:sz w:val="21"/>
                <w:szCs w:val="21"/>
                <w:highlight w:val="none"/>
                <w:lang w:eastAsia="zh-CN"/>
              </w:rPr>
              <w:t>工资流水或</w:t>
            </w:r>
            <w:r>
              <w:rPr>
                <w:rFonts w:hint="eastAsia" w:ascii="宋体" w:hAnsi="宋体" w:eastAsia="宋体" w:cs="宋体"/>
                <w:b w:val="0"/>
                <w:bCs w:val="0"/>
                <w:color w:val="auto"/>
                <w:spacing w:val="0"/>
                <w:sz w:val="21"/>
                <w:szCs w:val="21"/>
                <w:highlight w:val="none"/>
                <w:lang w:val="en-US" w:eastAsia="zh-CN"/>
              </w:rPr>
              <w:t>2026年4月至6月</w:t>
            </w:r>
            <w:r>
              <w:rPr>
                <w:rFonts w:hint="default" w:ascii="宋体" w:hAnsi="宋体" w:eastAsia="宋体" w:cs="宋体"/>
                <w:b w:val="0"/>
                <w:bCs w:val="0"/>
                <w:color w:val="auto"/>
                <w:spacing w:val="0"/>
                <w:sz w:val="21"/>
                <w:szCs w:val="21"/>
                <w:highlight w:val="none"/>
              </w:rPr>
              <w:t>的依法缴纳社保</w:t>
            </w:r>
            <w:r>
              <w:rPr>
                <w:rFonts w:hint="default" w:ascii="宋体" w:hAnsi="宋体" w:eastAsia="宋体" w:cs="宋体"/>
                <w:b w:val="0"/>
                <w:bCs w:val="0"/>
                <w:color w:val="auto"/>
                <w:spacing w:val="0"/>
                <w:sz w:val="21"/>
                <w:szCs w:val="21"/>
                <w:highlight w:val="none"/>
                <w:lang w:val="en-US" w:eastAsia="zh-CN"/>
              </w:rPr>
              <w:t>的</w:t>
            </w:r>
            <w:r>
              <w:rPr>
                <w:rFonts w:hint="default" w:ascii="宋体" w:hAnsi="宋体" w:eastAsia="宋体" w:cs="宋体"/>
                <w:b w:val="0"/>
                <w:bCs w:val="0"/>
                <w:color w:val="auto"/>
                <w:spacing w:val="0"/>
                <w:sz w:val="21"/>
                <w:szCs w:val="21"/>
                <w:highlight w:val="none"/>
              </w:rPr>
              <w:t>证明</w:t>
            </w:r>
            <w:r>
              <w:rPr>
                <w:rFonts w:hint="default" w:ascii="宋体" w:hAnsi="宋体" w:eastAsia="宋体" w:cs="宋体"/>
                <w:b w:val="0"/>
                <w:bCs w:val="0"/>
                <w:color w:val="auto"/>
                <w:spacing w:val="0"/>
                <w:sz w:val="21"/>
                <w:szCs w:val="21"/>
                <w:highlight w:val="none"/>
                <w:lang w:val="en-US" w:eastAsia="zh-CN"/>
              </w:rPr>
              <w:t>材料以及</w:t>
            </w:r>
            <w:r>
              <w:rPr>
                <w:rFonts w:hint="default" w:ascii="宋体" w:hAnsi="宋体" w:eastAsia="宋体" w:cs="宋体"/>
                <w:b w:val="0"/>
                <w:bCs w:val="0"/>
                <w:color w:val="auto"/>
                <w:spacing w:val="0"/>
                <w:sz w:val="21"/>
                <w:szCs w:val="21"/>
                <w:highlight w:val="none"/>
              </w:rPr>
              <w:t>专业技术职称证书</w:t>
            </w:r>
            <w:r>
              <w:rPr>
                <w:rFonts w:hint="default" w:ascii="宋体" w:hAnsi="宋体" w:eastAsia="宋体" w:cs="宋体"/>
                <w:b w:val="0"/>
                <w:bCs w:val="0"/>
                <w:color w:val="auto"/>
                <w:spacing w:val="0"/>
                <w:sz w:val="21"/>
                <w:szCs w:val="21"/>
                <w:highlight w:val="none"/>
                <w:lang w:val="en-US" w:eastAsia="zh-CN"/>
              </w:rPr>
              <w:t>复印件</w:t>
            </w:r>
            <w:r>
              <w:rPr>
                <w:rFonts w:hint="default" w:ascii="宋体" w:hAnsi="宋体" w:eastAsia="宋体" w:cs="宋体"/>
                <w:b w:val="0"/>
                <w:bCs w:val="0"/>
                <w:color w:val="auto"/>
                <w:spacing w:val="0"/>
                <w:sz w:val="21"/>
                <w:szCs w:val="21"/>
                <w:highlight w:val="none"/>
              </w:rPr>
              <w:t>）</w:t>
            </w:r>
          </w:p>
          <w:p w14:paraId="6D0316C2">
            <w:pPr>
              <w:pStyle w:val="5"/>
              <w:keepNext w:val="0"/>
              <w:keepLines w:val="0"/>
              <w:numPr>
                <w:ilvl w:val="0"/>
                <w:numId w:val="0"/>
              </w:numPr>
              <w:spacing w:line="440" w:lineRule="exact"/>
              <w:ind w:firstLine="420" w:firstLineChars="200"/>
              <w:rPr>
                <w:rFonts w:hint="default" w:ascii="宋体" w:hAnsi="宋体" w:eastAsia="宋体" w:cs="宋体"/>
                <w:b w:val="0"/>
                <w:bCs w:val="0"/>
                <w:color w:val="auto"/>
                <w:spacing w:val="0"/>
                <w:sz w:val="21"/>
                <w:szCs w:val="21"/>
                <w:highlight w:val="none"/>
              </w:rPr>
            </w:pPr>
            <w:r>
              <w:rPr>
                <w:rFonts w:hint="default" w:ascii="宋体" w:hAnsi="宋体" w:eastAsia="宋体" w:cs="宋体"/>
                <w:b w:val="0"/>
                <w:bCs w:val="0"/>
                <w:color w:val="auto"/>
                <w:spacing w:val="0"/>
                <w:sz w:val="21"/>
                <w:szCs w:val="21"/>
                <w:highlight w:val="none"/>
                <w:lang w:val="en-US" w:eastAsia="zh-CN"/>
              </w:rPr>
              <w:t>一</w:t>
            </w:r>
            <w:r>
              <w:rPr>
                <w:rFonts w:hint="default" w:ascii="宋体" w:hAnsi="宋体" w:eastAsia="宋体" w:cs="宋体"/>
                <w:b w:val="0"/>
                <w:bCs w:val="0"/>
                <w:color w:val="auto"/>
                <w:spacing w:val="0"/>
                <w:sz w:val="21"/>
                <w:szCs w:val="21"/>
                <w:highlight w:val="none"/>
              </w:rPr>
              <w:t>档（</w:t>
            </w:r>
            <w:r>
              <w:rPr>
                <w:rFonts w:hint="eastAsia" w:ascii="宋体" w:hAnsi="宋体" w:eastAsia="宋体" w:cs="宋体"/>
                <w:b w:val="0"/>
                <w:bCs w:val="0"/>
                <w:color w:val="auto"/>
                <w:spacing w:val="0"/>
                <w:sz w:val="21"/>
                <w:szCs w:val="21"/>
                <w:highlight w:val="none"/>
                <w:lang w:val="en-US" w:eastAsia="zh-CN"/>
              </w:rPr>
              <w:t>4</w:t>
            </w:r>
            <w:r>
              <w:rPr>
                <w:rFonts w:hint="default" w:ascii="宋体" w:hAnsi="宋体" w:eastAsia="宋体" w:cs="宋体"/>
                <w:b w:val="0"/>
                <w:bCs w:val="0"/>
                <w:color w:val="auto"/>
                <w:spacing w:val="0"/>
                <w:sz w:val="21"/>
                <w:szCs w:val="21"/>
                <w:highlight w:val="none"/>
              </w:rPr>
              <w:t>分）：拟投入本项目的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10人（含）以上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5</w:t>
            </w:r>
            <w:r>
              <w:rPr>
                <w:rFonts w:hint="default" w:ascii="宋体" w:hAnsi="宋体" w:eastAsia="宋体" w:cs="宋体"/>
                <w:b w:val="0"/>
                <w:bCs w:val="0"/>
                <w:color w:val="auto"/>
                <w:spacing w:val="0"/>
                <w:sz w:val="21"/>
                <w:szCs w:val="21"/>
                <w:highlight w:val="none"/>
              </w:rPr>
              <w:t xml:space="preserve"> 人及以上。</w:t>
            </w:r>
          </w:p>
          <w:p w14:paraId="6ED6C31F">
            <w:pPr>
              <w:pStyle w:val="5"/>
              <w:keepNext w:val="0"/>
              <w:keepLines w:val="0"/>
              <w:numPr>
                <w:ilvl w:val="0"/>
                <w:numId w:val="0"/>
              </w:numPr>
              <w:spacing w:line="440" w:lineRule="exact"/>
              <w:ind w:firstLine="420" w:firstLineChars="200"/>
              <w:rPr>
                <w:rFonts w:hint="default" w:ascii="宋体" w:hAnsi="宋体" w:eastAsia="宋体" w:cs="宋体"/>
                <w:b w:val="0"/>
                <w:bCs w:val="0"/>
                <w:color w:val="auto"/>
                <w:sz w:val="21"/>
                <w:szCs w:val="21"/>
                <w:highlight w:val="none"/>
                <w:lang w:eastAsia="zh-CN"/>
              </w:rPr>
            </w:pPr>
            <w:r>
              <w:rPr>
                <w:rFonts w:hint="default" w:ascii="宋体" w:hAnsi="宋体" w:eastAsia="宋体" w:cs="宋体"/>
                <w:b w:val="0"/>
                <w:bCs w:val="0"/>
                <w:color w:val="auto"/>
                <w:spacing w:val="0"/>
                <w:sz w:val="21"/>
                <w:szCs w:val="21"/>
                <w:highlight w:val="none"/>
                <w:lang w:val="en-US" w:eastAsia="zh-CN"/>
              </w:rPr>
              <w:t>二</w:t>
            </w:r>
            <w:r>
              <w:rPr>
                <w:rFonts w:hint="default" w:ascii="宋体" w:hAnsi="宋体" w:eastAsia="宋体" w:cs="宋体"/>
                <w:b w:val="0"/>
                <w:bCs w:val="0"/>
                <w:color w:val="auto"/>
                <w:spacing w:val="0"/>
                <w:sz w:val="21"/>
                <w:szCs w:val="21"/>
                <w:highlight w:val="none"/>
              </w:rPr>
              <w:t>档（</w:t>
            </w:r>
            <w:r>
              <w:rPr>
                <w:rFonts w:hint="default" w:ascii="宋体" w:hAnsi="宋体" w:eastAsia="宋体" w:cs="宋体"/>
                <w:b w:val="0"/>
                <w:bCs w:val="0"/>
                <w:color w:val="auto"/>
                <w:spacing w:val="0"/>
                <w:sz w:val="21"/>
                <w:szCs w:val="21"/>
                <w:highlight w:val="none"/>
                <w:lang w:val="en-US" w:eastAsia="zh-CN"/>
              </w:rPr>
              <w:t>6</w:t>
            </w:r>
            <w:r>
              <w:rPr>
                <w:rFonts w:hint="default" w:ascii="宋体" w:hAnsi="宋体" w:eastAsia="宋体" w:cs="宋体"/>
                <w:b w:val="0"/>
                <w:bCs w:val="0"/>
                <w:color w:val="auto"/>
                <w:spacing w:val="0"/>
                <w:sz w:val="21"/>
                <w:szCs w:val="21"/>
                <w:highlight w:val="none"/>
              </w:rPr>
              <w:t xml:space="preserve"> 分）：拟投入本项目的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15人（含）以上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10</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z w:val="21"/>
                <w:szCs w:val="21"/>
                <w:highlight w:val="none"/>
                <w:lang w:eastAsia="zh-CN"/>
              </w:rPr>
              <w:t>。</w:t>
            </w:r>
          </w:p>
          <w:p w14:paraId="6743418F">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z w:val="21"/>
                <w:szCs w:val="21"/>
                <w:highlight w:val="none"/>
                <w:lang w:val="en-US" w:eastAsia="zh-CN"/>
              </w:rPr>
            </w:pPr>
            <w:r>
              <w:rPr>
                <w:rFonts w:hint="default" w:ascii="宋体" w:hAnsi="宋体" w:eastAsia="宋体" w:cs="宋体"/>
                <w:b w:val="0"/>
                <w:bCs w:val="0"/>
                <w:color w:val="auto"/>
                <w:sz w:val="21"/>
                <w:szCs w:val="21"/>
                <w:highlight w:val="none"/>
                <w:lang w:val="en-US" w:eastAsia="zh-CN"/>
              </w:rPr>
              <w:t>三</w:t>
            </w:r>
            <w:r>
              <w:rPr>
                <w:rFonts w:hint="default" w:ascii="宋体" w:hAnsi="宋体" w:eastAsia="宋体" w:cs="宋体"/>
                <w:b w:val="0"/>
                <w:bCs w:val="0"/>
                <w:color w:val="auto"/>
                <w:sz w:val="21"/>
                <w:szCs w:val="21"/>
                <w:highlight w:val="none"/>
                <w:lang w:eastAsia="zh-CN"/>
              </w:rPr>
              <w:t>档（</w:t>
            </w:r>
            <w:r>
              <w:rPr>
                <w:rFonts w:hint="eastAsia" w:ascii="宋体" w:hAnsi="宋体" w:eastAsia="宋体" w:cs="宋体"/>
                <w:b w:val="0"/>
                <w:bCs w:val="0"/>
                <w:color w:val="auto"/>
                <w:sz w:val="21"/>
                <w:szCs w:val="21"/>
                <w:highlight w:val="none"/>
                <w:lang w:val="en-US" w:eastAsia="zh-CN"/>
              </w:rPr>
              <w:t>8</w:t>
            </w:r>
            <w:r>
              <w:rPr>
                <w:rFonts w:hint="default" w:ascii="宋体" w:hAnsi="宋体" w:eastAsia="宋体" w:cs="宋体"/>
                <w:b w:val="0"/>
                <w:bCs w:val="0"/>
                <w:color w:val="auto"/>
                <w:sz w:val="21"/>
                <w:szCs w:val="21"/>
                <w:highlight w:val="none"/>
                <w:lang w:val="en-US" w:eastAsia="zh-CN"/>
              </w:rPr>
              <w:t>分</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pacing w:val="0"/>
                <w:sz w:val="21"/>
                <w:szCs w:val="21"/>
                <w:highlight w:val="none"/>
              </w:rPr>
              <w:t>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25人（含）以上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20</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pacing w:val="0"/>
                <w:sz w:val="21"/>
                <w:szCs w:val="21"/>
                <w:highlight w:val="none"/>
                <w:lang w:eastAsia="zh-CN"/>
              </w:rPr>
              <w:t>，</w:t>
            </w:r>
            <w:r>
              <w:rPr>
                <w:rFonts w:hint="default" w:ascii="宋体" w:hAnsi="宋体" w:eastAsia="宋体" w:cs="宋体"/>
                <w:b w:val="0"/>
                <w:bCs w:val="0"/>
                <w:color w:val="auto"/>
                <w:sz w:val="21"/>
                <w:szCs w:val="21"/>
                <w:highlight w:val="none"/>
                <w:lang w:eastAsia="zh-CN"/>
              </w:rPr>
              <w:t>且</w:t>
            </w:r>
            <w:r>
              <w:rPr>
                <w:rFonts w:hint="default" w:ascii="宋体" w:hAnsi="宋体" w:eastAsia="宋体" w:cs="宋体"/>
                <w:b w:val="0"/>
                <w:bCs w:val="0"/>
                <w:color w:val="auto"/>
                <w:sz w:val="21"/>
                <w:szCs w:val="21"/>
                <w:highlight w:val="none"/>
                <w:lang w:val="en-US" w:eastAsia="zh-CN"/>
              </w:rPr>
              <w:t>技术负责人具有副高级以上（含）专业技术职称。</w:t>
            </w:r>
          </w:p>
          <w:p w14:paraId="36256654">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zCs w:val="21"/>
                <w:highlight w:val="none"/>
                <w:lang w:val="en-US" w:eastAsia="zh-CN"/>
              </w:rPr>
            </w:pPr>
            <w:r>
              <w:rPr>
                <w:rFonts w:hint="default" w:ascii="宋体" w:hAnsi="宋体" w:eastAsia="宋体" w:cs="宋体"/>
                <w:b w:val="0"/>
                <w:bCs w:val="0"/>
                <w:color w:val="auto"/>
                <w:sz w:val="21"/>
                <w:szCs w:val="21"/>
                <w:highlight w:val="none"/>
                <w:lang w:val="en-US" w:eastAsia="zh-CN"/>
              </w:rPr>
              <w:t>四</w:t>
            </w:r>
            <w:r>
              <w:rPr>
                <w:rFonts w:hint="default" w:ascii="宋体" w:hAnsi="宋体" w:eastAsia="宋体" w:cs="宋体"/>
                <w:b w:val="0"/>
                <w:bCs w:val="0"/>
                <w:color w:val="auto"/>
                <w:sz w:val="21"/>
                <w:szCs w:val="21"/>
                <w:highlight w:val="none"/>
                <w:lang w:eastAsia="zh-CN"/>
              </w:rPr>
              <w:t>档（</w:t>
            </w:r>
            <w:r>
              <w:rPr>
                <w:rFonts w:hint="default"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0</w:t>
            </w:r>
            <w:r>
              <w:rPr>
                <w:rFonts w:hint="default" w:ascii="宋体" w:hAnsi="宋体" w:eastAsia="宋体" w:cs="宋体"/>
                <w:b w:val="0"/>
                <w:bCs w:val="0"/>
                <w:color w:val="auto"/>
                <w:sz w:val="21"/>
                <w:szCs w:val="21"/>
                <w:highlight w:val="none"/>
                <w:lang w:val="en-US" w:eastAsia="zh-CN"/>
              </w:rPr>
              <w:t>分</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pacing w:val="0"/>
                <w:sz w:val="21"/>
                <w:szCs w:val="21"/>
                <w:highlight w:val="none"/>
              </w:rPr>
              <w:t>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30人（含）以上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25</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pacing w:val="0"/>
                <w:sz w:val="21"/>
                <w:szCs w:val="21"/>
                <w:highlight w:val="none"/>
                <w:lang w:eastAsia="zh-CN"/>
              </w:rPr>
              <w:t>，</w:t>
            </w:r>
            <w:r>
              <w:rPr>
                <w:rFonts w:hint="default" w:ascii="宋体" w:hAnsi="宋体" w:eastAsia="宋体" w:cs="宋体"/>
                <w:b w:val="0"/>
                <w:bCs w:val="0"/>
                <w:color w:val="auto"/>
                <w:sz w:val="21"/>
                <w:szCs w:val="21"/>
                <w:highlight w:val="none"/>
                <w:lang w:eastAsia="zh-CN"/>
              </w:rPr>
              <w:t>且</w:t>
            </w:r>
            <w:r>
              <w:rPr>
                <w:rFonts w:hint="default" w:ascii="宋体" w:hAnsi="宋体" w:eastAsia="宋体" w:cs="宋体"/>
                <w:b w:val="0"/>
                <w:bCs w:val="0"/>
                <w:color w:val="auto"/>
                <w:sz w:val="21"/>
                <w:szCs w:val="21"/>
                <w:highlight w:val="none"/>
                <w:lang w:val="en-US" w:eastAsia="zh-CN"/>
              </w:rPr>
              <w:t>技术负责人具有正高级专业技术职称（除</w:t>
            </w:r>
            <w:r>
              <w:rPr>
                <w:rFonts w:hint="default" w:ascii="宋体" w:hAnsi="宋体" w:eastAsia="宋体" w:cs="宋体"/>
                <w:b w:val="0"/>
                <w:bCs w:val="0"/>
                <w:color w:val="auto"/>
                <w:sz w:val="21"/>
                <w:szCs w:val="21"/>
                <w:highlight w:val="none"/>
              </w:rPr>
              <w:t>食品质量安全或农产品质量安全或食品科学与工程专业</w:t>
            </w:r>
            <w:r>
              <w:rPr>
                <w:rFonts w:hint="default" w:ascii="宋体" w:hAnsi="宋体" w:eastAsia="宋体" w:cs="宋体"/>
                <w:b w:val="0"/>
                <w:bCs w:val="0"/>
                <w:color w:val="auto"/>
                <w:sz w:val="21"/>
                <w:szCs w:val="21"/>
                <w:highlight w:val="none"/>
                <w:lang w:val="en-US" w:eastAsia="zh-CN"/>
              </w:rPr>
              <w:t>外）。</w:t>
            </w:r>
          </w:p>
          <w:p w14:paraId="35904743">
            <w:pPr>
              <w:pStyle w:val="5"/>
              <w:keepNext w:val="0"/>
              <w:keepLines w:val="0"/>
              <w:numPr>
                <w:ilvl w:val="0"/>
                <w:numId w:val="0"/>
              </w:numPr>
              <w:spacing w:line="440" w:lineRule="exact"/>
              <w:ind w:firstLine="420" w:firstLineChars="200"/>
              <w:jc w:val="left"/>
              <w:rPr>
                <w:rFonts w:hint="default" w:ascii="宋体" w:hAnsi="宋体" w:eastAsia="宋体" w:cs="宋体"/>
                <w:b w:val="0"/>
                <w:bCs w:val="0"/>
                <w:color w:val="auto"/>
                <w:sz w:val="21"/>
                <w:szCs w:val="21"/>
                <w:highlight w:val="none"/>
                <w:lang w:val="en-US" w:eastAsia="zh-CN"/>
              </w:rPr>
            </w:pPr>
            <w:r>
              <w:rPr>
                <w:rFonts w:hint="default" w:ascii="宋体" w:hAnsi="宋体" w:eastAsia="宋体" w:cs="宋体"/>
                <w:b w:val="0"/>
                <w:bCs w:val="0"/>
                <w:color w:val="auto"/>
                <w:sz w:val="21"/>
                <w:szCs w:val="21"/>
                <w:highlight w:val="none"/>
                <w:lang w:val="en-US" w:eastAsia="zh-CN"/>
              </w:rPr>
              <w:t>五</w:t>
            </w:r>
            <w:r>
              <w:rPr>
                <w:rFonts w:hint="default" w:ascii="宋体" w:hAnsi="宋体" w:eastAsia="宋体" w:cs="宋体"/>
                <w:b w:val="0"/>
                <w:bCs w:val="0"/>
                <w:color w:val="auto"/>
                <w:sz w:val="21"/>
                <w:szCs w:val="21"/>
                <w:highlight w:val="none"/>
                <w:lang w:eastAsia="zh-CN"/>
              </w:rPr>
              <w:t>档（</w:t>
            </w:r>
            <w:r>
              <w:rPr>
                <w:rFonts w:hint="default"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2</w:t>
            </w:r>
            <w:r>
              <w:rPr>
                <w:rFonts w:hint="default" w:ascii="宋体" w:hAnsi="宋体" w:eastAsia="宋体" w:cs="宋体"/>
                <w:b w:val="0"/>
                <w:bCs w:val="0"/>
                <w:color w:val="auto"/>
                <w:sz w:val="21"/>
                <w:szCs w:val="21"/>
                <w:highlight w:val="none"/>
                <w:lang w:val="en-US" w:eastAsia="zh-CN"/>
              </w:rPr>
              <w:t>分</w:t>
            </w:r>
            <w:r>
              <w:rPr>
                <w:rFonts w:hint="default" w:ascii="宋体" w:hAnsi="宋体" w:eastAsia="宋体" w:cs="宋体"/>
                <w:b w:val="0"/>
                <w:bCs w:val="0"/>
                <w:color w:val="auto"/>
                <w:sz w:val="21"/>
                <w:szCs w:val="21"/>
                <w:highlight w:val="none"/>
                <w:lang w:eastAsia="zh-CN"/>
              </w:rPr>
              <w:t>）：</w:t>
            </w:r>
            <w:r>
              <w:rPr>
                <w:rFonts w:hint="default" w:ascii="宋体" w:hAnsi="宋体" w:eastAsia="宋体" w:cs="宋体"/>
                <w:b w:val="0"/>
                <w:bCs w:val="0"/>
                <w:color w:val="auto"/>
                <w:spacing w:val="0"/>
                <w:sz w:val="21"/>
                <w:szCs w:val="21"/>
                <w:highlight w:val="none"/>
              </w:rPr>
              <w:t>拟投入本项目的</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30人（含）以上</w:t>
            </w:r>
            <w:r>
              <w:rPr>
                <w:rFonts w:hint="default" w:ascii="宋体" w:hAnsi="宋体" w:eastAsia="宋体" w:cs="宋体"/>
                <w:b w:val="0"/>
                <w:bCs w:val="0"/>
                <w:color w:val="auto"/>
                <w:spacing w:val="0"/>
                <w:sz w:val="21"/>
                <w:szCs w:val="21"/>
                <w:highlight w:val="none"/>
              </w:rPr>
              <w:t>，</w:t>
            </w:r>
            <w:r>
              <w:rPr>
                <w:rFonts w:hint="default" w:ascii="宋体" w:hAnsi="宋体" w:eastAsia="宋体" w:cs="宋体"/>
                <w:b w:val="0"/>
                <w:bCs w:val="0"/>
                <w:color w:val="auto"/>
                <w:spacing w:val="0"/>
                <w:sz w:val="21"/>
                <w:szCs w:val="21"/>
                <w:highlight w:val="none"/>
                <w:lang w:val="en-US" w:eastAsia="zh-CN"/>
              </w:rPr>
              <w:t>其</w:t>
            </w:r>
            <w:r>
              <w:rPr>
                <w:rFonts w:hint="default" w:ascii="宋体" w:hAnsi="宋体" w:eastAsia="宋体" w:cs="宋体"/>
                <w:b w:val="0"/>
                <w:bCs w:val="0"/>
                <w:color w:val="auto"/>
                <w:spacing w:val="0"/>
                <w:sz w:val="21"/>
                <w:szCs w:val="21"/>
                <w:highlight w:val="none"/>
              </w:rPr>
              <w:t>中具有中级或以上</w:t>
            </w:r>
            <w:r>
              <w:rPr>
                <w:rFonts w:hint="default" w:ascii="宋体" w:hAnsi="宋体" w:eastAsia="宋体" w:cs="宋体"/>
                <w:b w:val="0"/>
                <w:bCs w:val="0"/>
                <w:color w:val="auto"/>
                <w:spacing w:val="0"/>
                <w:sz w:val="21"/>
                <w:szCs w:val="21"/>
                <w:highlight w:val="none"/>
                <w:lang w:val="en-US" w:eastAsia="zh-CN"/>
              </w:rPr>
              <w:t>专业技术</w:t>
            </w:r>
            <w:r>
              <w:rPr>
                <w:rFonts w:hint="default" w:ascii="宋体" w:hAnsi="宋体" w:eastAsia="宋体" w:cs="宋体"/>
                <w:b w:val="0"/>
                <w:bCs w:val="0"/>
                <w:color w:val="auto"/>
                <w:spacing w:val="0"/>
                <w:sz w:val="21"/>
                <w:szCs w:val="21"/>
                <w:highlight w:val="none"/>
              </w:rPr>
              <w:t xml:space="preserve">职称的人员 </w:t>
            </w:r>
            <w:r>
              <w:rPr>
                <w:rFonts w:hint="default" w:ascii="宋体" w:hAnsi="宋体" w:eastAsia="宋体" w:cs="宋体"/>
                <w:b w:val="0"/>
                <w:bCs w:val="0"/>
                <w:color w:val="auto"/>
                <w:spacing w:val="0"/>
                <w:sz w:val="21"/>
                <w:szCs w:val="21"/>
                <w:highlight w:val="none"/>
                <w:lang w:val="en-US" w:eastAsia="zh-CN"/>
              </w:rPr>
              <w:t>25</w:t>
            </w:r>
            <w:r>
              <w:rPr>
                <w:rFonts w:hint="default" w:ascii="宋体" w:hAnsi="宋体" w:eastAsia="宋体" w:cs="宋体"/>
                <w:b w:val="0"/>
                <w:bCs w:val="0"/>
                <w:color w:val="auto"/>
                <w:spacing w:val="0"/>
                <w:sz w:val="21"/>
                <w:szCs w:val="21"/>
                <w:highlight w:val="none"/>
              </w:rPr>
              <w:t>人及以上</w:t>
            </w:r>
            <w:r>
              <w:rPr>
                <w:rFonts w:hint="default" w:ascii="宋体" w:hAnsi="宋体" w:eastAsia="宋体" w:cs="宋体"/>
                <w:b w:val="0"/>
                <w:bCs w:val="0"/>
                <w:color w:val="auto"/>
                <w:spacing w:val="0"/>
                <w:sz w:val="21"/>
                <w:szCs w:val="21"/>
                <w:highlight w:val="none"/>
                <w:lang w:eastAsia="zh-CN"/>
              </w:rPr>
              <w:t>，</w:t>
            </w:r>
            <w:r>
              <w:rPr>
                <w:rFonts w:hint="default" w:ascii="宋体" w:hAnsi="宋体" w:eastAsia="宋体" w:cs="宋体"/>
                <w:b w:val="0"/>
                <w:bCs w:val="0"/>
                <w:color w:val="auto"/>
                <w:sz w:val="21"/>
                <w:szCs w:val="21"/>
                <w:highlight w:val="none"/>
                <w:lang w:eastAsia="zh-CN"/>
              </w:rPr>
              <w:t>且</w:t>
            </w:r>
            <w:r>
              <w:rPr>
                <w:rFonts w:hint="default" w:ascii="宋体" w:hAnsi="宋体" w:eastAsia="宋体" w:cs="宋体"/>
                <w:b w:val="0"/>
                <w:bCs w:val="0"/>
                <w:color w:val="auto"/>
                <w:sz w:val="21"/>
                <w:szCs w:val="21"/>
                <w:highlight w:val="none"/>
                <w:lang w:val="en-US" w:eastAsia="zh-CN"/>
              </w:rPr>
              <w:t>技术负责人</w:t>
            </w:r>
            <w:r>
              <w:rPr>
                <w:rFonts w:hint="default" w:ascii="宋体" w:hAnsi="宋体" w:eastAsia="宋体" w:cs="宋体"/>
                <w:b w:val="0"/>
                <w:bCs w:val="0"/>
                <w:color w:val="auto"/>
                <w:spacing w:val="0"/>
                <w:sz w:val="21"/>
                <w:szCs w:val="21"/>
                <w:highlight w:val="none"/>
              </w:rPr>
              <w:t>具有食品质量安全或农产品质量安全或食品科学与工程专业</w:t>
            </w:r>
            <w:r>
              <w:rPr>
                <w:rFonts w:hint="default" w:ascii="宋体" w:hAnsi="宋体" w:eastAsia="宋体" w:cs="宋体"/>
                <w:b w:val="0"/>
                <w:bCs w:val="0"/>
                <w:color w:val="auto"/>
                <w:spacing w:val="0"/>
                <w:sz w:val="21"/>
                <w:szCs w:val="21"/>
                <w:highlight w:val="none"/>
                <w:lang w:val="en-US" w:eastAsia="zh-CN"/>
              </w:rPr>
              <w:t>正高</w:t>
            </w:r>
            <w:r>
              <w:rPr>
                <w:rFonts w:hint="default" w:ascii="宋体" w:hAnsi="宋体" w:eastAsia="宋体" w:cs="宋体"/>
                <w:b w:val="0"/>
                <w:bCs w:val="0"/>
                <w:color w:val="auto"/>
                <w:sz w:val="21"/>
                <w:szCs w:val="21"/>
                <w:highlight w:val="none"/>
                <w:lang w:val="en-US" w:eastAsia="zh-CN"/>
              </w:rPr>
              <w:t>级专业技术职称。</w:t>
            </w:r>
          </w:p>
          <w:p w14:paraId="235C305B">
            <w:pPr>
              <w:pStyle w:val="5"/>
              <w:keepNext w:val="0"/>
              <w:keepLines w:val="0"/>
              <w:numPr>
                <w:ilvl w:val="0"/>
                <w:numId w:val="0"/>
              </w:numPr>
              <w:spacing w:line="440" w:lineRule="exact"/>
              <w:ind w:firstLine="420" w:firstLineChars="200"/>
              <w:rPr>
                <w:rFonts w:hint="default" w:ascii="宋体" w:hAnsi="宋体" w:eastAsia="宋体" w:cs="宋体"/>
                <w:b w:val="0"/>
                <w:bCs w:val="0"/>
                <w:color w:val="auto"/>
                <w:kern w:val="2"/>
                <w:sz w:val="21"/>
                <w:szCs w:val="21"/>
                <w:highlight w:val="none"/>
                <w:lang w:val="en-US" w:eastAsia="zh-CN" w:bidi="ar-SA"/>
              </w:rPr>
            </w:pPr>
            <w:r>
              <w:rPr>
                <w:rFonts w:hint="default" w:ascii="宋体" w:hAnsi="宋体" w:eastAsia="宋体" w:cs="宋体"/>
                <w:b w:val="0"/>
                <w:bCs w:val="0"/>
                <w:color w:val="auto"/>
                <w:spacing w:val="0"/>
                <w:sz w:val="21"/>
                <w:szCs w:val="21"/>
                <w:highlight w:val="none"/>
                <w:lang w:val="en-US" w:eastAsia="zh-CN"/>
              </w:rPr>
              <w:t>注：专业技术人员中、高级职称须提供职称证书复印件。拟投入本项目的技术</w:t>
            </w:r>
            <w:r>
              <w:rPr>
                <w:rFonts w:hint="default" w:ascii="宋体" w:hAnsi="宋体" w:eastAsia="宋体" w:cs="宋体"/>
                <w:b w:val="0"/>
                <w:bCs w:val="0"/>
                <w:color w:val="auto"/>
                <w:spacing w:val="0"/>
                <w:sz w:val="21"/>
                <w:szCs w:val="21"/>
                <w:highlight w:val="none"/>
              </w:rPr>
              <w:t>人员</w:t>
            </w:r>
            <w:r>
              <w:rPr>
                <w:rFonts w:hint="default" w:ascii="宋体" w:hAnsi="宋体" w:eastAsia="宋体" w:cs="宋体"/>
                <w:b w:val="0"/>
                <w:bCs w:val="0"/>
                <w:color w:val="auto"/>
                <w:spacing w:val="0"/>
                <w:sz w:val="21"/>
                <w:szCs w:val="21"/>
                <w:highlight w:val="none"/>
                <w:lang w:val="en-US" w:eastAsia="zh-CN"/>
              </w:rPr>
              <w:t>须满足条件：在</w:t>
            </w:r>
            <w:r>
              <w:rPr>
                <w:rFonts w:hint="default" w:ascii="宋体" w:hAnsi="宋体" w:eastAsia="宋体" w:cs="宋体"/>
                <w:b w:val="0"/>
                <w:bCs w:val="0"/>
                <w:color w:val="auto"/>
                <w:spacing w:val="0"/>
                <w:sz w:val="21"/>
                <w:szCs w:val="21"/>
                <w:highlight w:val="none"/>
                <w:lang w:eastAsia="zh-CN"/>
              </w:rPr>
              <w:t>本单位</w:t>
            </w:r>
            <w:r>
              <w:rPr>
                <w:rFonts w:hint="default" w:ascii="宋体" w:hAnsi="宋体" w:eastAsia="宋体" w:cs="宋体"/>
                <w:b w:val="0"/>
                <w:bCs w:val="0"/>
                <w:color w:val="auto"/>
                <w:spacing w:val="0"/>
                <w:sz w:val="21"/>
                <w:szCs w:val="21"/>
                <w:highlight w:val="none"/>
                <w:lang w:val="en-US" w:eastAsia="zh-CN"/>
              </w:rPr>
              <w:t>从事食品（含农产</w:t>
            </w:r>
            <w:r>
              <w:rPr>
                <w:rFonts w:hint="default" w:ascii="宋体" w:hAnsi="宋体" w:eastAsia="宋体" w:cs="宋体"/>
                <w:b w:val="0"/>
                <w:bCs w:val="0"/>
                <w:color w:val="auto"/>
                <w:spacing w:val="0"/>
                <w:sz w:val="21"/>
                <w:szCs w:val="21"/>
                <w:highlight w:val="none"/>
                <w:lang w:eastAsia="zh-CN"/>
              </w:rPr>
              <w:t>品）抽</w:t>
            </w:r>
            <w:r>
              <w:rPr>
                <w:rFonts w:hint="default" w:ascii="宋体" w:hAnsi="宋体" w:eastAsia="宋体" w:cs="宋体"/>
                <w:b w:val="0"/>
                <w:bCs w:val="0"/>
                <w:color w:val="auto"/>
                <w:spacing w:val="0"/>
                <w:sz w:val="21"/>
                <w:szCs w:val="21"/>
                <w:highlight w:val="none"/>
                <w:lang w:val="en-US" w:eastAsia="zh-CN"/>
              </w:rPr>
              <w:t>制样、</w:t>
            </w:r>
            <w:r>
              <w:rPr>
                <w:rFonts w:hint="default" w:ascii="宋体" w:hAnsi="宋体" w:eastAsia="宋体" w:cs="宋体"/>
                <w:b w:val="0"/>
                <w:bCs w:val="0"/>
                <w:color w:val="auto"/>
                <w:spacing w:val="0"/>
                <w:sz w:val="21"/>
                <w:szCs w:val="21"/>
                <w:highlight w:val="none"/>
                <w:lang w:eastAsia="zh-CN"/>
              </w:rPr>
              <w:t>检</w:t>
            </w:r>
            <w:r>
              <w:rPr>
                <w:rFonts w:hint="default" w:ascii="宋体" w:hAnsi="宋体" w:eastAsia="宋体" w:cs="宋体"/>
                <w:b w:val="0"/>
                <w:bCs w:val="0"/>
                <w:color w:val="auto"/>
                <w:spacing w:val="0"/>
                <w:sz w:val="21"/>
                <w:szCs w:val="21"/>
                <w:highlight w:val="none"/>
                <w:lang w:val="en-US" w:eastAsia="zh-CN"/>
              </w:rPr>
              <w:t>验、报告审核、报告批准、仪器设备管理、质量管理、技术管理等与检验相关工作的人员，须提供单位授权书或任务书或工作证或上岗证等佐证材料复印件。</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521FF87F">
            <w:pPr>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12</w:t>
            </w:r>
            <w:r>
              <w:rPr>
                <w:rFonts w:hint="eastAsia" w:ascii="宋体" w:hAnsi="宋体" w:cs="宋体"/>
                <w:b w:val="0"/>
                <w:bCs w:val="0"/>
                <w:color w:val="auto"/>
                <w:szCs w:val="21"/>
                <w:highlight w:val="none"/>
              </w:rPr>
              <w:t>分</w:t>
            </w:r>
          </w:p>
          <w:p w14:paraId="4ADA3374">
            <w:pPr>
              <w:spacing w:line="360" w:lineRule="auto"/>
              <w:jc w:val="center"/>
              <w:rPr>
                <w:rFonts w:hint="eastAsia" w:ascii="宋体" w:hAnsi="宋体" w:cs="宋体"/>
                <w:b w:val="0"/>
                <w:bCs w:val="0"/>
                <w:color w:val="auto"/>
                <w:szCs w:val="21"/>
                <w:highlight w:val="none"/>
              </w:rPr>
            </w:pPr>
          </w:p>
          <w:p w14:paraId="0B92BAC8">
            <w:pPr>
              <w:spacing w:line="360" w:lineRule="auto"/>
              <w:jc w:val="center"/>
              <w:rPr>
                <w:rFonts w:hint="eastAsia" w:ascii="宋体" w:hAnsi="宋体" w:cs="宋体"/>
                <w:b w:val="0"/>
                <w:bCs w:val="0"/>
                <w:color w:val="auto"/>
                <w:szCs w:val="21"/>
                <w:highlight w:val="none"/>
              </w:rPr>
            </w:pPr>
          </w:p>
        </w:tc>
      </w:tr>
      <w:tr w14:paraId="628CDB3C">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4D429BCA">
            <w:pPr>
              <w:spacing w:line="440" w:lineRule="exact"/>
              <w:jc w:val="center"/>
              <w:rPr>
                <w:rFonts w:hint="default" w:ascii="宋体" w:hAnsi="宋体" w:eastAsia="宋体" w:cs="宋体"/>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2.6</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70A69E65">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仪器设备</w:t>
            </w:r>
          </w:p>
        </w:tc>
        <w:tc>
          <w:tcPr>
            <w:tcW w:w="6285" w:type="dxa"/>
            <w:tcBorders>
              <w:top w:val="single" w:color="000000" w:sz="4" w:space="0"/>
              <w:left w:val="single" w:color="000000" w:sz="4" w:space="0"/>
            </w:tcBorders>
            <w:noWrap w:val="0"/>
            <w:tcMar>
              <w:left w:w="103" w:type="dxa"/>
            </w:tcMar>
            <w:vAlign w:val="top"/>
          </w:tcPr>
          <w:p w14:paraId="3842997E">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供应商</w:t>
            </w:r>
            <w:r>
              <w:rPr>
                <w:rFonts w:ascii="宋体" w:hAnsi="宋体" w:cs="宋体"/>
                <w:b w:val="0"/>
                <w:bCs w:val="0"/>
                <w:color w:val="auto"/>
                <w:szCs w:val="21"/>
                <w:highlight w:val="none"/>
              </w:rPr>
              <w:t>拟投入的</w:t>
            </w:r>
            <w:r>
              <w:rPr>
                <w:rFonts w:hint="default" w:ascii="宋体" w:hAnsi="宋体" w:cs="宋体"/>
                <w:b w:val="0"/>
                <w:bCs w:val="0"/>
                <w:color w:val="auto"/>
                <w:szCs w:val="21"/>
                <w:highlight w:val="none"/>
              </w:rPr>
              <w:t>实验室须具有液相色谱仪、气相色谱仪、液相色谱-质谱联用仪、气相色谱-质谱联用仪、离子色谱仪、液相色谱原子荧光联用仪、全自动细菌鉴定仪、</w:t>
            </w:r>
            <w:r>
              <w:rPr>
                <w:rFonts w:hint="default" w:ascii="宋体" w:hAnsi="宋体" w:eastAsia="宋体" w:cs="宋体"/>
                <w:b w:val="0"/>
                <w:bCs w:val="0"/>
                <w:color w:val="auto"/>
                <w:spacing w:val="0"/>
                <w:sz w:val="21"/>
                <w:szCs w:val="21"/>
                <w:highlight w:val="none"/>
                <w:lang w:val="en-US" w:eastAsia="zh-CN"/>
              </w:rPr>
              <w:t>ICP-MS</w:t>
            </w:r>
            <w:r>
              <w:rPr>
                <w:rFonts w:hint="eastAsia" w:ascii="宋体" w:hAnsi="宋体" w:cs="宋体"/>
                <w:b w:val="0"/>
                <w:bCs w:val="0"/>
                <w:color w:val="auto"/>
                <w:spacing w:val="0"/>
                <w:sz w:val="21"/>
                <w:szCs w:val="21"/>
                <w:highlight w:val="none"/>
                <w:lang w:val="en-US" w:eastAsia="zh-CN"/>
              </w:rPr>
              <w:t>（电感耦合等离子体质谱仪）</w:t>
            </w:r>
            <w:r>
              <w:rPr>
                <w:rFonts w:hint="default" w:ascii="宋体" w:hAnsi="宋体" w:eastAsia="宋体" w:cs="宋体"/>
                <w:b w:val="0"/>
                <w:bCs w:val="0"/>
                <w:color w:val="auto"/>
                <w:spacing w:val="0"/>
                <w:sz w:val="21"/>
                <w:szCs w:val="21"/>
                <w:highlight w:val="none"/>
              </w:rPr>
              <w:t>等</w:t>
            </w:r>
            <w:r>
              <w:rPr>
                <w:rFonts w:hint="default" w:ascii="宋体" w:hAnsi="宋体" w:cs="宋体"/>
                <w:b w:val="0"/>
                <w:bCs w:val="0"/>
                <w:color w:val="auto"/>
                <w:szCs w:val="21"/>
                <w:highlight w:val="none"/>
              </w:rPr>
              <w:t>仪器设备的得</w:t>
            </w:r>
            <w:r>
              <w:rPr>
                <w:rFonts w:hint="eastAsia"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分，每缺一种仪器设备扣0.</w:t>
            </w:r>
            <w:r>
              <w:rPr>
                <w:rFonts w:hint="default"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分，扣完为止。</w:t>
            </w:r>
          </w:p>
          <w:p w14:paraId="3B293FB3">
            <w:pPr>
              <w:snapToGrid w:val="0"/>
              <w:spacing w:line="440" w:lineRule="exact"/>
              <w:ind w:firstLine="443"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注：响应文件中须提供检验仪器设备一览表及购置发票扫描件</w:t>
            </w:r>
            <w:r>
              <w:rPr>
                <w:rFonts w:hint="eastAsia" w:ascii="宋体" w:hAnsi="宋体" w:cs="宋体"/>
                <w:b w:val="0"/>
                <w:bCs w:val="0"/>
                <w:color w:val="auto"/>
                <w:szCs w:val="21"/>
                <w:highlight w:val="none"/>
                <w:lang w:val="en-US" w:eastAsia="zh-CN"/>
              </w:rPr>
              <w:t>或</w:t>
            </w:r>
            <w:r>
              <w:rPr>
                <w:rFonts w:hint="default" w:ascii="宋体" w:hAnsi="宋体" w:cs="宋体"/>
                <w:b w:val="0"/>
                <w:bCs w:val="0"/>
                <w:color w:val="auto"/>
                <w:szCs w:val="21"/>
                <w:highlight w:val="none"/>
              </w:rPr>
              <w:t>检验仪器设备</w:t>
            </w:r>
            <w:r>
              <w:rPr>
                <w:rFonts w:hint="eastAsia" w:ascii="宋体" w:hAnsi="宋体" w:cs="宋体"/>
                <w:b w:val="0"/>
                <w:bCs w:val="0"/>
                <w:color w:val="auto"/>
                <w:szCs w:val="21"/>
                <w:highlight w:val="none"/>
                <w:lang w:val="en-US" w:eastAsia="zh-CN"/>
              </w:rPr>
              <w:t>的租赁合同</w:t>
            </w:r>
            <w:r>
              <w:rPr>
                <w:rFonts w:hint="default" w:ascii="宋体" w:hAnsi="宋体" w:cs="宋体"/>
                <w:b w:val="0"/>
                <w:bCs w:val="0"/>
                <w:color w:val="auto"/>
                <w:szCs w:val="21"/>
                <w:highlight w:val="none"/>
              </w:rPr>
              <w:t>，否则不予计分。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54CC690A">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4</w:t>
            </w:r>
            <w:r>
              <w:rPr>
                <w:rFonts w:hint="eastAsia" w:ascii="宋体" w:hAnsi="宋体" w:cs="宋体"/>
                <w:b w:val="0"/>
                <w:bCs w:val="0"/>
                <w:color w:val="auto"/>
                <w:szCs w:val="21"/>
                <w:highlight w:val="none"/>
              </w:rPr>
              <w:t>分</w:t>
            </w:r>
          </w:p>
        </w:tc>
      </w:tr>
      <w:tr w14:paraId="059E532C">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1133F868">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2.7</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73D9191A">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实验室能力验证情况</w:t>
            </w:r>
          </w:p>
        </w:tc>
        <w:tc>
          <w:tcPr>
            <w:tcW w:w="6285" w:type="dxa"/>
            <w:tcBorders>
              <w:top w:val="single" w:color="000000" w:sz="4" w:space="0"/>
              <w:left w:val="single" w:color="000000" w:sz="4" w:space="0"/>
            </w:tcBorders>
            <w:noWrap w:val="0"/>
            <w:tcMar>
              <w:left w:w="103" w:type="dxa"/>
            </w:tcMar>
            <w:vAlign w:val="top"/>
          </w:tcPr>
          <w:p w14:paraId="652CF79B">
            <w:pPr>
              <w:pStyle w:val="186"/>
              <w:spacing w:line="440" w:lineRule="exact"/>
              <w:ind w:firstLine="420" w:firstLineChars="20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提供自202</w:t>
            </w:r>
            <w:r>
              <w:rPr>
                <w:rFonts w:hint="eastAsia"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年1月1日至响应文件递交截止时间止</w:t>
            </w:r>
            <w:r>
              <w:rPr>
                <w:rFonts w:hint="eastAsia" w:ascii="宋体" w:hAnsi="宋体" w:cs="宋体"/>
                <w:b w:val="0"/>
                <w:bCs w:val="0"/>
                <w:color w:val="auto"/>
                <w:szCs w:val="21"/>
                <w:highlight w:val="none"/>
                <w:lang w:eastAsia="zh-CN"/>
              </w:rPr>
              <w:t>，供应商</w:t>
            </w:r>
            <w:r>
              <w:rPr>
                <w:rFonts w:hint="default" w:ascii="宋体" w:hAnsi="宋体" w:cs="宋体"/>
                <w:b w:val="0"/>
                <w:bCs w:val="0"/>
                <w:color w:val="auto"/>
                <w:szCs w:val="21"/>
                <w:highlight w:val="none"/>
              </w:rPr>
              <w:t>参与国内外相关组织的实验室食品能力验证情况</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项目应属于食品中重金属、微生物/毒素、农兽药、食品添加剂、非法添加物（或非食用物质）5个领域，其他领域不得分</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w:t>
            </w:r>
          </w:p>
          <w:p w14:paraId="30F3F81A">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（1）获得不少于</w:t>
            </w:r>
            <w:r>
              <w:rPr>
                <w:rFonts w:hint="eastAsia"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0项次（含）满意结果</w:t>
            </w:r>
            <w:r>
              <w:rPr>
                <w:rFonts w:hint="eastAsia" w:ascii="宋体" w:hAnsi="宋体" w:cs="宋体"/>
                <w:b w:val="0"/>
                <w:bCs w:val="0"/>
                <w:color w:val="auto"/>
                <w:szCs w:val="21"/>
                <w:highlight w:val="none"/>
                <w:lang w:eastAsia="zh-CN"/>
              </w:rPr>
              <w:t>，得</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分；</w:t>
            </w:r>
          </w:p>
          <w:p w14:paraId="48C15E6D">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（2）获得不少于</w:t>
            </w:r>
            <w:r>
              <w:rPr>
                <w:rFonts w:hint="eastAsia" w:ascii="宋体" w:hAnsi="宋体" w:cs="宋体"/>
                <w:b w:val="0"/>
                <w:bCs w:val="0"/>
                <w:color w:val="auto"/>
                <w:szCs w:val="21"/>
                <w:highlight w:val="none"/>
                <w:lang w:val="en-US" w:eastAsia="zh-CN"/>
              </w:rPr>
              <w:t>6</w:t>
            </w:r>
            <w:r>
              <w:rPr>
                <w:rFonts w:hint="default" w:ascii="宋体" w:hAnsi="宋体" w:cs="宋体"/>
                <w:b w:val="0"/>
                <w:bCs w:val="0"/>
                <w:color w:val="auto"/>
                <w:szCs w:val="21"/>
                <w:highlight w:val="none"/>
              </w:rPr>
              <w:t>0项次（含）满意结果</w:t>
            </w:r>
            <w:r>
              <w:rPr>
                <w:rFonts w:hint="eastAsia" w:ascii="宋体" w:hAnsi="宋体" w:cs="宋体"/>
                <w:b w:val="0"/>
                <w:bCs w:val="0"/>
                <w:color w:val="auto"/>
                <w:szCs w:val="21"/>
                <w:highlight w:val="none"/>
                <w:lang w:eastAsia="zh-CN"/>
              </w:rPr>
              <w:t>，得</w:t>
            </w:r>
            <w:r>
              <w:rPr>
                <w:rFonts w:hint="default"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5132114E">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（3）获得不少于</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0项次（含）满意结果</w:t>
            </w:r>
            <w:r>
              <w:rPr>
                <w:rFonts w:hint="eastAsia" w:ascii="宋体" w:hAnsi="宋体" w:cs="宋体"/>
                <w:b w:val="0"/>
                <w:bCs w:val="0"/>
                <w:color w:val="auto"/>
                <w:szCs w:val="21"/>
                <w:highlight w:val="none"/>
                <w:lang w:eastAsia="zh-CN"/>
              </w:rPr>
              <w:t>，得</w:t>
            </w:r>
            <w:r>
              <w:rPr>
                <w:rFonts w:hint="eastAsia"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rPr>
              <w:t>分。</w:t>
            </w:r>
          </w:p>
          <w:p w14:paraId="38C932A1">
            <w:pPr>
              <w:pStyle w:val="186"/>
              <w:spacing w:line="440" w:lineRule="exact"/>
              <w:ind w:firstLine="420" w:firstLineChars="20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注：响应文件中须提供相关证明文件并加盖供应商单位电子签章，否则不予计分。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29EF92CF">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满分  3</w:t>
            </w:r>
            <w:r>
              <w:rPr>
                <w:rFonts w:hint="eastAsia" w:ascii="宋体" w:hAnsi="宋体" w:cs="宋体"/>
                <w:b w:val="0"/>
                <w:bCs w:val="0"/>
                <w:color w:val="auto"/>
                <w:szCs w:val="21"/>
                <w:highlight w:val="none"/>
              </w:rPr>
              <w:t>分</w:t>
            </w:r>
          </w:p>
        </w:tc>
      </w:tr>
      <w:tr w14:paraId="719BBA40">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688CE46B">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2.8</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78991BB8">
            <w:pPr>
              <w:widowControl/>
              <w:spacing w:line="440" w:lineRule="exact"/>
              <w:jc w:val="center"/>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rPr>
              <w:t>实验室</w:t>
            </w:r>
            <w:r>
              <w:rPr>
                <w:rFonts w:hint="eastAsia" w:ascii="宋体" w:hAnsi="宋体" w:cs="宋体"/>
                <w:b w:val="0"/>
                <w:bCs w:val="0"/>
                <w:color w:val="auto"/>
                <w:szCs w:val="21"/>
                <w:highlight w:val="none"/>
                <w:lang w:val="en-US" w:eastAsia="zh-CN"/>
              </w:rPr>
              <w:t xml:space="preserve">资质 </w:t>
            </w:r>
          </w:p>
        </w:tc>
        <w:tc>
          <w:tcPr>
            <w:tcW w:w="6285" w:type="dxa"/>
            <w:tcBorders>
              <w:top w:val="single" w:color="000000" w:sz="4" w:space="0"/>
              <w:left w:val="single" w:color="000000" w:sz="4" w:space="0"/>
            </w:tcBorders>
            <w:noWrap w:val="0"/>
            <w:tcMar>
              <w:left w:w="103" w:type="dxa"/>
            </w:tcMar>
            <w:vAlign w:val="top"/>
          </w:tcPr>
          <w:p w14:paraId="2DFE67D7">
            <w:pPr>
              <w:pStyle w:val="186"/>
              <w:spacing w:line="440" w:lineRule="exact"/>
              <w:ind w:firstLine="420" w:firstLineChars="200"/>
              <w:rPr>
                <w:rFonts w:hint="default"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供应商</w:t>
            </w:r>
            <w:r>
              <w:rPr>
                <w:rFonts w:hint="default" w:ascii="宋体" w:hAnsi="宋体" w:cs="宋体"/>
                <w:b w:val="0"/>
                <w:bCs w:val="0"/>
                <w:color w:val="auto"/>
                <w:szCs w:val="21"/>
                <w:highlight w:val="none"/>
              </w:rPr>
              <w:t>获得市场监管总局、国家卫生健康委、农业农村部三部门共同认定的食品复检机构或实验室通过CNAS认证的，得</w:t>
            </w:r>
            <w:r>
              <w:rPr>
                <w:rFonts w:hint="eastAsia"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136BC561">
            <w:pPr>
              <w:pStyle w:val="186"/>
              <w:spacing w:line="440" w:lineRule="exact"/>
              <w:ind w:firstLine="420"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（注：供应商须提供属于复检机构或实验室通过CNAS认证的相关证明复印件并加盖供应商电子签章，未提供该项不得分。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538E5D34">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2</w:t>
            </w:r>
            <w:r>
              <w:rPr>
                <w:rFonts w:hint="eastAsia" w:ascii="宋体" w:hAnsi="宋体" w:cs="宋体"/>
                <w:b w:val="0"/>
                <w:bCs w:val="0"/>
                <w:color w:val="auto"/>
                <w:szCs w:val="21"/>
                <w:highlight w:val="none"/>
              </w:rPr>
              <w:t>分</w:t>
            </w:r>
          </w:p>
        </w:tc>
      </w:tr>
      <w:tr w14:paraId="5F6AE74D">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1B4D1C50">
            <w:pPr>
              <w:spacing w:line="440" w:lineRule="exact"/>
              <w:jc w:val="center"/>
              <w:rPr>
                <w:rFonts w:hint="eastAsia" w:ascii="宋体" w:hAnsi="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2.9</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5F14573F">
            <w:pPr>
              <w:widowControl/>
              <w:spacing w:line="440" w:lineRule="exact"/>
              <w:jc w:val="center"/>
              <w:rPr>
                <w:rFonts w:hint="eastAsia"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5年或2026年度</w:t>
            </w:r>
            <w:r>
              <w:rPr>
                <w:rFonts w:hint="eastAsia" w:ascii="宋体" w:hAnsi="宋体" w:cs="宋体"/>
                <w:b w:val="0"/>
                <w:bCs w:val="0"/>
                <w:color w:val="auto"/>
                <w:szCs w:val="21"/>
                <w:highlight w:val="none"/>
              </w:rPr>
              <w:t>食品安全监督抽检情况</w:t>
            </w:r>
          </w:p>
        </w:tc>
        <w:tc>
          <w:tcPr>
            <w:tcW w:w="6285" w:type="dxa"/>
            <w:tcBorders>
              <w:top w:val="single" w:color="000000" w:sz="4" w:space="0"/>
              <w:left w:val="single" w:color="000000" w:sz="4" w:space="0"/>
            </w:tcBorders>
            <w:noWrap w:val="0"/>
            <w:tcMar>
              <w:left w:w="103" w:type="dxa"/>
            </w:tcMar>
            <w:vAlign w:val="top"/>
          </w:tcPr>
          <w:p w14:paraId="6F609C88">
            <w:pPr>
              <w:snapToGrid w:val="0"/>
              <w:spacing w:line="440" w:lineRule="exact"/>
              <w:ind w:firstLine="443"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供应商参加</w:t>
            </w: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w:t>
            </w:r>
            <w:r>
              <w:rPr>
                <w:rFonts w:hint="default" w:ascii="宋体" w:hAnsi="宋体" w:cs="宋体"/>
                <w:b w:val="0"/>
                <w:bCs w:val="0"/>
                <w:color w:val="auto"/>
                <w:szCs w:val="21"/>
                <w:highlight w:val="none"/>
                <w:lang w:val="en-US" w:eastAsia="zh-CN"/>
              </w:rPr>
              <w:t>年度</w:t>
            </w:r>
            <w:r>
              <w:rPr>
                <w:rFonts w:hint="default" w:ascii="宋体" w:hAnsi="宋体" w:cs="宋体"/>
                <w:b w:val="0"/>
                <w:bCs w:val="0"/>
                <w:color w:val="auto"/>
                <w:szCs w:val="21"/>
                <w:highlight w:val="none"/>
              </w:rPr>
              <w:t>食品安全监督抽检，在各省</w:t>
            </w:r>
            <w:r>
              <w:rPr>
                <w:rFonts w:hint="default" w:ascii="宋体" w:hAnsi="宋体" w:cs="宋体"/>
                <w:b w:val="0"/>
                <w:bCs w:val="0"/>
                <w:color w:val="auto"/>
                <w:szCs w:val="21"/>
                <w:highlight w:val="none"/>
                <w:lang w:eastAsia="zh-CN"/>
              </w:rPr>
              <w:t>或直辖市</w:t>
            </w:r>
            <w:r>
              <w:rPr>
                <w:rFonts w:hint="default" w:ascii="宋体" w:hAnsi="宋体" w:cs="宋体"/>
                <w:b w:val="0"/>
                <w:bCs w:val="0"/>
                <w:color w:val="auto"/>
                <w:szCs w:val="21"/>
                <w:highlight w:val="none"/>
              </w:rPr>
              <w:t>食品安全抽检监测数据统计分析系统上查询到的本机构</w:t>
            </w: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w:t>
            </w:r>
            <w:r>
              <w:rPr>
                <w:rFonts w:hint="default" w:ascii="宋体" w:hAnsi="宋体" w:cs="宋体"/>
                <w:b w:val="0"/>
                <w:bCs w:val="0"/>
                <w:color w:val="auto"/>
                <w:szCs w:val="21"/>
                <w:highlight w:val="none"/>
                <w:lang w:val="en-US" w:eastAsia="zh-CN"/>
              </w:rPr>
              <w:t>年度</w:t>
            </w:r>
            <w:r>
              <w:rPr>
                <w:rFonts w:hint="default" w:ascii="宋体" w:hAnsi="宋体" w:cs="宋体"/>
                <w:b w:val="0"/>
                <w:bCs w:val="0"/>
                <w:color w:val="auto"/>
                <w:szCs w:val="21"/>
                <w:highlight w:val="none"/>
              </w:rPr>
              <w:t>样品状态为已完全提交的全部检验样品不合格率</w:t>
            </w:r>
            <w:r>
              <w:rPr>
                <w:rFonts w:hint="default" w:ascii="宋体" w:hAnsi="宋体" w:cs="宋体"/>
                <w:b w:val="0"/>
                <w:bCs w:val="0"/>
                <w:color w:val="auto"/>
                <w:szCs w:val="21"/>
                <w:highlight w:val="none"/>
                <w:lang w:eastAsia="zh-CN"/>
              </w:rPr>
              <w:t>，查询时间为响应文件提交</w:t>
            </w:r>
            <w:r>
              <w:rPr>
                <w:rFonts w:ascii="宋体" w:hAnsi="宋体" w:cs="宋体"/>
                <w:b w:val="0"/>
                <w:bCs w:val="0"/>
                <w:color w:val="auto"/>
                <w:szCs w:val="21"/>
                <w:highlight w:val="none"/>
              </w:rPr>
              <w:t>（上传</w:t>
            </w:r>
            <w:r>
              <w:rPr>
                <w:rFonts w:hint="default" w:ascii="宋体" w:hAnsi="宋体" w:cs="宋体"/>
                <w:b w:val="0"/>
                <w:bCs w:val="0"/>
                <w:color w:val="auto"/>
                <w:szCs w:val="21"/>
                <w:highlight w:val="none"/>
                <w:lang w:eastAsia="zh-CN"/>
              </w:rPr>
              <w:t>）截止日之前</w:t>
            </w:r>
            <w:r>
              <w:rPr>
                <w:rFonts w:hint="default"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lang w:eastAsia="zh-CN"/>
              </w:rPr>
              <w:t>天</w:t>
            </w:r>
            <w:r>
              <w:rPr>
                <w:rFonts w:hint="default" w:ascii="宋体" w:hAnsi="宋体" w:cs="宋体"/>
                <w:b w:val="0"/>
                <w:bCs w:val="0"/>
                <w:color w:val="auto"/>
                <w:szCs w:val="21"/>
                <w:highlight w:val="none"/>
                <w:lang w:val="en-US" w:eastAsia="zh-CN"/>
              </w:rPr>
              <w:t>内</w:t>
            </w:r>
            <w:r>
              <w:rPr>
                <w:rFonts w:hint="default"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p>
          <w:p w14:paraId="0A39354A">
            <w:pPr>
              <w:snapToGrid w:val="0"/>
              <w:spacing w:line="440" w:lineRule="exact"/>
              <w:ind w:firstLine="443"/>
              <w:rPr>
                <w:rFonts w:hint="default" w:ascii="宋体" w:hAnsi="宋体" w:eastAsia="宋体" w:cs="宋体"/>
                <w:b w:val="0"/>
                <w:bCs w:val="0"/>
                <w:color w:val="auto"/>
                <w:szCs w:val="21"/>
                <w:highlight w:val="none"/>
                <w:lang w:eastAsia="zh-CN"/>
              </w:rPr>
            </w:pPr>
            <w:r>
              <w:rPr>
                <w:rFonts w:hint="default"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%（含）以上</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r>
              <w:rPr>
                <w:rFonts w:hint="default" w:ascii="宋体" w:hAnsi="宋体" w:cs="宋体"/>
                <w:b w:val="0"/>
                <w:bCs w:val="0"/>
                <w:color w:val="auto"/>
                <w:szCs w:val="21"/>
                <w:highlight w:val="none"/>
                <w:lang w:eastAsia="zh-CN"/>
              </w:rPr>
              <w:t>；</w:t>
            </w:r>
          </w:p>
          <w:p w14:paraId="3C8ABBE4">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7%（含）—</w:t>
            </w:r>
            <w:r>
              <w:rPr>
                <w:rFonts w:hint="default"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%（不含）</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eastAsia" w:ascii="宋体" w:hAnsi="宋体" w:cs="宋体"/>
                <w:b w:val="0"/>
                <w:bCs w:val="0"/>
                <w:color w:val="auto"/>
                <w:szCs w:val="21"/>
                <w:highlight w:val="none"/>
                <w:lang w:val="en-US" w:eastAsia="zh-CN"/>
              </w:rPr>
              <w:t>6</w:t>
            </w:r>
            <w:r>
              <w:rPr>
                <w:rFonts w:hint="default" w:ascii="宋体" w:hAnsi="宋体" w:cs="宋体"/>
                <w:b w:val="0"/>
                <w:bCs w:val="0"/>
                <w:color w:val="auto"/>
                <w:szCs w:val="21"/>
                <w:highlight w:val="none"/>
              </w:rPr>
              <w:t>分；</w:t>
            </w:r>
          </w:p>
          <w:p w14:paraId="000F8C5E">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5%（含）—</w:t>
            </w:r>
            <w:r>
              <w:rPr>
                <w:rFonts w:hint="default" w:ascii="宋体" w:hAnsi="宋体" w:cs="宋体"/>
                <w:b w:val="0"/>
                <w:bCs w:val="0"/>
                <w:color w:val="auto"/>
                <w:szCs w:val="21"/>
                <w:highlight w:val="none"/>
                <w:lang w:val="en-US" w:eastAsia="zh-CN"/>
              </w:rPr>
              <w:t>7</w:t>
            </w:r>
            <w:r>
              <w:rPr>
                <w:rFonts w:hint="default" w:ascii="宋体" w:hAnsi="宋体" w:cs="宋体"/>
                <w:b w:val="0"/>
                <w:bCs w:val="0"/>
                <w:color w:val="auto"/>
                <w:szCs w:val="21"/>
                <w:highlight w:val="none"/>
              </w:rPr>
              <w:t>%（不含）</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分；</w:t>
            </w:r>
          </w:p>
          <w:p w14:paraId="0E7FB396">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4%（含）—5%（不含）</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6333B5E4">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4%（不含）</w:t>
            </w:r>
            <w:r>
              <w:rPr>
                <w:rFonts w:hint="eastAsia" w:ascii="宋体" w:hAnsi="宋体" w:cs="宋体"/>
                <w:b w:val="0"/>
                <w:bCs w:val="0"/>
                <w:color w:val="auto"/>
                <w:szCs w:val="21"/>
                <w:highlight w:val="none"/>
                <w:lang w:val="en-US" w:eastAsia="zh-CN"/>
              </w:rPr>
              <w:t>以下，</w:t>
            </w:r>
            <w:r>
              <w:rPr>
                <w:rFonts w:hint="default" w:ascii="宋体" w:hAnsi="宋体" w:cs="宋体"/>
                <w:b w:val="0"/>
                <w:bCs w:val="0"/>
                <w:color w:val="auto"/>
                <w:szCs w:val="21"/>
                <w:highlight w:val="none"/>
              </w:rPr>
              <w:t>不得分。</w:t>
            </w:r>
          </w:p>
          <w:p w14:paraId="1EEA0B67">
            <w:pPr>
              <w:snapToGrid w:val="0"/>
              <w:spacing w:line="440" w:lineRule="exact"/>
              <w:ind w:firstLine="443"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注：不合格率应提供以下证明材料：</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提供各省</w:t>
            </w:r>
            <w:r>
              <w:rPr>
                <w:rFonts w:hint="default" w:ascii="宋体" w:hAnsi="宋体" w:cs="宋体"/>
                <w:b w:val="0"/>
                <w:bCs w:val="0"/>
                <w:color w:val="auto"/>
                <w:szCs w:val="21"/>
                <w:highlight w:val="none"/>
                <w:lang w:eastAsia="zh-CN"/>
              </w:rPr>
              <w:t>或直辖市</w:t>
            </w:r>
            <w:r>
              <w:rPr>
                <w:rFonts w:hint="default" w:ascii="宋体" w:hAnsi="宋体" w:cs="宋体"/>
                <w:b w:val="0"/>
                <w:bCs w:val="0"/>
                <w:color w:val="auto"/>
                <w:szCs w:val="21"/>
                <w:highlight w:val="none"/>
              </w:rPr>
              <w:t>食品安全抽检监测数据统计分析系统上本机构</w:t>
            </w: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w:t>
            </w:r>
            <w:r>
              <w:rPr>
                <w:rFonts w:hint="default" w:ascii="宋体" w:hAnsi="宋体" w:cs="宋体"/>
                <w:b w:val="0"/>
                <w:bCs w:val="0"/>
                <w:color w:val="auto"/>
                <w:szCs w:val="21"/>
                <w:highlight w:val="none"/>
                <w:lang w:val="en-US" w:eastAsia="zh-CN"/>
              </w:rPr>
              <w:t>年度</w:t>
            </w:r>
            <w:r>
              <w:rPr>
                <w:rFonts w:hint="default" w:ascii="宋体" w:hAnsi="宋体" w:cs="宋体"/>
                <w:b w:val="0"/>
                <w:bCs w:val="0"/>
                <w:color w:val="auto"/>
                <w:szCs w:val="21"/>
                <w:highlight w:val="none"/>
              </w:rPr>
              <w:t>的基本统计数据截图，截图1：</w:t>
            </w:r>
            <w:r>
              <w:rPr>
                <w:rFonts w:hint="default" w:ascii="宋体" w:hAnsi="宋体" w:cs="宋体"/>
                <w:b w:val="0"/>
                <w:bCs w:val="0"/>
                <w:color w:val="auto"/>
                <w:szCs w:val="21"/>
                <w:highlight w:val="none"/>
                <w:lang w:eastAsia="zh-CN"/>
              </w:rPr>
              <w:t>统计维度选择“检验机构”，</w:t>
            </w:r>
            <w:r>
              <w:rPr>
                <w:rFonts w:hint="default" w:ascii="宋体" w:hAnsi="宋体" w:cs="宋体"/>
                <w:b w:val="0"/>
                <w:bCs w:val="0"/>
                <w:color w:val="auto"/>
                <w:szCs w:val="21"/>
                <w:highlight w:val="none"/>
              </w:rPr>
              <w:t>显示更多筛选条件显示查询年度为</w:t>
            </w:r>
            <w:r>
              <w:rPr>
                <w:rFonts w:hint="default" w:ascii="宋体" w:hAnsi="宋体" w:cs="宋体"/>
                <w:b w:val="0"/>
                <w:bCs w:val="0"/>
                <w:color w:val="auto"/>
                <w:szCs w:val="21"/>
                <w:highlight w:val="none"/>
                <w:lang w:val="en-US" w:eastAsia="zh-CN"/>
              </w:rPr>
              <w:t>202</w:t>
            </w:r>
            <w:r>
              <w:rPr>
                <w:rFonts w:hint="eastAsia" w:ascii="宋体" w:hAnsi="宋体" w:cs="宋体"/>
                <w:b w:val="0"/>
                <w:bCs w:val="0"/>
                <w:color w:val="auto"/>
                <w:szCs w:val="21"/>
                <w:highlight w:val="none"/>
                <w:lang w:val="en-US" w:eastAsia="zh-CN"/>
              </w:rPr>
              <w:t>5年或2026</w:t>
            </w:r>
            <w:r>
              <w:rPr>
                <w:rFonts w:hint="default" w:ascii="宋体" w:hAnsi="宋体" w:cs="宋体"/>
                <w:b w:val="0"/>
                <w:bCs w:val="0"/>
                <w:color w:val="auto"/>
                <w:szCs w:val="21"/>
                <w:highlight w:val="none"/>
              </w:rPr>
              <w:t>年，样品状态为已完全提交</w:t>
            </w:r>
            <w:r>
              <w:rPr>
                <w:rFonts w:hint="default" w:ascii="宋体" w:hAnsi="宋体" w:cs="宋体"/>
                <w:b w:val="0"/>
                <w:bCs w:val="0"/>
                <w:color w:val="auto"/>
                <w:szCs w:val="21"/>
                <w:highlight w:val="none"/>
                <w:lang w:eastAsia="zh-CN"/>
              </w:rPr>
              <w:t>，其他选项都不选</w:t>
            </w:r>
            <w:r>
              <w:rPr>
                <w:rFonts w:hint="default" w:ascii="宋体" w:hAnsi="宋体" w:cs="宋体"/>
                <w:b w:val="0"/>
                <w:bCs w:val="0"/>
                <w:color w:val="auto"/>
                <w:szCs w:val="21"/>
                <w:highlight w:val="none"/>
              </w:rPr>
              <w:t>；截图2：显示检验机构名称、总批次、不合格批次、不合格样品率信息</w:t>
            </w:r>
            <w:r>
              <w:rPr>
                <w:rFonts w:hint="eastAsia" w:ascii="宋体" w:hAnsi="宋体" w:cs="宋体"/>
                <w:b w:val="0"/>
                <w:bCs w:val="0"/>
                <w:color w:val="auto"/>
                <w:szCs w:val="21"/>
                <w:highlight w:val="none"/>
                <w:lang w:eastAsia="zh-CN"/>
              </w:rPr>
              <w:t>。缺少任何一个信息均不得分，未能提供证明材料的不得分。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636FF5C5">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8</w:t>
            </w:r>
            <w:r>
              <w:rPr>
                <w:rFonts w:hint="eastAsia" w:ascii="宋体" w:hAnsi="宋体" w:cs="宋体"/>
                <w:b w:val="0"/>
                <w:bCs w:val="0"/>
                <w:color w:val="auto"/>
                <w:szCs w:val="21"/>
                <w:highlight w:val="none"/>
              </w:rPr>
              <w:t>分</w:t>
            </w:r>
          </w:p>
        </w:tc>
      </w:tr>
      <w:tr w14:paraId="697F399D">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47E520D7">
            <w:pPr>
              <w:spacing w:line="440" w:lineRule="exact"/>
              <w:jc w:val="center"/>
              <w:rPr>
                <w:rFonts w:hint="default" w:ascii="宋体" w:hAnsi="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2.10</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0C2150FC">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全区食品安全抽检数据质量情况</w:t>
            </w:r>
          </w:p>
        </w:tc>
        <w:tc>
          <w:tcPr>
            <w:tcW w:w="6285" w:type="dxa"/>
            <w:tcBorders>
              <w:top w:val="single" w:color="000000" w:sz="4" w:space="0"/>
              <w:left w:val="single" w:color="000000" w:sz="4" w:space="0"/>
            </w:tcBorders>
            <w:noWrap w:val="0"/>
            <w:tcMar>
              <w:left w:w="103" w:type="dxa"/>
            </w:tcMar>
            <w:vAlign w:val="top"/>
          </w:tcPr>
          <w:p w14:paraId="583CF1E8">
            <w:pPr>
              <w:snapToGrid w:val="0"/>
              <w:spacing w:line="440" w:lineRule="exact"/>
              <w:ind w:firstLine="443" w:firstLineChars="0"/>
              <w:rPr>
                <w:rFonts w:hint="default" w:ascii="宋体" w:hAnsi="宋体" w:cs="宋体"/>
                <w:b w:val="0"/>
                <w:bCs w:val="0"/>
                <w:color w:val="auto"/>
                <w:szCs w:val="21"/>
                <w:highlight w:val="none"/>
                <w:lang w:val="en-US" w:eastAsia="zh-CN"/>
              </w:rPr>
            </w:pPr>
            <w:r>
              <w:rPr>
                <w:rFonts w:hint="default" w:ascii="宋体" w:hAnsi="宋体" w:cs="宋体"/>
                <w:b w:val="0"/>
                <w:bCs w:val="0"/>
                <w:color w:val="auto"/>
                <w:szCs w:val="21"/>
                <w:highlight w:val="none"/>
              </w:rPr>
              <w:t>供应商</w:t>
            </w:r>
            <w:r>
              <w:rPr>
                <w:rFonts w:hint="default" w:ascii="宋体" w:hAnsi="宋体" w:cs="宋体"/>
                <w:b w:val="0"/>
                <w:bCs w:val="0"/>
                <w:color w:val="auto"/>
                <w:szCs w:val="21"/>
                <w:highlight w:val="none"/>
                <w:lang w:eastAsia="zh-CN"/>
              </w:rPr>
              <w:t>在最近一次</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2025年7-9月</w:t>
            </w:r>
            <w:r>
              <w:rPr>
                <w:rFonts w:hint="eastAsia" w:ascii="宋体" w:hAnsi="宋体" w:cs="宋体"/>
                <w:b w:val="0"/>
                <w:bCs w:val="0"/>
                <w:color w:val="auto"/>
                <w:szCs w:val="21"/>
                <w:highlight w:val="none"/>
                <w:lang w:eastAsia="zh-CN"/>
              </w:rPr>
              <w:t>）</w:t>
            </w:r>
            <w:r>
              <w:rPr>
                <w:rFonts w:hint="default" w:ascii="宋体" w:hAnsi="宋体" w:cs="宋体"/>
                <w:b w:val="0"/>
                <w:bCs w:val="0"/>
                <w:color w:val="auto"/>
                <w:szCs w:val="21"/>
                <w:highlight w:val="none"/>
                <w:lang w:val="en-US" w:eastAsia="zh-CN"/>
              </w:rPr>
              <w:t>全区食品安全抽检数据质量核查中的问题率。（满分</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lang w:val="en-US" w:eastAsia="zh-CN"/>
              </w:rPr>
              <w:t>分）</w:t>
            </w:r>
          </w:p>
          <w:p w14:paraId="45967FF3">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未发现数据质量问题的，</w:t>
            </w:r>
            <w:r>
              <w:rPr>
                <w:rFonts w:hint="default" w:ascii="宋体" w:hAnsi="宋体" w:cs="宋体"/>
                <w:b w:val="0"/>
                <w:bCs w:val="0"/>
                <w:color w:val="auto"/>
                <w:szCs w:val="21"/>
                <w:highlight w:val="none"/>
              </w:rPr>
              <w:t>得</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p>
          <w:p w14:paraId="45A8FBD0">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0.01</w:t>
            </w:r>
            <w:r>
              <w:rPr>
                <w:rFonts w:hint="default" w:ascii="宋体" w:hAnsi="宋体" w:cs="宋体"/>
                <w:b w:val="0"/>
                <w:bCs w:val="0"/>
                <w:color w:val="auto"/>
                <w:szCs w:val="21"/>
                <w:highlight w:val="none"/>
              </w:rPr>
              <w:t>%（含）—</w:t>
            </w:r>
            <w:r>
              <w:rPr>
                <w:rFonts w:hint="default" w:ascii="宋体" w:hAnsi="宋体" w:cs="宋体"/>
                <w:b w:val="0"/>
                <w:bCs w:val="0"/>
                <w:color w:val="auto"/>
                <w:szCs w:val="21"/>
                <w:highlight w:val="none"/>
                <w:lang w:val="en-US" w:eastAsia="zh-CN"/>
              </w:rPr>
              <w:t>0.1</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6</w:t>
            </w:r>
            <w:r>
              <w:rPr>
                <w:rFonts w:hint="default" w:ascii="宋体" w:hAnsi="宋体" w:cs="宋体"/>
                <w:b w:val="0"/>
                <w:bCs w:val="0"/>
                <w:color w:val="auto"/>
                <w:szCs w:val="21"/>
                <w:highlight w:val="none"/>
              </w:rPr>
              <w:t>分；</w:t>
            </w:r>
          </w:p>
          <w:p w14:paraId="79B03C79">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0.1</w:t>
            </w:r>
            <w:r>
              <w:rPr>
                <w:rFonts w:hint="default" w:ascii="宋体" w:hAnsi="宋体" w:cs="宋体"/>
                <w:b w:val="0"/>
                <w:bCs w:val="0"/>
                <w:color w:val="auto"/>
                <w:szCs w:val="21"/>
                <w:highlight w:val="none"/>
              </w:rPr>
              <w:t>%（含）—</w:t>
            </w:r>
            <w:r>
              <w:rPr>
                <w:rFonts w:hint="default" w:ascii="宋体" w:hAnsi="宋体" w:cs="宋体"/>
                <w:b w:val="0"/>
                <w:bCs w:val="0"/>
                <w:color w:val="auto"/>
                <w:szCs w:val="21"/>
                <w:highlight w:val="none"/>
                <w:lang w:val="en-US" w:eastAsia="zh-CN"/>
              </w:rPr>
              <w:t>0.5</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4</w:t>
            </w:r>
            <w:r>
              <w:rPr>
                <w:rFonts w:hint="default" w:ascii="宋体" w:hAnsi="宋体" w:cs="宋体"/>
                <w:b w:val="0"/>
                <w:bCs w:val="0"/>
                <w:color w:val="auto"/>
                <w:szCs w:val="21"/>
                <w:highlight w:val="none"/>
              </w:rPr>
              <w:t>分；</w:t>
            </w:r>
          </w:p>
          <w:p w14:paraId="40AC2C93">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0.5</w:t>
            </w:r>
            <w:r>
              <w:rPr>
                <w:rFonts w:hint="default" w:ascii="宋体" w:hAnsi="宋体" w:cs="宋体"/>
                <w:b w:val="0"/>
                <w:bCs w:val="0"/>
                <w:color w:val="auto"/>
                <w:szCs w:val="21"/>
                <w:highlight w:val="none"/>
              </w:rPr>
              <w:t>%（含）—</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得</w:t>
            </w:r>
            <w:r>
              <w:rPr>
                <w:rFonts w:hint="default" w:ascii="宋体" w:hAnsi="宋体" w:cs="宋体"/>
                <w:b w:val="0"/>
                <w:bCs w:val="0"/>
                <w:color w:val="auto"/>
                <w:szCs w:val="21"/>
                <w:highlight w:val="none"/>
                <w:lang w:val="en-US" w:eastAsia="zh-CN"/>
              </w:rPr>
              <w:t>2</w:t>
            </w:r>
            <w:r>
              <w:rPr>
                <w:rFonts w:hint="default" w:ascii="宋体" w:hAnsi="宋体" w:cs="宋体"/>
                <w:b w:val="0"/>
                <w:bCs w:val="0"/>
                <w:color w:val="auto"/>
                <w:szCs w:val="21"/>
                <w:highlight w:val="none"/>
              </w:rPr>
              <w:t>分；</w:t>
            </w:r>
          </w:p>
          <w:p w14:paraId="5F5AE59B">
            <w:pPr>
              <w:snapToGrid w:val="0"/>
              <w:spacing w:line="440" w:lineRule="exact"/>
              <w:ind w:firstLine="443"/>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%（不含）</w:t>
            </w:r>
            <w:r>
              <w:rPr>
                <w:rFonts w:hint="default" w:ascii="宋体" w:hAnsi="宋体" w:cs="宋体"/>
                <w:b w:val="0"/>
                <w:bCs w:val="0"/>
                <w:color w:val="auto"/>
                <w:szCs w:val="21"/>
                <w:highlight w:val="none"/>
                <w:lang w:val="en-US" w:eastAsia="zh-CN"/>
              </w:rPr>
              <w:t>以上，</w:t>
            </w:r>
            <w:r>
              <w:rPr>
                <w:rFonts w:hint="default" w:ascii="宋体" w:hAnsi="宋体" w:cs="宋体"/>
                <w:b w:val="0"/>
                <w:bCs w:val="0"/>
                <w:color w:val="auto"/>
                <w:szCs w:val="21"/>
                <w:highlight w:val="none"/>
              </w:rPr>
              <w:t>不得分。</w:t>
            </w:r>
          </w:p>
          <w:p w14:paraId="5647807A">
            <w:pPr>
              <w:snapToGrid w:val="0"/>
              <w:spacing w:line="440" w:lineRule="exact"/>
              <w:ind w:firstLine="443"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val="en-US" w:eastAsia="zh-CN"/>
              </w:rPr>
              <w:t>注：采购人提前提供食品抽检秘书处《关于2025年7-9月全区食品安全抽检数据质量核查情况的通报》（无签章版）给评审专家。供应商需提供该通报作为佐证材料，若发现供应商提供的问题率与食品抽检秘书处通报上的问题率不相符的，则该项目不得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13B9E070">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lang w:val="en-US" w:eastAsia="zh-CN"/>
              </w:rPr>
              <w:t>满分8分</w:t>
            </w:r>
          </w:p>
        </w:tc>
      </w:tr>
      <w:tr w14:paraId="28320D11">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077"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76581593">
            <w:pPr>
              <w:spacing w:line="440" w:lineRule="exact"/>
              <w:jc w:val="center"/>
              <w:rPr>
                <w:rFonts w:hint="default" w:ascii="宋体" w:hAnsi="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2.11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4C1AFFDE">
            <w:pPr>
              <w:widowControl/>
              <w:spacing w:line="440" w:lineRule="exact"/>
              <w:jc w:val="center"/>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食品监督抽检不合格率检出承诺</w:t>
            </w:r>
          </w:p>
        </w:tc>
        <w:tc>
          <w:tcPr>
            <w:tcW w:w="6285" w:type="dxa"/>
            <w:tcBorders>
              <w:top w:val="single" w:color="000000" w:sz="4" w:space="0"/>
              <w:left w:val="single" w:color="000000" w:sz="4" w:space="0"/>
            </w:tcBorders>
            <w:noWrap w:val="0"/>
            <w:tcMar>
              <w:left w:w="103" w:type="dxa"/>
            </w:tcMar>
            <w:vAlign w:val="top"/>
          </w:tcPr>
          <w:p w14:paraId="732D716F">
            <w:pPr>
              <w:snapToGrid w:val="0"/>
              <w:spacing w:line="440" w:lineRule="exact"/>
              <w:ind w:firstLine="443" w:firstLineChars="0"/>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若供应商承诺检出食品监督抽检不合格率</w:t>
            </w:r>
            <w:r>
              <w:rPr>
                <w:rFonts w:hint="eastAsia" w:ascii="东文宋体" w:hAnsi="东文宋体" w:eastAsia="东文宋体" w:cs="东文宋体"/>
                <w:b w:val="0"/>
                <w:bCs w:val="0"/>
                <w:color w:val="auto"/>
                <w:szCs w:val="21"/>
                <w:highlight w:val="none"/>
                <w:lang w:val="en-US" w:eastAsia="zh-CN"/>
              </w:rPr>
              <w:t>≥</w:t>
            </w:r>
            <w:r>
              <w:rPr>
                <w:rFonts w:hint="eastAsia" w:ascii="宋体" w:hAnsi="宋体" w:cs="宋体"/>
                <w:b w:val="0"/>
                <w:bCs w:val="0"/>
                <w:color w:val="auto"/>
                <w:szCs w:val="21"/>
                <w:highlight w:val="none"/>
                <w:lang w:val="en-US" w:eastAsia="zh-CN"/>
              </w:rPr>
              <w:t>5%的，得3分；</w:t>
            </w:r>
          </w:p>
          <w:p w14:paraId="3699F663">
            <w:pPr>
              <w:snapToGrid w:val="0"/>
              <w:spacing w:line="440" w:lineRule="exact"/>
              <w:ind w:firstLine="443" w:firstLineChars="0"/>
              <w:rPr>
                <w:rFonts w:hint="eastAsia" w:ascii="宋体" w:hAnsi="宋体" w:cs="宋体"/>
                <w:color w:val="auto"/>
                <w:szCs w:val="21"/>
                <w:highlight w:val="none"/>
                <w:lang w:val="en-US" w:eastAsia="zh-CN"/>
              </w:rPr>
            </w:pPr>
            <w:r>
              <w:rPr>
                <w:rFonts w:hint="eastAsia" w:ascii="宋体" w:hAnsi="宋体" w:cs="宋体"/>
                <w:b w:val="0"/>
                <w:bCs w:val="0"/>
                <w:color w:val="auto"/>
                <w:szCs w:val="21"/>
                <w:highlight w:val="none"/>
                <w:lang w:val="en-US" w:eastAsia="zh-CN"/>
              </w:rPr>
              <w:t>若供应商承诺检出食品监督抽检不合格率在</w:t>
            </w:r>
            <w:r>
              <w:rPr>
                <w:rFonts w:hint="eastAsia" w:ascii="宋体" w:hAnsi="宋体" w:cs="宋体"/>
                <w:color w:val="auto"/>
                <w:szCs w:val="21"/>
                <w:highlight w:val="none"/>
              </w:rPr>
              <w:t>4%（含）—5%（不含）</w:t>
            </w:r>
            <w:r>
              <w:rPr>
                <w:rFonts w:hint="eastAsia" w:ascii="宋体" w:hAnsi="宋体" w:cs="宋体"/>
                <w:color w:val="auto"/>
                <w:szCs w:val="21"/>
                <w:highlight w:val="none"/>
                <w:lang w:eastAsia="zh-CN"/>
              </w:rPr>
              <w:t>的，得</w:t>
            </w:r>
            <w:r>
              <w:rPr>
                <w:rFonts w:hint="eastAsia" w:ascii="宋体" w:hAnsi="宋体" w:cs="宋体"/>
                <w:color w:val="auto"/>
                <w:szCs w:val="21"/>
                <w:highlight w:val="none"/>
                <w:lang w:val="en-US" w:eastAsia="zh-CN"/>
              </w:rPr>
              <w:t>2分；</w:t>
            </w:r>
          </w:p>
          <w:p w14:paraId="719DCC85">
            <w:pPr>
              <w:snapToGrid w:val="0"/>
              <w:spacing w:line="440" w:lineRule="exact"/>
              <w:ind w:firstLine="443" w:firstLineChars="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若供应商承诺检出食品监督抽检不合格率</w:t>
            </w:r>
            <w:r>
              <w:rPr>
                <w:rFonts w:hint="eastAsia" w:ascii="宋体" w:hAnsi="宋体" w:eastAsia="宋体" w:cs="宋体"/>
                <w:color w:val="auto"/>
                <w:szCs w:val="21"/>
                <w:highlight w:val="none"/>
                <w:lang w:val="en-US" w:eastAsia="zh-CN"/>
              </w:rPr>
              <w:t>＜</w:t>
            </w:r>
            <w:r>
              <w:rPr>
                <w:rFonts w:hint="eastAsia" w:ascii="宋体" w:hAnsi="宋体" w:cs="宋体"/>
                <w:color w:val="auto"/>
                <w:szCs w:val="21"/>
                <w:highlight w:val="none"/>
                <w:lang w:val="en-US" w:eastAsia="zh-CN"/>
              </w:rPr>
              <w:t>4%的，得1分。</w:t>
            </w:r>
          </w:p>
          <w:p w14:paraId="5EA00322">
            <w:pPr>
              <w:snapToGrid w:val="0"/>
              <w:spacing w:line="440" w:lineRule="exact"/>
              <w:ind w:firstLine="443" w:firstLineChars="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注：需提供书面承诺材料。</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7FD66222">
            <w:pPr>
              <w:widowControl/>
              <w:spacing w:line="360" w:lineRule="auto"/>
              <w:jc w:val="center"/>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满分3分</w:t>
            </w:r>
          </w:p>
        </w:tc>
      </w:tr>
      <w:tr w14:paraId="7D0D1114">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624"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2AA6E2B4">
            <w:pPr>
              <w:widowControl/>
              <w:spacing w:line="440" w:lineRule="exact"/>
              <w:jc w:val="center"/>
              <w:rPr>
                <w:rFonts w:hint="eastAsia" w:ascii="宋体" w:hAnsi="宋体" w:eastAsia="宋体" w:cs="Tahoma"/>
                <w:b w:val="0"/>
                <w:bCs w:val="0"/>
                <w:color w:val="auto"/>
                <w:szCs w:val="21"/>
                <w:highlight w:val="none"/>
                <w:lang w:eastAsia="zh-CN"/>
              </w:rPr>
            </w:pPr>
            <w:r>
              <w:rPr>
                <w:rFonts w:hint="eastAsia" w:ascii="宋体" w:hAnsi="宋体" w:cs="Tahoma"/>
                <w:b w:val="0"/>
                <w:bCs w:val="0"/>
                <w:color w:val="auto"/>
                <w:szCs w:val="21"/>
                <w:highlight w:val="none"/>
                <w:lang w:val="en-US" w:eastAsia="zh-CN"/>
              </w:rPr>
              <w:t>3</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1F973456">
            <w:pPr>
              <w:widowControl/>
              <w:spacing w:line="440" w:lineRule="exact"/>
              <w:jc w:val="center"/>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rPr>
              <w:t>商务分</w:t>
            </w:r>
            <w:r>
              <w:rPr>
                <w:rFonts w:hint="eastAsia" w:ascii="宋体" w:hAnsi="宋体" w:cs="宋体"/>
                <w:b w:val="0"/>
                <w:bCs w:val="0"/>
                <w:color w:val="auto"/>
                <w:szCs w:val="21"/>
                <w:highlight w:val="none"/>
                <w:lang w:eastAsia="zh-CN"/>
              </w:rPr>
              <w:t>（</w:t>
            </w:r>
            <w:r>
              <w:rPr>
                <w:rFonts w:hint="eastAsia" w:ascii="宋体" w:hAnsi="宋体" w:cs="宋体"/>
                <w:b w:val="0"/>
                <w:bCs w:val="0"/>
                <w:color w:val="auto"/>
                <w:szCs w:val="21"/>
                <w:highlight w:val="none"/>
                <w:lang w:val="en-US" w:eastAsia="zh-CN"/>
              </w:rPr>
              <w:t>满分10分</w:t>
            </w:r>
            <w:r>
              <w:rPr>
                <w:rFonts w:hint="eastAsia" w:ascii="宋体" w:hAnsi="宋体" w:cs="宋体"/>
                <w:b w:val="0"/>
                <w:bCs w:val="0"/>
                <w:color w:val="auto"/>
                <w:szCs w:val="21"/>
                <w:highlight w:val="none"/>
                <w:lang w:eastAsia="zh-CN"/>
              </w:rPr>
              <w:t>）</w:t>
            </w:r>
          </w:p>
        </w:tc>
        <w:tc>
          <w:tcPr>
            <w:tcW w:w="7149" w:type="dxa"/>
            <w:gridSpan w:val="2"/>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440611C8">
            <w:pPr>
              <w:widowControl/>
              <w:snapToGrid w:val="0"/>
              <w:spacing w:line="440" w:lineRule="exact"/>
              <w:ind w:firstLine="443"/>
              <w:jc w:val="left"/>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评审因素</w:t>
            </w:r>
          </w:p>
        </w:tc>
      </w:tr>
      <w:tr w14:paraId="08F79735">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2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7FD4B25B">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3.1</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6A4E28C8">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开展食品抽检任务服务时效性</w:t>
            </w:r>
          </w:p>
        </w:tc>
        <w:tc>
          <w:tcPr>
            <w:tcW w:w="6285" w:type="dxa"/>
            <w:tcBorders>
              <w:top w:val="single" w:color="000000" w:sz="4" w:space="0"/>
              <w:left w:val="single" w:color="000000" w:sz="4" w:space="0"/>
              <w:bottom w:val="single" w:color="000000" w:sz="4" w:space="0"/>
            </w:tcBorders>
            <w:noWrap w:val="0"/>
            <w:tcMar>
              <w:left w:w="103" w:type="dxa"/>
            </w:tcMar>
            <w:vAlign w:val="top"/>
          </w:tcPr>
          <w:p w14:paraId="71C97C74">
            <w:pPr>
              <w:pStyle w:val="186"/>
              <w:spacing w:line="440" w:lineRule="exact"/>
              <w:ind w:firstLine="0" w:firstLineChars="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eastAsia="zh-CN"/>
              </w:rPr>
              <w:t>一</w:t>
            </w:r>
            <w:r>
              <w:rPr>
                <w:rFonts w:hint="default" w:ascii="宋体" w:hAnsi="宋体" w:cs="宋体"/>
                <w:b w:val="0"/>
                <w:bCs w:val="0"/>
                <w:color w:val="auto"/>
                <w:szCs w:val="21"/>
                <w:highlight w:val="none"/>
              </w:rPr>
              <w:t>档（</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分）：供应商提供抽样后6小时内（含）能快速完成样品运输并抵达实验室承诺的（提供承诺书面材料），得</w:t>
            </w:r>
            <w:r>
              <w:rPr>
                <w:rFonts w:hint="default" w:ascii="宋体" w:hAnsi="宋体" w:cs="宋体"/>
                <w:b w:val="0"/>
                <w:bCs w:val="0"/>
                <w:color w:val="auto"/>
                <w:szCs w:val="21"/>
                <w:highlight w:val="none"/>
                <w:lang w:val="en-US" w:eastAsia="zh-CN"/>
              </w:rPr>
              <w:t>1</w:t>
            </w:r>
            <w:r>
              <w:rPr>
                <w:rFonts w:hint="default" w:ascii="宋体" w:hAnsi="宋体" w:cs="宋体"/>
                <w:b w:val="0"/>
                <w:bCs w:val="0"/>
                <w:color w:val="auto"/>
                <w:szCs w:val="21"/>
                <w:highlight w:val="none"/>
              </w:rPr>
              <w:t>分。</w:t>
            </w:r>
          </w:p>
          <w:p w14:paraId="17EAE185">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eastAsia="zh-CN"/>
              </w:rPr>
              <w:t>二</w:t>
            </w:r>
            <w:r>
              <w:rPr>
                <w:rFonts w:hint="default" w:ascii="宋体" w:hAnsi="宋体" w:cs="宋体"/>
                <w:b w:val="0"/>
                <w:bCs w:val="0"/>
                <w:color w:val="auto"/>
                <w:szCs w:val="21"/>
                <w:highlight w:val="none"/>
              </w:rPr>
              <w:t>档（</w:t>
            </w:r>
            <w:r>
              <w:rPr>
                <w:rFonts w:hint="default"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rPr>
              <w:t>分）：供应商提供抽样后4小时内（含）能快速完成样品运输并抵达实验室承诺的（提供承诺书面材料），得</w:t>
            </w:r>
            <w:r>
              <w:rPr>
                <w:rFonts w:hint="default" w:ascii="宋体" w:hAnsi="宋体" w:cs="宋体"/>
                <w:b w:val="0"/>
                <w:bCs w:val="0"/>
                <w:color w:val="auto"/>
                <w:szCs w:val="21"/>
                <w:highlight w:val="none"/>
                <w:lang w:val="en-US" w:eastAsia="zh-CN"/>
              </w:rPr>
              <w:t>3</w:t>
            </w:r>
            <w:r>
              <w:rPr>
                <w:rFonts w:hint="default" w:ascii="宋体" w:hAnsi="宋体" w:cs="宋体"/>
                <w:b w:val="0"/>
                <w:bCs w:val="0"/>
                <w:color w:val="auto"/>
                <w:szCs w:val="21"/>
                <w:highlight w:val="none"/>
              </w:rPr>
              <w:t>分。</w:t>
            </w:r>
          </w:p>
          <w:p w14:paraId="58CDC313">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eastAsia="zh-CN"/>
              </w:rPr>
              <w:t>三</w:t>
            </w:r>
            <w:r>
              <w:rPr>
                <w:rFonts w:hint="default"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分）：供应商提供抽样后2小时内（含）能快速完成样品运输并抵达实验室承诺的（提供承诺书面材料），得</w:t>
            </w:r>
            <w:r>
              <w:rPr>
                <w:rFonts w:hint="eastAsia" w:ascii="宋体" w:hAnsi="宋体" w:cs="宋体"/>
                <w:b w:val="0"/>
                <w:bCs w:val="0"/>
                <w:color w:val="auto"/>
                <w:szCs w:val="21"/>
                <w:highlight w:val="none"/>
                <w:lang w:val="en-US" w:eastAsia="zh-CN"/>
              </w:rPr>
              <w:t>5</w:t>
            </w:r>
            <w:r>
              <w:rPr>
                <w:rFonts w:hint="default" w:ascii="宋体" w:hAnsi="宋体" w:cs="宋体"/>
                <w:b w:val="0"/>
                <w:bCs w:val="0"/>
                <w:color w:val="auto"/>
                <w:szCs w:val="21"/>
                <w:highlight w:val="none"/>
              </w:rPr>
              <w:t>分。</w:t>
            </w:r>
          </w:p>
          <w:p w14:paraId="45C8FDFF">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lang w:eastAsia="zh-CN"/>
              </w:rPr>
              <w:t>四</w:t>
            </w:r>
            <w:r>
              <w:rPr>
                <w:rFonts w:hint="default" w:ascii="宋体" w:hAnsi="宋体" w:cs="宋体"/>
                <w:b w:val="0"/>
                <w:bCs w:val="0"/>
                <w:color w:val="auto"/>
                <w:szCs w:val="21"/>
                <w:highlight w:val="none"/>
              </w:rPr>
              <w:t>档（</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r>
              <w:rPr>
                <w:rFonts w:hint="default" w:ascii="宋体" w:hAnsi="宋体" w:cs="宋体"/>
                <w:b w:val="0"/>
                <w:bCs w:val="0"/>
                <w:color w:val="auto"/>
                <w:szCs w:val="21"/>
                <w:highlight w:val="none"/>
                <w:lang w:eastAsia="zh-CN"/>
              </w:rPr>
              <w:t>：</w:t>
            </w:r>
            <w:r>
              <w:rPr>
                <w:rFonts w:hint="default" w:ascii="宋体" w:hAnsi="宋体" w:cs="宋体"/>
                <w:b w:val="0"/>
                <w:bCs w:val="0"/>
                <w:color w:val="auto"/>
                <w:szCs w:val="21"/>
                <w:highlight w:val="none"/>
              </w:rPr>
              <w:t>供应商提供抽样后1小时内（含）能快速完成样品运输并抵达实验室承诺的（提供承诺书面材料），得</w:t>
            </w:r>
            <w:r>
              <w:rPr>
                <w:rFonts w:hint="eastAsia" w:ascii="宋体" w:hAnsi="宋体" w:cs="宋体"/>
                <w:b w:val="0"/>
                <w:bCs w:val="0"/>
                <w:color w:val="auto"/>
                <w:szCs w:val="21"/>
                <w:highlight w:val="none"/>
                <w:lang w:val="en-US" w:eastAsia="zh-CN"/>
              </w:rPr>
              <w:t>8</w:t>
            </w:r>
            <w:r>
              <w:rPr>
                <w:rFonts w:hint="default" w:ascii="宋体" w:hAnsi="宋体" w:cs="宋体"/>
                <w:b w:val="0"/>
                <w:bCs w:val="0"/>
                <w:color w:val="auto"/>
                <w:szCs w:val="21"/>
                <w:highlight w:val="none"/>
              </w:rPr>
              <w:t>分。</w:t>
            </w:r>
          </w:p>
          <w:p w14:paraId="6CC9E6B5">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注：响应文件中须提供书面承诺材料。</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286C62FA">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8</w:t>
            </w:r>
            <w:r>
              <w:rPr>
                <w:rFonts w:hint="eastAsia" w:ascii="宋体" w:hAnsi="宋体" w:cs="宋体"/>
                <w:b w:val="0"/>
                <w:bCs w:val="0"/>
                <w:color w:val="auto"/>
                <w:szCs w:val="21"/>
                <w:highlight w:val="none"/>
              </w:rPr>
              <w:t>分</w:t>
            </w:r>
          </w:p>
        </w:tc>
      </w:tr>
      <w:tr w14:paraId="63EB224C">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1258" w:hRule="atLeast"/>
          <w:jc w:val="center"/>
        </w:trPr>
        <w:tc>
          <w:tcPr>
            <w:tcW w:w="633" w:type="dxa"/>
            <w:tcBorders>
              <w:top w:val="single" w:color="000000" w:sz="4" w:space="0"/>
              <w:left w:val="single" w:color="000000" w:sz="4" w:space="0"/>
              <w:bottom w:val="single" w:color="000000" w:sz="4" w:space="0"/>
            </w:tcBorders>
            <w:noWrap w:val="0"/>
            <w:tcMar>
              <w:left w:w="103" w:type="dxa"/>
            </w:tcMar>
            <w:vAlign w:val="center"/>
          </w:tcPr>
          <w:p w14:paraId="2858CBEB">
            <w:pPr>
              <w:spacing w:line="440" w:lineRule="exact"/>
              <w:jc w:val="center"/>
              <w:rPr>
                <w:rFonts w:hint="default" w:ascii="宋体" w:hAnsi="宋体" w:eastAsia="宋体" w:cs="Tahoma"/>
                <w:b w:val="0"/>
                <w:bCs w:val="0"/>
                <w:color w:val="auto"/>
                <w:szCs w:val="21"/>
                <w:highlight w:val="none"/>
                <w:lang w:val="en-US" w:eastAsia="zh-CN"/>
              </w:rPr>
            </w:pPr>
            <w:r>
              <w:rPr>
                <w:rFonts w:hint="eastAsia" w:ascii="宋体" w:hAnsi="宋体" w:cs="Tahoma"/>
                <w:b w:val="0"/>
                <w:bCs w:val="0"/>
                <w:color w:val="auto"/>
                <w:szCs w:val="21"/>
                <w:highlight w:val="none"/>
                <w:lang w:val="en-US" w:eastAsia="zh-CN"/>
              </w:rPr>
              <w:t>3.2</w:t>
            </w:r>
          </w:p>
        </w:tc>
        <w:tc>
          <w:tcPr>
            <w:tcW w:w="1318" w:type="dxa"/>
            <w:tcBorders>
              <w:top w:val="single" w:color="000000" w:sz="4" w:space="0"/>
              <w:left w:val="single" w:color="000000" w:sz="4" w:space="0"/>
              <w:bottom w:val="single" w:color="000000" w:sz="4" w:space="0"/>
            </w:tcBorders>
            <w:noWrap w:val="0"/>
            <w:tcMar>
              <w:left w:w="103" w:type="dxa"/>
            </w:tcMar>
            <w:vAlign w:val="center"/>
          </w:tcPr>
          <w:p w14:paraId="2AEB9DA6">
            <w:pPr>
              <w:widowControl/>
              <w:spacing w:line="440" w:lineRule="exact"/>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风险分析服务承诺</w:t>
            </w:r>
          </w:p>
        </w:tc>
        <w:tc>
          <w:tcPr>
            <w:tcW w:w="6285" w:type="dxa"/>
            <w:tcBorders>
              <w:top w:val="single" w:color="000000" w:sz="4" w:space="0"/>
              <w:left w:val="single" w:color="000000" w:sz="4" w:space="0"/>
              <w:bottom w:val="single" w:color="000000" w:sz="4" w:space="0"/>
            </w:tcBorders>
            <w:noWrap w:val="0"/>
            <w:tcMar>
              <w:left w:w="103" w:type="dxa"/>
            </w:tcMar>
            <w:vAlign w:val="top"/>
          </w:tcPr>
          <w:p w14:paraId="1AEDD8CA">
            <w:pPr>
              <w:pStyle w:val="186"/>
              <w:spacing w:line="440" w:lineRule="exact"/>
              <w:ind w:firstLine="0"/>
              <w:rPr>
                <w:rFonts w:hint="default" w:ascii="宋体" w:hAnsi="宋体" w:cs="宋体"/>
                <w:b w:val="0"/>
                <w:bCs w:val="0"/>
                <w:color w:val="auto"/>
                <w:szCs w:val="21"/>
                <w:highlight w:val="none"/>
              </w:rPr>
            </w:pPr>
            <w:r>
              <w:rPr>
                <w:rFonts w:hint="default" w:ascii="宋体" w:hAnsi="宋体" w:cs="宋体"/>
                <w:b w:val="0"/>
                <w:bCs w:val="0"/>
                <w:color w:val="auto"/>
                <w:szCs w:val="21"/>
                <w:highlight w:val="none"/>
              </w:rPr>
              <w:t>为加强检测工作的服务能力，提升采购单位监管质量，供应商须承诺能够按每个季度对采购单位进行一次抽检监测工作风险分析汇报，对检测的数据及抽检过程中可能出现的问题进行分析并出具分析报告，对采购单位相关人员进行培训的得2分，满分2 分。</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14169ED4">
            <w:pPr>
              <w:widowControl/>
              <w:spacing w:line="360" w:lineRule="auto"/>
              <w:jc w:val="center"/>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满分</w:t>
            </w:r>
            <w:r>
              <w:rPr>
                <w:rFonts w:hint="eastAsia" w:ascii="宋体" w:hAnsi="宋体" w:cs="宋体"/>
                <w:b w:val="0"/>
                <w:bCs w:val="0"/>
                <w:color w:val="auto"/>
                <w:szCs w:val="21"/>
                <w:highlight w:val="none"/>
                <w:lang w:val="en-US" w:eastAsia="zh-CN"/>
              </w:rPr>
              <w:t xml:space="preserve">  </w:t>
            </w:r>
            <w:r>
              <w:rPr>
                <w:rFonts w:hint="eastAsia" w:ascii="宋体" w:hAnsi="宋体" w:cs="宋体"/>
                <w:b w:val="0"/>
                <w:bCs w:val="0"/>
                <w:color w:val="auto"/>
                <w:szCs w:val="21"/>
                <w:highlight w:val="none"/>
              </w:rPr>
              <w:t>2分</w:t>
            </w:r>
          </w:p>
        </w:tc>
      </w:tr>
      <w:tr w14:paraId="3903DDEE">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458" w:hRule="atLeast"/>
          <w:jc w:val="center"/>
        </w:trPr>
        <w:tc>
          <w:tcPr>
            <w:tcW w:w="8236" w:type="dxa"/>
            <w:gridSpan w:val="3"/>
            <w:tcBorders>
              <w:top w:val="single" w:color="000000" w:sz="4" w:space="0"/>
              <w:left w:val="single" w:color="000000" w:sz="4" w:space="0"/>
              <w:bottom w:val="single" w:color="000000" w:sz="4" w:space="0"/>
            </w:tcBorders>
            <w:noWrap w:val="0"/>
            <w:tcMar>
              <w:left w:w="103" w:type="dxa"/>
            </w:tcMar>
            <w:vAlign w:val="top"/>
          </w:tcPr>
          <w:p w14:paraId="45E974FD">
            <w:pPr>
              <w:pStyle w:val="185"/>
              <w:spacing w:line="360" w:lineRule="auto"/>
              <w:ind w:firstLine="420"/>
              <w:rPr>
                <w:b w:val="0"/>
                <w:bCs w:val="0"/>
                <w:color w:val="auto"/>
                <w:sz w:val="21"/>
                <w:highlight w:val="none"/>
              </w:rPr>
            </w:pPr>
            <w:r>
              <w:rPr>
                <w:b w:val="0"/>
                <w:bCs w:val="0"/>
                <w:color w:val="auto"/>
                <w:sz w:val="21"/>
                <w:highlight w:val="none"/>
              </w:rPr>
              <w:t>总得分＝1＋2＋3</w:t>
            </w:r>
          </w:p>
        </w:tc>
        <w:tc>
          <w:tcPr>
            <w:tcW w:w="864"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2D2B3ADB">
            <w:pPr>
              <w:widowControl/>
              <w:snapToGrid w:val="0"/>
              <w:spacing w:line="360" w:lineRule="auto"/>
              <w:jc w:val="center"/>
              <w:rPr>
                <w:rFonts w:ascii="宋体" w:hAnsi="宋体" w:cs="Tahoma"/>
                <w:b w:val="0"/>
                <w:bCs w:val="0"/>
                <w:color w:val="auto"/>
                <w:szCs w:val="21"/>
                <w:highlight w:val="none"/>
              </w:rPr>
            </w:pPr>
          </w:p>
        </w:tc>
      </w:tr>
    </w:tbl>
    <w:p w14:paraId="1DAA7554">
      <w:pPr>
        <w:pStyle w:val="19"/>
        <w:rPr>
          <w:color w:val="auto"/>
          <w:highlight w:val="none"/>
        </w:rPr>
      </w:pPr>
    </w:p>
    <w:p w14:paraId="1C5263A4">
      <w:pPr>
        <w:spacing w:before="120" w:line="320" w:lineRule="atLeast"/>
        <w:ind w:firstLine="316" w:firstLineChars="150"/>
        <w:rPr>
          <w:rFonts w:hint="eastAsia"/>
          <w:b/>
          <w:bCs/>
          <w:color w:val="auto"/>
          <w:kern w:val="0"/>
          <w:szCs w:val="21"/>
          <w:highlight w:val="none"/>
        </w:rPr>
      </w:pPr>
      <w:r>
        <w:rPr>
          <w:rFonts w:hint="eastAsia"/>
          <w:b/>
          <w:bCs/>
          <w:color w:val="auto"/>
          <w:kern w:val="0"/>
          <w:szCs w:val="21"/>
          <w:highlight w:val="none"/>
        </w:rPr>
        <w:t>注：涉及政府采购价格评审优惠政策叠加的，按照相关政策要求统一从对应报价的基础上进行价格扣除，用</w:t>
      </w:r>
      <w:r>
        <w:rPr>
          <w:rFonts w:hint="eastAsia"/>
          <w:b/>
          <w:bCs/>
          <w:color w:val="auto"/>
          <w:kern w:val="0"/>
          <w:szCs w:val="21"/>
          <w:highlight w:val="none"/>
          <w:lang w:eastAsia="zh-CN"/>
        </w:rPr>
        <w:t>响应</w:t>
      </w:r>
      <w:r>
        <w:rPr>
          <w:rFonts w:hint="eastAsia"/>
          <w:b/>
          <w:bCs/>
          <w:color w:val="auto"/>
          <w:kern w:val="0"/>
          <w:szCs w:val="21"/>
          <w:highlight w:val="none"/>
        </w:rPr>
        <w:t>总价减去扣除金额之和的价格参加评审。</w:t>
      </w:r>
    </w:p>
    <w:p w14:paraId="04D8B1F6">
      <w:pPr>
        <w:spacing w:before="120" w:line="320" w:lineRule="atLeast"/>
        <w:ind w:firstLine="316" w:firstLineChars="150"/>
        <w:rPr>
          <w:rFonts w:hint="eastAsia" w:eastAsia="宋体"/>
          <w:b/>
          <w:bCs/>
          <w:color w:val="auto"/>
          <w:kern w:val="0"/>
          <w:szCs w:val="21"/>
          <w:highlight w:val="none"/>
          <w:lang w:eastAsia="zh-CN"/>
        </w:rPr>
      </w:pPr>
      <w:r>
        <w:rPr>
          <w:b/>
          <w:bCs/>
          <w:color w:val="auto"/>
          <w:kern w:val="0"/>
          <w:szCs w:val="21"/>
          <w:highlight w:val="none"/>
        </w:rPr>
        <w:t>政策性扣除计算方法</w:t>
      </w:r>
      <w:r>
        <w:rPr>
          <w:rFonts w:hint="eastAsia"/>
          <w:b/>
          <w:bCs/>
          <w:color w:val="auto"/>
          <w:kern w:val="0"/>
          <w:szCs w:val="21"/>
          <w:highlight w:val="none"/>
          <w:lang w:eastAsia="zh-CN"/>
        </w:rPr>
        <w:t>：</w:t>
      </w:r>
    </w:p>
    <w:p w14:paraId="1D37F869">
      <w:pPr>
        <w:spacing w:before="120" w:line="320" w:lineRule="atLeast"/>
        <w:ind w:firstLine="315" w:firstLineChars="150"/>
        <w:rPr>
          <w:color w:val="auto"/>
          <w:szCs w:val="21"/>
          <w:highlight w:val="none"/>
        </w:rPr>
      </w:pPr>
      <w:r>
        <w:rPr>
          <w:rFonts w:hint="eastAsia"/>
          <w:color w:val="auto"/>
          <w:szCs w:val="21"/>
          <w:highlight w:val="none"/>
          <w:lang w:val="en-US" w:eastAsia="zh-CN"/>
        </w:rPr>
        <w:t>1）</w:t>
      </w:r>
      <w:r>
        <w:rPr>
          <w:rFonts w:hint="eastAsia" w:ascii="Times New Roman" w:eastAsia="宋体"/>
          <w:color w:val="auto"/>
          <w:szCs w:val="21"/>
          <w:highlight w:val="none"/>
          <w:lang w:val="en-US" w:eastAsia="zh-CN"/>
        </w:rPr>
        <w:t>小微企业的价格扣除计算:</w:t>
      </w:r>
      <w:r>
        <w:rPr>
          <w:rFonts w:hint="eastAsia"/>
          <w:color w:val="auto"/>
          <w:szCs w:val="21"/>
          <w:highlight w:val="none"/>
        </w:rPr>
        <w:t>供应商</w:t>
      </w:r>
      <w:r>
        <w:rPr>
          <w:rFonts w:hint="eastAsia"/>
          <w:color w:val="auto"/>
          <w:szCs w:val="21"/>
          <w:highlight w:val="none"/>
          <w:lang w:eastAsia="zh-CN"/>
        </w:rPr>
        <w:t>响应</w:t>
      </w:r>
      <w:r>
        <w:rPr>
          <w:color w:val="auto"/>
          <w:szCs w:val="21"/>
          <w:highlight w:val="none"/>
        </w:rPr>
        <w:t>报价将按相应比例进行扣除，用扣除后的价格参与评审（计算价格分）</w:t>
      </w:r>
      <w:r>
        <w:rPr>
          <w:rFonts w:hint="eastAsia"/>
          <w:color w:val="auto"/>
          <w:szCs w:val="21"/>
          <w:highlight w:val="none"/>
        </w:rPr>
        <w:t>，价格扣除比例分别如下：</w:t>
      </w:r>
      <w:r>
        <w:rPr>
          <w:rFonts w:hint="eastAsia" w:ascii="宋体" w:hAnsi="Courier New" w:eastAsia="楷体_GB2312" w:cs="Courier New"/>
          <w:b/>
          <w:color w:val="auto"/>
          <w:kern w:val="2"/>
          <w:sz w:val="24"/>
          <w:szCs w:val="24"/>
          <w:highlight w:val="none"/>
          <w:lang w:val="en-US" w:eastAsia="zh-CN" w:bidi="ar-SA"/>
        </w:rPr>
        <w:t>【备注：适用非专门面向或非预留份额比例专门面向中小企业（小微企业）的项目】</w:t>
      </w:r>
    </w:p>
    <w:tbl>
      <w:tblPr>
        <w:tblStyle w:val="5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4962"/>
        <w:gridCol w:w="2551"/>
      </w:tblGrid>
      <w:tr w14:paraId="6261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auto"/>
            <w:noWrap w:val="0"/>
            <w:vAlign w:val="top"/>
          </w:tcPr>
          <w:p w14:paraId="6809FD0B">
            <w:pPr>
              <w:spacing w:before="120" w:line="320" w:lineRule="atLeast"/>
              <w:jc w:val="center"/>
              <w:rPr>
                <w:rFonts w:hint="eastAsia" w:eastAsia="宋体"/>
                <w:color w:val="auto"/>
                <w:szCs w:val="21"/>
                <w:highlight w:val="none"/>
                <w:lang w:eastAsia="zh-CN"/>
              </w:rPr>
            </w:pPr>
            <w:r>
              <w:rPr>
                <w:rFonts w:hint="eastAsia"/>
                <w:color w:val="auto"/>
                <w:szCs w:val="21"/>
                <w:highlight w:val="none"/>
              </w:rPr>
              <w:t>独立投标</w:t>
            </w:r>
          </w:p>
        </w:tc>
        <w:tc>
          <w:tcPr>
            <w:tcW w:w="4962" w:type="dxa"/>
            <w:shd w:val="clear" w:color="auto" w:fill="auto"/>
            <w:noWrap w:val="0"/>
            <w:vAlign w:val="top"/>
          </w:tcPr>
          <w:p w14:paraId="29226842">
            <w:pPr>
              <w:spacing w:before="120" w:line="320" w:lineRule="atLeast"/>
              <w:rPr>
                <w:color w:val="auto"/>
                <w:szCs w:val="21"/>
                <w:highlight w:val="none"/>
              </w:rPr>
            </w:pPr>
            <w:r>
              <w:rPr>
                <w:rFonts w:hint="eastAsia"/>
                <w:color w:val="auto"/>
                <w:szCs w:val="21"/>
                <w:highlight w:val="none"/>
              </w:rPr>
              <w:t>供应商均为所列企业之一（小型企业、微型企业、残疾人福利企业、监狱企业）</w:t>
            </w:r>
          </w:p>
        </w:tc>
        <w:tc>
          <w:tcPr>
            <w:tcW w:w="2551" w:type="dxa"/>
            <w:shd w:val="clear" w:color="auto" w:fill="auto"/>
            <w:noWrap w:val="0"/>
            <w:vAlign w:val="top"/>
          </w:tcPr>
          <w:p w14:paraId="57968062">
            <w:pPr>
              <w:spacing w:before="120" w:line="320" w:lineRule="atLeast"/>
              <w:rPr>
                <w:color w:val="auto"/>
                <w:szCs w:val="21"/>
                <w:highlight w:val="none"/>
              </w:rPr>
            </w:pPr>
            <w:r>
              <w:rPr>
                <w:rFonts w:hint="eastAsia"/>
                <w:color w:val="auto"/>
                <w:szCs w:val="21"/>
                <w:highlight w:val="none"/>
              </w:rPr>
              <w:t>价格扣除响应报价的10%</w:t>
            </w:r>
          </w:p>
        </w:tc>
      </w:tr>
      <w:tr w14:paraId="3B4D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restart"/>
            <w:shd w:val="clear" w:color="auto" w:fill="auto"/>
            <w:noWrap w:val="0"/>
            <w:vAlign w:val="top"/>
          </w:tcPr>
          <w:p w14:paraId="35716FF4">
            <w:pPr>
              <w:spacing w:before="120" w:line="320" w:lineRule="atLeast"/>
              <w:jc w:val="center"/>
              <w:rPr>
                <w:color w:val="auto"/>
                <w:szCs w:val="21"/>
                <w:highlight w:val="none"/>
              </w:rPr>
            </w:pPr>
            <w:r>
              <w:rPr>
                <w:rFonts w:hint="eastAsia"/>
                <w:color w:val="auto"/>
                <w:szCs w:val="21"/>
                <w:highlight w:val="none"/>
              </w:rPr>
              <w:t>联合体或</w:t>
            </w:r>
          </w:p>
          <w:p w14:paraId="3270BBC6">
            <w:pPr>
              <w:spacing w:before="120" w:line="320" w:lineRule="atLeast"/>
              <w:jc w:val="center"/>
              <w:rPr>
                <w:color w:val="auto"/>
                <w:szCs w:val="21"/>
                <w:highlight w:val="none"/>
              </w:rPr>
            </w:pPr>
            <w:r>
              <w:rPr>
                <w:rFonts w:hint="eastAsia"/>
                <w:color w:val="auto"/>
                <w:szCs w:val="21"/>
                <w:highlight w:val="none"/>
              </w:rPr>
              <w:t>分包</w:t>
            </w:r>
          </w:p>
        </w:tc>
        <w:tc>
          <w:tcPr>
            <w:tcW w:w="4962" w:type="dxa"/>
            <w:shd w:val="clear" w:color="auto" w:fill="auto"/>
            <w:noWrap w:val="0"/>
            <w:vAlign w:val="top"/>
          </w:tcPr>
          <w:p w14:paraId="32329A8A">
            <w:pPr>
              <w:spacing w:before="120" w:line="320" w:lineRule="atLeast"/>
              <w:rPr>
                <w:color w:val="auto"/>
                <w:szCs w:val="21"/>
                <w:highlight w:val="none"/>
              </w:rPr>
            </w:pPr>
            <w:r>
              <w:rPr>
                <w:rFonts w:hint="eastAsia"/>
                <w:color w:val="auto"/>
                <w:szCs w:val="21"/>
                <w:highlight w:val="none"/>
              </w:rPr>
              <w:t>小微企业承接的金额比例为1</w:t>
            </w:r>
            <w:r>
              <w:rPr>
                <w:color w:val="auto"/>
                <w:szCs w:val="21"/>
                <w:highlight w:val="none"/>
              </w:rPr>
              <w:t>00</w:t>
            </w:r>
            <w:r>
              <w:rPr>
                <w:rFonts w:hint="eastAsia"/>
                <w:color w:val="auto"/>
                <w:szCs w:val="21"/>
                <w:highlight w:val="none"/>
              </w:rPr>
              <w:t>%</w:t>
            </w:r>
          </w:p>
        </w:tc>
        <w:tc>
          <w:tcPr>
            <w:tcW w:w="2551" w:type="dxa"/>
            <w:shd w:val="clear" w:color="auto" w:fill="auto"/>
            <w:noWrap w:val="0"/>
            <w:vAlign w:val="top"/>
          </w:tcPr>
          <w:p w14:paraId="756BCF87">
            <w:pPr>
              <w:spacing w:before="120" w:line="320" w:lineRule="atLeast"/>
              <w:rPr>
                <w:color w:val="auto"/>
                <w:szCs w:val="21"/>
                <w:highlight w:val="none"/>
              </w:rPr>
            </w:pPr>
            <w:r>
              <w:rPr>
                <w:rFonts w:hint="eastAsia"/>
                <w:color w:val="auto"/>
                <w:szCs w:val="21"/>
                <w:highlight w:val="none"/>
              </w:rPr>
              <w:t>价格扣除响应报价的10%</w:t>
            </w:r>
          </w:p>
        </w:tc>
      </w:tr>
      <w:tr w14:paraId="1B432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continue"/>
            <w:shd w:val="clear" w:color="auto" w:fill="auto"/>
            <w:noWrap w:val="0"/>
            <w:vAlign w:val="top"/>
          </w:tcPr>
          <w:p w14:paraId="72DFECD2">
            <w:pPr>
              <w:spacing w:before="120" w:line="320" w:lineRule="atLeast"/>
              <w:rPr>
                <w:color w:val="auto"/>
                <w:szCs w:val="21"/>
                <w:highlight w:val="none"/>
              </w:rPr>
            </w:pPr>
          </w:p>
        </w:tc>
        <w:tc>
          <w:tcPr>
            <w:tcW w:w="4962" w:type="dxa"/>
            <w:shd w:val="clear" w:color="auto" w:fill="auto"/>
            <w:noWrap w:val="0"/>
            <w:vAlign w:val="top"/>
          </w:tcPr>
          <w:p w14:paraId="3D14DD2C">
            <w:pPr>
              <w:spacing w:before="120" w:line="320" w:lineRule="atLeast"/>
              <w:rPr>
                <w:color w:val="auto"/>
                <w:szCs w:val="21"/>
                <w:highlight w:val="none"/>
              </w:rPr>
            </w:pPr>
            <w:r>
              <w:rPr>
                <w:rFonts w:hint="eastAsia"/>
                <w:color w:val="auto"/>
                <w:szCs w:val="21"/>
                <w:highlight w:val="none"/>
              </w:rPr>
              <w:t>小微企业承接的金额比例达到合同总金额3</w:t>
            </w:r>
            <w:r>
              <w:rPr>
                <w:color w:val="auto"/>
                <w:szCs w:val="21"/>
                <w:highlight w:val="none"/>
              </w:rPr>
              <w:t>0%</w:t>
            </w:r>
            <w:r>
              <w:rPr>
                <w:rFonts w:hint="eastAsia"/>
                <w:color w:val="auto"/>
                <w:szCs w:val="21"/>
                <w:highlight w:val="none"/>
              </w:rPr>
              <w:t>以上</w:t>
            </w:r>
          </w:p>
        </w:tc>
        <w:tc>
          <w:tcPr>
            <w:tcW w:w="2551" w:type="dxa"/>
            <w:shd w:val="clear" w:color="auto" w:fill="auto"/>
            <w:noWrap w:val="0"/>
            <w:vAlign w:val="top"/>
          </w:tcPr>
          <w:p w14:paraId="11977AD5">
            <w:pPr>
              <w:spacing w:before="120" w:line="320" w:lineRule="atLeast"/>
              <w:rPr>
                <w:color w:val="auto"/>
                <w:szCs w:val="21"/>
                <w:highlight w:val="none"/>
              </w:rPr>
            </w:pPr>
            <w:r>
              <w:rPr>
                <w:rFonts w:hint="eastAsia"/>
                <w:color w:val="auto"/>
                <w:szCs w:val="21"/>
                <w:highlight w:val="none"/>
              </w:rPr>
              <w:t>价格扣除响应报价的</w:t>
            </w:r>
            <w:r>
              <w:rPr>
                <w:color w:val="auto"/>
                <w:szCs w:val="21"/>
                <w:highlight w:val="none"/>
              </w:rPr>
              <w:t>4</w:t>
            </w:r>
            <w:r>
              <w:rPr>
                <w:rFonts w:hint="eastAsia"/>
                <w:color w:val="auto"/>
                <w:szCs w:val="21"/>
                <w:highlight w:val="none"/>
              </w:rPr>
              <w:t>%</w:t>
            </w:r>
          </w:p>
        </w:tc>
      </w:tr>
      <w:tr w14:paraId="36D3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noWrap w:val="0"/>
            <w:vAlign w:val="top"/>
          </w:tcPr>
          <w:p w14:paraId="32F2D5CA">
            <w:pPr>
              <w:spacing w:before="120" w:line="320" w:lineRule="atLeast"/>
              <w:rPr>
                <w:color w:val="auto"/>
                <w:szCs w:val="21"/>
                <w:highlight w:val="none"/>
              </w:rPr>
            </w:pPr>
            <w:r>
              <w:rPr>
                <w:rFonts w:hint="eastAsia"/>
                <w:color w:val="auto"/>
                <w:szCs w:val="21"/>
                <w:highlight w:val="none"/>
              </w:rPr>
              <w:t>注：未提供《中小企业声明函》、《分包意向协议书》或《联合体协议书》或不符合条件的，不享受价格扣除优惠。</w:t>
            </w:r>
          </w:p>
        </w:tc>
      </w:tr>
    </w:tbl>
    <w:p w14:paraId="03C4B7F4">
      <w:pPr>
        <w:rPr>
          <w:color w:val="auto"/>
          <w:highlight w:val="none"/>
        </w:rPr>
      </w:pPr>
    </w:p>
    <w:p w14:paraId="4FD1E81C">
      <w:pPr>
        <w:ind w:firstLine="420" w:firstLineChars="200"/>
        <w:rPr>
          <w:rFonts w:hint="default" w:eastAsia="楷体_GB2312"/>
          <w:b/>
          <w:color w:val="auto"/>
          <w:sz w:val="24"/>
          <w:highlight w:val="none"/>
          <w:lang w:val="en-US"/>
        </w:rPr>
      </w:pPr>
      <w:r>
        <w:rPr>
          <w:rFonts w:hint="eastAsia"/>
          <w:color w:val="auto"/>
          <w:highlight w:val="none"/>
          <w:lang w:val="en-US" w:eastAsia="zh-CN"/>
        </w:rPr>
        <w:t>2）</w:t>
      </w:r>
      <w:r>
        <w:rPr>
          <w:rFonts w:hint="eastAsia" w:ascii="Times New Roman" w:eastAsia="宋体"/>
          <w:color w:val="auto"/>
          <w:highlight w:val="none"/>
          <w:lang w:val="en-US" w:eastAsia="zh-CN"/>
        </w:rPr>
        <w:t>本国产品的价格扣除计算：</w:t>
      </w:r>
      <w:r>
        <w:rPr>
          <w:rFonts w:hint="eastAsia"/>
          <w:color w:val="auto"/>
          <w:highlight w:val="none"/>
        </w:rPr>
        <w:t>供应商</w:t>
      </w:r>
      <w:r>
        <w:rPr>
          <w:rFonts w:hint="eastAsia"/>
          <w:color w:val="auto"/>
          <w:highlight w:val="none"/>
          <w:lang w:eastAsia="zh-CN"/>
        </w:rPr>
        <w:t>响应</w:t>
      </w:r>
      <w:r>
        <w:rPr>
          <w:color w:val="auto"/>
          <w:highlight w:val="none"/>
        </w:rPr>
        <w:t>报价将按相应比例进行扣除，用扣除后的价格参与评审（计算价格分）</w:t>
      </w:r>
      <w:r>
        <w:rPr>
          <w:rFonts w:hint="eastAsia"/>
          <w:color w:val="auto"/>
          <w:highlight w:val="none"/>
        </w:rPr>
        <w:t>，价格扣除比例分别如下：</w:t>
      </w:r>
      <w:r>
        <w:rPr>
          <w:rFonts w:hint="eastAsia" w:ascii="宋体" w:hAnsi="Courier New" w:eastAsia="楷体_GB2312" w:cs="Courier New"/>
          <w:b/>
          <w:color w:val="auto"/>
          <w:kern w:val="2"/>
          <w:sz w:val="24"/>
          <w:szCs w:val="24"/>
          <w:highlight w:val="none"/>
          <w:lang w:val="en-US" w:eastAsia="zh-CN" w:bidi="ar-SA"/>
        </w:rPr>
        <w:t>【备注：适用对本国产品支持政策的项目】</w:t>
      </w:r>
    </w:p>
    <w:p w14:paraId="5749E6FA">
      <w:pPr>
        <w:ind w:firstLine="420" w:firstLineChars="200"/>
        <w:rPr>
          <w:color w:val="auto"/>
          <w:highlight w:val="none"/>
        </w:rPr>
      </w:pPr>
    </w:p>
    <w:tbl>
      <w:tblPr>
        <w:tblStyle w:val="5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4550"/>
        <w:gridCol w:w="2551"/>
      </w:tblGrid>
      <w:tr w14:paraId="7A1B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shd w:val="clear" w:color="auto" w:fill="auto"/>
            <w:noWrap w:val="0"/>
            <w:vAlign w:val="top"/>
          </w:tcPr>
          <w:p w14:paraId="7E992665">
            <w:pPr>
              <w:rPr>
                <w:rFonts w:hint="default" w:eastAsia="宋体"/>
                <w:color w:val="auto"/>
                <w:highlight w:val="none"/>
                <w:lang w:val="en-US" w:eastAsia="zh-CN"/>
              </w:rPr>
            </w:pPr>
            <w:r>
              <w:rPr>
                <w:rFonts w:hint="eastAsia" w:ascii="Times New Roman" w:eastAsia="宋体"/>
                <w:color w:val="auto"/>
                <w:highlight w:val="none"/>
                <w:lang w:val="en-US" w:eastAsia="zh-CN"/>
              </w:rPr>
              <w:t>采购项目或者采购包中为单一产品</w:t>
            </w:r>
          </w:p>
        </w:tc>
        <w:tc>
          <w:tcPr>
            <w:tcW w:w="4550" w:type="dxa"/>
            <w:shd w:val="clear" w:color="auto" w:fill="auto"/>
            <w:noWrap w:val="0"/>
            <w:vAlign w:val="top"/>
          </w:tcPr>
          <w:p w14:paraId="2EC5336A">
            <w:pPr>
              <w:rPr>
                <w:rFonts w:hint="eastAsia" w:eastAsia="宋体"/>
                <w:color w:val="auto"/>
                <w:highlight w:val="none"/>
                <w:lang w:eastAsia="zh-CN"/>
              </w:rPr>
            </w:pPr>
            <w:r>
              <w:rPr>
                <w:rFonts w:hint="eastAsia"/>
                <w:color w:val="auto"/>
                <w:highlight w:val="none"/>
              </w:rPr>
              <w:t>若</w:t>
            </w:r>
            <w:r>
              <w:rPr>
                <w:rFonts w:hint="eastAsia" w:ascii="Times New Roman" w:eastAsia="宋体"/>
                <w:color w:val="auto"/>
                <w:highlight w:val="none"/>
                <w:lang w:val="en-US" w:eastAsia="zh-CN"/>
              </w:rPr>
              <w:t>本项目</w:t>
            </w:r>
            <w:r>
              <w:rPr>
                <w:rFonts w:hint="eastAsia"/>
                <w:color w:val="auto"/>
                <w:highlight w:val="none"/>
              </w:rPr>
              <w:t>既有本国产品又有非本国产品参与竞争的</w:t>
            </w:r>
            <w:r>
              <w:rPr>
                <w:rFonts w:hint="eastAsia" w:eastAsia="宋体"/>
                <w:color w:val="auto"/>
                <w:highlight w:val="none"/>
                <w:lang w:eastAsia="zh-CN"/>
              </w:rPr>
              <w:t>，</w:t>
            </w:r>
            <w:r>
              <w:rPr>
                <w:rFonts w:hint="eastAsia"/>
                <w:color w:val="auto"/>
                <w:highlight w:val="none"/>
              </w:rPr>
              <w:t>供应商所提供</w:t>
            </w:r>
            <w:r>
              <w:rPr>
                <w:rFonts w:hint="eastAsia" w:ascii="Times New Roman" w:eastAsia="宋体"/>
                <w:color w:val="auto"/>
                <w:highlight w:val="none"/>
                <w:lang w:val="en-US" w:eastAsia="zh-CN"/>
              </w:rPr>
              <w:t>符合</w:t>
            </w:r>
            <w:r>
              <w:rPr>
                <w:rFonts w:hint="eastAsia"/>
                <w:color w:val="auto"/>
                <w:highlight w:val="none"/>
              </w:rPr>
              <w:t>本国产品标准的产品</w:t>
            </w:r>
          </w:p>
        </w:tc>
        <w:tc>
          <w:tcPr>
            <w:tcW w:w="2551" w:type="dxa"/>
            <w:vMerge w:val="restart"/>
            <w:shd w:val="clear" w:color="auto" w:fill="auto"/>
            <w:noWrap w:val="0"/>
            <w:vAlign w:val="top"/>
          </w:tcPr>
          <w:p w14:paraId="1D37BEB4">
            <w:pPr>
              <w:rPr>
                <w:rFonts w:hint="eastAsia"/>
                <w:color w:val="auto"/>
                <w:highlight w:val="none"/>
              </w:rPr>
            </w:pPr>
          </w:p>
          <w:p w14:paraId="3693DA3C">
            <w:pPr>
              <w:rPr>
                <w:rFonts w:hint="eastAsia"/>
                <w:color w:val="auto"/>
                <w:highlight w:val="none"/>
              </w:rPr>
            </w:pPr>
          </w:p>
          <w:p w14:paraId="1EBC637D">
            <w:pPr>
              <w:rPr>
                <w:rFonts w:hint="eastAsia"/>
                <w:color w:val="auto"/>
                <w:highlight w:val="none"/>
              </w:rPr>
            </w:pPr>
          </w:p>
          <w:p w14:paraId="78BA8563">
            <w:pPr>
              <w:rPr>
                <w:color w:val="auto"/>
                <w:highlight w:val="none"/>
              </w:rPr>
            </w:pPr>
            <w:r>
              <w:rPr>
                <w:rFonts w:hint="eastAsia"/>
                <w:color w:val="auto"/>
                <w:highlight w:val="none"/>
              </w:rPr>
              <w:t>价格扣除</w:t>
            </w:r>
            <w:r>
              <w:rPr>
                <w:rFonts w:hint="eastAsia" w:ascii="Times New Roman" w:eastAsia="宋体"/>
                <w:color w:val="auto"/>
                <w:highlight w:val="none"/>
                <w:lang w:val="en-US" w:eastAsia="zh-CN"/>
              </w:rPr>
              <w:t>全部产品报价</w:t>
            </w:r>
            <w:r>
              <w:rPr>
                <w:rFonts w:hint="eastAsia"/>
                <w:color w:val="auto"/>
                <w:highlight w:val="none"/>
              </w:rPr>
              <w:t>的</w:t>
            </w:r>
            <w:r>
              <w:rPr>
                <w:rFonts w:hint="eastAsia" w:ascii="Times New Roman" w:eastAsia="宋体"/>
                <w:color w:val="auto"/>
                <w:highlight w:val="none"/>
                <w:lang w:val="en-US" w:eastAsia="zh-CN"/>
              </w:rPr>
              <w:t>20</w:t>
            </w:r>
            <w:r>
              <w:rPr>
                <w:rFonts w:hint="eastAsia"/>
                <w:color w:val="auto"/>
                <w:highlight w:val="none"/>
              </w:rPr>
              <w:t>%</w:t>
            </w:r>
          </w:p>
        </w:tc>
      </w:tr>
      <w:tr w14:paraId="5453B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shd w:val="clear" w:color="auto" w:fill="auto"/>
            <w:noWrap w:val="0"/>
            <w:vAlign w:val="top"/>
          </w:tcPr>
          <w:p w14:paraId="30015097">
            <w:pPr>
              <w:rPr>
                <w:rFonts w:hint="eastAsia"/>
                <w:color w:val="auto"/>
                <w:highlight w:val="none"/>
              </w:rPr>
            </w:pPr>
            <w:r>
              <w:rPr>
                <w:rFonts w:hint="eastAsia"/>
                <w:color w:val="auto"/>
                <w:highlight w:val="none"/>
              </w:rPr>
              <w:t>采购项目或者采购包中含有多种产品</w:t>
            </w:r>
          </w:p>
        </w:tc>
        <w:tc>
          <w:tcPr>
            <w:tcW w:w="4550" w:type="dxa"/>
            <w:shd w:val="clear" w:color="auto" w:fill="auto"/>
            <w:noWrap w:val="0"/>
            <w:vAlign w:val="top"/>
          </w:tcPr>
          <w:p w14:paraId="10DB9D94">
            <w:pPr>
              <w:rPr>
                <w:rFonts w:hint="eastAsia" w:eastAsia="宋体"/>
                <w:color w:val="auto"/>
                <w:highlight w:val="none"/>
                <w:lang w:eastAsia="zh-CN"/>
              </w:rPr>
            </w:pPr>
            <w:r>
              <w:rPr>
                <w:rFonts w:hint="eastAsia"/>
                <w:color w:val="auto"/>
                <w:highlight w:val="none"/>
              </w:rPr>
              <w:t>若</w:t>
            </w:r>
            <w:r>
              <w:rPr>
                <w:rFonts w:hint="eastAsia" w:ascii="Times New Roman" w:eastAsia="宋体"/>
                <w:color w:val="auto"/>
                <w:highlight w:val="none"/>
                <w:lang w:val="en-US" w:eastAsia="zh-CN"/>
              </w:rPr>
              <w:t>本项目</w:t>
            </w:r>
            <w:r>
              <w:rPr>
                <w:rFonts w:hint="eastAsia"/>
                <w:color w:val="auto"/>
                <w:highlight w:val="none"/>
              </w:rPr>
              <w:t>既有本国产品又有非本国产品参与竞争的</w:t>
            </w:r>
            <w:r>
              <w:rPr>
                <w:rFonts w:hint="eastAsia" w:eastAsia="宋体"/>
                <w:color w:val="auto"/>
                <w:highlight w:val="none"/>
                <w:lang w:eastAsia="zh-CN"/>
              </w:rPr>
              <w:t>，</w:t>
            </w:r>
            <w:r>
              <w:rPr>
                <w:rFonts w:hint="eastAsia"/>
                <w:color w:val="auto"/>
                <w:highlight w:val="none"/>
              </w:rPr>
              <w:t>供应商</w:t>
            </w:r>
            <w:r>
              <w:rPr>
                <w:rFonts w:hint="eastAsia" w:ascii="Times New Roman" w:eastAsia="宋体"/>
                <w:color w:val="auto"/>
                <w:highlight w:val="none"/>
                <w:lang w:val="en-US" w:eastAsia="zh-CN"/>
              </w:rPr>
              <w:t>提供符合</w:t>
            </w:r>
            <w:r>
              <w:rPr>
                <w:rFonts w:hint="eastAsia"/>
                <w:color w:val="auto"/>
                <w:highlight w:val="none"/>
              </w:rPr>
              <w:t>本国产品标准的产品成本之和占该供应商提供的全部产品成本之和的比例达到80%以上时</w:t>
            </w:r>
            <w:r>
              <w:rPr>
                <w:rFonts w:hint="eastAsia"/>
                <w:color w:val="auto"/>
                <w:highlight w:val="none"/>
                <w:lang w:eastAsia="zh-CN"/>
              </w:rPr>
              <w:t>。</w:t>
            </w:r>
            <w:r>
              <w:rPr>
                <w:rFonts w:hint="eastAsia"/>
                <w:b/>
                <w:bCs/>
                <w:color w:val="auto"/>
                <w:highlight w:val="none"/>
                <w:lang w:val="en-US" w:eastAsia="zh-CN"/>
              </w:rPr>
              <w:t>供应商须在响应文件提交《关于符合本国产品标准的成本占比承诺函》。如供应商所有产品均为本国产品且填写《关于符合本国产品标准的声明函》的，无须填写《关于符合本国产品标准的成本占比承诺函》。</w:t>
            </w:r>
          </w:p>
        </w:tc>
        <w:tc>
          <w:tcPr>
            <w:tcW w:w="2551" w:type="dxa"/>
            <w:vMerge w:val="continue"/>
            <w:shd w:val="clear" w:color="auto" w:fill="auto"/>
            <w:noWrap w:val="0"/>
            <w:vAlign w:val="top"/>
          </w:tcPr>
          <w:p w14:paraId="143E6F25">
            <w:pPr>
              <w:ind w:firstLine="420" w:firstLineChars="200"/>
              <w:rPr>
                <w:rFonts w:hint="eastAsia"/>
                <w:color w:val="auto"/>
                <w:highlight w:val="none"/>
              </w:rPr>
            </w:pPr>
          </w:p>
        </w:tc>
      </w:tr>
      <w:tr w14:paraId="0069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noWrap w:val="0"/>
            <w:vAlign w:val="top"/>
          </w:tcPr>
          <w:p w14:paraId="5003B416">
            <w:pPr>
              <w:rPr>
                <w:color w:val="auto"/>
                <w:highlight w:val="none"/>
              </w:rPr>
            </w:pPr>
            <w:r>
              <w:rPr>
                <w:rFonts w:hint="eastAsia"/>
                <w:color w:val="auto"/>
                <w:highlight w:val="none"/>
              </w:rPr>
              <w:t>注：未提供《关于符合本国产品标准的声明函》</w:t>
            </w:r>
            <w:r>
              <w:rPr>
                <w:rFonts w:hint="eastAsia"/>
                <w:color w:val="auto"/>
                <w:highlight w:val="none"/>
                <w:lang w:eastAsia="zh-CN"/>
              </w:rPr>
              <w:t>、</w:t>
            </w:r>
            <w:r>
              <w:rPr>
                <w:rFonts w:hint="eastAsia"/>
                <w:color w:val="auto"/>
                <w:szCs w:val="21"/>
                <w:highlight w:val="none"/>
                <w:lang w:eastAsia="zh-CN"/>
              </w:rPr>
              <w:t>《</w:t>
            </w:r>
            <w:r>
              <w:rPr>
                <w:rFonts w:hint="eastAsia"/>
                <w:color w:val="auto"/>
                <w:szCs w:val="21"/>
                <w:highlight w:val="none"/>
                <w:lang w:val="en-US" w:eastAsia="zh-CN"/>
              </w:rPr>
              <w:t>关于符合本国产品标准的成本占比承诺函》（如适用）</w:t>
            </w:r>
            <w:r>
              <w:rPr>
                <w:rFonts w:hint="eastAsia"/>
                <w:color w:val="auto"/>
                <w:highlight w:val="none"/>
                <w:lang w:val="en-US" w:eastAsia="zh-CN"/>
              </w:rPr>
              <w:t>或</w:t>
            </w:r>
            <w:r>
              <w:rPr>
                <w:rFonts w:hint="eastAsia"/>
                <w:color w:val="auto"/>
                <w:highlight w:val="none"/>
              </w:rPr>
              <w:t>不符合条件的，不享受价格扣除优惠。</w:t>
            </w:r>
          </w:p>
        </w:tc>
      </w:tr>
    </w:tbl>
    <w:p w14:paraId="58A882E9">
      <w:pPr>
        <w:ind w:firstLine="420" w:firstLineChars="200"/>
        <w:rPr>
          <w:color w:val="auto"/>
          <w:highlight w:val="none"/>
        </w:rPr>
      </w:pPr>
    </w:p>
    <w:p w14:paraId="5EDA37A2">
      <w:pPr>
        <w:pStyle w:val="19"/>
        <w:numPr>
          <w:ilvl w:val="0"/>
          <w:numId w:val="0"/>
        </w:numPr>
        <w:ind w:firstLine="420" w:firstLineChars="20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3）</w:t>
      </w:r>
      <w:r>
        <w:rPr>
          <w:rFonts w:hint="eastAsia" w:ascii="Times New Roman" w:hAnsi="Times New Roman" w:eastAsia="宋体" w:cs="Times New Roman"/>
          <w:color w:val="auto"/>
          <w:kern w:val="2"/>
          <w:sz w:val="21"/>
          <w:szCs w:val="24"/>
          <w:highlight w:val="none"/>
          <w:lang w:val="en-US" w:eastAsia="zh-CN" w:bidi="ar-SA"/>
        </w:rPr>
        <w:t>评审报价计算示例：</w:t>
      </w:r>
    </w:p>
    <w:p w14:paraId="767119A3">
      <w:pPr>
        <w:spacing w:before="120" w:beforeLines="0" w:afterLines="0" w:line="320" w:lineRule="atLeast"/>
        <w:ind w:firstLine="420" w:firstLineChars="200"/>
        <w:rPr>
          <w:rFonts w:hint="eastAsia"/>
          <w:color w:val="auto"/>
          <w:highlight w:val="none"/>
          <w:lang w:val="en-US" w:eastAsia="zh-CN"/>
        </w:rPr>
      </w:pPr>
      <w:r>
        <w:rPr>
          <w:rFonts w:hint="eastAsia"/>
          <w:color w:val="auto"/>
          <w:highlight w:val="none"/>
          <w:lang w:val="en-US" w:eastAsia="zh-CN"/>
        </w:rPr>
        <w:t>a.供应商若符合中小企业支持政策的要求，计算公式具体为：评审报价＝响应总报价－（响应总报价*小微企业价格扣除比例）</w:t>
      </w:r>
    </w:p>
    <w:p w14:paraId="46BD7CB0">
      <w:pPr>
        <w:ind w:firstLine="420" w:firstLineChars="200"/>
        <w:rPr>
          <w:rFonts w:hint="eastAsia"/>
          <w:color w:val="auto"/>
          <w:highlight w:val="none"/>
          <w:lang w:val="en-US" w:eastAsia="zh-CN"/>
        </w:rPr>
      </w:pPr>
      <w:r>
        <w:rPr>
          <w:rFonts w:hint="eastAsia"/>
          <w:color w:val="auto"/>
          <w:highlight w:val="none"/>
          <w:lang w:val="en-US" w:eastAsia="zh-CN"/>
        </w:rPr>
        <w:t>b.供应商若符合本国产品支持政策的要求，计算公式具体为：评审报价＝响应总报价－（全部产品的总报价*20%）</w:t>
      </w:r>
    </w:p>
    <w:p w14:paraId="0E322AF9">
      <w:pPr>
        <w:ind w:firstLine="420" w:firstLineChars="200"/>
        <w:rPr>
          <w:rFonts w:hint="eastAsia"/>
          <w:color w:val="auto"/>
          <w:highlight w:val="none"/>
          <w:lang w:val="en-US" w:eastAsia="zh-CN"/>
        </w:rPr>
      </w:pPr>
      <w:r>
        <w:rPr>
          <w:rFonts w:hint="eastAsia"/>
          <w:color w:val="auto"/>
          <w:highlight w:val="none"/>
          <w:lang w:val="en-US" w:eastAsia="zh-CN"/>
        </w:rPr>
        <w:t>c.供应商若同时符合中小企业、本国产品扶持政策的要求，计算公式具体为：评审报价＝响应总报价－（响应总报价*小微企业价格扣除比例）－（全部产品的总报价*20%）</w:t>
      </w:r>
    </w:p>
    <w:p w14:paraId="37174AAB">
      <w:pPr>
        <w:pStyle w:val="19"/>
        <w:ind w:firstLine="420" w:firstLineChars="20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备注：全部产品是指货物或服务采购项目或采购包中包含的全部货物、服务产品。</w:t>
      </w:r>
    </w:p>
    <w:p w14:paraId="510F8F91">
      <w:pPr>
        <w:rPr>
          <w:rFonts w:hint="eastAsia"/>
          <w:color w:val="auto"/>
          <w:highlight w:val="none"/>
        </w:rPr>
      </w:pPr>
    </w:p>
    <w:p w14:paraId="43BAEFF2">
      <w:pPr>
        <w:ind w:firstLine="315" w:firstLineChars="150"/>
        <w:rPr>
          <w:color w:val="auto"/>
          <w:highlight w:val="none"/>
        </w:rPr>
      </w:pPr>
      <w:r>
        <w:rPr>
          <w:rFonts w:hint="eastAsia"/>
          <w:color w:val="auto"/>
          <w:highlight w:val="none"/>
        </w:rPr>
        <w:t>（</w:t>
      </w:r>
      <w:r>
        <w:rPr>
          <w:color w:val="auto"/>
          <w:highlight w:val="none"/>
        </w:rPr>
        <w:t>3</w:t>
      </w:r>
      <w:r>
        <w:rPr>
          <w:rFonts w:hint="eastAsia"/>
          <w:color w:val="auto"/>
          <w:highlight w:val="none"/>
        </w:rPr>
        <w:t>）</w:t>
      </w:r>
      <w:r>
        <w:rPr>
          <w:color w:val="auto"/>
          <w:highlight w:val="none"/>
        </w:rPr>
        <w:t>综合得分</w:t>
      </w:r>
    </w:p>
    <w:tbl>
      <w:tblPr>
        <w:tblStyle w:val="51"/>
        <w:tblW w:w="7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693"/>
        <w:gridCol w:w="2690"/>
        <w:gridCol w:w="1842"/>
      </w:tblGrid>
      <w:tr w14:paraId="0F14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noWrap w:val="0"/>
            <w:vAlign w:val="center"/>
          </w:tcPr>
          <w:p w14:paraId="15FFA342">
            <w:pPr>
              <w:jc w:val="center"/>
              <w:rPr>
                <w:b/>
                <w:color w:val="auto"/>
                <w:szCs w:val="21"/>
                <w:highlight w:val="none"/>
              </w:rPr>
            </w:pPr>
            <w:r>
              <w:rPr>
                <w:rFonts w:hint="eastAsia"/>
                <w:b/>
                <w:color w:val="auto"/>
                <w:szCs w:val="21"/>
                <w:highlight w:val="none"/>
              </w:rPr>
              <w:t>分项</w:t>
            </w:r>
          </w:p>
        </w:tc>
        <w:tc>
          <w:tcPr>
            <w:tcW w:w="2693" w:type="dxa"/>
            <w:noWrap w:val="0"/>
            <w:vAlign w:val="center"/>
          </w:tcPr>
          <w:p w14:paraId="3125CE27">
            <w:pPr>
              <w:jc w:val="center"/>
              <w:rPr>
                <w:b/>
                <w:color w:val="auto"/>
                <w:szCs w:val="21"/>
                <w:highlight w:val="none"/>
              </w:rPr>
            </w:pPr>
            <w:r>
              <w:rPr>
                <w:rFonts w:hint="eastAsia"/>
                <w:b/>
                <w:color w:val="auto"/>
                <w:szCs w:val="21"/>
                <w:highlight w:val="none"/>
              </w:rPr>
              <w:t>技术及商务资信分</w:t>
            </w:r>
          </w:p>
        </w:tc>
        <w:tc>
          <w:tcPr>
            <w:tcW w:w="2690" w:type="dxa"/>
            <w:noWrap w:val="0"/>
            <w:vAlign w:val="center"/>
          </w:tcPr>
          <w:p w14:paraId="32C9295D">
            <w:pPr>
              <w:jc w:val="center"/>
              <w:rPr>
                <w:b/>
                <w:color w:val="auto"/>
                <w:szCs w:val="21"/>
                <w:highlight w:val="none"/>
              </w:rPr>
            </w:pPr>
            <w:r>
              <w:rPr>
                <w:rFonts w:hint="eastAsia"/>
                <w:b/>
                <w:color w:val="auto"/>
                <w:szCs w:val="21"/>
                <w:highlight w:val="none"/>
              </w:rPr>
              <w:t>响应报价得分</w:t>
            </w:r>
          </w:p>
        </w:tc>
        <w:tc>
          <w:tcPr>
            <w:tcW w:w="1842" w:type="dxa"/>
            <w:noWrap w:val="0"/>
            <w:vAlign w:val="center"/>
          </w:tcPr>
          <w:p w14:paraId="3A883341">
            <w:pPr>
              <w:jc w:val="center"/>
              <w:rPr>
                <w:b/>
                <w:color w:val="auto"/>
                <w:szCs w:val="21"/>
                <w:highlight w:val="none"/>
              </w:rPr>
            </w:pPr>
            <w:r>
              <w:rPr>
                <w:rFonts w:hint="eastAsia"/>
                <w:b/>
                <w:color w:val="auto"/>
                <w:szCs w:val="21"/>
                <w:highlight w:val="none"/>
              </w:rPr>
              <w:t>总分</w:t>
            </w:r>
          </w:p>
        </w:tc>
      </w:tr>
      <w:tr w14:paraId="1AED2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08" w:type="dxa"/>
            <w:noWrap w:val="0"/>
            <w:vAlign w:val="center"/>
          </w:tcPr>
          <w:p w14:paraId="7328C33A">
            <w:pPr>
              <w:jc w:val="center"/>
              <w:rPr>
                <w:b/>
                <w:color w:val="auto"/>
                <w:szCs w:val="21"/>
                <w:highlight w:val="none"/>
              </w:rPr>
            </w:pPr>
            <w:r>
              <w:rPr>
                <w:rFonts w:hint="eastAsia"/>
                <w:b/>
                <w:color w:val="auto"/>
                <w:szCs w:val="21"/>
                <w:highlight w:val="none"/>
              </w:rPr>
              <w:t>分值</w:t>
            </w:r>
          </w:p>
        </w:tc>
        <w:tc>
          <w:tcPr>
            <w:tcW w:w="2693" w:type="dxa"/>
            <w:noWrap w:val="0"/>
            <w:vAlign w:val="center"/>
          </w:tcPr>
          <w:p w14:paraId="4FA984EC">
            <w:pPr>
              <w:jc w:val="center"/>
              <w:rPr>
                <w:color w:val="auto"/>
                <w:szCs w:val="21"/>
                <w:highlight w:val="none"/>
              </w:rPr>
            </w:pPr>
          </w:p>
        </w:tc>
        <w:tc>
          <w:tcPr>
            <w:tcW w:w="2690" w:type="dxa"/>
            <w:noWrap w:val="0"/>
            <w:vAlign w:val="center"/>
          </w:tcPr>
          <w:p w14:paraId="4C4B81F9">
            <w:pPr>
              <w:jc w:val="center"/>
              <w:rPr>
                <w:color w:val="auto"/>
                <w:szCs w:val="21"/>
                <w:highlight w:val="none"/>
              </w:rPr>
            </w:pPr>
          </w:p>
        </w:tc>
        <w:tc>
          <w:tcPr>
            <w:tcW w:w="1842" w:type="dxa"/>
            <w:noWrap w:val="0"/>
            <w:vAlign w:val="center"/>
          </w:tcPr>
          <w:p w14:paraId="4B573368">
            <w:pPr>
              <w:jc w:val="center"/>
              <w:rPr>
                <w:color w:val="auto"/>
                <w:szCs w:val="21"/>
                <w:highlight w:val="none"/>
              </w:rPr>
            </w:pPr>
          </w:p>
        </w:tc>
      </w:tr>
      <w:tr w14:paraId="6B0A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1" w:hRule="atLeast"/>
          <w:jc w:val="center"/>
        </w:trPr>
        <w:tc>
          <w:tcPr>
            <w:tcW w:w="7933" w:type="dxa"/>
            <w:gridSpan w:val="4"/>
            <w:noWrap w:val="0"/>
            <w:vAlign w:val="center"/>
          </w:tcPr>
          <w:p w14:paraId="63BD31F1">
            <w:pPr>
              <w:rPr>
                <w:color w:val="auto"/>
                <w:szCs w:val="21"/>
                <w:highlight w:val="none"/>
              </w:rPr>
            </w:pPr>
            <w:r>
              <w:rPr>
                <w:rFonts w:hint="eastAsia"/>
                <w:color w:val="auto"/>
                <w:szCs w:val="21"/>
                <w:highlight w:val="none"/>
              </w:rPr>
              <w:t>综合得分</w:t>
            </w:r>
            <w:r>
              <w:rPr>
                <w:color w:val="auto"/>
                <w:szCs w:val="21"/>
                <w:highlight w:val="none"/>
              </w:rPr>
              <w:t>=</w:t>
            </w:r>
            <w:r>
              <w:rPr>
                <w:rFonts w:hint="eastAsia"/>
                <w:color w:val="auto"/>
                <w:szCs w:val="21"/>
                <w:highlight w:val="none"/>
              </w:rPr>
              <w:t>技术及商务资信分+响应报价得分（</w:t>
            </w:r>
            <w:r>
              <w:rPr>
                <w:rFonts w:hint="eastAsia"/>
                <w:color w:val="auto"/>
                <w:highlight w:val="none"/>
              </w:rPr>
              <w:t>注：各</w:t>
            </w:r>
            <w:r>
              <w:rPr>
                <w:color w:val="auto"/>
                <w:szCs w:val="21"/>
                <w:highlight w:val="none"/>
              </w:rPr>
              <w:t>项评分分值计算保留小数点后两位，小数点后第三位“四舍五入”</w:t>
            </w:r>
            <w:r>
              <w:rPr>
                <w:rFonts w:hint="eastAsia"/>
                <w:color w:val="auto"/>
                <w:szCs w:val="21"/>
                <w:highlight w:val="none"/>
              </w:rPr>
              <w:t>）</w:t>
            </w:r>
          </w:p>
        </w:tc>
      </w:tr>
    </w:tbl>
    <w:p w14:paraId="0A2DAAB1">
      <w:pPr>
        <w:rPr>
          <w:rFonts w:hint="eastAsia"/>
          <w:bCs/>
          <w:color w:val="auto"/>
          <w:kern w:val="0"/>
          <w:szCs w:val="21"/>
          <w:highlight w:val="none"/>
        </w:rPr>
      </w:pPr>
    </w:p>
    <w:p w14:paraId="57885427">
      <w:pPr>
        <w:spacing w:before="120" w:line="320" w:lineRule="atLeast"/>
        <w:ind w:firstLine="420" w:firstLineChars="200"/>
        <w:rPr>
          <w:color w:val="auto"/>
          <w:highlight w:val="none"/>
        </w:rPr>
      </w:pPr>
      <w:r>
        <w:rPr>
          <w:rFonts w:hint="eastAsia"/>
          <w:color w:val="auto"/>
          <w:highlight w:val="none"/>
          <w:lang w:val="en-US" w:eastAsia="zh-CN"/>
        </w:rPr>
        <w:t>4</w:t>
      </w:r>
      <w:r>
        <w:rPr>
          <w:color w:val="auto"/>
          <w:highlight w:val="none"/>
        </w:rPr>
        <w:t>.</w:t>
      </w:r>
      <w:r>
        <w:rPr>
          <w:rFonts w:hint="eastAsia"/>
          <w:color w:val="auto"/>
          <w:highlight w:val="none"/>
          <w:lang w:val="en-US" w:eastAsia="zh-CN"/>
        </w:rPr>
        <w:t>1</w:t>
      </w:r>
      <w:r>
        <w:rPr>
          <w:rFonts w:hint="eastAsia"/>
          <w:color w:val="auto"/>
          <w:highlight w:val="none"/>
        </w:rPr>
        <w:t>偏离认定说明</w:t>
      </w:r>
    </w:p>
    <w:p w14:paraId="6A6C9CF4">
      <w:pPr>
        <w:spacing w:before="120" w:line="320" w:lineRule="atLeast"/>
        <w:ind w:firstLine="420" w:firstLineChars="200"/>
        <w:rPr>
          <w:color w:val="auto"/>
          <w:szCs w:val="21"/>
          <w:highlight w:val="none"/>
        </w:rPr>
      </w:pPr>
      <w:r>
        <w:rPr>
          <w:rFonts w:hint="eastAsia"/>
          <w:color w:val="auto"/>
          <w:szCs w:val="21"/>
          <w:highlight w:val="none"/>
        </w:rPr>
        <w:t>供应商根据采购需求中技术参数为基准，填写响应表，对于响应表或证明材料与技术参数不符的，按如下规定：</w:t>
      </w:r>
    </w:p>
    <w:p w14:paraId="155D2AE6">
      <w:pPr>
        <w:spacing w:before="120" w:line="320" w:lineRule="atLeast"/>
        <w:ind w:firstLine="420" w:firstLineChars="200"/>
        <w:rPr>
          <w:color w:val="auto"/>
          <w:szCs w:val="21"/>
          <w:highlight w:val="none"/>
        </w:rPr>
      </w:pPr>
      <w:r>
        <w:rPr>
          <w:rFonts w:hint="eastAsia"/>
          <w:color w:val="auto"/>
          <w:szCs w:val="21"/>
          <w:highlight w:val="none"/>
        </w:rPr>
        <w:t>（1）实质性参数要求提交证明材料的，证明材料没有体现响应表中响应的内容的或未提供证明材料的，视为无效响应。非实质性参数要求提交证明材料的，证明材料没有体现响应表中响应的内容的或未提供证明材料的，视为负偏离。</w:t>
      </w:r>
    </w:p>
    <w:p w14:paraId="5CA25040">
      <w:pPr>
        <w:spacing w:before="120" w:line="320" w:lineRule="atLeast"/>
        <w:ind w:firstLine="420" w:firstLineChars="200"/>
        <w:rPr>
          <w:color w:val="auto"/>
          <w:szCs w:val="21"/>
          <w:highlight w:val="none"/>
        </w:rPr>
      </w:pPr>
      <w:r>
        <w:rPr>
          <w:rFonts w:hint="eastAsia"/>
          <w:color w:val="auto"/>
          <w:szCs w:val="21"/>
          <w:highlight w:val="none"/>
        </w:rPr>
        <w:t>（2）响应表中响应的内容与证明材料不一致的，以证明材料为准作为评审依据。</w:t>
      </w:r>
    </w:p>
    <w:p w14:paraId="26E8D369">
      <w:pPr>
        <w:spacing w:before="120" w:line="320" w:lineRule="atLeast"/>
        <w:ind w:firstLine="420" w:firstLineChars="200"/>
        <w:rPr>
          <w:color w:val="auto"/>
          <w:szCs w:val="21"/>
          <w:highlight w:val="none"/>
        </w:rPr>
      </w:pPr>
      <w:r>
        <w:rPr>
          <w:rFonts w:hint="eastAsia"/>
          <w:color w:val="auto"/>
          <w:szCs w:val="21"/>
          <w:highlight w:val="none"/>
        </w:rPr>
        <w:t>（3）同时出现以上两种情况的，按照（1）-（2）顺序认定。</w:t>
      </w:r>
    </w:p>
    <w:p w14:paraId="00D73436">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4</w:t>
      </w:r>
      <w:r>
        <w:rPr>
          <w:rFonts w:hint="eastAsia"/>
          <w:color w:val="auto"/>
          <w:szCs w:val="21"/>
          <w:highlight w:val="none"/>
        </w:rPr>
        <w:t>）响应表与采购需求中技术参数比较有漏项的，如为实质性参数漏项，视为未响应；如为非实质性参数漏项，视为负偏离。</w:t>
      </w:r>
    </w:p>
    <w:p w14:paraId="54197535">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5</w:t>
      </w:r>
      <w:r>
        <w:rPr>
          <w:rFonts w:hint="eastAsia"/>
          <w:color w:val="auto"/>
          <w:szCs w:val="21"/>
          <w:highlight w:val="none"/>
        </w:rPr>
        <w:t>）一项技术参数有多条小项要求的，必须全部响应。如只响应部分参数，视为漏项，按照（4）判定。评审时以每一条技术参数为评审依据。</w:t>
      </w:r>
    </w:p>
    <w:p w14:paraId="5A9C2C65">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6</w:t>
      </w:r>
      <w:r>
        <w:rPr>
          <w:rFonts w:hint="eastAsia"/>
          <w:color w:val="auto"/>
          <w:szCs w:val="21"/>
          <w:highlight w:val="none"/>
        </w:rPr>
        <w:t>）对于区间涵盖值参数，例：电压“测量范围</w:t>
      </w:r>
      <w:r>
        <w:rPr>
          <w:color w:val="auto"/>
          <w:szCs w:val="21"/>
          <w:highlight w:val="none"/>
        </w:rPr>
        <w:t>3V-5V</w:t>
      </w:r>
      <w:r>
        <w:rPr>
          <w:rFonts w:hint="eastAsia"/>
          <w:color w:val="auto"/>
          <w:szCs w:val="21"/>
          <w:highlight w:val="none"/>
        </w:rPr>
        <w:t>”，同时满足下限值更低及上限值更高才视为正偏离，例：响应为“测量范围</w:t>
      </w:r>
      <w:r>
        <w:rPr>
          <w:color w:val="auto"/>
          <w:szCs w:val="21"/>
          <w:highlight w:val="none"/>
        </w:rPr>
        <w:t>2V-6V”</w:t>
      </w:r>
      <w:r>
        <w:rPr>
          <w:rFonts w:hint="eastAsia"/>
          <w:color w:val="auto"/>
          <w:szCs w:val="21"/>
          <w:highlight w:val="none"/>
        </w:rPr>
        <w:t>。如有一端负偏离，不管另一端如何，均视为负偏离，例：响应为“测量范围4</w:t>
      </w:r>
      <w:r>
        <w:rPr>
          <w:color w:val="auto"/>
          <w:szCs w:val="21"/>
          <w:highlight w:val="none"/>
        </w:rPr>
        <w:t>V-6V</w:t>
      </w:r>
      <w:r>
        <w:rPr>
          <w:rFonts w:hint="eastAsia"/>
          <w:color w:val="auto"/>
          <w:szCs w:val="21"/>
          <w:highlight w:val="none"/>
        </w:rPr>
        <w:t>”。</w:t>
      </w:r>
    </w:p>
    <w:p w14:paraId="54872059">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7</w:t>
      </w:r>
      <w:r>
        <w:rPr>
          <w:rFonts w:hint="eastAsia"/>
          <w:color w:val="auto"/>
          <w:szCs w:val="21"/>
          <w:highlight w:val="none"/>
        </w:rPr>
        <w:t>）对于区间任意值参数，例“</w:t>
      </w:r>
      <w:r>
        <w:rPr>
          <w:color w:val="auto"/>
          <w:szCs w:val="21"/>
          <w:highlight w:val="none"/>
        </w:rPr>
        <w:t>5</w:t>
      </w:r>
      <w:r>
        <w:rPr>
          <w:rFonts w:hint="eastAsia"/>
          <w:color w:val="auto"/>
          <w:szCs w:val="21"/>
          <w:highlight w:val="none"/>
        </w:rPr>
        <w:t>m</w:t>
      </w:r>
      <w:r>
        <w:rPr>
          <w:color w:val="auto"/>
          <w:szCs w:val="21"/>
          <w:highlight w:val="none"/>
        </w:rPr>
        <w:t>m</w:t>
      </w:r>
      <w:r>
        <w:rPr>
          <w:rFonts w:hint="eastAsia"/>
          <w:color w:val="auto"/>
          <w:szCs w:val="21"/>
          <w:highlight w:val="none"/>
        </w:rPr>
        <w:t>≤间距≤1</w:t>
      </w:r>
      <w:r>
        <w:rPr>
          <w:color w:val="auto"/>
          <w:szCs w:val="21"/>
          <w:highlight w:val="none"/>
        </w:rPr>
        <w:t>0</w:t>
      </w:r>
      <w:r>
        <w:rPr>
          <w:rFonts w:hint="eastAsia"/>
          <w:color w:val="auto"/>
          <w:szCs w:val="21"/>
          <w:highlight w:val="none"/>
        </w:rPr>
        <w:t>m</w:t>
      </w:r>
      <w:r>
        <w:rPr>
          <w:color w:val="auto"/>
          <w:szCs w:val="21"/>
          <w:highlight w:val="none"/>
        </w:rPr>
        <w:t>m</w:t>
      </w:r>
      <w:r>
        <w:rPr>
          <w:rFonts w:hint="eastAsia"/>
          <w:color w:val="auto"/>
          <w:szCs w:val="21"/>
          <w:highlight w:val="none"/>
        </w:rPr>
        <w:t>”或“间距7.5±2.5mm”，若间距响应值为</w:t>
      </w:r>
      <w:r>
        <w:rPr>
          <w:color w:val="auto"/>
          <w:szCs w:val="21"/>
          <w:highlight w:val="none"/>
        </w:rPr>
        <w:t>5</w:t>
      </w:r>
      <w:r>
        <w:rPr>
          <w:rFonts w:hint="eastAsia"/>
          <w:color w:val="auto"/>
          <w:szCs w:val="21"/>
          <w:highlight w:val="none"/>
        </w:rPr>
        <w:t>m</w:t>
      </w:r>
      <w:r>
        <w:rPr>
          <w:color w:val="auto"/>
          <w:szCs w:val="21"/>
          <w:highlight w:val="none"/>
        </w:rPr>
        <w:t>m-10mm</w:t>
      </w:r>
      <w:r>
        <w:rPr>
          <w:rFonts w:hint="eastAsia"/>
          <w:color w:val="auto"/>
          <w:szCs w:val="21"/>
          <w:highlight w:val="none"/>
        </w:rPr>
        <w:t>中任意区间值或任意一个数值（含本数）时为无偏离，例：“6m</w:t>
      </w:r>
      <w:r>
        <w:rPr>
          <w:color w:val="auto"/>
          <w:szCs w:val="21"/>
          <w:highlight w:val="none"/>
        </w:rPr>
        <w:t>m</w:t>
      </w:r>
      <w:r>
        <w:rPr>
          <w:rFonts w:hint="eastAsia"/>
          <w:color w:val="auto"/>
          <w:szCs w:val="21"/>
          <w:highlight w:val="none"/>
        </w:rPr>
        <w:t>≤间距≤8m</w:t>
      </w:r>
      <w:r>
        <w:rPr>
          <w:color w:val="auto"/>
          <w:szCs w:val="21"/>
          <w:highlight w:val="none"/>
        </w:rPr>
        <w:t>m</w:t>
      </w:r>
      <w:r>
        <w:rPr>
          <w:rFonts w:hint="eastAsia"/>
          <w:color w:val="auto"/>
          <w:szCs w:val="21"/>
          <w:highlight w:val="none"/>
        </w:rPr>
        <w:t>”、“8±2mm”、“8mm”。超过区间范围视为负偏离，例：“3m</w:t>
      </w:r>
      <w:r>
        <w:rPr>
          <w:color w:val="auto"/>
          <w:szCs w:val="21"/>
          <w:highlight w:val="none"/>
        </w:rPr>
        <w:t>m</w:t>
      </w:r>
      <w:r>
        <w:rPr>
          <w:rFonts w:hint="eastAsia"/>
          <w:color w:val="auto"/>
          <w:szCs w:val="21"/>
          <w:highlight w:val="none"/>
        </w:rPr>
        <w:t>≤间距≤12m</w:t>
      </w:r>
      <w:r>
        <w:rPr>
          <w:color w:val="auto"/>
          <w:szCs w:val="21"/>
          <w:highlight w:val="none"/>
        </w:rPr>
        <w:t>m</w:t>
      </w:r>
      <w:r>
        <w:rPr>
          <w:rFonts w:hint="eastAsia"/>
          <w:color w:val="auto"/>
          <w:szCs w:val="21"/>
          <w:highlight w:val="none"/>
        </w:rPr>
        <w:t>”、“8±4mm”、“3-12mm”、“3mm”。此类参数不存在正偏离。</w:t>
      </w:r>
    </w:p>
    <w:p w14:paraId="4107668B">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8</w:t>
      </w:r>
      <w:r>
        <w:rPr>
          <w:rFonts w:hint="eastAsia"/>
          <w:color w:val="auto"/>
          <w:szCs w:val="21"/>
          <w:highlight w:val="none"/>
        </w:rPr>
        <w:t>）对于单边任意参数的要求，例“长度≥5</w:t>
      </w:r>
      <w:r>
        <w:rPr>
          <w:color w:val="auto"/>
          <w:szCs w:val="21"/>
          <w:highlight w:val="none"/>
        </w:rPr>
        <w:t>0cm”</w:t>
      </w:r>
      <w:r>
        <w:rPr>
          <w:rFonts w:hint="eastAsia"/>
          <w:color w:val="auto"/>
          <w:szCs w:val="21"/>
          <w:highlight w:val="none"/>
        </w:rPr>
        <w:t>，若响应为5</w:t>
      </w:r>
      <w:r>
        <w:rPr>
          <w:color w:val="auto"/>
          <w:szCs w:val="21"/>
          <w:highlight w:val="none"/>
        </w:rPr>
        <w:t>0 cm</w:t>
      </w:r>
      <w:r>
        <w:rPr>
          <w:rFonts w:hint="eastAsia"/>
          <w:color w:val="auto"/>
          <w:szCs w:val="21"/>
          <w:highlight w:val="none"/>
        </w:rPr>
        <w:t>及5</w:t>
      </w:r>
      <w:r>
        <w:rPr>
          <w:color w:val="auto"/>
          <w:szCs w:val="21"/>
          <w:highlight w:val="none"/>
        </w:rPr>
        <w:t>0cm</w:t>
      </w:r>
      <w:r>
        <w:rPr>
          <w:rFonts w:hint="eastAsia"/>
          <w:color w:val="auto"/>
          <w:szCs w:val="21"/>
          <w:highlight w:val="none"/>
        </w:rPr>
        <w:t>以上任意一个数值，均视为无偏离；若响应小于5</w:t>
      </w:r>
      <w:r>
        <w:rPr>
          <w:color w:val="auto"/>
          <w:szCs w:val="21"/>
          <w:highlight w:val="none"/>
        </w:rPr>
        <w:t>0cm</w:t>
      </w:r>
      <w:r>
        <w:rPr>
          <w:rFonts w:hint="eastAsia"/>
          <w:color w:val="auto"/>
          <w:szCs w:val="21"/>
          <w:highlight w:val="none"/>
        </w:rPr>
        <w:t>，视为负偏离。此类参数无正偏离。</w:t>
      </w:r>
    </w:p>
    <w:p w14:paraId="67A426A3">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9</w:t>
      </w:r>
      <w:r>
        <w:rPr>
          <w:rFonts w:hint="eastAsia"/>
          <w:color w:val="auto"/>
          <w:szCs w:val="21"/>
          <w:highlight w:val="none"/>
        </w:rPr>
        <w:t>）对于固定参数，响应与采购需求中技术参数一致，视为无偏离，其他均视为负偏离，此类参数无正偏离。</w:t>
      </w:r>
    </w:p>
    <w:p w14:paraId="7E925AE9">
      <w:pPr>
        <w:spacing w:before="120" w:line="320" w:lineRule="atLeast"/>
        <w:ind w:firstLine="420" w:firstLineChars="200"/>
        <w:rPr>
          <w:color w:val="auto"/>
          <w:szCs w:val="21"/>
          <w:highlight w:val="none"/>
        </w:rPr>
      </w:pPr>
      <w:r>
        <w:rPr>
          <w:rFonts w:hint="eastAsia"/>
          <w:color w:val="auto"/>
          <w:szCs w:val="21"/>
          <w:highlight w:val="none"/>
        </w:rPr>
        <w:t>（</w:t>
      </w:r>
      <w:r>
        <w:rPr>
          <w:color w:val="auto"/>
          <w:szCs w:val="21"/>
          <w:highlight w:val="none"/>
        </w:rPr>
        <w:t>10</w:t>
      </w:r>
      <w:r>
        <w:rPr>
          <w:rFonts w:hint="eastAsia"/>
          <w:color w:val="auto"/>
          <w:szCs w:val="21"/>
          <w:highlight w:val="none"/>
        </w:rPr>
        <w:t>）如采购需求中技术参数有特殊要求与上述说明不一致的，以特殊要求为准。</w:t>
      </w:r>
    </w:p>
    <w:p w14:paraId="048F1E86">
      <w:pPr>
        <w:pStyle w:val="26"/>
        <w:snapToGrid w:val="0"/>
        <w:spacing w:before="120" w:after="120" w:line="320" w:lineRule="exact"/>
        <w:jc w:val="center"/>
        <w:outlineLvl w:val="0"/>
        <w:rPr>
          <w:rFonts w:ascii="Times New Roman" w:hAnsi="Times New Roman" w:cs="Times New Roman"/>
          <w:color w:val="auto"/>
          <w:sz w:val="32"/>
          <w:szCs w:val="32"/>
          <w:highlight w:val="none"/>
        </w:rPr>
      </w:pPr>
      <w:r>
        <w:rPr>
          <w:color w:val="auto"/>
          <w:highlight w:val="none"/>
        </w:rPr>
        <w:br w:type="page"/>
      </w:r>
      <w:r>
        <w:rPr>
          <w:rFonts w:ascii="Times New Roman" w:hAnsi="Times New Roman" w:cs="Times New Roman"/>
          <w:color w:val="auto"/>
          <w:sz w:val="32"/>
          <w:szCs w:val="32"/>
          <w:highlight w:val="none"/>
        </w:rPr>
        <w:t>第五章  合同主要条款格式</w:t>
      </w:r>
    </w:p>
    <w:p w14:paraId="64954466">
      <w:pPr>
        <w:pStyle w:val="26"/>
        <w:snapToGrid w:val="0"/>
        <w:jc w:val="center"/>
        <w:rPr>
          <w:rFonts w:ascii="Times New Roman" w:hAnsi="Times New Roman" w:cs="Times New Roman"/>
          <w:b/>
          <w:color w:val="auto"/>
          <w:sz w:val="24"/>
          <w:szCs w:val="24"/>
          <w:highlight w:val="none"/>
        </w:rPr>
      </w:pPr>
    </w:p>
    <w:p w14:paraId="4BCAD0AC">
      <w:pPr>
        <w:spacing w:before="120" w:line="320" w:lineRule="atLeast"/>
        <w:ind w:firstLine="422" w:firstLineChars="200"/>
        <w:jc w:val="center"/>
        <w:outlineLvl w:val="1"/>
        <w:rPr>
          <w:b/>
          <w:bCs/>
          <w:color w:val="auto"/>
          <w:kern w:val="0"/>
          <w:szCs w:val="21"/>
          <w:highlight w:val="none"/>
        </w:rPr>
      </w:pPr>
      <w:r>
        <w:rPr>
          <w:b/>
          <w:bCs/>
          <w:color w:val="auto"/>
          <w:kern w:val="0"/>
          <w:szCs w:val="21"/>
          <w:highlight w:val="none"/>
        </w:rPr>
        <w:t>广西壮族自治区政府采购合同</w:t>
      </w:r>
    </w:p>
    <w:tbl>
      <w:tblPr>
        <w:tblStyle w:val="51"/>
        <w:tblW w:w="0" w:type="auto"/>
        <w:tblInd w:w="0" w:type="dxa"/>
        <w:tblLayout w:type="autofit"/>
        <w:tblCellMar>
          <w:top w:w="0" w:type="dxa"/>
          <w:left w:w="108" w:type="dxa"/>
          <w:bottom w:w="0" w:type="dxa"/>
          <w:right w:w="108" w:type="dxa"/>
        </w:tblCellMar>
      </w:tblPr>
      <w:tblGrid>
        <w:gridCol w:w="2325"/>
        <w:gridCol w:w="2317"/>
        <w:gridCol w:w="2325"/>
        <w:gridCol w:w="2319"/>
      </w:tblGrid>
      <w:tr w14:paraId="5C0ADCA5">
        <w:tblPrEx>
          <w:tblCellMar>
            <w:top w:w="0" w:type="dxa"/>
            <w:left w:w="108" w:type="dxa"/>
            <w:bottom w:w="0" w:type="dxa"/>
            <w:right w:w="108" w:type="dxa"/>
          </w:tblCellMar>
        </w:tblPrEx>
        <w:tc>
          <w:tcPr>
            <w:tcW w:w="2336" w:type="dxa"/>
            <w:noWrap w:val="0"/>
            <w:vAlign w:val="top"/>
          </w:tcPr>
          <w:p w14:paraId="06139C54">
            <w:pPr>
              <w:snapToGrid w:val="0"/>
              <w:spacing w:line="360" w:lineRule="exact"/>
              <w:ind w:right="480"/>
              <w:jc w:val="left"/>
              <w:rPr>
                <w:bCs/>
                <w:color w:val="auto"/>
                <w:szCs w:val="21"/>
                <w:highlight w:val="none"/>
              </w:rPr>
            </w:pPr>
            <w:r>
              <w:rPr>
                <w:rFonts w:hint="eastAsia"/>
                <w:bCs/>
                <w:color w:val="auto"/>
                <w:szCs w:val="21"/>
                <w:highlight w:val="none"/>
              </w:rPr>
              <w:t>合同编号：</w:t>
            </w:r>
          </w:p>
        </w:tc>
        <w:tc>
          <w:tcPr>
            <w:tcW w:w="2336" w:type="dxa"/>
            <w:noWrap w:val="0"/>
            <w:vAlign w:val="top"/>
          </w:tcPr>
          <w:p w14:paraId="35EA88D8">
            <w:pPr>
              <w:snapToGrid w:val="0"/>
              <w:spacing w:line="360" w:lineRule="exact"/>
              <w:ind w:right="480"/>
              <w:jc w:val="left"/>
              <w:rPr>
                <w:bCs/>
                <w:color w:val="auto"/>
                <w:szCs w:val="21"/>
                <w:highlight w:val="none"/>
              </w:rPr>
            </w:pPr>
          </w:p>
        </w:tc>
        <w:tc>
          <w:tcPr>
            <w:tcW w:w="2336" w:type="dxa"/>
            <w:noWrap w:val="0"/>
            <w:vAlign w:val="top"/>
          </w:tcPr>
          <w:p w14:paraId="7DEB7AC2">
            <w:pPr>
              <w:snapToGrid w:val="0"/>
              <w:spacing w:line="360" w:lineRule="exact"/>
              <w:ind w:right="480"/>
              <w:jc w:val="left"/>
              <w:rPr>
                <w:bCs/>
                <w:color w:val="auto"/>
                <w:szCs w:val="21"/>
                <w:highlight w:val="none"/>
              </w:rPr>
            </w:pPr>
            <w:r>
              <w:rPr>
                <w:rFonts w:hint="eastAsia"/>
                <w:bCs/>
                <w:color w:val="auto"/>
                <w:szCs w:val="21"/>
                <w:highlight w:val="none"/>
              </w:rPr>
              <w:t>采购计划号：</w:t>
            </w:r>
          </w:p>
        </w:tc>
        <w:tc>
          <w:tcPr>
            <w:tcW w:w="2337" w:type="dxa"/>
            <w:noWrap w:val="0"/>
            <w:vAlign w:val="top"/>
          </w:tcPr>
          <w:p w14:paraId="2F2E0F5E">
            <w:pPr>
              <w:snapToGrid w:val="0"/>
              <w:spacing w:line="360" w:lineRule="exact"/>
              <w:ind w:right="480"/>
              <w:jc w:val="left"/>
              <w:rPr>
                <w:bCs/>
                <w:color w:val="auto"/>
                <w:szCs w:val="21"/>
                <w:highlight w:val="none"/>
              </w:rPr>
            </w:pPr>
          </w:p>
        </w:tc>
      </w:tr>
      <w:tr w14:paraId="5CAB3BC2">
        <w:tblPrEx>
          <w:tblCellMar>
            <w:top w:w="0" w:type="dxa"/>
            <w:left w:w="108" w:type="dxa"/>
            <w:bottom w:w="0" w:type="dxa"/>
            <w:right w:w="108" w:type="dxa"/>
          </w:tblCellMar>
        </w:tblPrEx>
        <w:tc>
          <w:tcPr>
            <w:tcW w:w="2336" w:type="dxa"/>
            <w:noWrap w:val="0"/>
            <w:vAlign w:val="top"/>
          </w:tcPr>
          <w:p w14:paraId="2DB76155">
            <w:pPr>
              <w:snapToGrid w:val="0"/>
              <w:spacing w:line="360" w:lineRule="exact"/>
              <w:ind w:right="480"/>
              <w:jc w:val="left"/>
              <w:rPr>
                <w:bCs/>
                <w:color w:val="auto"/>
                <w:szCs w:val="21"/>
                <w:highlight w:val="none"/>
              </w:rPr>
            </w:pPr>
            <w:r>
              <w:rPr>
                <w:rFonts w:hint="eastAsia"/>
                <w:bCs/>
                <w:color w:val="auto"/>
                <w:szCs w:val="21"/>
                <w:highlight w:val="none"/>
              </w:rPr>
              <w:t>项目名称：</w:t>
            </w:r>
          </w:p>
        </w:tc>
        <w:tc>
          <w:tcPr>
            <w:tcW w:w="2336" w:type="dxa"/>
            <w:noWrap w:val="0"/>
            <w:vAlign w:val="top"/>
          </w:tcPr>
          <w:p w14:paraId="4EBE114F">
            <w:pPr>
              <w:snapToGrid w:val="0"/>
              <w:spacing w:line="360" w:lineRule="exact"/>
              <w:ind w:right="480"/>
              <w:jc w:val="left"/>
              <w:rPr>
                <w:bCs/>
                <w:color w:val="auto"/>
                <w:szCs w:val="21"/>
                <w:highlight w:val="none"/>
              </w:rPr>
            </w:pPr>
          </w:p>
        </w:tc>
        <w:tc>
          <w:tcPr>
            <w:tcW w:w="2336" w:type="dxa"/>
            <w:noWrap w:val="0"/>
            <w:vAlign w:val="top"/>
          </w:tcPr>
          <w:p w14:paraId="6B846DB7">
            <w:pPr>
              <w:snapToGrid w:val="0"/>
              <w:spacing w:line="360" w:lineRule="exact"/>
              <w:ind w:right="480"/>
              <w:jc w:val="left"/>
              <w:rPr>
                <w:bCs/>
                <w:color w:val="auto"/>
                <w:szCs w:val="21"/>
                <w:highlight w:val="none"/>
              </w:rPr>
            </w:pPr>
            <w:r>
              <w:rPr>
                <w:rFonts w:hint="eastAsia"/>
                <w:bCs/>
                <w:color w:val="auto"/>
                <w:szCs w:val="21"/>
                <w:highlight w:val="none"/>
              </w:rPr>
              <w:t>项目编号：</w:t>
            </w:r>
          </w:p>
        </w:tc>
        <w:tc>
          <w:tcPr>
            <w:tcW w:w="2337" w:type="dxa"/>
            <w:noWrap w:val="0"/>
            <w:vAlign w:val="top"/>
          </w:tcPr>
          <w:p w14:paraId="5161FFBD">
            <w:pPr>
              <w:snapToGrid w:val="0"/>
              <w:spacing w:line="360" w:lineRule="exact"/>
              <w:ind w:right="480"/>
              <w:jc w:val="left"/>
              <w:rPr>
                <w:bCs/>
                <w:color w:val="auto"/>
                <w:szCs w:val="21"/>
                <w:highlight w:val="none"/>
              </w:rPr>
            </w:pPr>
          </w:p>
        </w:tc>
      </w:tr>
      <w:tr w14:paraId="7A125591">
        <w:tblPrEx>
          <w:tblCellMar>
            <w:top w:w="0" w:type="dxa"/>
            <w:left w:w="108" w:type="dxa"/>
            <w:bottom w:w="0" w:type="dxa"/>
            <w:right w:w="108" w:type="dxa"/>
          </w:tblCellMar>
        </w:tblPrEx>
        <w:tc>
          <w:tcPr>
            <w:tcW w:w="2336" w:type="dxa"/>
            <w:noWrap w:val="0"/>
            <w:vAlign w:val="top"/>
          </w:tcPr>
          <w:p w14:paraId="3C97C8F8">
            <w:pPr>
              <w:snapToGrid w:val="0"/>
              <w:spacing w:line="360" w:lineRule="exact"/>
              <w:jc w:val="left"/>
              <w:rPr>
                <w:bCs/>
                <w:color w:val="auto"/>
                <w:szCs w:val="21"/>
                <w:highlight w:val="none"/>
              </w:rPr>
            </w:pPr>
            <w:r>
              <w:rPr>
                <w:rFonts w:hint="eastAsia"/>
                <w:bCs/>
                <w:color w:val="auto"/>
                <w:szCs w:val="21"/>
                <w:highlight w:val="none"/>
              </w:rPr>
              <w:t>采购人（甲方）：</w:t>
            </w:r>
          </w:p>
        </w:tc>
        <w:tc>
          <w:tcPr>
            <w:tcW w:w="2336" w:type="dxa"/>
            <w:noWrap w:val="0"/>
            <w:vAlign w:val="top"/>
          </w:tcPr>
          <w:p w14:paraId="7F89DF36">
            <w:pPr>
              <w:snapToGrid w:val="0"/>
              <w:spacing w:line="360" w:lineRule="exact"/>
              <w:ind w:right="480"/>
              <w:jc w:val="left"/>
              <w:rPr>
                <w:bCs/>
                <w:color w:val="auto"/>
                <w:szCs w:val="21"/>
                <w:highlight w:val="none"/>
              </w:rPr>
            </w:pPr>
          </w:p>
        </w:tc>
        <w:tc>
          <w:tcPr>
            <w:tcW w:w="2336" w:type="dxa"/>
            <w:noWrap w:val="0"/>
            <w:vAlign w:val="top"/>
          </w:tcPr>
          <w:p w14:paraId="7FF01D9F">
            <w:pPr>
              <w:snapToGrid w:val="0"/>
              <w:spacing w:line="360" w:lineRule="exact"/>
              <w:jc w:val="left"/>
              <w:rPr>
                <w:bCs/>
                <w:color w:val="auto"/>
                <w:szCs w:val="21"/>
                <w:highlight w:val="none"/>
              </w:rPr>
            </w:pPr>
            <w:r>
              <w:rPr>
                <w:rFonts w:hint="eastAsia"/>
                <w:bCs/>
                <w:color w:val="auto"/>
                <w:szCs w:val="21"/>
                <w:highlight w:val="none"/>
              </w:rPr>
              <w:t>供应商（乙方）：</w:t>
            </w:r>
          </w:p>
        </w:tc>
        <w:tc>
          <w:tcPr>
            <w:tcW w:w="2337" w:type="dxa"/>
            <w:noWrap w:val="0"/>
            <w:vAlign w:val="top"/>
          </w:tcPr>
          <w:p w14:paraId="5D138877">
            <w:pPr>
              <w:snapToGrid w:val="0"/>
              <w:spacing w:line="360" w:lineRule="exact"/>
              <w:ind w:right="480"/>
              <w:jc w:val="left"/>
              <w:rPr>
                <w:bCs/>
                <w:color w:val="auto"/>
                <w:szCs w:val="21"/>
                <w:highlight w:val="none"/>
              </w:rPr>
            </w:pPr>
          </w:p>
        </w:tc>
      </w:tr>
      <w:tr w14:paraId="62F739F1">
        <w:tblPrEx>
          <w:tblCellMar>
            <w:top w:w="0" w:type="dxa"/>
            <w:left w:w="108" w:type="dxa"/>
            <w:bottom w:w="0" w:type="dxa"/>
            <w:right w:w="108" w:type="dxa"/>
          </w:tblCellMar>
        </w:tblPrEx>
        <w:tc>
          <w:tcPr>
            <w:tcW w:w="2336" w:type="dxa"/>
            <w:noWrap w:val="0"/>
            <w:vAlign w:val="top"/>
          </w:tcPr>
          <w:p w14:paraId="48F74086">
            <w:pPr>
              <w:snapToGrid w:val="0"/>
              <w:spacing w:line="360" w:lineRule="exact"/>
              <w:ind w:right="480"/>
              <w:jc w:val="left"/>
              <w:rPr>
                <w:bCs/>
                <w:color w:val="auto"/>
                <w:szCs w:val="21"/>
                <w:highlight w:val="none"/>
              </w:rPr>
            </w:pPr>
            <w:r>
              <w:rPr>
                <w:rFonts w:hint="eastAsia"/>
                <w:bCs/>
                <w:color w:val="auto"/>
                <w:szCs w:val="21"/>
                <w:highlight w:val="none"/>
              </w:rPr>
              <w:t>签订地点：</w:t>
            </w:r>
          </w:p>
        </w:tc>
        <w:tc>
          <w:tcPr>
            <w:tcW w:w="2336" w:type="dxa"/>
            <w:noWrap w:val="0"/>
            <w:vAlign w:val="top"/>
          </w:tcPr>
          <w:p w14:paraId="58503B19">
            <w:pPr>
              <w:snapToGrid w:val="0"/>
              <w:spacing w:line="360" w:lineRule="exact"/>
              <w:ind w:right="480"/>
              <w:jc w:val="left"/>
              <w:rPr>
                <w:bCs/>
                <w:color w:val="auto"/>
                <w:szCs w:val="21"/>
                <w:highlight w:val="none"/>
              </w:rPr>
            </w:pPr>
          </w:p>
        </w:tc>
        <w:tc>
          <w:tcPr>
            <w:tcW w:w="2336" w:type="dxa"/>
            <w:noWrap w:val="0"/>
            <w:vAlign w:val="top"/>
          </w:tcPr>
          <w:p w14:paraId="64C776AB">
            <w:pPr>
              <w:snapToGrid w:val="0"/>
              <w:spacing w:line="360" w:lineRule="exact"/>
              <w:ind w:right="480"/>
              <w:jc w:val="left"/>
              <w:rPr>
                <w:bCs/>
                <w:color w:val="auto"/>
                <w:szCs w:val="21"/>
                <w:highlight w:val="none"/>
              </w:rPr>
            </w:pPr>
            <w:r>
              <w:rPr>
                <w:rFonts w:hint="eastAsia"/>
                <w:bCs/>
                <w:color w:val="auto"/>
                <w:szCs w:val="21"/>
                <w:highlight w:val="none"/>
              </w:rPr>
              <w:t>签订时间：</w:t>
            </w:r>
          </w:p>
        </w:tc>
        <w:tc>
          <w:tcPr>
            <w:tcW w:w="2337" w:type="dxa"/>
            <w:noWrap w:val="0"/>
            <w:vAlign w:val="top"/>
          </w:tcPr>
          <w:p w14:paraId="7BFBA9F9">
            <w:pPr>
              <w:snapToGrid w:val="0"/>
              <w:spacing w:line="360" w:lineRule="exact"/>
              <w:ind w:right="480"/>
              <w:jc w:val="left"/>
              <w:rPr>
                <w:bCs/>
                <w:color w:val="auto"/>
                <w:szCs w:val="21"/>
                <w:highlight w:val="none"/>
              </w:rPr>
            </w:pPr>
          </w:p>
        </w:tc>
      </w:tr>
    </w:tbl>
    <w:p w14:paraId="7771F8E9">
      <w:pPr>
        <w:snapToGrid w:val="0"/>
        <w:spacing w:line="360" w:lineRule="exact"/>
        <w:ind w:right="480" w:firstLine="5985" w:firstLineChars="2850"/>
        <w:rPr>
          <w:bCs/>
          <w:color w:val="auto"/>
          <w:szCs w:val="21"/>
          <w:highlight w:val="none"/>
        </w:rPr>
      </w:pPr>
    </w:p>
    <w:p w14:paraId="24709930">
      <w:pPr>
        <w:pStyle w:val="26"/>
        <w:spacing w:line="300" w:lineRule="exact"/>
        <w:ind w:firstLine="420" w:firstLineChars="200"/>
        <w:rPr>
          <w:rFonts w:ascii="Times New Roman" w:hAnsi="Times New Roman" w:cs="Times New Roman"/>
          <w:color w:val="auto"/>
          <w:highlight w:val="none"/>
        </w:rPr>
      </w:pPr>
      <w:r>
        <w:rPr>
          <w:rFonts w:ascii="Times New Roman" w:hAnsi="Times New Roman" w:cs="Times New Roman"/>
          <w:color w:val="auto"/>
          <w:highlight w:val="none"/>
        </w:rPr>
        <w:t>根据《中华人民共和国政府采购法》</w:t>
      </w:r>
      <w:r>
        <w:rPr>
          <w:rFonts w:hint="eastAsia" w:ascii="Times New Roman" w:hAnsi="Times New Roman" w:cs="Times New Roman"/>
          <w:color w:val="auto"/>
          <w:highlight w:val="none"/>
        </w:rPr>
        <w:t>、</w:t>
      </w:r>
      <w:r>
        <w:rPr>
          <w:rFonts w:ascii="Times New Roman" w:hAnsi="Times New Roman" w:cs="Times New Roman"/>
          <w:color w:val="auto"/>
          <w:highlight w:val="none"/>
        </w:rPr>
        <w:t>《中华人民共和国政府采购法</w:t>
      </w:r>
      <w:r>
        <w:rPr>
          <w:rFonts w:hint="eastAsia" w:ascii="Times New Roman" w:hAnsi="Times New Roman" w:cs="Times New Roman"/>
          <w:color w:val="auto"/>
          <w:highlight w:val="none"/>
        </w:rPr>
        <w:t>实施条例</w:t>
      </w:r>
      <w:r>
        <w:rPr>
          <w:rFonts w:ascii="Times New Roman" w:hAnsi="Times New Roman" w:cs="Times New Roman"/>
          <w:color w:val="auto"/>
          <w:highlight w:val="none"/>
        </w:rPr>
        <w:t>》等法律、法规规定，按照采购文件规定</w:t>
      </w:r>
      <w:r>
        <w:rPr>
          <w:rFonts w:hint="eastAsia" w:ascii="Times New Roman" w:hAnsi="Times New Roman" w:cs="Times New Roman"/>
          <w:color w:val="auto"/>
          <w:highlight w:val="none"/>
        </w:rPr>
        <w:t>、</w:t>
      </w:r>
      <w:r>
        <w:rPr>
          <w:rFonts w:ascii="Times New Roman" w:hAnsi="Times New Roman" w:cs="Times New Roman"/>
          <w:color w:val="auto"/>
          <w:highlight w:val="none"/>
        </w:rPr>
        <w:t>乙方响应文件及其承诺</w:t>
      </w:r>
      <w:r>
        <w:rPr>
          <w:rFonts w:hint="eastAsia" w:ascii="Times New Roman" w:hAnsi="Times New Roman" w:cs="Times New Roman"/>
          <w:color w:val="auto"/>
          <w:highlight w:val="none"/>
        </w:rPr>
        <w:t>和中标通知书</w:t>
      </w:r>
      <w:r>
        <w:rPr>
          <w:rFonts w:ascii="Times New Roman" w:hAnsi="Times New Roman" w:cs="Times New Roman"/>
          <w:color w:val="auto"/>
          <w:highlight w:val="none"/>
        </w:rPr>
        <w:t>，甲乙双方签订本合同。</w:t>
      </w:r>
    </w:p>
    <w:p w14:paraId="1FD026BB">
      <w:pPr>
        <w:snapToGrid w:val="0"/>
        <w:spacing w:line="360" w:lineRule="exact"/>
        <w:ind w:firstLine="422" w:firstLineChars="200"/>
        <w:rPr>
          <w:b/>
          <w:color w:val="auto"/>
          <w:szCs w:val="21"/>
          <w:highlight w:val="none"/>
        </w:rPr>
      </w:pPr>
      <w:r>
        <w:rPr>
          <w:b/>
          <w:color w:val="auto"/>
          <w:szCs w:val="21"/>
          <w:highlight w:val="none"/>
        </w:rPr>
        <w:t>第一条　项目概况及服务范围</w:t>
      </w:r>
    </w:p>
    <w:p w14:paraId="096F4770">
      <w:pPr>
        <w:snapToGrid w:val="0"/>
        <w:spacing w:line="360" w:lineRule="exact"/>
        <w:ind w:firstLine="420" w:firstLineChars="200"/>
        <w:rPr>
          <w:rFonts w:hint="eastAsia" w:eastAsia="宋体"/>
          <w:color w:val="auto"/>
          <w:szCs w:val="21"/>
          <w:highlight w:val="none"/>
          <w:lang w:eastAsia="zh-CN"/>
        </w:rPr>
      </w:pPr>
      <w:r>
        <w:rPr>
          <w:color w:val="auto"/>
          <w:szCs w:val="21"/>
          <w:highlight w:val="none"/>
        </w:rPr>
        <w:t>1.项目名称：</w:t>
      </w:r>
      <w:r>
        <w:rPr>
          <w:rFonts w:hint="eastAsia"/>
          <w:color w:val="auto"/>
          <w:szCs w:val="21"/>
          <w:highlight w:val="none"/>
          <w:lang w:val="en-US" w:eastAsia="zh-CN"/>
        </w:rPr>
        <w:t xml:space="preserve"> </w:t>
      </w:r>
    </w:p>
    <w:p w14:paraId="1758C9E2">
      <w:pPr>
        <w:snapToGrid w:val="0"/>
        <w:spacing w:line="360" w:lineRule="exact"/>
        <w:ind w:firstLine="420" w:firstLineChars="200"/>
        <w:rPr>
          <w:color w:val="auto"/>
          <w:szCs w:val="21"/>
          <w:highlight w:val="none"/>
        </w:rPr>
      </w:pPr>
      <w:r>
        <w:rPr>
          <w:color w:val="auto"/>
          <w:szCs w:val="21"/>
          <w:highlight w:val="none"/>
        </w:rPr>
        <w:t>2.服务内容及范围：</w:t>
      </w:r>
      <w:r>
        <w:rPr>
          <w:color w:val="auto"/>
          <w:szCs w:val="21"/>
          <w:highlight w:val="none"/>
          <w:u w:val="single"/>
        </w:rPr>
        <w:t xml:space="preserve">                                                    ；</w:t>
      </w:r>
      <w:r>
        <w:rPr>
          <w:color w:val="auto"/>
          <w:szCs w:val="21"/>
          <w:highlight w:val="none"/>
        </w:rPr>
        <w:t xml:space="preserve">  </w:t>
      </w:r>
    </w:p>
    <w:p w14:paraId="1A754103">
      <w:pPr>
        <w:snapToGrid w:val="0"/>
        <w:spacing w:line="360" w:lineRule="exact"/>
        <w:ind w:firstLine="420" w:firstLineChars="200"/>
        <w:rPr>
          <w:color w:val="auto"/>
          <w:szCs w:val="21"/>
          <w:highlight w:val="none"/>
        </w:rPr>
      </w:pPr>
      <w:r>
        <w:rPr>
          <w:color w:val="auto"/>
          <w:szCs w:val="21"/>
          <w:highlight w:val="none"/>
        </w:rPr>
        <w:t>3.服务期：</w:t>
      </w:r>
      <w:r>
        <w:rPr>
          <w:color w:val="auto"/>
          <w:szCs w:val="21"/>
          <w:highlight w:val="none"/>
          <w:u w:val="single"/>
        </w:rPr>
        <w:t xml:space="preserve">                                                            </w:t>
      </w:r>
      <w:r>
        <w:rPr>
          <w:color w:val="auto"/>
          <w:szCs w:val="21"/>
          <w:highlight w:val="none"/>
        </w:rPr>
        <w:t>；</w:t>
      </w:r>
    </w:p>
    <w:p w14:paraId="0BC91583">
      <w:pPr>
        <w:snapToGrid w:val="0"/>
        <w:spacing w:line="360" w:lineRule="exact"/>
        <w:ind w:firstLine="420" w:firstLineChars="200"/>
        <w:rPr>
          <w:color w:val="auto"/>
          <w:szCs w:val="21"/>
          <w:highlight w:val="none"/>
        </w:rPr>
      </w:pPr>
      <w:r>
        <w:rPr>
          <w:color w:val="auto"/>
          <w:szCs w:val="21"/>
          <w:highlight w:val="none"/>
        </w:rPr>
        <w:t>4.交付时间及地点：</w:t>
      </w:r>
      <w:r>
        <w:rPr>
          <w:color w:val="auto"/>
          <w:szCs w:val="21"/>
          <w:highlight w:val="none"/>
          <w:u w:val="single"/>
        </w:rPr>
        <w:t xml:space="preserve">                                                    </w:t>
      </w:r>
      <w:r>
        <w:rPr>
          <w:color w:val="auto"/>
          <w:szCs w:val="21"/>
          <w:highlight w:val="none"/>
        </w:rPr>
        <w:t xml:space="preserve">； </w:t>
      </w:r>
    </w:p>
    <w:p w14:paraId="5E602324">
      <w:pPr>
        <w:snapToGrid w:val="0"/>
        <w:spacing w:line="360" w:lineRule="exact"/>
        <w:ind w:firstLine="420" w:firstLineChars="200"/>
        <w:rPr>
          <w:color w:val="auto"/>
          <w:szCs w:val="21"/>
          <w:highlight w:val="none"/>
        </w:rPr>
      </w:pPr>
      <w:r>
        <w:rPr>
          <w:color w:val="auto"/>
          <w:szCs w:val="21"/>
          <w:highlight w:val="none"/>
        </w:rPr>
        <w:t>5.报价要求：合同合计金额可能包括服务交付成果（产品）、设计、编绘、组织、策划、开发、调研、安装、调试、技术协助、校准、培训、维修、技术指导等类似服务内容的全部费用。</w:t>
      </w:r>
    </w:p>
    <w:p w14:paraId="2E1A3E88">
      <w:pPr>
        <w:pStyle w:val="26"/>
        <w:spacing w:line="300" w:lineRule="exact"/>
        <w:ind w:firstLine="420" w:firstLineChars="200"/>
        <w:rPr>
          <w:rFonts w:hint="eastAsia" w:ascii="Times New Roman" w:hAnsi="Times New Roman" w:cs="Times New Roman"/>
          <w:color w:val="auto"/>
          <w:highlight w:val="none"/>
        </w:rPr>
      </w:pPr>
      <w:r>
        <w:rPr>
          <w:rFonts w:ascii="Times New Roman" w:hAnsi="Times New Roman" w:cs="Times New Roman"/>
          <w:color w:val="auto"/>
          <w:highlight w:val="none"/>
        </w:rPr>
        <w:t>6</w:t>
      </w:r>
      <w:r>
        <w:rPr>
          <w:rFonts w:hint="eastAsia" w:ascii="Times New Roman" w:hAnsi="Times New Roman" w:cs="Times New Roman"/>
          <w:color w:val="auto"/>
          <w:highlight w:val="none"/>
        </w:rPr>
        <w:t xml:space="preserve">.合同价格形式：□固定总价 </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 xml:space="preserve">□固定单价 </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rPr>
        <w:t>□成本补偿 □绩效激励 □其他</w:t>
      </w:r>
    </w:p>
    <w:p w14:paraId="7731D870">
      <w:pPr>
        <w:snapToGrid w:val="0"/>
        <w:spacing w:line="360" w:lineRule="exact"/>
        <w:ind w:firstLine="422" w:firstLineChars="200"/>
        <w:rPr>
          <w:b/>
          <w:color w:val="auto"/>
          <w:szCs w:val="21"/>
          <w:highlight w:val="none"/>
        </w:rPr>
      </w:pPr>
      <w:r>
        <w:rPr>
          <w:b/>
          <w:color w:val="auto"/>
          <w:szCs w:val="21"/>
          <w:highlight w:val="none"/>
        </w:rPr>
        <w:t>第二条　服务交付成果（产品）清单</w:t>
      </w:r>
    </w:p>
    <w:tbl>
      <w:tblPr>
        <w:tblStyle w:val="51"/>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2"/>
        <w:gridCol w:w="1583"/>
        <w:gridCol w:w="926"/>
        <w:gridCol w:w="1201"/>
        <w:gridCol w:w="1311"/>
        <w:gridCol w:w="1748"/>
        <w:gridCol w:w="1748"/>
      </w:tblGrid>
      <w:tr w14:paraId="7E62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602" w:type="dxa"/>
            <w:noWrap w:val="0"/>
            <w:vAlign w:val="center"/>
          </w:tcPr>
          <w:p w14:paraId="10D362D1">
            <w:pPr>
              <w:snapToGrid w:val="0"/>
              <w:spacing w:line="360" w:lineRule="exact"/>
              <w:jc w:val="center"/>
              <w:rPr>
                <w:color w:val="auto"/>
                <w:szCs w:val="21"/>
                <w:highlight w:val="none"/>
              </w:rPr>
            </w:pPr>
            <w:r>
              <w:rPr>
                <w:color w:val="auto"/>
                <w:szCs w:val="21"/>
                <w:highlight w:val="none"/>
              </w:rPr>
              <w:t>序号</w:t>
            </w:r>
          </w:p>
        </w:tc>
        <w:tc>
          <w:tcPr>
            <w:tcW w:w="1583" w:type="dxa"/>
            <w:noWrap w:val="0"/>
            <w:vAlign w:val="center"/>
          </w:tcPr>
          <w:p w14:paraId="627B9320">
            <w:pPr>
              <w:snapToGrid w:val="0"/>
              <w:spacing w:line="360" w:lineRule="exact"/>
              <w:jc w:val="center"/>
              <w:rPr>
                <w:color w:val="auto"/>
                <w:szCs w:val="21"/>
                <w:highlight w:val="none"/>
              </w:rPr>
            </w:pPr>
            <w:r>
              <w:rPr>
                <w:color w:val="auto"/>
                <w:szCs w:val="21"/>
                <w:highlight w:val="none"/>
              </w:rPr>
              <w:t>服务交付成果或产品名称</w:t>
            </w:r>
          </w:p>
        </w:tc>
        <w:tc>
          <w:tcPr>
            <w:tcW w:w="926" w:type="dxa"/>
            <w:noWrap w:val="0"/>
            <w:vAlign w:val="center"/>
          </w:tcPr>
          <w:p w14:paraId="72A2BA82">
            <w:pPr>
              <w:snapToGrid w:val="0"/>
              <w:spacing w:line="360" w:lineRule="exact"/>
              <w:jc w:val="center"/>
              <w:rPr>
                <w:color w:val="auto"/>
                <w:szCs w:val="21"/>
                <w:highlight w:val="none"/>
              </w:rPr>
            </w:pPr>
            <w:r>
              <w:rPr>
                <w:color w:val="auto"/>
                <w:szCs w:val="21"/>
                <w:highlight w:val="none"/>
              </w:rPr>
              <w:t>数  量</w:t>
            </w:r>
          </w:p>
        </w:tc>
        <w:tc>
          <w:tcPr>
            <w:tcW w:w="1201" w:type="dxa"/>
            <w:noWrap w:val="0"/>
            <w:vAlign w:val="center"/>
          </w:tcPr>
          <w:p w14:paraId="43040D2C">
            <w:pPr>
              <w:snapToGrid w:val="0"/>
              <w:spacing w:line="360" w:lineRule="exact"/>
              <w:jc w:val="center"/>
              <w:rPr>
                <w:color w:val="auto"/>
                <w:szCs w:val="21"/>
                <w:highlight w:val="none"/>
              </w:rPr>
            </w:pPr>
            <w:r>
              <w:rPr>
                <w:color w:val="auto"/>
                <w:szCs w:val="21"/>
                <w:highlight w:val="none"/>
              </w:rPr>
              <w:t>单位</w:t>
            </w:r>
          </w:p>
        </w:tc>
        <w:tc>
          <w:tcPr>
            <w:tcW w:w="1311" w:type="dxa"/>
            <w:noWrap w:val="0"/>
            <w:vAlign w:val="center"/>
          </w:tcPr>
          <w:p w14:paraId="26FAAB26">
            <w:pPr>
              <w:snapToGrid w:val="0"/>
              <w:spacing w:line="360" w:lineRule="exact"/>
              <w:jc w:val="center"/>
              <w:rPr>
                <w:color w:val="auto"/>
                <w:szCs w:val="21"/>
                <w:highlight w:val="none"/>
              </w:rPr>
            </w:pPr>
            <w:r>
              <w:rPr>
                <w:color w:val="auto"/>
                <w:szCs w:val="21"/>
                <w:highlight w:val="none"/>
              </w:rPr>
              <w:t>单  价</w:t>
            </w:r>
          </w:p>
          <w:p w14:paraId="65475947">
            <w:pPr>
              <w:snapToGrid w:val="0"/>
              <w:spacing w:line="360" w:lineRule="exact"/>
              <w:jc w:val="center"/>
              <w:rPr>
                <w:color w:val="auto"/>
                <w:szCs w:val="21"/>
                <w:highlight w:val="none"/>
              </w:rPr>
            </w:pPr>
            <w:r>
              <w:rPr>
                <w:color w:val="auto"/>
                <w:szCs w:val="21"/>
                <w:highlight w:val="none"/>
              </w:rPr>
              <w:t>（元）</w:t>
            </w:r>
          </w:p>
        </w:tc>
        <w:tc>
          <w:tcPr>
            <w:tcW w:w="1748" w:type="dxa"/>
            <w:noWrap w:val="0"/>
            <w:vAlign w:val="center"/>
          </w:tcPr>
          <w:p w14:paraId="3D12B242">
            <w:pPr>
              <w:snapToGrid w:val="0"/>
              <w:spacing w:line="360" w:lineRule="exact"/>
              <w:jc w:val="center"/>
              <w:rPr>
                <w:color w:val="auto"/>
                <w:szCs w:val="21"/>
                <w:highlight w:val="none"/>
              </w:rPr>
            </w:pPr>
            <w:r>
              <w:rPr>
                <w:color w:val="auto"/>
                <w:szCs w:val="21"/>
                <w:highlight w:val="none"/>
              </w:rPr>
              <w:t>金  额</w:t>
            </w:r>
          </w:p>
          <w:p w14:paraId="017171A9">
            <w:pPr>
              <w:snapToGrid w:val="0"/>
              <w:spacing w:line="360" w:lineRule="exact"/>
              <w:jc w:val="center"/>
              <w:rPr>
                <w:color w:val="auto"/>
                <w:szCs w:val="21"/>
                <w:highlight w:val="none"/>
              </w:rPr>
            </w:pPr>
            <w:r>
              <w:rPr>
                <w:color w:val="auto"/>
                <w:szCs w:val="21"/>
                <w:highlight w:val="none"/>
              </w:rPr>
              <w:t>（元）</w:t>
            </w:r>
          </w:p>
        </w:tc>
        <w:tc>
          <w:tcPr>
            <w:tcW w:w="1748" w:type="dxa"/>
            <w:noWrap w:val="0"/>
            <w:vAlign w:val="top"/>
          </w:tcPr>
          <w:p w14:paraId="1FA40D89">
            <w:pPr>
              <w:snapToGrid w:val="0"/>
              <w:spacing w:line="360" w:lineRule="exact"/>
              <w:jc w:val="center"/>
              <w:rPr>
                <w:color w:val="auto"/>
                <w:szCs w:val="21"/>
                <w:highlight w:val="none"/>
              </w:rPr>
            </w:pPr>
            <w:r>
              <w:rPr>
                <w:color w:val="auto"/>
                <w:szCs w:val="21"/>
                <w:highlight w:val="none"/>
              </w:rPr>
              <w:t>备注</w:t>
            </w:r>
          </w:p>
        </w:tc>
      </w:tr>
      <w:tr w14:paraId="3FA1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noWrap w:val="0"/>
            <w:vAlign w:val="center"/>
          </w:tcPr>
          <w:p w14:paraId="60AF26AC">
            <w:pPr>
              <w:snapToGrid w:val="0"/>
              <w:spacing w:line="360" w:lineRule="exact"/>
              <w:jc w:val="center"/>
              <w:rPr>
                <w:color w:val="auto"/>
                <w:szCs w:val="21"/>
                <w:highlight w:val="none"/>
              </w:rPr>
            </w:pPr>
            <w:r>
              <w:rPr>
                <w:color w:val="auto"/>
                <w:szCs w:val="21"/>
                <w:highlight w:val="none"/>
              </w:rPr>
              <w:t>1</w:t>
            </w:r>
          </w:p>
        </w:tc>
        <w:tc>
          <w:tcPr>
            <w:tcW w:w="1583" w:type="dxa"/>
            <w:noWrap w:val="0"/>
            <w:vAlign w:val="center"/>
          </w:tcPr>
          <w:p w14:paraId="28187C10">
            <w:pPr>
              <w:snapToGrid w:val="0"/>
              <w:spacing w:line="360" w:lineRule="exact"/>
              <w:jc w:val="center"/>
              <w:rPr>
                <w:color w:val="auto"/>
                <w:szCs w:val="21"/>
                <w:highlight w:val="none"/>
              </w:rPr>
            </w:pPr>
          </w:p>
        </w:tc>
        <w:tc>
          <w:tcPr>
            <w:tcW w:w="926" w:type="dxa"/>
            <w:noWrap w:val="0"/>
            <w:vAlign w:val="top"/>
          </w:tcPr>
          <w:p w14:paraId="2E1B2859">
            <w:pPr>
              <w:snapToGrid w:val="0"/>
              <w:spacing w:line="360" w:lineRule="exact"/>
              <w:jc w:val="center"/>
              <w:rPr>
                <w:color w:val="auto"/>
                <w:szCs w:val="21"/>
                <w:highlight w:val="none"/>
              </w:rPr>
            </w:pPr>
          </w:p>
        </w:tc>
        <w:tc>
          <w:tcPr>
            <w:tcW w:w="1201" w:type="dxa"/>
            <w:noWrap w:val="0"/>
            <w:vAlign w:val="top"/>
          </w:tcPr>
          <w:p w14:paraId="3DE522D1">
            <w:pPr>
              <w:snapToGrid w:val="0"/>
              <w:spacing w:line="360" w:lineRule="exact"/>
              <w:jc w:val="center"/>
              <w:rPr>
                <w:color w:val="auto"/>
                <w:szCs w:val="21"/>
                <w:highlight w:val="none"/>
              </w:rPr>
            </w:pPr>
          </w:p>
        </w:tc>
        <w:tc>
          <w:tcPr>
            <w:tcW w:w="1311" w:type="dxa"/>
            <w:noWrap w:val="0"/>
            <w:vAlign w:val="center"/>
          </w:tcPr>
          <w:p w14:paraId="24BC2EA6">
            <w:pPr>
              <w:snapToGrid w:val="0"/>
              <w:spacing w:line="360" w:lineRule="exact"/>
              <w:jc w:val="center"/>
              <w:rPr>
                <w:color w:val="auto"/>
                <w:szCs w:val="21"/>
                <w:highlight w:val="none"/>
              </w:rPr>
            </w:pPr>
          </w:p>
        </w:tc>
        <w:tc>
          <w:tcPr>
            <w:tcW w:w="1748" w:type="dxa"/>
            <w:noWrap w:val="0"/>
            <w:vAlign w:val="center"/>
          </w:tcPr>
          <w:p w14:paraId="02658F38">
            <w:pPr>
              <w:snapToGrid w:val="0"/>
              <w:spacing w:line="360" w:lineRule="exact"/>
              <w:jc w:val="center"/>
              <w:rPr>
                <w:color w:val="auto"/>
                <w:szCs w:val="21"/>
                <w:highlight w:val="none"/>
              </w:rPr>
            </w:pPr>
          </w:p>
        </w:tc>
        <w:tc>
          <w:tcPr>
            <w:tcW w:w="1748" w:type="dxa"/>
            <w:vMerge w:val="restart"/>
            <w:noWrap w:val="0"/>
            <w:vAlign w:val="top"/>
          </w:tcPr>
          <w:p w14:paraId="6FDE00C1">
            <w:pPr>
              <w:snapToGrid w:val="0"/>
              <w:spacing w:line="360" w:lineRule="exact"/>
              <w:jc w:val="left"/>
              <w:rPr>
                <w:color w:val="auto"/>
                <w:szCs w:val="21"/>
                <w:highlight w:val="none"/>
              </w:rPr>
            </w:pPr>
            <w:r>
              <w:rPr>
                <w:color w:val="auto"/>
                <w:szCs w:val="21"/>
                <w:highlight w:val="none"/>
              </w:rPr>
              <w:t>如有商标品牌、型号参数、生产厂家等信息请注明</w:t>
            </w:r>
          </w:p>
        </w:tc>
      </w:tr>
      <w:tr w14:paraId="3DC6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noWrap w:val="0"/>
            <w:vAlign w:val="center"/>
          </w:tcPr>
          <w:p w14:paraId="18E16F2A">
            <w:pPr>
              <w:snapToGrid w:val="0"/>
              <w:spacing w:line="360" w:lineRule="exact"/>
              <w:jc w:val="center"/>
              <w:rPr>
                <w:color w:val="auto"/>
                <w:szCs w:val="21"/>
                <w:highlight w:val="none"/>
              </w:rPr>
            </w:pPr>
            <w:r>
              <w:rPr>
                <w:color w:val="auto"/>
                <w:szCs w:val="21"/>
                <w:highlight w:val="none"/>
              </w:rPr>
              <w:t>2</w:t>
            </w:r>
          </w:p>
        </w:tc>
        <w:tc>
          <w:tcPr>
            <w:tcW w:w="1583" w:type="dxa"/>
            <w:noWrap w:val="0"/>
            <w:vAlign w:val="center"/>
          </w:tcPr>
          <w:p w14:paraId="3B6210C2">
            <w:pPr>
              <w:snapToGrid w:val="0"/>
              <w:spacing w:line="360" w:lineRule="exact"/>
              <w:jc w:val="center"/>
              <w:rPr>
                <w:color w:val="auto"/>
                <w:szCs w:val="21"/>
                <w:highlight w:val="none"/>
              </w:rPr>
            </w:pPr>
          </w:p>
        </w:tc>
        <w:tc>
          <w:tcPr>
            <w:tcW w:w="926" w:type="dxa"/>
            <w:noWrap w:val="0"/>
            <w:vAlign w:val="top"/>
          </w:tcPr>
          <w:p w14:paraId="7761E5F9">
            <w:pPr>
              <w:snapToGrid w:val="0"/>
              <w:spacing w:line="360" w:lineRule="exact"/>
              <w:jc w:val="center"/>
              <w:rPr>
                <w:color w:val="auto"/>
                <w:szCs w:val="21"/>
                <w:highlight w:val="none"/>
              </w:rPr>
            </w:pPr>
          </w:p>
        </w:tc>
        <w:tc>
          <w:tcPr>
            <w:tcW w:w="1201" w:type="dxa"/>
            <w:noWrap w:val="0"/>
            <w:vAlign w:val="top"/>
          </w:tcPr>
          <w:p w14:paraId="722FF428">
            <w:pPr>
              <w:snapToGrid w:val="0"/>
              <w:spacing w:line="360" w:lineRule="exact"/>
              <w:jc w:val="center"/>
              <w:rPr>
                <w:color w:val="auto"/>
                <w:szCs w:val="21"/>
                <w:highlight w:val="none"/>
              </w:rPr>
            </w:pPr>
          </w:p>
        </w:tc>
        <w:tc>
          <w:tcPr>
            <w:tcW w:w="1311" w:type="dxa"/>
            <w:noWrap w:val="0"/>
            <w:vAlign w:val="center"/>
          </w:tcPr>
          <w:p w14:paraId="4821E0BB">
            <w:pPr>
              <w:snapToGrid w:val="0"/>
              <w:spacing w:line="360" w:lineRule="exact"/>
              <w:jc w:val="center"/>
              <w:rPr>
                <w:color w:val="auto"/>
                <w:szCs w:val="21"/>
                <w:highlight w:val="none"/>
              </w:rPr>
            </w:pPr>
          </w:p>
        </w:tc>
        <w:tc>
          <w:tcPr>
            <w:tcW w:w="1748" w:type="dxa"/>
            <w:noWrap w:val="0"/>
            <w:vAlign w:val="center"/>
          </w:tcPr>
          <w:p w14:paraId="2FBE0BDB">
            <w:pPr>
              <w:snapToGrid w:val="0"/>
              <w:spacing w:line="360" w:lineRule="exact"/>
              <w:jc w:val="center"/>
              <w:rPr>
                <w:color w:val="auto"/>
                <w:szCs w:val="21"/>
                <w:highlight w:val="none"/>
              </w:rPr>
            </w:pPr>
          </w:p>
        </w:tc>
        <w:tc>
          <w:tcPr>
            <w:tcW w:w="1748" w:type="dxa"/>
            <w:vMerge w:val="continue"/>
            <w:noWrap w:val="0"/>
            <w:vAlign w:val="top"/>
          </w:tcPr>
          <w:p w14:paraId="539CBE7A">
            <w:pPr>
              <w:snapToGrid w:val="0"/>
              <w:spacing w:line="360" w:lineRule="exact"/>
              <w:jc w:val="center"/>
              <w:rPr>
                <w:color w:val="auto"/>
                <w:szCs w:val="21"/>
                <w:highlight w:val="none"/>
              </w:rPr>
            </w:pPr>
          </w:p>
        </w:tc>
      </w:tr>
      <w:tr w14:paraId="5000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noWrap w:val="0"/>
            <w:vAlign w:val="center"/>
          </w:tcPr>
          <w:p w14:paraId="71B0F4BF">
            <w:pPr>
              <w:snapToGrid w:val="0"/>
              <w:spacing w:line="360" w:lineRule="exact"/>
              <w:jc w:val="center"/>
              <w:rPr>
                <w:color w:val="auto"/>
                <w:szCs w:val="21"/>
                <w:highlight w:val="none"/>
              </w:rPr>
            </w:pPr>
            <w:r>
              <w:rPr>
                <w:color w:val="auto"/>
                <w:szCs w:val="21"/>
                <w:highlight w:val="none"/>
              </w:rPr>
              <w:t>3</w:t>
            </w:r>
          </w:p>
        </w:tc>
        <w:tc>
          <w:tcPr>
            <w:tcW w:w="1583" w:type="dxa"/>
            <w:noWrap w:val="0"/>
            <w:vAlign w:val="center"/>
          </w:tcPr>
          <w:p w14:paraId="18A3C239">
            <w:pPr>
              <w:snapToGrid w:val="0"/>
              <w:spacing w:line="360" w:lineRule="exact"/>
              <w:jc w:val="center"/>
              <w:rPr>
                <w:color w:val="auto"/>
                <w:szCs w:val="21"/>
                <w:highlight w:val="none"/>
              </w:rPr>
            </w:pPr>
          </w:p>
        </w:tc>
        <w:tc>
          <w:tcPr>
            <w:tcW w:w="926" w:type="dxa"/>
            <w:noWrap w:val="0"/>
            <w:vAlign w:val="top"/>
          </w:tcPr>
          <w:p w14:paraId="4E27B132">
            <w:pPr>
              <w:snapToGrid w:val="0"/>
              <w:spacing w:line="360" w:lineRule="exact"/>
              <w:jc w:val="center"/>
              <w:rPr>
                <w:color w:val="auto"/>
                <w:szCs w:val="21"/>
                <w:highlight w:val="none"/>
              </w:rPr>
            </w:pPr>
          </w:p>
        </w:tc>
        <w:tc>
          <w:tcPr>
            <w:tcW w:w="1201" w:type="dxa"/>
            <w:noWrap w:val="0"/>
            <w:vAlign w:val="top"/>
          </w:tcPr>
          <w:p w14:paraId="48ADCC91">
            <w:pPr>
              <w:snapToGrid w:val="0"/>
              <w:spacing w:line="360" w:lineRule="exact"/>
              <w:jc w:val="center"/>
              <w:rPr>
                <w:color w:val="auto"/>
                <w:szCs w:val="21"/>
                <w:highlight w:val="none"/>
              </w:rPr>
            </w:pPr>
          </w:p>
        </w:tc>
        <w:tc>
          <w:tcPr>
            <w:tcW w:w="1311" w:type="dxa"/>
            <w:noWrap w:val="0"/>
            <w:vAlign w:val="center"/>
          </w:tcPr>
          <w:p w14:paraId="2B37697F">
            <w:pPr>
              <w:snapToGrid w:val="0"/>
              <w:spacing w:line="360" w:lineRule="exact"/>
              <w:jc w:val="center"/>
              <w:rPr>
                <w:color w:val="auto"/>
                <w:szCs w:val="21"/>
                <w:highlight w:val="none"/>
              </w:rPr>
            </w:pPr>
          </w:p>
        </w:tc>
        <w:tc>
          <w:tcPr>
            <w:tcW w:w="1748" w:type="dxa"/>
            <w:noWrap w:val="0"/>
            <w:vAlign w:val="center"/>
          </w:tcPr>
          <w:p w14:paraId="68ED11D7">
            <w:pPr>
              <w:snapToGrid w:val="0"/>
              <w:spacing w:line="360" w:lineRule="exact"/>
              <w:jc w:val="center"/>
              <w:rPr>
                <w:color w:val="auto"/>
                <w:szCs w:val="21"/>
                <w:highlight w:val="none"/>
              </w:rPr>
            </w:pPr>
          </w:p>
        </w:tc>
        <w:tc>
          <w:tcPr>
            <w:tcW w:w="1748" w:type="dxa"/>
            <w:vMerge w:val="continue"/>
            <w:noWrap w:val="0"/>
            <w:vAlign w:val="top"/>
          </w:tcPr>
          <w:p w14:paraId="6C924B0D">
            <w:pPr>
              <w:snapToGrid w:val="0"/>
              <w:spacing w:line="360" w:lineRule="exact"/>
              <w:jc w:val="center"/>
              <w:rPr>
                <w:color w:val="auto"/>
                <w:szCs w:val="21"/>
                <w:highlight w:val="none"/>
              </w:rPr>
            </w:pPr>
          </w:p>
        </w:tc>
      </w:tr>
      <w:tr w14:paraId="226E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602" w:type="dxa"/>
            <w:noWrap w:val="0"/>
            <w:vAlign w:val="center"/>
          </w:tcPr>
          <w:p w14:paraId="4A85B42E">
            <w:pPr>
              <w:snapToGrid w:val="0"/>
              <w:spacing w:line="360" w:lineRule="exact"/>
              <w:jc w:val="center"/>
              <w:rPr>
                <w:color w:val="auto"/>
                <w:szCs w:val="21"/>
                <w:highlight w:val="none"/>
              </w:rPr>
            </w:pPr>
          </w:p>
        </w:tc>
        <w:tc>
          <w:tcPr>
            <w:tcW w:w="8517" w:type="dxa"/>
            <w:gridSpan w:val="6"/>
            <w:noWrap w:val="0"/>
            <w:vAlign w:val="center"/>
          </w:tcPr>
          <w:p w14:paraId="7FC0921D">
            <w:pPr>
              <w:snapToGrid w:val="0"/>
              <w:spacing w:line="360" w:lineRule="exact"/>
              <w:jc w:val="left"/>
              <w:rPr>
                <w:color w:val="auto"/>
                <w:szCs w:val="21"/>
                <w:highlight w:val="none"/>
              </w:rPr>
            </w:pPr>
            <w:r>
              <w:rPr>
                <w:rFonts w:hint="eastAsia"/>
                <w:color w:val="auto"/>
                <w:szCs w:val="21"/>
                <w:highlight w:val="none"/>
              </w:rPr>
              <w:t>总价（人民币）</w:t>
            </w:r>
            <w:r>
              <w:rPr>
                <w:color w:val="auto"/>
                <w:szCs w:val="21"/>
                <w:highlight w:val="none"/>
              </w:rPr>
              <w:t>（大写）                          （小写）</w:t>
            </w:r>
          </w:p>
        </w:tc>
      </w:tr>
    </w:tbl>
    <w:p w14:paraId="4BF706B9">
      <w:pPr>
        <w:snapToGrid w:val="0"/>
        <w:spacing w:line="360" w:lineRule="exact"/>
        <w:ind w:firstLine="422" w:firstLineChars="200"/>
        <w:rPr>
          <w:b/>
          <w:color w:val="auto"/>
          <w:szCs w:val="21"/>
          <w:highlight w:val="none"/>
        </w:rPr>
      </w:pPr>
      <w:r>
        <w:rPr>
          <w:b/>
          <w:color w:val="auto"/>
          <w:szCs w:val="21"/>
          <w:highlight w:val="none"/>
        </w:rPr>
        <w:t>第三条  甲方权利和义务</w:t>
      </w:r>
    </w:p>
    <w:p w14:paraId="04226BD7">
      <w:pPr>
        <w:snapToGrid w:val="0"/>
        <w:spacing w:line="360" w:lineRule="exact"/>
        <w:ind w:firstLine="420" w:firstLineChars="200"/>
        <w:rPr>
          <w:color w:val="auto"/>
          <w:szCs w:val="21"/>
          <w:highlight w:val="none"/>
        </w:rPr>
      </w:pPr>
      <w:r>
        <w:rPr>
          <w:color w:val="auto"/>
          <w:szCs w:val="21"/>
          <w:highlight w:val="none"/>
        </w:rPr>
        <w:t>1. 甲方有权要求乙方按时、按质、按量、按计划与合同协议约定完成本项目，并有权对乙方工作情况进行监督。</w:t>
      </w:r>
    </w:p>
    <w:p w14:paraId="094D55B5">
      <w:pPr>
        <w:snapToGrid w:val="0"/>
        <w:spacing w:line="360" w:lineRule="exact"/>
        <w:ind w:firstLine="420" w:firstLineChars="200"/>
        <w:rPr>
          <w:color w:val="auto"/>
          <w:szCs w:val="21"/>
          <w:highlight w:val="none"/>
        </w:rPr>
      </w:pPr>
      <w:r>
        <w:rPr>
          <w:color w:val="auto"/>
          <w:szCs w:val="21"/>
          <w:highlight w:val="none"/>
        </w:rPr>
        <w:t>2. 根据项目进度，甲方有权及时对乙方提交的方案提出修改意见，并要求乙方按修改意见完成服务工作。</w:t>
      </w:r>
    </w:p>
    <w:p w14:paraId="3A2C041F">
      <w:pPr>
        <w:snapToGrid w:val="0"/>
        <w:spacing w:line="360" w:lineRule="exact"/>
        <w:ind w:firstLine="420" w:firstLineChars="200"/>
        <w:rPr>
          <w:color w:val="auto"/>
          <w:szCs w:val="21"/>
          <w:highlight w:val="none"/>
        </w:rPr>
      </w:pPr>
      <w:r>
        <w:rPr>
          <w:color w:val="auto"/>
          <w:szCs w:val="21"/>
          <w:highlight w:val="none"/>
        </w:rPr>
        <w:t>3. 乙方配备的项目投入人员应得到甲方的认可；对派遣到甲方的服务人员进行管理、考核、检查与奖惩。</w:t>
      </w:r>
    </w:p>
    <w:p w14:paraId="3AC1CC34">
      <w:pPr>
        <w:snapToGrid w:val="0"/>
        <w:spacing w:line="360" w:lineRule="exact"/>
        <w:ind w:firstLine="420" w:firstLineChars="200"/>
        <w:rPr>
          <w:strike/>
          <w:color w:val="auto"/>
          <w:szCs w:val="21"/>
          <w:highlight w:val="none"/>
        </w:rPr>
      </w:pPr>
      <w:r>
        <w:rPr>
          <w:color w:val="auto"/>
          <w:szCs w:val="21"/>
          <w:highlight w:val="none"/>
        </w:rPr>
        <w:t>4.甲方有权要求乙方更换不合格的工作人员。</w:t>
      </w:r>
    </w:p>
    <w:p w14:paraId="5D8ED3A5">
      <w:pPr>
        <w:snapToGrid w:val="0"/>
        <w:spacing w:line="360" w:lineRule="exact"/>
        <w:ind w:firstLine="420" w:firstLineChars="200"/>
        <w:rPr>
          <w:color w:val="auto"/>
          <w:szCs w:val="21"/>
          <w:highlight w:val="none"/>
        </w:rPr>
      </w:pPr>
      <w:r>
        <w:rPr>
          <w:color w:val="auto"/>
          <w:szCs w:val="21"/>
          <w:highlight w:val="none"/>
        </w:rPr>
        <w:t>5. 按合同要求及时向乙方支付产品和服务费用。</w:t>
      </w:r>
    </w:p>
    <w:p w14:paraId="6B2E5883">
      <w:pPr>
        <w:snapToGrid w:val="0"/>
        <w:spacing w:line="360" w:lineRule="exact"/>
        <w:ind w:firstLine="420" w:firstLineChars="200"/>
        <w:rPr>
          <w:rFonts w:hint="eastAsia"/>
          <w:color w:val="auto"/>
          <w:szCs w:val="21"/>
          <w:highlight w:val="none"/>
        </w:rPr>
      </w:pPr>
      <w:r>
        <w:rPr>
          <w:rFonts w:hint="eastAsia"/>
          <w:color w:val="auto"/>
          <w:szCs w:val="21"/>
          <w:highlight w:val="none"/>
        </w:rPr>
        <w:t>6</w:t>
      </w:r>
      <w:r>
        <w:rPr>
          <w:color w:val="auto"/>
          <w:szCs w:val="21"/>
          <w:highlight w:val="none"/>
        </w:rPr>
        <w:t>.</w:t>
      </w:r>
      <w:r>
        <w:rPr>
          <w:rFonts w:hint="eastAsia"/>
          <w:color w:val="auto"/>
          <w:highlight w:val="none"/>
        </w:rPr>
        <w:t xml:space="preserve"> </w:t>
      </w:r>
      <w:r>
        <w:rPr>
          <w:rFonts w:hint="eastAsia"/>
          <w:color w:val="auto"/>
          <w:szCs w:val="21"/>
          <w:highlight w:val="none"/>
        </w:rPr>
        <w:t>如采购项目涉及采购标的的知识产权归属的，产权归属为：</w:t>
      </w:r>
      <w:r>
        <w:rPr>
          <w:rFonts w:hint="eastAsia"/>
          <w:color w:val="auto"/>
          <w:szCs w:val="21"/>
          <w:highlight w:val="none"/>
          <w:u w:val="single"/>
        </w:rPr>
        <w:t xml:space="preserve">    甲方    </w:t>
      </w:r>
      <w:r>
        <w:rPr>
          <w:rFonts w:hint="eastAsia"/>
          <w:color w:val="auto"/>
          <w:szCs w:val="21"/>
          <w:highlight w:val="none"/>
        </w:rPr>
        <w:t xml:space="preserve">    </w:t>
      </w:r>
    </w:p>
    <w:p w14:paraId="5C4F013B">
      <w:pPr>
        <w:snapToGrid w:val="0"/>
        <w:spacing w:line="360" w:lineRule="exact"/>
        <w:ind w:firstLine="420" w:firstLineChars="200"/>
        <w:rPr>
          <w:rFonts w:hint="eastAsia"/>
          <w:color w:val="auto"/>
          <w:szCs w:val="21"/>
          <w:highlight w:val="none"/>
          <w:u w:val="single"/>
        </w:rPr>
      </w:pPr>
      <w:r>
        <w:rPr>
          <w:rFonts w:hint="eastAsia"/>
          <w:color w:val="auto"/>
          <w:highlight w:val="none"/>
        </w:rPr>
        <w:t>7.产权纠纷</w:t>
      </w:r>
      <w:r>
        <w:rPr>
          <w:rFonts w:hint="eastAsia"/>
          <w:color w:val="auto"/>
          <w:szCs w:val="21"/>
          <w:highlight w:val="none"/>
        </w:rPr>
        <w:t>处理方式：</w:t>
      </w:r>
      <w:r>
        <w:rPr>
          <w:rFonts w:hint="eastAsia"/>
          <w:color w:val="auto"/>
          <w:szCs w:val="21"/>
          <w:highlight w:val="none"/>
          <w:u w:val="single"/>
        </w:rPr>
        <w:t>采购人在中华人民共和国境内使用供应商提供的产品及服务时免受第三方提出的侵犯其专利权或</w:t>
      </w:r>
      <w:r>
        <w:rPr>
          <w:rFonts w:hint="eastAsia"/>
          <w:color w:val="auto"/>
          <w:szCs w:val="21"/>
          <w:highlight w:val="none"/>
          <w:u w:val="single"/>
          <w:lang w:eastAsia="zh-CN"/>
        </w:rPr>
        <w:t>其他</w:t>
      </w:r>
      <w:r>
        <w:rPr>
          <w:rFonts w:hint="eastAsia"/>
          <w:color w:val="auto"/>
          <w:szCs w:val="21"/>
          <w:highlight w:val="none"/>
          <w:u w:val="single"/>
        </w:rPr>
        <w:t>知识产权的起诉。如果第三方提出侵权指控，乙方应妥善处理纠纷并承担由此而引起的一切法律责任和费用。</w:t>
      </w:r>
    </w:p>
    <w:p w14:paraId="456649EF">
      <w:pPr>
        <w:snapToGrid w:val="0"/>
        <w:spacing w:line="360" w:lineRule="exact"/>
        <w:ind w:firstLine="422" w:firstLineChars="200"/>
        <w:rPr>
          <w:b/>
          <w:color w:val="auto"/>
          <w:szCs w:val="21"/>
          <w:highlight w:val="none"/>
        </w:rPr>
      </w:pPr>
      <w:r>
        <w:rPr>
          <w:b/>
          <w:color w:val="auto"/>
          <w:szCs w:val="21"/>
          <w:highlight w:val="none"/>
        </w:rPr>
        <w:t>第四条  乙方权利和义务</w:t>
      </w:r>
    </w:p>
    <w:p w14:paraId="6E0A279A">
      <w:pPr>
        <w:snapToGrid w:val="0"/>
        <w:spacing w:line="360" w:lineRule="exact"/>
        <w:ind w:firstLine="420" w:firstLineChars="200"/>
        <w:rPr>
          <w:color w:val="auto"/>
          <w:szCs w:val="21"/>
          <w:highlight w:val="none"/>
        </w:rPr>
      </w:pPr>
      <w:r>
        <w:rPr>
          <w:color w:val="auto"/>
          <w:szCs w:val="21"/>
          <w:highlight w:val="none"/>
        </w:rPr>
        <w:t>1. 严格履行合同文件（含采购文件、响应文件等）约定和承诺的服务内容和质量标准，保证甲方项目的相关工作质量和进度。</w:t>
      </w:r>
    </w:p>
    <w:p w14:paraId="37EF78A4">
      <w:pPr>
        <w:snapToGrid w:val="0"/>
        <w:spacing w:line="360" w:lineRule="exact"/>
        <w:ind w:firstLine="420" w:firstLineChars="200"/>
        <w:rPr>
          <w:color w:val="auto"/>
          <w:szCs w:val="21"/>
          <w:highlight w:val="none"/>
        </w:rPr>
      </w:pPr>
      <w:r>
        <w:rPr>
          <w:color w:val="auto"/>
          <w:szCs w:val="21"/>
          <w:highlight w:val="none"/>
        </w:rPr>
        <w:t>2. 必须严格实施乙方响应文件中承诺的人力资源配置。在必须补充或更换人员时，必须补充或更换优于或等同于响应文件所承诺资质的服务人员，并需取得甲方书面同意。</w:t>
      </w:r>
    </w:p>
    <w:p w14:paraId="0FC96446">
      <w:pPr>
        <w:snapToGrid w:val="0"/>
        <w:spacing w:line="360" w:lineRule="exact"/>
        <w:ind w:firstLine="420" w:firstLineChars="200"/>
        <w:rPr>
          <w:color w:val="auto"/>
          <w:szCs w:val="21"/>
          <w:highlight w:val="none"/>
        </w:rPr>
      </w:pPr>
      <w:r>
        <w:rPr>
          <w:color w:val="auto"/>
          <w:szCs w:val="21"/>
          <w:highlight w:val="none"/>
        </w:rPr>
        <w:t>3. 乙方项目负责人及服务团队成员须与响应文件保持一致。合同存续期内，未经甲方书面要求或同意，项目负责人不应调整。项目负责人及服务团队成员必须保证在岗工作时间和重要活动在岗，如有变化，须取得甲方同意。</w:t>
      </w:r>
    </w:p>
    <w:p w14:paraId="70E375E2">
      <w:pPr>
        <w:snapToGrid w:val="0"/>
        <w:spacing w:line="360" w:lineRule="exact"/>
        <w:ind w:firstLine="420" w:firstLineChars="200"/>
        <w:rPr>
          <w:color w:val="auto"/>
          <w:szCs w:val="21"/>
          <w:highlight w:val="none"/>
        </w:rPr>
      </w:pPr>
      <w:r>
        <w:rPr>
          <w:color w:val="auto"/>
          <w:szCs w:val="21"/>
          <w:highlight w:val="none"/>
        </w:rPr>
        <w:t>4.乙方依本合同约定向甲方提供的报告、资料、文件等内容及服务成果后，甲方即对上述内容享有充分、完整和排他的著作权和知识产权。未经甲方书面许可，乙方不得向任何第三方提供上述报告、资料、文件等内容及服务成果。即使向履行本合同有关的人员提供，也应注意保密并限于履行合同的必需范围。</w:t>
      </w:r>
    </w:p>
    <w:p w14:paraId="6A1AD32E">
      <w:pPr>
        <w:snapToGrid w:val="0"/>
        <w:spacing w:line="360" w:lineRule="exact"/>
        <w:ind w:firstLine="420" w:firstLineChars="200"/>
        <w:rPr>
          <w:color w:val="auto"/>
          <w:szCs w:val="21"/>
          <w:highlight w:val="none"/>
        </w:rPr>
      </w:pPr>
      <w:r>
        <w:rPr>
          <w:color w:val="auto"/>
          <w:szCs w:val="21"/>
          <w:highlight w:val="none"/>
        </w:rPr>
        <w:t>5. 乙方服务人员应履行保密义务。如乙方因违反本条约定给甲方造成损失的，乙方应当承担相应的法律责任，并赔偿由此给甲方造成的一切损失。</w:t>
      </w:r>
    </w:p>
    <w:p w14:paraId="5BA7131F">
      <w:pPr>
        <w:snapToGrid w:val="0"/>
        <w:spacing w:line="360" w:lineRule="exact"/>
        <w:ind w:firstLine="420" w:firstLineChars="200"/>
        <w:rPr>
          <w:rFonts w:hint="eastAsia"/>
          <w:color w:val="auto"/>
          <w:szCs w:val="21"/>
          <w:highlight w:val="none"/>
        </w:rPr>
      </w:pPr>
      <w:r>
        <w:rPr>
          <w:color w:val="auto"/>
          <w:szCs w:val="21"/>
          <w:highlight w:val="none"/>
        </w:rPr>
        <w:t>6. 按照合同约定收取服务费，当甲方出现无故拖欠费用时，乙方有权采取适当方式进行催缴，若甲方仍未支付费用，乙方有权停止工作。</w:t>
      </w:r>
    </w:p>
    <w:p w14:paraId="4B552034">
      <w:pPr>
        <w:snapToGrid w:val="0"/>
        <w:spacing w:line="360" w:lineRule="exact"/>
        <w:ind w:firstLine="422" w:firstLineChars="200"/>
        <w:rPr>
          <w:b/>
          <w:color w:val="auto"/>
          <w:szCs w:val="21"/>
          <w:highlight w:val="none"/>
        </w:rPr>
      </w:pPr>
      <w:r>
        <w:rPr>
          <w:b/>
          <w:color w:val="auto"/>
          <w:szCs w:val="21"/>
          <w:highlight w:val="none"/>
        </w:rPr>
        <w:t>第五条  包装和运输</w:t>
      </w:r>
    </w:p>
    <w:p w14:paraId="18B2FAED">
      <w:pPr>
        <w:snapToGrid w:val="0"/>
        <w:spacing w:line="360" w:lineRule="exact"/>
        <w:ind w:firstLine="420" w:firstLineChars="200"/>
        <w:rPr>
          <w:color w:val="auto"/>
          <w:szCs w:val="21"/>
          <w:highlight w:val="none"/>
        </w:rPr>
      </w:pPr>
      <w:r>
        <w:rPr>
          <w:color w:val="auto"/>
          <w:szCs w:val="21"/>
          <w:highlight w:val="none"/>
        </w:rPr>
        <w:t>1.乙方提供的服务交付成果或产品均应按采购文件要求的包装材料、包装标准、包装方式进行包装，每一包装单元内应附详细的交付清单和质量合格证，如有缺失应及时补齐，否则视为逾期交付。</w:t>
      </w:r>
    </w:p>
    <w:p w14:paraId="54973589">
      <w:pPr>
        <w:snapToGrid w:val="0"/>
        <w:spacing w:line="360" w:lineRule="exact"/>
        <w:ind w:firstLine="420" w:firstLineChars="200"/>
        <w:rPr>
          <w:color w:val="auto"/>
          <w:szCs w:val="21"/>
          <w:highlight w:val="none"/>
        </w:rPr>
      </w:pPr>
      <w:r>
        <w:rPr>
          <w:color w:val="auto"/>
          <w:szCs w:val="21"/>
          <w:highlight w:val="none"/>
        </w:rPr>
        <w:t>2. 乙方负责服务交付成果、产品的运输。服务交付成果、产品的运输方式由乙方自定。服务交付成果、产品运输合理损耗及计算方法由乙方负责。</w:t>
      </w:r>
    </w:p>
    <w:p w14:paraId="2B415B7C">
      <w:pPr>
        <w:pStyle w:val="26"/>
        <w:spacing w:line="300" w:lineRule="exact"/>
        <w:ind w:firstLine="420" w:firstLineChars="200"/>
        <w:rPr>
          <w:rFonts w:hint="eastAsia" w:ascii="Times New Roman" w:hAnsi="Times New Roman" w:cs="Times New Roman"/>
          <w:color w:val="auto"/>
          <w:highlight w:val="none"/>
        </w:rPr>
      </w:pPr>
      <w:r>
        <w:rPr>
          <w:rFonts w:ascii="Times New Roman" w:hAnsi="Times New Roman" w:cs="Times New Roman"/>
          <w:color w:val="auto"/>
          <w:highlight w:val="none"/>
        </w:rPr>
        <w:t>3.</w:t>
      </w:r>
      <w:r>
        <w:rPr>
          <w:rFonts w:hint="eastAsia" w:ascii="Times New Roman" w:hAnsi="Times New Roman" w:cs="Times New Roman"/>
          <w:color w:val="auto"/>
          <w:highlight w:val="none"/>
        </w:rPr>
        <w:t>乙方提供的产品包装及快递包装应满足《财政部等三部门联合印发商品包装和快递包装政府采购需求标准（试行）》财办库</w:t>
      </w:r>
      <w:r>
        <w:rPr>
          <w:rFonts w:hint="eastAsia" w:ascii="Times New Roman" w:hAnsi="Times New Roman" w:cs="Times New Roman"/>
          <w:color w:val="auto"/>
          <w:highlight w:val="none"/>
          <w:lang w:eastAsia="zh-CN"/>
        </w:rPr>
        <w:t>〔2020〕123号</w:t>
      </w:r>
      <w:r>
        <w:rPr>
          <w:rFonts w:hint="eastAsia" w:ascii="Times New Roman" w:hAnsi="Times New Roman" w:cs="Times New Roman"/>
          <w:color w:val="auto"/>
          <w:highlight w:val="none"/>
        </w:rPr>
        <w:t>文要求。</w:t>
      </w:r>
    </w:p>
    <w:p w14:paraId="1AED08E8">
      <w:pPr>
        <w:snapToGrid w:val="0"/>
        <w:spacing w:line="360" w:lineRule="exact"/>
        <w:ind w:firstLine="422" w:firstLineChars="200"/>
        <w:rPr>
          <w:color w:val="auto"/>
          <w:szCs w:val="21"/>
          <w:highlight w:val="none"/>
        </w:rPr>
      </w:pPr>
      <w:r>
        <w:rPr>
          <w:b/>
          <w:color w:val="auto"/>
          <w:szCs w:val="21"/>
          <w:highlight w:val="none"/>
        </w:rPr>
        <w:t>第六条  交付和验收</w:t>
      </w:r>
    </w:p>
    <w:p w14:paraId="07785076">
      <w:pPr>
        <w:snapToGrid w:val="0"/>
        <w:spacing w:line="360" w:lineRule="exact"/>
        <w:ind w:firstLine="420" w:firstLineChars="200"/>
        <w:rPr>
          <w:color w:val="auto"/>
          <w:szCs w:val="21"/>
          <w:highlight w:val="none"/>
        </w:rPr>
      </w:pPr>
      <w:r>
        <w:rPr>
          <w:color w:val="auto"/>
          <w:szCs w:val="21"/>
          <w:highlight w:val="none"/>
        </w:rPr>
        <w:t>1.交付使用时间：</w:t>
      </w:r>
      <w:r>
        <w:rPr>
          <w:color w:val="auto"/>
          <w:szCs w:val="21"/>
          <w:highlight w:val="none"/>
          <w:u w:val="single"/>
        </w:rPr>
        <w:t>按乙方响应文件中所承诺的时间</w:t>
      </w:r>
      <w:r>
        <w:rPr>
          <w:color w:val="auto"/>
          <w:szCs w:val="21"/>
          <w:highlight w:val="none"/>
        </w:rPr>
        <w:t>；地点：</w:t>
      </w:r>
      <w:r>
        <w:rPr>
          <w:color w:val="auto"/>
          <w:szCs w:val="21"/>
          <w:highlight w:val="none"/>
          <w:u w:val="single"/>
        </w:rPr>
        <w:t>甲方指定地点</w:t>
      </w:r>
      <w:r>
        <w:rPr>
          <w:color w:val="auto"/>
          <w:szCs w:val="21"/>
          <w:highlight w:val="none"/>
        </w:rPr>
        <w:t>。</w:t>
      </w:r>
    </w:p>
    <w:p w14:paraId="03F8F418">
      <w:pPr>
        <w:snapToGrid w:val="0"/>
        <w:spacing w:line="300" w:lineRule="exact"/>
        <w:ind w:firstLine="420" w:firstLineChars="200"/>
        <w:rPr>
          <w:color w:val="auto"/>
          <w:highlight w:val="none"/>
        </w:rPr>
      </w:pPr>
      <w:r>
        <w:rPr>
          <w:color w:val="auto"/>
          <w:highlight w:val="none"/>
        </w:rPr>
        <w:t>2.</w:t>
      </w:r>
      <w:r>
        <w:rPr>
          <w:rFonts w:hint="eastAsia"/>
          <w:color w:val="auto"/>
          <w:highlight w:val="none"/>
        </w:rPr>
        <w:t>交付标准：</w:t>
      </w:r>
      <w:r>
        <w:rPr>
          <w:color w:val="auto"/>
          <w:highlight w:val="none"/>
        </w:rPr>
        <w:t>乙方交</w:t>
      </w:r>
      <w:r>
        <w:rPr>
          <w:rFonts w:hint="eastAsia"/>
          <w:color w:val="auto"/>
          <w:highlight w:val="none"/>
        </w:rPr>
        <w:t>付</w:t>
      </w:r>
      <w:r>
        <w:rPr>
          <w:color w:val="auto"/>
          <w:highlight w:val="none"/>
        </w:rPr>
        <w:t>前应对</w:t>
      </w:r>
      <w:r>
        <w:rPr>
          <w:color w:val="auto"/>
          <w:szCs w:val="21"/>
          <w:highlight w:val="none"/>
        </w:rPr>
        <w:t>产品或服务成果</w:t>
      </w:r>
      <w:r>
        <w:rPr>
          <w:color w:val="auto"/>
          <w:highlight w:val="none"/>
        </w:rPr>
        <w:t>作出全面检查</w:t>
      </w:r>
      <w:r>
        <w:rPr>
          <w:rFonts w:hint="eastAsia"/>
          <w:color w:val="auto"/>
          <w:highlight w:val="none"/>
        </w:rPr>
        <w:t>后</w:t>
      </w:r>
      <w:r>
        <w:rPr>
          <w:color w:val="auto"/>
          <w:highlight w:val="none"/>
        </w:rPr>
        <w:t>，</w:t>
      </w:r>
      <w:r>
        <w:rPr>
          <w:color w:val="auto"/>
          <w:szCs w:val="21"/>
          <w:highlight w:val="none"/>
        </w:rPr>
        <w:t>将</w:t>
      </w:r>
      <w:r>
        <w:rPr>
          <w:rFonts w:hint="eastAsia"/>
          <w:color w:val="auto"/>
          <w:szCs w:val="21"/>
          <w:highlight w:val="none"/>
        </w:rPr>
        <w:t>符合合同文件要求的</w:t>
      </w:r>
      <w:r>
        <w:rPr>
          <w:color w:val="auto"/>
          <w:szCs w:val="21"/>
          <w:highlight w:val="none"/>
        </w:rPr>
        <w:t>产品或服务成果交付给甲方。</w:t>
      </w:r>
    </w:p>
    <w:p w14:paraId="0F9E2D89">
      <w:pPr>
        <w:snapToGrid w:val="0"/>
        <w:spacing w:line="300" w:lineRule="exact"/>
        <w:ind w:firstLine="420" w:firstLineChars="200"/>
        <w:rPr>
          <w:color w:val="auto"/>
          <w:highlight w:val="none"/>
        </w:rPr>
      </w:pPr>
      <w:r>
        <w:rPr>
          <w:rFonts w:hint="eastAsia"/>
          <w:color w:val="auto"/>
          <w:highlight w:val="none"/>
        </w:rPr>
        <w:t>3</w:t>
      </w:r>
      <w:r>
        <w:rPr>
          <w:color w:val="auto"/>
          <w:highlight w:val="none"/>
        </w:rPr>
        <w:t>.</w:t>
      </w:r>
      <w:r>
        <w:rPr>
          <w:rFonts w:hint="eastAsia"/>
          <w:color w:val="auto"/>
          <w:highlight w:val="none"/>
        </w:rPr>
        <w:t>验收程序：验收一般分为到货验收和最终验收两次单项验收。经甲方同意，两次单项验收可以合并进行。本项目采用的验收方式为：</w:t>
      </w:r>
      <w:r>
        <w:rPr>
          <w:rFonts w:hint="eastAsia"/>
          <w:color w:val="auto"/>
          <w:highlight w:val="none"/>
        </w:rPr>
        <w:sym w:font="Wingdings 2" w:char="00A3"/>
      </w:r>
      <w:r>
        <w:rPr>
          <w:rFonts w:hint="eastAsia"/>
          <w:color w:val="auto"/>
          <w:highlight w:val="none"/>
        </w:rPr>
        <w:t xml:space="preserve">到货验收（如有）  </w:t>
      </w:r>
      <w:r>
        <w:rPr>
          <w:rFonts w:hint="eastAsia"/>
          <w:color w:val="auto"/>
          <w:highlight w:val="none"/>
        </w:rPr>
        <w:sym w:font="Wingdings 2" w:char="00A3"/>
      </w:r>
      <w:r>
        <w:rPr>
          <w:rFonts w:hint="eastAsia"/>
          <w:color w:val="auto"/>
          <w:highlight w:val="none"/>
        </w:rPr>
        <w:t>最终验收  □合并验收</w:t>
      </w:r>
    </w:p>
    <w:p w14:paraId="73D47B4A">
      <w:pPr>
        <w:snapToGrid w:val="0"/>
        <w:spacing w:line="300" w:lineRule="exact"/>
        <w:ind w:firstLine="420" w:firstLineChars="200"/>
        <w:rPr>
          <w:color w:val="auto"/>
          <w:highlight w:val="none"/>
        </w:rPr>
      </w:pPr>
      <w:r>
        <w:rPr>
          <w:rFonts w:hint="eastAsia"/>
          <w:color w:val="auto"/>
          <w:highlight w:val="none"/>
        </w:rPr>
        <w:t>（1）到货验收：</w:t>
      </w:r>
      <w:r>
        <w:rPr>
          <w:rFonts w:hint="eastAsia"/>
          <w:color w:val="auto"/>
          <w:szCs w:val="21"/>
          <w:highlight w:val="none"/>
        </w:rPr>
        <w:t>在项目中如有提供货物的，</w:t>
      </w:r>
      <w:r>
        <w:rPr>
          <w:color w:val="auto"/>
          <w:highlight w:val="none"/>
        </w:rPr>
        <w:t>甲方</w:t>
      </w:r>
      <w:r>
        <w:rPr>
          <w:rFonts w:hint="eastAsia"/>
          <w:color w:val="auto"/>
          <w:highlight w:val="none"/>
        </w:rPr>
        <w:t>在接到</w:t>
      </w:r>
      <w:r>
        <w:rPr>
          <w:color w:val="auto"/>
          <w:highlight w:val="none"/>
        </w:rPr>
        <w:t>乙方</w:t>
      </w:r>
      <w:r>
        <w:rPr>
          <w:rFonts w:hint="eastAsia"/>
          <w:color w:val="auto"/>
          <w:highlight w:val="none"/>
        </w:rPr>
        <w:t>通知后对交付</w:t>
      </w:r>
      <w:r>
        <w:rPr>
          <w:color w:val="auto"/>
          <w:highlight w:val="none"/>
        </w:rPr>
        <w:t>的</w:t>
      </w:r>
      <w:r>
        <w:rPr>
          <w:color w:val="auto"/>
          <w:szCs w:val="21"/>
          <w:highlight w:val="none"/>
        </w:rPr>
        <w:t>产品</w:t>
      </w:r>
      <w:r>
        <w:rPr>
          <w:color w:val="auto"/>
          <w:highlight w:val="none"/>
        </w:rPr>
        <w:t>依据</w:t>
      </w:r>
      <w:r>
        <w:rPr>
          <w:rFonts w:hint="eastAsia"/>
          <w:color w:val="auto"/>
          <w:highlight w:val="none"/>
        </w:rPr>
        <w:t>验收标准</w:t>
      </w:r>
      <w:r>
        <w:rPr>
          <w:color w:val="auto"/>
          <w:highlight w:val="none"/>
        </w:rPr>
        <w:t>进行</w:t>
      </w:r>
      <w:r>
        <w:rPr>
          <w:rFonts w:hint="eastAsia"/>
          <w:color w:val="auto"/>
          <w:highlight w:val="none"/>
        </w:rPr>
        <w:t>到货验收</w:t>
      </w:r>
      <w:r>
        <w:rPr>
          <w:color w:val="auto"/>
          <w:highlight w:val="none"/>
        </w:rPr>
        <w:t>，</w:t>
      </w:r>
      <w:r>
        <w:rPr>
          <w:rFonts w:hint="eastAsia"/>
          <w:color w:val="auto"/>
          <w:highlight w:val="none"/>
        </w:rPr>
        <w:t>对品牌、规格型号、</w:t>
      </w:r>
      <w:r>
        <w:rPr>
          <w:color w:val="auto"/>
          <w:highlight w:val="none"/>
        </w:rPr>
        <w:t>外观、</w:t>
      </w:r>
      <w:r>
        <w:rPr>
          <w:rFonts w:hint="eastAsia"/>
          <w:color w:val="auto"/>
          <w:highlight w:val="none"/>
        </w:rPr>
        <w:t>有关资料及备品备件、包装要求</w:t>
      </w:r>
      <w:r>
        <w:rPr>
          <w:color w:val="auto"/>
          <w:highlight w:val="none"/>
        </w:rPr>
        <w:t>符合采购文件</w:t>
      </w:r>
      <w:r>
        <w:rPr>
          <w:rFonts w:hint="eastAsia"/>
          <w:color w:val="auto"/>
          <w:highlight w:val="none"/>
        </w:rPr>
        <w:t>及合同</w:t>
      </w:r>
      <w:r>
        <w:rPr>
          <w:color w:val="auto"/>
          <w:highlight w:val="none"/>
        </w:rPr>
        <w:t>要求的，</w:t>
      </w:r>
      <w:r>
        <w:rPr>
          <w:rFonts w:hint="eastAsia"/>
          <w:color w:val="auto"/>
          <w:highlight w:val="none"/>
        </w:rPr>
        <w:t>视为到货验收合格</w:t>
      </w:r>
      <w:r>
        <w:rPr>
          <w:color w:val="auto"/>
          <w:highlight w:val="none"/>
        </w:rPr>
        <w:t>给予签收</w:t>
      </w:r>
      <w:r>
        <w:rPr>
          <w:rFonts w:hint="eastAsia"/>
          <w:color w:val="auto"/>
          <w:highlight w:val="none"/>
        </w:rPr>
        <w:t>。</w:t>
      </w:r>
    </w:p>
    <w:p w14:paraId="6FEF1524">
      <w:pPr>
        <w:snapToGrid w:val="0"/>
        <w:spacing w:line="300" w:lineRule="exact"/>
        <w:ind w:firstLine="420" w:firstLineChars="200"/>
        <w:rPr>
          <w:rFonts w:hint="eastAsia"/>
          <w:color w:val="auto"/>
          <w:highlight w:val="none"/>
        </w:rPr>
      </w:pPr>
      <w:r>
        <w:rPr>
          <w:rFonts w:hint="eastAsia"/>
          <w:color w:val="auto"/>
          <w:highlight w:val="none"/>
        </w:rPr>
        <w:t>（2）最终验收：交付的</w:t>
      </w:r>
      <w:r>
        <w:rPr>
          <w:color w:val="auto"/>
          <w:szCs w:val="21"/>
          <w:highlight w:val="none"/>
        </w:rPr>
        <w:t>产品或服务成果</w:t>
      </w:r>
      <w:r>
        <w:rPr>
          <w:rFonts w:hint="eastAsia"/>
          <w:color w:val="auto"/>
          <w:szCs w:val="21"/>
          <w:highlight w:val="none"/>
        </w:rPr>
        <w:t>在</w:t>
      </w:r>
      <w:r>
        <w:rPr>
          <w:rFonts w:hint="eastAsia"/>
          <w:color w:val="auto"/>
          <w:highlight w:val="none"/>
        </w:rPr>
        <w:t>满足合同交付标准后，依照本合同验收标准进行最终验收。甲方在乙方通知后进行最终验收。</w:t>
      </w:r>
    </w:p>
    <w:p w14:paraId="6DAE6DA8">
      <w:pPr>
        <w:snapToGrid w:val="0"/>
        <w:spacing w:line="300" w:lineRule="exact"/>
        <w:ind w:firstLine="420" w:firstLineChars="200"/>
        <w:rPr>
          <w:rFonts w:hint="eastAsia"/>
          <w:color w:val="auto"/>
          <w:highlight w:val="none"/>
        </w:rPr>
      </w:pPr>
      <w:r>
        <w:rPr>
          <w:rFonts w:hint="eastAsia"/>
          <w:color w:val="auto"/>
          <w:highlight w:val="none"/>
        </w:rPr>
        <w:t>（3）合并验收：</w:t>
      </w:r>
      <w:r>
        <w:rPr>
          <w:rStyle w:val="58"/>
          <w:rFonts w:hint="eastAsia"/>
          <w:color w:val="auto"/>
          <w:highlight w:val="none"/>
        </w:rPr>
        <w:t>将以上两项验收合并进行。</w:t>
      </w:r>
    </w:p>
    <w:p w14:paraId="5C5ED903">
      <w:pPr>
        <w:snapToGrid w:val="0"/>
        <w:spacing w:line="300" w:lineRule="exact"/>
        <w:ind w:firstLine="420" w:firstLineChars="200"/>
        <w:rPr>
          <w:rFonts w:hint="eastAsia"/>
          <w:color w:val="auto"/>
          <w:highlight w:val="none"/>
        </w:rPr>
      </w:pPr>
      <w:r>
        <w:rPr>
          <w:rFonts w:hint="eastAsia"/>
          <w:color w:val="auto"/>
          <w:highlight w:val="none"/>
        </w:rPr>
        <w:t>4.</w:t>
      </w:r>
      <w:r>
        <w:rPr>
          <w:color w:val="auto"/>
          <w:highlight w:val="none"/>
        </w:rPr>
        <w:t>验收标准：按国家有关</w:t>
      </w:r>
      <w:r>
        <w:rPr>
          <w:rFonts w:hint="eastAsia"/>
          <w:color w:val="auto"/>
          <w:highlight w:val="none"/>
        </w:rPr>
        <w:t>标准</w:t>
      </w:r>
      <w:r>
        <w:rPr>
          <w:color w:val="auto"/>
          <w:highlight w:val="none"/>
        </w:rPr>
        <w:t>以及甲方采购文件的</w:t>
      </w:r>
      <w:r>
        <w:rPr>
          <w:rFonts w:hint="eastAsia"/>
          <w:color w:val="auto"/>
          <w:highlight w:val="none"/>
        </w:rPr>
        <w:t>采购需求</w:t>
      </w:r>
      <w:r>
        <w:rPr>
          <w:color w:val="auto"/>
          <w:highlight w:val="none"/>
        </w:rPr>
        <w:t>、乙方的响应文件</w:t>
      </w:r>
      <w:r>
        <w:rPr>
          <w:rFonts w:hint="eastAsia"/>
          <w:color w:val="auto"/>
          <w:highlight w:val="none"/>
        </w:rPr>
        <w:t>响应</w:t>
      </w:r>
      <w:r>
        <w:rPr>
          <w:color w:val="auto"/>
          <w:highlight w:val="none"/>
        </w:rPr>
        <w:t>及承诺与本合同约定进行验收；</w:t>
      </w:r>
      <w:r>
        <w:rPr>
          <w:rFonts w:hint="eastAsia"/>
          <w:color w:val="auto"/>
          <w:highlight w:val="none"/>
        </w:rPr>
        <w:t>上述标准如</w:t>
      </w:r>
      <w:r>
        <w:rPr>
          <w:color w:val="auto"/>
          <w:highlight w:val="none"/>
        </w:rPr>
        <w:t>有</w:t>
      </w:r>
      <w:r>
        <w:rPr>
          <w:rFonts w:hint="eastAsia"/>
          <w:color w:val="auto"/>
          <w:highlight w:val="none"/>
        </w:rPr>
        <w:t>不一致事项</w:t>
      </w:r>
      <w:r>
        <w:rPr>
          <w:color w:val="auto"/>
          <w:highlight w:val="none"/>
        </w:rPr>
        <w:t>，</w:t>
      </w:r>
      <w:r>
        <w:rPr>
          <w:rFonts w:hint="eastAsia"/>
          <w:color w:val="auto"/>
          <w:highlight w:val="none"/>
        </w:rPr>
        <w:t>以</w:t>
      </w:r>
      <w:r>
        <w:rPr>
          <w:color w:val="auto"/>
          <w:highlight w:val="none"/>
        </w:rPr>
        <w:t>采购文件与响应文件中</w:t>
      </w:r>
      <w:r>
        <w:rPr>
          <w:rFonts w:hint="eastAsia"/>
          <w:color w:val="auto"/>
          <w:highlight w:val="none"/>
        </w:rPr>
        <w:t>对应要求或指标中</w:t>
      </w:r>
      <w:r>
        <w:rPr>
          <w:color w:val="auto"/>
          <w:highlight w:val="none"/>
        </w:rPr>
        <w:t>较优</w:t>
      </w:r>
      <w:r>
        <w:rPr>
          <w:rFonts w:hint="eastAsia"/>
          <w:color w:val="auto"/>
          <w:highlight w:val="none"/>
        </w:rPr>
        <w:t>作为验收标准。如果交付的</w:t>
      </w:r>
      <w:r>
        <w:rPr>
          <w:color w:val="auto"/>
          <w:szCs w:val="21"/>
          <w:highlight w:val="none"/>
        </w:rPr>
        <w:t>产品或服务成果</w:t>
      </w:r>
      <w:r>
        <w:rPr>
          <w:rFonts w:hint="eastAsia"/>
          <w:color w:val="auto"/>
          <w:highlight w:val="none"/>
        </w:rPr>
        <w:t>中有执行国家强制标准的，则验收标准不得低于国家强制标准。</w:t>
      </w:r>
    </w:p>
    <w:p w14:paraId="735177D4">
      <w:pPr>
        <w:pStyle w:val="26"/>
        <w:spacing w:line="300" w:lineRule="exact"/>
        <w:ind w:firstLine="420" w:firstLineChars="200"/>
        <w:jc w:val="left"/>
        <w:rPr>
          <w:rFonts w:hint="eastAsia"/>
          <w:color w:val="auto"/>
          <w:highlight w:val="none"/>
        </w:rPr>
      </w:pPr>
      <w:r>
        <w:rPr>
          <w:rFonts w:hint="eastAsia" w:ascii="Times New Roman" w:hAnsi="Times New Roman" w:cs="Times New Roman"/>
          <w:color w:val="auto"/>
          <w:highlight w:val="none"/>
        </w:rPr>
        <w:t>5</w:t>
      </w:r>
      <w:r>
        <w:rPr>
          <w:rFonts w:ascii="Times New Roman" w:hAnsi="Times New Roman" w:cs="Times New Roman"/>
          <w:color w:val="auto"/>
          <w:highlight w:val="none"/>
        </w:rPr>
        <w:t>.</w:t>
      </w:r>
      <w:r>
        <w:rPr>
          <w:rFonts w:hint="eastAsia" w:ascii="Times New Roman" w:hAnsi="Times New Roman" w:cs="Times New Roman"/>
          <w:color w:val="auto"/>
          <w:highlight w:val="none"/>
        </w:rPr>
        <w:t>验收地点及验收期限：验收地点为产品</w:t>
      </w:r>
      <w:r>
        <w:rPr>
          <w:color w:val="auto"/>
          <w:highlight w:val="none"/>
        </w:rPr>
        <w:t>或服务成果</w:t>
      </w:r>
      <w:r>
        <w:rPr>
          <w:rFonts w:hint="eastAsia" w:ascii="Times New Roman" w:hAnsi="Times New Roman" w:cs="Times New Roman"/>
          <w:color w:val="auto"/>
          <w:highlight w:val="none"/>
        </w:rPr>
        <w:t>交付地点；</w:t>
      </w:r>
      <w:r>
        <w:rPr>
          <w:rFonts w:hint="eastAsia"/>
          <w:color w:val="auto"/>
          <w:highlight w:val="none"/>
        </w:rPr>
        <w:t>各单项验收应在甲方收到乙方的书面验收申请后5个工作日内组织。乙方在提出验收申请时，应确保已具备验收条件。</w:t>
      </w:r>
      <w:r>
        <w:rPr>
          <w:color w:val="auto"/>
          <w:highlight w:val="none"/>
        </w:rPr>
        <w:t>甲方</w:t>
      </w:r>
      <w:r>
        <w:rPr>
          <w:rFonts w:hint="eastAsia"/>
          <w:color w:val="auto"/>
          <w:highlight w:val="none"/>
        </w:rPr>
        <w:t>收到乙方书面通知后</w:t>
      </w:r>
      <w:r>
        <w:rPr>
          <w:color w:val="auto"/>
          <w:highlight w:val="none"/>
        </w:rPr>
        <w:t>无故不进行验收工作</w:t>
      </w:r>
      <w:r>
        <w:rPr>
          <w:rFonts w:hint="eastAsia"/>
          <w:color w:val="auto"/>
          <w:highlight w:val="none"/>
        </w:rPr>
        <w:t>的，验收期限结束之日起视为当次单项验收合格。</w:t>
      </w:r>
    </w:p>
    <w:p w14:paraId="02AA3B44">
      <w:pPr>
        <w:pStyle w:val="26"/>
        <w:spacing w:line="300" w:lineRule="exact"/>
        <w:ind w:firstLine="420" w:firstLineChars="200"/>
        <w:jc w:val="left"/>
        <w:rPr>
          <w:rFonts w:hint="eastAsia"/>
          <w:color w:val="auto"/>
          <w:highlight w:val="none"/>
        </w:rPr>
      </w:pPr>
      <w:r>
        <w:rPr>
          <w:rFonts w:hint="eastAsia" w:ascii="Times New Roman" w:hAnsi="Times New Roman" w:cs="Times New Roman"/>
          <w:color w:val="auto"/>
          <w:highlight w:val="none"/>
        </w:rPr>
        <w:t>6.</w:t>
      </w:r>
      <w:r>
        <w:rPr>
          <w:rFonts w:ascii="Times New Roman" w:hAnsi="Times New Roman" w:cs="Times New Roman"/>
          <w:color w:val="auto"/>
          <w:highlight w:val="none"/>
        </w:rPr>
        <w:t>验收</w:t>
      </w:r>
      <w:r>
        <w:rPr>
          <w:rFonts w:hint="eastAsia" w:ascii="Times New Roman" w:hAnsi="Times New Roman" w:cs="Times New Roman"/>
          <w:color w:val="auto"/>
          <w:highlight w:val="none"/>
        </w:rPr>
        <w:t>结果：在任一单项验收环节，甲、乙双方代表均应在场，交付的产品</w:t>
      </w:r>
      <w:r>
        <w:rPr>
          <w:color w:val="auto"/>
          <w:highlight w:val="none"/>
        </w:rPr>
        <w:t>或服务成果</w:t>
      </w:r>
      <w:r>
        <w:rPr>
          <w:rFonts w:hint="eastAsia" w:ascii="Times New Roman" w:hAnsi="Times New Roman" w:cs="Times New Roman"/>
          <w:color w:val="auto"/>
          <w:highlight w:val="none"/>
        </w:rPr>
        <w:t>符合验收标准的为单项验收合格，不符合验收标准的为单项验收不合格。验收结果由甲方出具</w:t>
      </w:r>
      <w:r>
        <w:rPr>
          <w:color w:val="auto"/>
          <w:highlight w:val="none"/>
        </w:rPr>
        <w:t>验收结果报告</w:t>
      </w:r>
      <w:r>
        <w:rPr>
          <w:rFonts w:hint="eastAsia"/>
          <w:color w:val="auto"/>
          <w:highlight w:val="none"/>
        </w:rPr>
        <w:t>或</w:t>
      </w:r>
      <w:r>
        <w:rPr>
          <w:color w:val="auto"/>
          <w:highlight w:val="none"/>
        </w:rPr>
        <w:t>验收书</w:t>
      </w:r>
      <w:r>
        <w:rPr>
          <w:rFonts w:hint="eastAsia"/>
          <w:color w:val="auto"/>
          <w:highlight w:val="none"/>
        </w:rPr>
        <w:t>，</w:t>
      </w:r>
      <w:r>
        <w:rPr>
          <w:color w:val="auto"/>
          <w:highlight w:val="none"/>
        </w:rPr>
        <w:t>列明各项标准的验收情况</w:t>
      </w:r>
      <w:r>
        <w:rPr>
          <w:rFonts w:hint="eastAsia"/>
          <w:color w:val="auto"/>
          <w:highlight w:val="none"/>
        </w:rPr>
        <w:t>，由甲、乙双方代表共同签字确认并加盖甲方公章</w:t>
      </w:r>
      <w:r>
        <w:rPr>
          <w:color w:val="auto"/>
          <w:highlight w:val="none"/>
        </w:rPr>
        <w:t>，甲乙双方各执一份</w:t>
      </w:r>
      <w:r>
        <w:rPr>
          <w:rFonts w:hint="eastAsia"/>
          <w:color w:val="auto"/>
          <w:highlight w:val="none"/>
        </w:rPr>
        <w:t>。验收结果报告或验收书经双方代表签字后即视为验收结果已通知甲、乙双方。如乙方对验收结果有异议的，应在验收现场以书面的形式出具说明，否则视为认可验收结果。</w:t>
      </w:r>
    </w:p>
    <w:p w14:paraId="7688C360">
      <w:pPr>
        <w:pStyle w:val="26"/>
        <w:spacing w:line="300" w:lineRule="exact"/>
        <w:ind w:firstLine="420" w:firstLineChars="200"/>
        <w:jc w:val="left"/>
        <w:rPr>
          <w:rFonts w:hint="eastAsia"/>
          <w:color w:val="auto"/>
          <w:highlight w:val="none"/>
        </w:rPr>
      </w:pPr>
      <w:r>
        <w:rPr>
          <w:rFonts w:hint="eastAsia" w:ascii="Times New Roman" w:hAnsi="Times New Roman" w:cs="Times New Roman"/>
          <w:color w:val="auto"/>
          <w:highlight w:val="none"/>
        </w:rPr>
        <w:t>7.不予签收或单项验收不合格的，</w:t>
      </w:r>
      <w:r>
        <w:rPr>
          <w:rFonts w:hint="eastAsia"/>
          <w:color w:val="auto"/>
          <w:highlight w:val="none"/>
        </w:rPr>
        <w:t>乙方应在当次验收后</w:t>
      </w:r>
      <w:r>
        <w:rPr>
          <w:rFonts w:hint="eastAsia"/>
          <w:color w:val="auto"/>
          <w:highlight w:val="none"/>
          <w:u w:val="single"/>
        </w:rPr>
        <w:t>5</w:t>
      </w:r>
      <w:r>
        <w:rPr>
          <w:rFonts w:hint="eastAsia"/>
          <w:color w:val="auto"/>
          <w:highlight w:val="none"/>
        </w:rPr>
        <w:t>个工作日内就不符合要求项以补充、更换、修理等甲方认可的方式进行整改并重新验收，未按时进行整改或整改后重新验收仍不合格的</w:t>
      </w:r>
      <w:r>
        <w:rPr>
          <w:color w:val="auto"/>
          <w:highlight w:val="none"/>
        </w:rPr>
        <w:t>视为逾期</w:t>
      </w:r>
      <w:r>
        <w:rPr>
          <w:rFonts w:hint="eastAsia"/>
          <w:color w:val="auto"/>
          <w:highlight w:val="none"/>
        </w:rPr>
        <w:t>交付，逾期交付最长不得超过</w:t>
      </w:r>
      <w:r>
        <w:rPr>
          <w:rFonts w:hint="eastAsia"/>
          <w:color w:val="auto"/>
          <w:highlight w:val="none"/>
          <w:u w:val="single"/>
        </w:rPr>
        <w:t>3</w:t>
      </w:r>
      <w:r>
        <w:rPr>
          <w:color w:val="auto"/>
          <w:highlight w:val="none"/>
          <w:u w:val="single"/>
        </w:rPr>
        <w:t>0</w:t>
      </w:r>
      <w:r>
        <w:rPr>
          <w:rFonts w:hint="eastAsia"/>
          <w:color w:val="auto"/>
          <w:highlight w:val="none"/>
        </w:rPr>
        <w:t>日，超过</w:t>
      </w:r>
      <w:r>
        <w:rPr>
          <w:color w:val="auto"/>
          <w:highlight w:val="none"/>
          <w:u w:val="single"/>
        </w:rPr>
        <w:t>30</w:t>
      </w:r>
      <w:r>
        <w:rPr>
          <w:rFonts w:hint="eastAsia"/>
          <w:color w:val="auto"/>
          <w:highlight w:val="none"/>
        </w:rPr>
        <w:t>日则视为最终验收不合格</w:t>
      </w:r>
      <w:r>
        <w:rPr>
          <w:color w:val="auto"/>
          <w:highlight w:val="none"/>
        </w:rPr>
        <w:t>。</w:t>
      </w:r>
      <w:r>
        <w:rPr>
          <w:rFonts w:hint="eastAsia"/>
          <w:color w:val="auto"/>
          <w:highlight w:val="none"/>
        </w:rPr>
        <w:t>逾期交付不影响本条第1款约定的使用时间。</w:t>
      </w:r>
    </w:p>
    <w:p w14:paraId="3FA04EF8">
      <w:pPr>
        <w:snapToGrid w:val="0"/>
        <w:spacing w:line="360" w:lineRule="exact"/>
        <w:ind w:firstLine="420" w:firstLineChars="200"/>
        <w:rPr>
          <w:color w:val="auto"/>
          <w:szCs w:val="21"/>
          <w:highlight w:val="none"/>
        </w:rPr>
      </w:pPr>
      <w:r>
        <w:rPr>
          <w:rFonts w:hint="eastAsia"/>
          <w:color w:val="auto"/>
          <w:szCs w:val="21"/>
          <w:highlight w:val="none"/>
        </w:rPr>
        <w:t>8</w:t>
      </w:r>
      <w:r>
        <w:rPr>
          <w:color w:val="auto"/>
          <w:szCs w:val="21"/>
          <w:highlight w:val="none"/>
        </w:rPr>
        <w:t>.甲方</w:t>
      </w:r>
      <w:r>
        <w:rPr>
          <w:rFonts w:hint="eastAsia"/>
          <w:color w:val="auto"/>
          <w:highlight w:val="none"/>
        </w:rPr>
        <w:t>有权委托第三方机构组织验收</w:t>
      </w:r>
      <w:r>
        <w:rPr>
          <w:color w:val="auto"/>
          <w:highlight w:val="none"/>
        </w:rPr>
        <w:t>，</w:t>
      </w:r>
      <w:r>
        <w:rPr>
          <w:rFonts w:hint="eastAsia"/>
          <w:color w:val="auto"/>
          <w:highlight w:val="none"/>
        </w:rPr>
        <w:t>验收按上述规定执行，</w:t>
      </w:r>
      <w:r>
        <w:rPr>
          <w:color w:val="auto"/>
          <w:highlight w:val="none"/>
        </w:rPr>
        <w:t>乙方</w:t>
      </w:r>
      <w:r>
        <w:rPr>
          <w:rFonts w:hint="eastAsia"/>
          <w:color w:val="auto"/>
          <w:highlight w:val="none"/>
        </w:rPr>
        <w:t>应予以</w:t>
      </w:r>
      <w:r>
        <w:rPr>
          <w:color w:val="auto"/>
          <w:highlight w:val="none"/>
        </w:rPr>
        <w:t>配合。</w:t>
      </w:r>
    </w:p>
    <w:p w14:paraId="6905BC81">
      <w:pPr>
        <w:snapToGrid w:val="0"/>
        <w:spacing w:line="360" w:lineRule="exact"/>
        <w:ind w:firstLine="420" w:firstLineChars="200"/>
        <w:rPr>
          <w:color w:val="auto"/>
          <w:szCs w:val="21"/>
          <w:highlight w:val="none"/>
        </w:rPr>
      </w:pPr>
      <w:r>
        <w:rPr>
          <w:rFonts w:hint="eastAsia"/>
          <w:color w:val="auto"/>
          <w:szCs w:val="21"/>
          <w:highlight w:val="none"/>
        </w:rPr>
        <w:t>9</w:t>
      </w:r>
      <w:r>
        <w:rPr>
          <w:color w:val="auto"/>
          <w:szCs w:val="21"/>
          <w:highlight w:val="none"/>
        </w:rPr>
        <w:t>. 其他未尽事宜应严格按照《关于印发广西壮族自治区政府采购项目履约验收管理办法的通知》[桂财采〔2015〕22号]以及《财政部关于进一步加强政府采购需求和履约验收管理的指导意见》[财库〔2016〕205号]规定执行。</w:t>
      </w:r>
    </w:p>
    <w:p w14:paraId="3E2D57ED">
      <w:pPr>
        <w:snapToGrid w:val="0"/>
        <w:spacing w:line="300" w:lineRule="exact"/>
        <w:ind w:firstLine="420" w:firstLineChars="200"/>
        <w:rPr>
          <w:color w:val="auto"/>
          <w:szCs w:val="21"/>
          <w:highlight w:val="none"/>
        </w:rPr>
      </w:pPr>
      <w:r>
        <w:rPr>
          <w:rFonts w:hint="eastAsia"/>
          <w:color w:val="auto"/>
          <w:szCs w:val="21"/>
          <w:highlight w:val="none"/>
        </w:rPr>
        <w:t>10</w:t>
      </w:r>
      <w:r>
        <w:rPr>
          <w:color w:val="auto"/>
          <w:szCs w:val="21"/>
          <w:highlight w:val="none"/>
        </w:rPr>
        <w:t>.甲方委托第三方组织</w:t>
      </w:r>
      <w:r>
        <w:rPr>
          <w:rFonts w:hint="eastAsia"/>
          <w:color w:val="auto"/>
          <w:szCs w:val="21"/>
          <w:highlight w:val="none"/>
        </w:rPr>
        <w:t>验收</w:t>
      </w:r>
      <w:r>
        <w:rPr>
          <w:color w:val="auto"/>
          <w:szCs w:val="21"/>
          <w:highlight w:val="none"/>
        </w:rPr>
        <w:t>的，其验收时间</w:t>
      </w:r>
      <w:r>
        <w:rPr>
          <w:rFonts w:hint="eastAsia"/>
          <w:color w:val="auto"/>
          <w:szCs w:val="21"/>
          <w:highlight w:val="none"/>
        </w:rPr>
        <w:t>、验收程序</w:t>
      </w:r>
      <w:r>
        <w:rPr>
          <w:color w:val="auto"/>
          <w:szCs w:val="21"/>
          <w:highlight w:val="none"/>
        </w:rPr>
        <w:t>以该项目验收方案确定的验收时间</w:t>
      </w:r>
      <w:r>
        <w:rPr>
          <w:rFonts w:hint="eastAsia"/>
          <w:color w:val="auto"/>
          <w:szCs w:val="21"/>
          <w:highlight w:val="none"/>
        </w:rPr>
        <w:t>、验收程序</w:t>
      </w:r>
      <w:r>
        <w:rPr>
          <w:color w:val="auto"/>
          <w:szCs w:val="21"/>
          <w:highlight w:val="none"/>
        </w:rPr>
        <w:t>为准，验收结果以该项目验收报告结论为准。</w:t>
      </w:r>
    </w:p>
    <w:p w14:paraId="41E5AF76">
      <w:pPr>
        <w:pStyle w:val="26"/>
        <w:snapToGrid w:val="0"/>
        <w:spacing w:before="120" w:after="120" w:line="300" w:lineRule="exact"/>
        <w:ind w:firstLine="420" w:firstLineChars="200"/>
        <w:jc w:val="left"/>
        <w:rPr>
          <w:rFonts w:hint="eastAsia" w:ascii="Times New Roman" w:hAnsi="Times New Roman" w:cs="Times New Roman"/>
          <w:color w:val="auto"/>
          <w:highlight w:val="none"/>
        </w:rPr>
      </w:pPr>
      <w:r>
        <w:rPr>
          <w:rFonts w:hint="eastAsia" w:ascii="Times New Roman" w:hAnsi="Times New Roman" w:cs="Times New Roman"/>
          <w:color w:val="auto"/>
          <w:highlight w:val="none"/>
        </w:rPr>
        <w:t>11</w:t>
      </w:r>
      <w:r>
        <w:rPr>
          <w:rFonts w:ascii="Times New Roman" w:hAnsi="Times New Roman" w:cs="Times New Roman"/>
          <w:color w:val="auto"/>
          <w:highlight w:val="none"/>
        </w:rPr>
        <w:t>.</w:t>
      </w:r>
      <w:r>
        <w:rPr>
          <w:rFonts w:hint="eastAsia" w:ascii="Times New Roman" w:hAnsi="Times New Roman" w:cs="Times New Roman"/>
          <w:color w:val="auto"/>
          <w:highlight w:val="none"/>
        </w:rPr>
        <w:t>履约验收方案详见附件。</w:t>
      </w:r>
    </w:p>
    <w:p w14:paraId="561C0D85">
      <w:pPr>
        <w:snapToGrid w:val="0"/>
        <w:spacing w:line="360" w:lineRule="exact"/>
        <w:ind w:firstLine="422" w:firstLineChars="200"/>
        <w:rPr>
          <w:b/>
          <w:color w:val="auto"/>
          <w:szCs w:val="21"/>
          <w:highlight w:val="none"/>
        </w:rPr>
      </w:pPr>
      <w:r>
        <w:rPr>
          <w:b/>
          <w:color w:val="auto"/>
          <w:szCs w:val="21"/>
          <w:highlight w:val="none"/>
        </w:rPr>
        <w:t>第七条  安装和培训</w:t>
      </w:r>
    </w:p>
    <w:p w14:paraId="067D3281">
      <w:pPr>
        <w:snapToGrid w:val="0"/>
        <w:spacing w:line="360" w:lineRule="exact"/>
        <w:ind w:firstLine="420" w:firstLineChars="200"/>
        <w:rPr>
          <w:color w:val="auto"/>
          <w:szCs w:val="21"/>
          <w:highlight w:val="none"/>
        </w:rPr>
      </w:pPr>
      <w:r>
        <w:rPr>
          <w:color w:val="auto"/>
          <w:szCs w:val="21"/>
          <w:highlight w:val="none"/>
        </w:rPr>
        <w:t>1.甲方应提供必要安装条件（如场地、电源、水源等）。</w:t>
      </w:r>
    </w:p>
    <w:p w14:paraId="6C2E6EF5">
      <w:pPr>
        <w:snapToGrid w:val="0"/>
        <w:spacing w:line="360" w:lineRule="exact"/>
        <w:ind w:firstLine="420" w:firstLineChars="200"/>
        <w:rPr>
          <w:color w:val="auto"/>
          <w:szCs w:val="21"/>
          <w:highlight w:val="none"/>
          <w:u w:val="single"/>
        </w:rPr>
      </w:pPr>
      <w:r>
        <w:rPr>
          <w:color w:val="auto"/>
          <w:szCs w:val="21"/>
          <w:highlight w:val="none"/>
        </w:rPr>
        <w:t>2.乙方负责甲方有关人员的培训。培训时间、地点：</w:t>
      </w:r>
      <w:r>
        <w:rPr>
          <w:color w:val="auto"/>
          <w:szCs w:val="21"/>
          <w:highlight w:val="none"/>
          <w:u w:val="single"/>
        </w:rPr>
        <w:t xml:space="preserve"> 由甲方决定。</w:t>
      </w:r>
    </w:p>
    <w:p w14:paraId="2D16FCBE">
      <w:pPr>
        <w:snapToGrid w:val="0"/>
        <w:spacing w:line="360" w:lineRule="exact"/>
        <w:ind w:firstLine="422" w:firstLineChars="200"/>
        <w:rPr>
          <w:b/>
          <w:color w:val="auto"/>
          <w:szCs w:val="21"/>
          <w:highlight w:val="none"/>
        </w:rPr>
      </w:pPr>
      <w:r>
        <w:rPr>
          <w:b/>
          <w:color w:val="auto"/>
          <w:szCs w:val="21"/>
          <w:highlight w:val="none"/>
        </w:rPr>
        <w:t>第八条  售后服务、质保期</w:t>
      </w:r>
    </w:p>
    <w:p w14:paraId="1A9D6DB2">
      <w:pPr>
        <w:snapToGrid w:val="0"/>
        <w:spacing w:line="276" w:lineRule="auto"/>
        <w:ind w:firstLine="420" w:firstLineChars="200"/>
        <w:rPr>
          <w:color w:val="auto"/>
          <w:szCs w:val="21"/>
          <w:highlight w:val="none"/>
        </w:rPr>
      </w:pPr>
      <w:r>
        <w:rPr>
          <w:color w:val="auto"/>
          <w:szCs w:val="21"/>
          <w:highlight w:val="none"/>
        </w:rPr>
        <w:t>1.乙方应按照国家有关法律法规和“三包”规定以及</w:t>
      </w:r>
      <w:r>
        <w:rPr>
          <w:rFonts w:hint="eastAsia"/>
          <w:color w:val="auto"/>
          <w:szCs w:val="21"/>
          <w:highlight w:val="none"/>
        </w:rPr>
        <w:t>采购文件、响应文件</w:t>
      </w:r>
      <w:r>
        <w:rPr>
          <w:color w:val="auto"/>
          <w:szCs w:val="21"/>
          <w:highlight w:val="none"/>
        </w:rPr>
        <w:t>和本合同附件，为甲方提供售后服务。</w:t>
      </w:r>
    </w:p>
    <w:p w14:paraId="53099341">
      <w:pPr>
        <w:snapToGrid w:val="0"/>
        <w:spacing w:line="276" w:lineRule="auto"/>
        <w:ind w:firstLine="420" w:firstLineChars="200"/>
        <w:rPr>
          <w:color w:val="auto"/>
          <w:szCs w:val="21"/>
          <w:highlight w:val="none"/>
          <w:u w:val="single"/>
        </w:rPr>
      </w:pPr>
      <w:r>
        <w:rPr>
          <w:color w:val="auto"/>
          <w:szCs w:val="21"/>
          <w:highlight w:val="none"/>
        </w:rPr>
        <w:t>2.</w:t>
      </w:r>
      <w:r>
        <w:rPr>
          <w:rFonts w:hint="eastAsia"/>
          <w:color w:val="auto"/>
          <w:szCs w:val="21"/>
          <w:highlight w:val="none"/>
        </w:rPr>
        <w:t>产品</w:t>
      </w:r>
      <w:r>
        <w:rPr>
          <w:color w:val="auto"/>
          <w:szCs w:val="21"/>
          <w:highlight w:val="none"/>
        </w:rPr>
        <w:t>或服务成果质保期：</w:t>
      </w:r>
      <w:r>
        <w:rPr>
          <w:color w:val="auto"/>
          <w:szCs w:val="21"/>
          <w:highlight w:val="none"/>
          <w:u w:val="single"/>
        </w:rPr>
        <w:t>按乙方承诺，但是不得低于国家相关标准</w:t>
      </w:r>
      <w:r>
        <w:rPr>
          <w:color w:val="auto"/>
          <w:szCs w:val="21"/>
          <w:highlight w:val="none"/>
        </w:rPr>
        <w:t>。</w:t>
      </w:r>
    </w:p>
    <w:p w14:paraId="3D5706E7">
      <w:pPr>
        <w:snapToGrid w:val="0"/>
        <w:spacing w:line="276" w:lineRule="auto"/>
        <w:ind w:firstLine="420" w:firstLineChars="200"/>
        <w:rPr>
          <w:color w:val="auto"/>
          <w:szCs w:val="21"/>
          <w:highlight w:val="none"/>
        </w:rPr>
      </w:pPr>
      <w:r>
        <w:rPr>
          <w:color w:val="auto"/>
          <w:szCs w:val="21"/>
          <w:highlight w:val="none"/>
        </w:rPr>
        <w:t>3.按采购文件规定的服务质量标准，并达到或优于中标人承诺的标准。</w:t>
      </w:r>
    </w:p>
    <w:p w14:paraId="7949B2FB">
      <w:pPr>
        <w:snapToGrid w:val="0"/>
        <w:spacing w:line="276" w:lineRule="auto"/>
        <w:ind w:firstLine="420" w:firstLineChars="200"/>
        <w:rPr>
          <w:rFonts w:hint="eastAsia"/>
          <w:color w:val="auto"/>
          <w:szCs w:val="21"/>
          <w:highlight w:val="none"/>
        </w:rPr>
      </w:pPr>
      <w:r>
        <w:rPr>
          <w:color w:val="auto"/>
          <w:szCs w:val="21"/>
          <w:highlight w:val="none"/>
        </w:rPr>
        <w:t>4.乙方所提供的</w:t>
      </w:r>
      <w:r>
        <w:rPr>
          <w:rFonts w:hint="eastAsia"/>
          <w:color w:val="auto"/>
          <w:szCs w:val="21"/>
          <w:highlight w:val="none"/>
        </w:rPr>
        <w:t>服务内容、标准</w:t>
      </w:r>
      <w:r>
        <w:rPr>
          <w:color w:val="auto"/>
          <w:szCs w:val="21"/>
          <w:highlight w:val="none"/>
        </w:rPr>
        <w:t>必须与</w:t>
      </w:r>
      <w:r>
        <w:rPr>
          <w:rFonts w:hint="eastAsia"/>
          <w:color w:val="auto"/>
          <w:szCs w:val="21"/>
          <w:highlight w:val="none"/>
        </w:rPr>
        <w:t>采购文件、响应文件</w:t>
      </w:r>
      <w:r>
        <w:rPr>
          <w:color w:val="auto"/>
          <w:szCs w:val="21"/>
          <w:highlight w:val="none"/>
        </w:rPr>
        <w:t>和承诺相一致。</w:t>
      </w:r>
    </w:p>
    <w:p w14:paraId="4335E10F">
      <w:pPr>
        <w:snapToGrid w:val="0"/>
        <w:spacing w:line="276" w:lineRule="auto"/>
        <w:ind w:firstLine="420" w:firstLineChars="200"/>
        <w:rPr>
          <w:color w:val="auto"/>
          <w:szCs w:val="21"/>
          <w:highlight w:val="none"/>
        </w:rPr>
      </w:pPr>
      <w:r>
        <w:rPr>
          <w:color w:val="auto"/>
          <w:szCs w:val="21"/>
          <w:highlight w:val="none"/>
        </w:rPr>
        <w:t>5.如在使用过程中发生质量问题，乙方在接到甲方通知后在</w:t>
      </w:r>
      <w:r>
        <w:rPr>
          <w:color w:val="auto"/>
          <w:szCs w:val="21"/>
          <w:highlight w:val="none"/>
          <w:u w:val="single"/>
        </w:rPr>
        <w:t xml:space="preserve">    </w:t>
      </w:r>
      <w:r>
        <w:rPr>
          <w:color w:val="auto"/>
          <w:szCs w:val="21"/>
          <w:highlight w:val="none"/>
        </w:rPr>
        <w:t>小时内到达甲方现场。</w:t>
      </w:r>
    </w:p>
    <w:p w14:paraId="2B96FD24">
      <w:pPr>
        <w:snapToGrid w:val="0"/>
        <w:spacing w:line="276" w:lineRule="auto"/>
        <w:ind w:firstLine="420" w:firstLineChars="200"/>
        <w:rPr>
          <w:color w:val="auto"/>
          <w:szCs w:val="21"/>
          <w:highlight w:val="none"/>
        </w:rPr>
      </w:pPr>
      <w:r>
        <w:rPr>
          <w:color w:val="auto"/>
          <w:szCs w:val="21"/>
          <w:highlight w:val="none"/>
        </w:rPr>
        <w:t>6.在质保期内，乙方应对</w:t>
      </w:r>
      <w:r>
        <w:rPr>
          <w:rFonts w:hint="eastAsia"/>
          <w:color w:val="auto"/>
          <w:szCs w:val="21"/>
          <w:highlight w:val="none"/>
        </w:rPr>
        <w:t>产品</w:t>
      </w:r>
      <w:r>
        <w:rPr>
          <w:color w:val="auto"/>
          <w:szCs w:val="21"/>
          <w:highlight w:val="none"/>
        </w:rPr>
        <w:t>或服务成果出现的质量及安全问题负责处理解决并承担一切费用。</w:t>
      </w:r>
    </w:p>
    <w:p w14:paraId="7C924E00">
      <w:pPr>
        <w:snapToGrid w:val="0"/>
        <w:spacing w:line="276" w:lineRule="auto"/>
        <w:ind w:firstLine="420" w:firstLineChars="200"/>
        <w:rPr>
          <w:rFonts w:hint="eastAsia"/>
          <w:color w:val="auto"/>
          <w:szCs w:val="21"/>
          <w:highlight w:val="none"/>
        </w:rPr>
      </w:pPr>
      <w:r>
        <w:rPr>
          <w:rFonts w:hint="eastAsia"/>
          <w:color w:val="auto"/>
          <w:szCs w:val="21"/>
          <w:highlight w:val="none"/>
        </w:rPr>
        <w:t>7</w:t>
      </w:r>
      <w:r>
        <w:rPr>
          <w:color w:val="auto"/>
          <w:szCs w:val="21"/>
          <w:highlight w:val="none"/>
        </w:rPr>
        <w:t>.乙方提供的服务承诺和售后服务及质保期责任等</w:t>
      </w:r>
      <w:r>
        <w:rPr>
          <w:rFonts w:hint="eastAsia"/>
          <w:color w:val="auto"/>
          <w:szCs w:val="21"/>
          <w:highlight w:val="none"/>
          <w:lang w:eastAsia="zh-CN"/>
        </w:rPr>
        <w:t>其他</w:t>
      </w:r>
      <w:r>
        <w:rPr>
          <w:color w:val="auto"/>
          <w:szCs w:val="21"/>
          <w:highlight w:val="none"/>
        </w:rPr>
        <w:t>具体约定事项。</w:t>
      </w:r>
    </w:p>
    <w:p w14:paraId="53FE5526">
      <w:pPr>
        <w:snapToGrid w:val="0"/>
        <w:spacing w:line="360" w:lineRule="exact"/>
        <w:ind w:firstLine="422" w:firstLineChars="200"/>
        <w:rPr>
          <w:color w:val="auto"/>
          <w:szCs w:val="21"/>
          <w:highlight w:val="none"/>
        </w:rPr>
      </w:pPr>
      <w:r>
        <w:rPr>
          <w:b/>
          <w:color w:val="auto"/>
          <w:szCs w:val="21"/>
          <w:highlight w:val="none"/>
        </w:rPr>
        <w:t>第九条　付款方式</w:t>
      </w:r>
    </w:p>
    <w:p w14:paraId="13046E44">
      <w:pPr>
        <w:snapToGrid w:val="0"/>
        <w:spacing w:line="360" w:lineRule="exact"/>
        <w:ind w:firstLine="420" w:firstLineChars="200"/>
        <w:rPr>
          <w:color w:val="auto"/>
          <w:szCs w:val="21"/>
          <w:highlight w:val="none"/>
        </w:rPr>
      </w:pPr>
      <w:r>
        <w:rPr>
          <w:color w:val="auto"/>
          <w:szCs w:val="21"/>
          <w:highlight w:val="none"/>
        </w:rPr>
        <w:t>1.资金性质：</w:t>
      </w:r>
      <w:r>
        <w:rPr>
          <w:color w:val="auto"/>
          <w:szCs w:val="21"/>
          <w:highlight w:val="none"/>
          <w:u w:val="single"/>
        </w:rPr>
        <w:t>财政性资金。</w:t>
      </w:r>
    </w:p>
    <w:p w14:paraId="6FD17C51">
      <w:pPr>
        <w:snapToGrid w:val="0"/>
        <w:spacing w:line="360" w:lineRule="exact"/>
        <w:ind w:firstLine="420" w:firstLineChars="200"/>
        <w:rPr>
          <w:color w:val="auto"/>
          <w:szCs w:val="21"/>
          <w:highlight w:val="none"/>
        </w:rPr>
      </w:pPr>
      <w:r>
        <w:rPr>
          <w:color w:val="auto"/>
          <w:szCs w:val="21"/>
          <w:highlight w:val="none"/>
        </w:rPr>
        <w:t>2.付款方式：</w:t>
      </w:r>
    </w:p>
    <w:p w14:paraId="61454155">
      <w:pPr>
        <w:snapToGrid w:val="0"/>
        <w:spacing w:line="360" w:lineRule="auto"/>
        <w:ind w:firstLine="480"/>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eastAsia="zh-CN"/>
        </w:rPr>
        <w:t>）</w:t>
      </w:r>
      <w:r>
        <w:rPr>
          <w:rFonts w:ascii="宋体" w:hAnsi="宋体" w:cs="宋体"/>
          <w:color w:val="auto"/>
          <w:szCs w:val="21"/>
          <w:highlight w:val="none"/>
        </w:rPr>
        <w:t>自合同签订之日起且财政拨付项目预算款到位后10个工作日内，甲方向乙方支付合同金额的50%作为预付款；预付款申请时，乙方须开具相应金额的税额发票给甲方。</w:t>
      </w:r>
    </w:p>
    <w:p w14:paraId="2036FE6E">
      <w:pPr>
        <w:snapToGrid w:val="0"/>
        <w:spacing w:line="360" w:lineRule="auto"/>
        <w:ind w:firstLine="480"/>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w:t>
      </w:r>
      <w:r>
        <w:rPr>
          <w:rFonts w:ascii="宋体" w:hAnsi="宋体" w:cs="宋体"/>
          <w:color w:val="auto"/>
          <w:szCs w:val="21"/>
          <w:highlight w:val="none"/>
        </w:rPr>
        <w:t>乙方提交最终检验结果后，由甲方按抽检批次及整个抽检不合格率支付剩余检测服务费。剩余检测服务费申请时，乙方须开具相应金额的税额发票给甲方。</w:t>
      </w:r>
    </w:p>
    <w:p w14:paraId="6BD4CF16">
      <w:pPr>
        <w:snapToGrid w:val="0"/>
        <w:spacing w:line="360" w:lineRule="auto"/>
        <w:ind w:firstLine="420"/>
        <w:rPr>
          <w:rFonts w:ascii="宋体" w:hAnsi="宋体" w:cs="宋体"/>
          <w:color w:val="auto"/>
          <w:szCs w:val="21"/>
          <w:highlight w:val="none"/>
        </w:rPr>
      </w:pPr>
      <w:r>
        <w:rPr>
          <w:rFonts w:hint="eastAsia" w:ascii="宋体" w:hAnsi="宋体" w:cs="宋体"/>
          <w:color w:val="auto"/>
          <w:szCs w:val="21"/>
          <w:highlight w:val="none"/>
          <w:lang w:val="en-US" w:eastAsia="zh-CN"/>
        </w:rPr>
        <w:t>3.</w:t>
      </w:r>
      <w:r>
        <w:rPr>
          <w:rFonts w:ascii="宋体" w:hAnsi="宋体" w:cs="宋体"/>
          <w:color w:val="auto"/>
          <w:szCs w:val="21"/>
          <w:highlight w:val="none"/>
        </w:rPr>
        <w:t>付款条件：</w:t>
      </w:r>
    </w:p>
    <w:p w14:paraId="76F9A3C9">
      <w:pPr>
        <w:snapToGrid w:val="0"/>
        <w:spacing w:line="360" w:lineRule="auto"/>
        <w:ind w:firstLine="420"/>
        <w:rPr>
          <w:rFonts w:ascii="宋体" w:hAnsi="宋体" w:cs="宋体"/>
          <w:color w:val="auto"/>
          <w:szCs w:val="21"/>
          <w:highlight w:val="none"/>
        </w:rPr>
      </w:pPr>
      <w:r>
        <w:rPr>
          <w:rFonts w:ascii="宋体" w:hAnsi="宋体" w:cs="宋体"/>
          <w:color w:val="auto"/>
          <w:szCs w:val="21"/>
          <w:highlight w:val="none"/>
        </w:rPr>
        <w:t>乙方须按甲方要求进行抽样检验。抽检不合格率</w:t>
      </w:r>
      <w:r>
        <w:rPr>
          <w:rFonts w:hint="eastAsia" w:ascii="东文宋体" w:hAnsi="东文宋体" w:eastAsia="东文宋体" w:cs="东文宋体"/>
          <w:color w:val="auto"/>
          <w:szCs w:val="21"/>
          <w:highlight w:val="none"/>
        </w:rPr>
        <w:t>≥</w:t>
      </w:r>
      <w:r>
        <w:rPr>
          <w:rFonts w:ascii="宋体" w:hAnsi="宋体" w:cs="宋体"/>
          <w:color w:val="auto"/>
          <w:szCs w:val="21"/>
          <w:highlight w:val="none"/>
        </w:rPr>
        <w:t>5%。若乙方达到工作要求，则甲方支付抽检服务款。若乙方未达到工作要求，则甲方按比例支付部分抽检服务款（最少不低于合同金额的90%）。实际支付的抽检服务款比例与工作要求的对应关系见下表。</w:t>
      </w:r>
    </w:p>
    <w:tbl>
      <w:tblPr>
        <w:tblStyle w:val="51"/>
        <w:tblW w:w="5760" w:type="dxa"/>
        <w:jc w:val="center"/>
        <w:tblBorders>
          <w:top w:val="single" w:color="auto" w:sz="4" w:space="0"/>
          <w:left w:val="single" w:color="auto" w:sz="4" w:space="0"/>
          <w:bottom w:val="single" w:color="auto" w:sz="4" w:space="0"/>
          <w:right w:val="none" w:color="auto" w:sz="0" w:space="0"/>
          <w:insideH w:val="single" w:color="auto" w:sz="4" w:space="0"/>
          <w:insideV w:val="none" w:color="auto" w:sz="0" w:space="0"/>
        </w:tblBorders>
        <w:tblLayout w:type="autofit"/>
        <w:tblCellMar>
          <w:top w:w="0" w:type="dxa"/>
          <w:left w:w="103" w:type="dxa"/>
          <w:bottom w:w="0" w:type="dxa"/>
          <w:right w:w="108" w:type="dxa"/>
        </w:tblCellMar>
      </w:tblPr>
      <w:tblGrid>
        <w:gridCol w:w="2717"/>
        <w:gridCol w:w="3043"/>
      </w:tblGrid>
      <w:tr w14:paraId="01E9AFC7">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45" w:hRule="atLeast"/>
          <w:jc w:val="center"/>
        </w:trPr>
        <w:tc>
          <w:tcPr>
            <w:tcW w:w="2717" w:type="dxa"/>
            <w:tcBorders>
              <w:top w:val="single" w:color="000000" w:sz="4" w:space="0"/>
              <w:left w:val="single" w:color="000000" w:sz="4" w:space="0"/>
              <w:bottom w:val="single" w:color="000000" w:sz="4" w:space="0"/>
            </w:tcBorders>
            <w:noWrap w:val="0"/>
            <w:tcMar>
              <w:left w:w="103" w:type="dxa"/>
            </w:tcMar>
            <w:vAlign w:val="center"/>
          </w:tcPr>
          <w:p w14:paraId="2106722A">
            <w:pPr>
              <w:snapToGrid w:val="0"/>
              <w:jc w:val="center"/>
              <w:rPr>
                <w:rFonts w:ascii="宋体" w:hAnsi="宋体" w:cs="宋体"/>
                <w:color w:val="auto"/>
                <w:szCs w:val="21"/>
                <w:highlight w:val="none"/>
              </w:rPr>
            </w:pPr>
            <w:r>
              <w:rPr>
                <w:color w:val="auto"/>
                <w:szCs w:val="22"/>
                <w:highlight w:val="none"/>
              </w:rPr>
              <w:t>食品抽检不合格率</w:t>
            </w:r>
          </w:p>
        </w:tc>
        <w:tc>
          <w:tcPr>
            <w:tcW w:w="3043"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0219B0A3">
            <w:pPr>
              <w:snapToGrid w:val="0"/>
              <w:jc w:val="center"/>
              <w:rPr>
                <w:rFonts w:ascii="宋体" w:hAnsi="宋体" w:cs="宋体"/>
                <w:color w:val="auto"/>
                <w:szCs w:val="21"/>
                <w:highlight w:val="none"/>
              </w:rPr>
            </w:pPr>
            <w:r>
              <w:rPr>
                <w:color w:val="auto"/>
                <w:szCs w:val="22"/>
                <w:highlight w:val="none"/>
              </w:rPr>
              <w:t>实际支付抽检服务款比例</w:t>
            </w:r>
          </w:p>
        </w:tc>
      </w:tr>
      <w:tr w14:paraId="3A3F3949">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45" w:hRule="atLeast"/>
          <w:jc w:val="center"/>
        </w:trPr>
        <w:tc>
          <w:tcPr>
            <w:tcW w:w="2717" w:type="dxa"/>
            <w:tcBorders>
              <w:top w:val="single" w:color="000000" w:sz="4" w:space="0"/>
              <w:left w:val="single" w:color="000000" w:sz="4" w:space="0"/>
              <w:bottom w:val="single" w:color="000000" w:sz="4" w:space="0"/>
            </w:tcBorders>
            <w:noWrap w:val="0"/>
            <w:tcMar>
              <w:left w:w="103" w:type="dxa"/>
            </w:tcMar>
            <w:vAlign w:val="center"/>
          </w:tcPr>
          <w:p w14:paraId="062D15DE">
            <w:pPr>
              <w:snapToGrid w:val="0"/>
              <w:jc w:val="center"/>
              <w:rPr>
                <w:rFonts w:ascii="宋体" w:hAnsi="宋体" w:cs="宋体"/>
                <w:color w:val="auto"/>
                <w:szCs w:val="21"/>
                <w:highlight w:val="none"/>
              </w:rPr>
            </w:pPr>
            <w:r>
              <w:rPr>
                <w:color w:val="auto"/>
                <w:szCs w:val="22"/>
                <w:highlight w:val="none"/>
              </w:rPr>
              <w:t>5%（含）以上</w:t>
            </w:r>
          </w:p>
        </w:tc>
        <w:tc>
          <w:tcPr>
            <w:tcW w:w="3043"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14416FC3">
            <w:pPr>
              <w:snapToGrid w:val="0"/>
              <w:jc w:val="center"/>
              <w:rPr>
                <w:rFonts w:ascii="宋体" w:hAnsi="宋体" w:cs="宋体"/>
                <w:color w:val="auto"/>
                <w:szCs w:val="21"/>
                <w:highlight w:val="none"/>
              </w:rPr>
            </w:pPr>
            <w:r>
              <w:rPr>
                <w:color w:val="auto"/>
                <w:szCs w:val="22"/>
                <w:highlight w:val="none"/>
              </w:rPr>
              <w:t>100%</w:t>
            </w:r>
          </w:p>
        </w:tc>
      </w:tr>
      <w:tr w14:paraId="12E490C6">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45" w:hRule="atLeast"/>
          <w:jc w:val="center"/>
        </w:trPr>
        <w:tc>
          <w:tcPr>
            <w:tcW w:w="2717" w:type="dxa"/>
            <w:tcBorders>
              <w:top w:val="single" w:color="000000" w:sz="4" w:space="0"/>
              <w:left w:val="single" w:color="000000" w:sz="4" w:space="0"/>
              <w:bottom w:val="single" w:color="000000" w:sz="4" w:space="0"/>
            </w:tcBorders>
            <w:noWrap w:val="0"/>
            <w:tcMar>
              <w:left w:w="103" w:type="dxa"/>
            </w:tcMar>
            <w:vAlign w:val="center"/>
          </w:tcPr>
          <w:p w14:paraId="26122286">
            <w:pPr>
              <w:snapToGrid w:val="0"/>
              <w:jc w:val="center"/>
              <w:rPr>
                <w:rFonts w:ascii="宋体" w:hAnsi="宋体" w:cs="宋体"/>
                <w:color w:val="auto"/>
                <w:szCs w:val="21"/>
                <w:highlight w:val="none"/>
              </w:rPr>
            </w:pPr>
            <w:r>
              <w:rPr>
                <w:color w:val="auto"/>
                <w:szCs w:val="22"/>
                <w:highlight w:val="none"/>
              </w:rPr>
              <w:t>4%（含）—5%（不含）</w:t>
            </w:r>
          </w:p>
        </w:tc>
        <w:tc>
          <w:tcPr>
            <w:tcW w:w="3043"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62000DB9">
            <w:pPr>
              <w:snapToGrid w:val="0"/>
              <w:jc w:val="center"/>
              <w:rPr>
                <w:rFonts w:ascii="宋体" w:hAnsi="宋体" w:cs="宋体"/>
                <w:color w:val="auto"/>
                <w:szCs w:val="21"/>
                <w:highlight w:val="none"/>
              </w:rPr>
            </w:pPr>
            <w:r>
              <w:rPr>
                <w:color w:val="auto"/>
                <w:szCs w:val="22"/>
                <w:highlight w:val="none"/>
              </w:rPr>
              <w:t>95%</w:t>
            </w:r>
          </w:p>
        </w:tc>
      </w:tr>
      <w:tr w14:paraId="5962904E">
        <w:tblPrEx>
          <w:tblBorders>
            <w:top w:val="single" w:color="auto" w:sz="4" w:space="0"/>
            <w:left w:val="single" w:color="auto" w:sz="4" w:space="0"/>
            <w:bottom w:val="single" w:color="auto" w:sz="4" w:space="0"/>
            <w:right w:val="none" w:color="auto" w:sz="0" w:space="0"/>
            <w:insideH w:val="single" w:color="auto" w:sz="4" w:space="0"/>
            <w:insideV w:val="none" w:color="auto" w:sz="0" w:space="0"/>
          </w:tblBorders>
          <w:tblCellMar>
            <w:top w:w="0" w:type="dxa"/>
            <w:left w:w="103" w:type="dxa"/>
            <w:bottom w:w="0" w:type="dxa"/>
            <w:right w:w="108" w:type="dxa"/>
          </w:tblCellMar>
        </w:tblPrEx>
        <w:trPr>
          <w:trHeight w:val="345" w:hRule="atLeast"/>
          <w:jc w:val="center"/>
        </w:trPr>
        <w:tc>
          <w:tcPr>
            <w:tcW w:w="2717" w:type="dxa"/>
            <w:tcBorders>
              <w:top w:val="single" w:color="000000" w:sz="4" w:space="0"/>
              <w:left w:val="single" w:color="000000" w:sz="4" w:space="0"/>
              <w:bottom w:val="single" w:color="000000" w:sz="4" w:space="0"/>
            </w:tcBorders>
            <w:noWrap w:val="0"/>
            <w:tcMar>
              <w:left w:w="103" w:type="dxa"/>
            </w:tcMar>
            <w:vAlign w:val="center"/>
          </w:tcPr>
          <w:p w14:paraId="484A2679">
            <w:pPr>
              <w:snapToGrid w:val="0"/>
              <w:jc w:val="center"/>
              <w:rPr>
                <w:rFonts w:ascii="宋体" w:hAnsi="宋体" w:cs="宋体"/>
                <w:color w:val="auto"/>
                <w:szCs w:val="21"/>
                <w:highlight w:val="none"/>
              </w:rPr>
            </w:pPr>
            <w:r>
              <w:rPr>
                <w:color w:val="auto"/>
                <w:szCs w:val="22"/>
                <w:highlight w:val="none"/>
              </w:rPr>
              <w:t>4%（不含）以下</w:t>
            </w:r>
          </w:p>
        </w:tc>
        <w:tc>
          <w:tcPr>
            <w:tcW w:w="3043" w:type="dxa"/>
            <w:tcBorders>
              <w:top w:val="single" w:color="000000" w:sz="4" w:space="0"/>
              <w:left w:val="single" w:color="000000" w:sz="4" w:space="0"/>
              <w:bottom w:val="single" w:color="000000" w:sz="4" w:space="0"/>
              <w:right w:val="single" w:color="000000" w:sz="4" w:space="0"/>
            </w:tcBorders>
            <w:noWrap w:val="0"/>
            <w:tcMar>
              <w:left w:w="103" w:type="dxa"/>
            </w:tcMar>
            <w:vAlign w:val="center"/>
          </w:tcPr>
          <w:p w14:paraId="255E3721">
            <w:pPr>
              <w:snapToGrid w:val="0"/>
              <w:jc w:val="center"/>
              <w:rPr>
                <w:rFonts w:ascii="宋体" w:hAnsi="宋体" w:cs="宋体"/>
                <w:color w:val="auto"/>
                <w:szCs w:val="21"/>
                <w:highlight w:val="none"/>
              </w:rPr>
            </w:pPr>
            <w:r>
              <w:rPr>
                <w:color w:val="auto"/>
                <w:szCs w:val="22"/>
                <w:highlight w:val="none"/>
              </w:rPr>
              <w:t>90%</w:t>
            </w:r>
          </w:p>
        </w:tc>
      </w:tr>
    </w:tbl>
    <w:p w14:paraId="496F7D90">
      <w:pPr>
        <w:snapToGrid w:val="0"/>
        <w:spacing w:before="156" w:line="430" w:lineRule="exact"/>
        <w:ind w:firstLine="420"/>
        <w:rPr>
          <w:rFonts w:cs="宋体"/>
          <w:color w:val="auto"/>
          <w:szCs w:val="21"/>
          <w:highlight w:val="none"/>
        </w:rPr>
      </w:pPr>
      <w:r>
        <w:rPr>
          <w:rFonts w:hint="eastAsia" w:cs="宋体"/>
          <w:color w:val="auto"/>
          <w:szCs w:val="21"/>
          <w:highlight w:val="none"/>
          <w:lang w:val="en-US" w:eastAsia="zh-CN"/>
        </w:rPr>
        <w:t>4.</w:t>
      </w:r>
      <w:r>
        <w:rPr>
          <w:rFonts w:cs="宋体"/>
          <w:color w:val="auto"/>
          <w:szCs w:val="21"/>
          <w:highlight w:val="none"/>
        </w:rPr>
        <w:t>初检结论为不合格，复检结论为合格的，相关费用由乙方（初检机构）承担。</w:t>
      </w:r>
    </w:p>
    <w:p w14:paraId="145A2B2D">
      <w:pPr>
        <w:snapToGrid w:val="0"/>
        <w:spacing w:line="360" w:lineRule="exact"/>
        <w:ind w:firstLine="422" w:firstLineChars="200"/>
        <w:rPr>
          <w:b/>
          <w:color w:val="auto"/>
          <w:szCs w:val="21"/>
          <w:highlight w:val="none"/>
        </w:rPr>
      </w:pPr>
      <w:r>
        <w:rPr>
          <w:b/>
          <w:color w:val="auto"/>
          <w:szCs w:val="21"/>
          <w:highlight w:val="none"/>
        </w:rPr>
        <w:t>第十条履约保证金</w:t>
      </w:r>
      <w:r>
        <w:rPr>
          <w:rFonts w:hint="eastAsia"/>
          <w:b/>
          <w:color w:val="auto"/>
          <w:szCs w:val="21"/>
          <w:highlight w:val="none"/>
        </w:rPr>
        <w:t>及响应保证金</w:t>
      </w:r>
      <w:r>
        <w:rPr>
          <w:b/>
          <w:color w:val="auto"/>
          <w:szCs w:val="21"/>
          <w:highlight w:val="none"/>
        </w:rPr>
        <w:t xml:space="preserve">   </w:t>
      </w:r>
    </w:p>
    <w:p w14:paraId="2098BD50">
      <w:pPr>
        <w:spacing w:line="300" w:lineRule="exact"/>
        <w:ind w:firstLine="420" w:firstLineChars="200"/>
        <w:jc w:val="left"/>
        <w:rPr>
          <w:color w:val="auto"/>
          <w:szCs w:val="21"/>
          <w:highlight w:val="none"/>
        </w:rPr>
      </w:pPr>
      <w:r>
        <w:rPr>
          <w:color w:val="auto"/>
          <w:szCs w:val="21"/>
          <w:highlight w:val="none"/>
        </w:rPr>
        <w:t>履约保证金</w:t>
      </w:r>
      <w:r>
        <w:rPr>
          <w:rFonts w:hint="eastAsia"/>
          <w:color w:val="auto"/>
          <w:szCs w:val="21"/>
          <w:highlight w:val="none"/>
        </w:rPr>
        <w:t>金额及缴纳时间：</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rFonts w:hint="eastAsia"/>
          <w:color w:val="auto"/>
          <w:szCs w:val="21"/>
          <w:highlight w:val="none"/>
        </w:rPr>
        <w:t>【备注：不超过合同金额的</w:t>
      </w:r>
      <w:r>
        <w:rPr>
          <w:color w:val="auto"/>
          <w:szCs w:val="21"/>
          <w:highlight w:val="none"/>
        </w:rPr>
        <w:t>5%</w:t>
      </w:r>
      <w:r>
        <w:rPr>
          <w:rFonts w:hint="eastAsia"/>
          <w:color w:val="auto"/>
          <w:szCs w:val="21"/>
          <w:highlight w:val="none"/>
        </w:rPr>
        <w:t>，如为中小企业，不超过合同金额的2</w:t>
      </w:r>
      <w:r>
        <w:rPr>
          <w:color w:val="auto"/>
          <w:szCs w:val="21"/>
          <w:highlight w:val="none"/>
        </w:rPr>
        <w:t>%</w:t>
      </w:r>
      <w:r>
        <w:rPr>
          <w:rFonts w:hint="eastAsia"/>
          <w:color w:val="auto"/>
          <w:szCs w:val="21"/>
          <w:highlight w:val="none"/>
        </w:rPr>
        <w:t>】【备注：注意根据各地市的规定调整履约保证金比例】</w:t>
      </w:r>
    </w:p>
    <w:p w14:paraId="0AB25A34">
      <w:pPr>
        <w:spacing w:line="300" w:lineRule="exact"/>
        <w:ind w:firstLine="420" w:firstLineChars="200"/>
        <w:jc w:val="left"/>
        <w:rPr>
          <w:color w:val="auto"/>
          <w:szCs w:val="21"/>
          <w:highlight w:val="none"/>
        </w:rPr>
      </w:pPr>
      <w:r>
        <w:rPr>
          <w:rFonts w:hint="eastAsia"/>
          <w:color w:val="auto"/>
          <w:szCs w:val="21"/>
          <w:highlight w:val="none"/>
        </w:rPr>
        <w:t>履约保证金缴纳形式：供应商可以选择</w:t>
      </w:r>
      <w:r>
        <w:rPr>
          <w:color w:val="auto"/>
          <w:szCs w:val="21"/>
          <w:highlight w:val="none"/>
        </w:rPr>
        <w:t>电汇、转账</w:t>
      </w:r>
      <w:r>
        <w:rPr>
          <w:rFonts w:hint="eastAsia"/>
          <w:color w:val="auto"/>
          <w:szCs w:val="21"/>
          <w:highlight w:val="none"/>
        </w:rPr>
        <w:t>、</w:t>
      </w:r>
      <w:r>
        <w:rPr>
          <w:color w:val="auto"/>
          <w:szCs w:val="21"/>
          <w:highlight w:val="none"/>
        </w:rPr>
        <w:t>支票、汇票、本票、保函等形式缴纳或提交</w:t>
      </w:r>
      <w:r>
        <w:rPr>
          <w:rFonts w:hint="eastAsia"/>
          <w:color w:val="auto"/>
          <w:szCs w:val="21"/>
          <w:highlight w:val="none"/>
        </w:rPr>
        <w:t>；采用保函形式缴纳的，采购人在保证期限届满后及时对收取的保证金进行核实和结算。</w:t>
      </w:r>
    </w:p>
    <w:p w14:paraId="5027E586">
      <w:pPr>
        <w:spacing w:line="276" w:lineRule="auto"/>
        <w:ind w:firstLine="420" w:firstLineChars="200"/>
        <w:rPr>
          <w:color w:val="auto"/>
          <w:szCs w:val="21"/>
          <w:highlight w:val="none"/>
          <w:u w:val="single"/>
        </w:rPr>
      </w:pPr>
      <w:r>
        <w:rPr>
          <w:color w:val="auto"/>
          <w:szCs w:val="21"/>
          <w:highlight w:val="none"/>
        </w:rPr>
        <w:t>保证金缴纳的账号信息：</w:t>
      </w:r>
      <w:r>
        <w:rPr>
          <w:rFonts w:hint="eastAsia"/>
          <w:color w:val="auto"/>
          <w:szCs w:val="21"/>
          <w:highlight w:val="none"/>
          <w:u w:val="single"/>
        </w:rPr>
        <w:t xml:space="preserve"> </w:t>
      </w:r>
      <w:r>
        <w:rPr>
          <w:color w:val="auto"/>
          <w:szCs w:val="21"/>
          <w:highlight w:val="none"/>
          <w:u w:val="single"/>
        </w:rPr>
        <w:t xml:space="preserve">               </w:t>
      </w:r>
    </w:p>
    <w:p w14:paraId="32462417">
      <w:pPr>
        <w:spacing w:line="276" w:lineRule="auto"/>
        <w:ind w:firstLine="420" w:firstLineChars="200"/>
        <w:rPr>
          <w:color w:val="auto"/>
          <w:szCs w:val="21"/>
          <w:highlight w:val="none"/>
          <w:u w:val="single"/>
        </w:rPr>
      </w:pPr>
      <w:r>
        <w:rPr>
          <w:color w:val="auto"/>
          <w:szCs w:val="21"/>
          <w:highlight w:val="none"/>
        </w:rPr>
        <w:t>开户名称：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14EF9835">
      <w:pPr>
        <w:spacing w:line="276" w:lineRule="auto"/>
        <w:ind w:firstLine="420" w:firstLineChars="200"/>
        <w:rPr>
          <w:color w:val="auto"/>
          <w:szCs w:val="21"/>
          <w:highlight w:val="none"/>
          <w:u w:val="single"/>
        </w:rPr>
      </w:pPr>
      <w:r>
        <w:rPr>
          <w:color w:val="auto"/>
          <w:szCs w:val="21"/>
          <w:highlight w:val="none"/>
        </w:rPr>
        <w:t>开户银行：</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14:paraId="43AE7B86">
      <w:pPr>
        <w:spacing w:line="276" w:lineRule="auto"/>
        <w:ind w:firstLine="420" w:firstLineChars="200"/>
        <w:rPr>
          <w:color w:val="auto"/>
          <w:szCs w:val="21"/>
          <w:highlight w:val="none"/>
          <w:u w:val="single"/>
        </w:rPr>
      </w:pPr>
      <w:r>
        <w:rPr>
          <w:color w:val="auto"/>
          <w:szCs w:val="21"/>
          <w:highlight w:val="none"/>
        </w:rPr>
        <w:t>银行账号：</w:t>
      </w:r>
      <w:r>
        <w:rPr>
          <w:rFonts w:hint="eastAsia"/>
          <w:color w:val="auto"/>
          <w:szCs w:val="21"/>
          <w:highlight w:val="none"/>
          <w:u w:val="single"/>
        </w:rPr>
        <w:t xml:space="preserve"> </w:t>
      </w:r>
      <w:r>
        <w:rPr>
          <w:color w:val="auto"/>
          <w:szCs w:val="21"/>
          <w:highlight w:val="none"/>
          <w:u w:val="single"/>
        </w:rPr>
        <w:t xml:space="preserve">                  </w:t>
      </w:r>
    </w:p>
    <w:p w14:paraId="4EF382D6">
      <w:pPr>
        <w:snapToGrid w:val="0"/>
        <w:spacing w:line="360" w:lineRule="exact"/>
        <w:ind w:firstLine="420" w:firstLineChars="200"/>
        <w:rPr>
          <w:color w:val="auto"/>
          <w:szCs w:val="21"/>
          <w:highlight w:val="none"/>
        </w:rPr>
      </w:pPr>
      <w:r>
        <w:rPr>
          <w:rFonts w:hint="eastAsia"/>
          <w:color w:val="auto"/>
          <w:szCs w:val="21"/>
          <w:highlight w:val="none"/>
        </w:rPr>
        <w:t>履约保证金退还方式及时间、条件、不予退还的情形：履约保证金自合同生效之日起生效至合同材料验收证书或进度款支付函签署之日起2</w:t>
      </w:r>
      <w:r>
        <w:rPr>
          <w:color w:val="auto"/>
          <w:szCs w:val="21"/>
          <w:highlight w:val="none"/>
        </w:rPr>
        <w:t>8</w:t>
      </w:r>
      <w:r>
        <w:rPr>
          <w:rFonts w:hint="eastAsia"/>
          <w:color w:val="auto"/>
          <w:szCs w:val="21"/>
          <w:highlight w:val="none"/>
        </w:rPr>
        <w:t>天后失效，</w:t>
      </w:r>
      <w:r>
        <w:rPr>
          <w:color w:val="auto"/>
          <w:szCs w:val="21"/>
          <w:highlight w:val="none"/>
        </w:rPr>
        <w:t>项目验收合格后，中标人可向采购人申请办理履约保证金的退付手续；</w:t>
      </w:r>
      <w:bookmarkStart w:id="77" w:name="_Hlk155171868"/>
      <w:r>
        <w:rPr>
          <w:rFonts w:hint="eastAsia"/>
          <w:color w:val="auto"/>
          <w:szCs w:val="21"/>
          <w:highlight w:val="none"/>
        </w:rPr>
        <w:t>采购人应当按照合同约定的退还方式，在5个工作日内办理履约保证金退还手续。</w:t>
      </w:r>
      <w:bookmarkEnd w:id="77"/>
      <w:r>
        <w:rPr>
          <w:color w:val="auto"/>
          <w:highlight w:val="none"/>
        </w:rPr>
        <w:t>如果</w:t>
      </w:r>
      <w:r>
        <w:rPr>
          <w:rFonts w:hint="eastAsia"/>
          <w:color w:val="auto"/>
          <w:highlight w:val="none"/>
        </w:rPr>
        <w:t>中标人</w:t>
      </w:r>
      <w:r>
        <w:rPr>
          <w:color w:val="auto"/>
          <w:highlight w:val="none"/>
        </w:rPr>
        <w:t>不履行合同约定的义务或其履行不符合合同的 约定，</w:t>
      </w:r>
      <w:r>
        <w:rPr>
          <w:rFonts w:hint="eastAsia"/>
          <w:color w:val="auto"/>
          <w:highlight w:val="none"/>
        </w:rPr>
        <w:t>采购人</w:t>
      </w:r>
      <w:r>
        <w:rPr>
          <w:color w:val="auto"/>
          <w:highlight w:val="none"/>
        </w:rPr>
        <w:t>有权扣划</w:t>
      </w:r>
      <w:r>
        <w:rPr>
          <w:rFonts w:hint="eastAsia"/>
          <w:color w:val="auto"/>
          <w:highlight w:val="none"/>
        </w:rPr>
        <w:t>全部或</w:t>
      </w:r>
      <w:r>
        <w:rPr>
          <w:color w:val="auto"/>
          <w:highlight w:val="none"/>
        </w:rPr>
        <w:t>相应金额的履约保证金。</w:t>
      </w:r>
      <w:r>
        <w:rPr>
          <w:color w:val="auto"/>
          <w:szCs w:val="21"/>
          <w:highlight w:val="none"/>
        </w:rPr>
        <w:t xml:space="preserve"> </w:t>
      </w:r>
    </w:p>
    <w:p w14:paraId="46A12F27">
      <w:pPr>
        <w:snapToGrid w:val="0"/>
        <w:spacing w:line="300" w:lineRule="exact"/>
        <w:ind w:firstLine="420" w:firstLineChars="200"/>
        <w:rPr>
          <w:color w:val="auto"/>
          <w:szCs w:val="21"/>
          <w:highlight w:val="none"/>
        </w:rPr>
      </w:pPr>
      <w:r>
        <w:rPr>
          <w:rFonts w:hint="eastAsia"/>
          <w:color w:val="auto"/>
          <w:szCs w:val="21"/>
          <w:highlight w:val="none"/>
        </w:rPr>
        <w:t>履约保证金符合退还条件的，采购人在收到中标人提交的履约保证金退付申请之日起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天内退还履约保证金，如未在规定时间内退还的，中标人可予以催告，采购人应按中国人民银行发布的同期同类贷款基准利率向中标人支付自催告日期起的利息。</w:t>
      </w:r>
    </w:p>
    <w:p w14:paraId="51610873">
      <w:pPr>
        <w:snapToGrid w:val="0"/>
        <w:spacing w:line="360" w:lineRule="exact"/>
        <w:ind w:firstLine="422" w:firstLineChars="200"/>
        <w:rPr>
          <w:b/>
          <w:color w:val="auto"/>
          <w:szCs w:val="21"/>
          <w:highlight w:val="none"/>
        </w:rPr>
      </w:pPr>
      <w:r>
        <w:rPr>
          <w:b/>
          <w:color w:val="auto"/>
          <w:szCs w:val="21"/>
          <w:highlight w:val="none"/>
        </w:rPr>
        <w:t>第十一条 税费</w:t>
      </w:r>
    </w:p>
    <w:p w14:paraId="528C0937">
      <w:pPr>
        <w:snapToGrid w:val="0"/>
        <w:spacing w:line="360" w:lineRule="exact"/>
        <w:ind w:firstLine="420" w:firstLineChars="200"/>
        <w:rPr>
          <w:color w:val="auto"/>
          <w:szCs w:val="21"/>
          <w:highlight w:val="none"/>
        </w:rPr>
      </w:pPr>
      <w:r>
        <w:rPr>
          <w:color w:val="auto"/>
          <w:szCs w:val="21"/>
          <w:highlight w:val="none"/>
        </w:rPr>
        <w:t>本合同执行中相关的一切税费均由乙方</w:t>
      </w:r>
      <w:r>
        <w:rPr>
          <w:rFonts w:hint="eastAsia"/>
          <w:color w:val="auto"/>
          <w:szCs w:val="21"/>
          <w:highlight w:val="none"/>
        </w:rPr>
        <w:t>承</w:t>
      </w:r>
      <w:r>
        <w:rPr>
          <w:color w:val="auto"/>
          <w:szCs w:val="21"/>
          <w:highlight w:val="none"/>
        </w:rPr>
        <w:t>担。</w:t>
      </w:r>
    </w:p>
    <w:p w14:paraId="2D7B8635">
      <w:pPr>
        <w:snapToGrid w:val="0"/>
        <w:spacing w:line="360" w:lineRule="exact"/>
        <w:ind w:firstLine="422" w:firstLineChars="200"/>
        <w:rPr>
          <w:b/>
          <w:color w:val="auto"/>
          <w:szCs w:val="21"/>
          <w:highlight w:val="none"/>
        </w:rPr>
      </w:pPr>
      <w:r>
        <w:rPr>
          <w:b/>
          <w:color w:val="auto"/>
          <w:szCs w:val="21"/>
          <w:highlight w:val="none"/>
        </w:rPr>
        <w:t>第十</w:t>
      </w:r>
      <w:r>
        <w:rPr>
          <w:rFonts w:hint="eastAsia"/>
          <w:b/>
          <w:color w:val="auto"/>
          <w:szCs w:val="21"/>
          <w:highlight w:val="none"/>
        </w:rPr>
        <w:t>二</w:t>
      </w:r>
      <w:r>
        <w:rPr>
          <w:b/>
          <w:color w:val="auto"/>
          <w:szCs w:val="21"/>
          <w:highlight w:val="none"/>
        </w:rPr>
        <w:t>条　违约责任</w:t>
      </w:r>
    </w:p>
    <w:p w14:paraId="1164F68F">
      <w:pPr>
        <w:snapToGrid w:val="0"/>
        <w:spacing w:line="300" w:lineRule="exact"/>
        <w:ind w:firstLine="420" w:firstLineChars="200"/>
        <w:rPr>
          <w:color w:val="auto"/>
          <w:szCs w:val="21"/>
          <w:highlight w:val="none"/>
        </w:rPr>
      </w:pPr>
      <w:r>
        <w:rPr>
          <w:color w:val="auto"/>
          <w:szCs w:val="21"/>
          <w:highlight w:val="none"/>
        </w:rPr>
        <w:t>1.</w:t>
      </w:r>
      <w:r>
        <w:rPr>
          <w:rFonts w:eastAsia="微软雅黑"/>
          <w:color w:val="auto"/>
          <w:szCs w:val="21"/>
          <w:highlight w:val="none"/>
        </w:rPr>
        <w:t xml:space="preserve"> </w:t>
      </w:r>
      <w:r>
        <w:rPr>
          <w:color w:val="auto"/>
          <w:szCs w:val="21"/>
          <w:highlight w:val="none"/>
        </w:rPr>
        <w:t>若因乙方原因而未能履行合同或最终验收不合格的，甲方</w:t>
      </w:r>
      <w:r>
        <w:rPr>
          <w:rFonts w:hint="eastAsia"/>
          <w:color w:val="auto"/>
          <w:szCs w:val="21"/>
          <w:highlight w:val="none"/>
        </w:rPr>
        <w:t>有权</w:t>
      </w:r>
      <w:r>
        <w:rPr>
          <w:color w:val="auto"/>
          <w:szCs w:val="21"/>
          <w:highlight w:val="none"/>
        </w:rPr>
        <w:t>解除合同，由此产生的费用由乙方承担</w:t>
      </w:r>
      <w:r>
        <w:rPr>
          <w:rFonts w:hint="eastAsia"/>
          <w:color w:val="auto"/>
          <w:szCs w:val="21"/>
          <w:highlight w:val="none"/>
        </w:rPr>
        <w:t>，给甲方造成其他损失的，乙方应进行赔偿，并承担甲方追究的其他违约责任。</w:t>
      </w:r>
    </w:p>
    <w:p w14:paraId="51D92870">
      <w:pPr>
        <w:snapToGrid w:val="0"/>
        <w:spacing w:line="300" w:lineRule="exact"/>
        <w:ind w:firstLine="420" w:firstLineChars="200"/>
        <w:rPr>
          <w:color w:val="auto"/>
          <w:szCs w:val="21"/>
          <w:highlight w:val="none"/>
        </w:rPr>
      </w:pPr>
      <w:r>
        <w:rPr>
          <w:rFonts w:hint="eastAsia"/>
          <w:color w:val="auto"/>
          <w:szCs w:val="21"/>
          <w:highlight w:val="none"/>
        </w:rPr>
        <w:t>2</w:t>
      </w:r>
      <w:r>
        <w:rPr>
          <w:color w:val="auto"/>
          <w:szCs w:val="21"/>
          <w:highlight w:val="none"/>
        </w:rPr>
        <w:t>.乙方逾期交</w:t>
      </w:r>
      <w:r>
        <w:rPr>
          <w:rFonts w:hint="eastAsia"/>
          <w:color w:val="auto"/>
          <w:szCs w:val="21"/>
          <w:highlight w:val="none"/>
        </w:rPr>
        <w:t>付产品</w:t>
      </w:r>
      <w:r>
        <w:rPr>
          <w:color w:val="auto"/>
          <w:szCs w:val="21"/>
          <w:highlight w:val="none"/>
        </w:rPr>
        <w:t>或服务成果的，</w:t>
      </w:r>
      <w:r>
        <w:rPr>
          <w:rFonts w:hint="eastAsia"/>
          <w:color w:val="auto"/>
          <w:szCs w:val="21"/>
          <w:highlight w:val="none"/>
        </w:rPr>
        <w:t>应</w:t>
      </w:r>
      <w:r>
        <w:rPr>
          <w:color w:val="auto"/>
          <w:szCs w:val="21"/>
          <w:highlight w:val="none"/>
        </w:rPr>
        <w:t>向</w:t>
      </w:r>
      <w:r>
        <w:rPr>
          <w:rFonts w:hint="eastAsia"/>
          <w:color w:val="auto"/>
          <w:szCs w:val="21"/>
          <w:highlight w:val="none"/>
        </w:rPr>
        <w:t>甲</w:t>
      </w:r>
      <w:r>
        <w:rPr>
          <w:color w:val="auto"/>
          <w:szCs w:val="21"/>
          <w:highlight w:val="none"/>
        </w:rPr>
        <w:t>方</w:t>
      </w:r>
      <w:r>
        <w:rPr>
          <w:rFonts w:hint="eastAsia"/>
          <w:color w:val="auto"/>
          <w:szCs w:val="21"/>
          <w:highlight w:val="none"/>
        </w:rPr>
        <w:t>支付</w:t>
      </w:r>
      <w:r>
        <w:rPr>
          <w:color w:val="auto"/>
          <w:szCs w:val="21"/>
          <w:highlight w:val="none"/>
        </w:rPr>
        <w:t>违约</w:t>
      </w:r>
      <w:r>
        <w:rPr>
          <w:rFonts w:hint="eastAsia"/>
          <w:color w:val="auto"/>
          <w:szCs w:val="21"/>
          <w:highlight w:val="none"/>
        </w:rPr>
        <w:t>金，标准为合同总价</w:t>
      </w:r>
      <w:r>
        <w:rPr>
          <w:color w:val="auto"/>
          <w:szCs w:val="21"/>
          <w:highlight w:val="none"/>
          <w:u w:val="single"/>
        </w:rPr>
        <w:t>3‰</w:t>
      </w:r>
      <w:r>
        <w:rPr>
          <w:color w:val="auto"/>
          <w:szCs w:val="21"/>
          <w:highlight w:val="none"/>
        </w:rPr>
        <w:t>/</w:t>
      </w:r>
      <w:r>
        <w:rPr>
          <w:rFonts w:hint="eastAsia"/>
          <w:color w:val="auto"/>
          <w:szCs w:val="21"/>
          <w:highlight w:val="none"/>
        </w:rPr>
        <w:t>日</w:t>
      </w:r>
      <w:r>
        <w:rPr>
          <w:color w:val="auto"/>
          <w:szCs w:val="21"/>
          <w:highlight w:val="none"/>
        </w:rPr>
        <w:t>，但违约金累计不得超过</w:t>
      </w:r>
      <w:r>
        <w:rPr>
          <w:rFonts w:hint="eastAsia"/>
          <w:color w:val="auto"/>
          <w:highlight w:val="none"/>
        </w:rPr>
        <w:t>合同总金额</w:t>
      </w:r>
      <w:r>
        <w:rPr>
          <w:color w:val="auto"/>
          <w:szCs w:val="21"/>
          <w:highlight w:val="none"/>
          <w:u w:val="single"/>
        </w:rPr>
        <w:t>5%，</w:t>
      </w:r>
      <w:r>
        <w:rPr>
          <w:color w:val="auto"/>
          <w:szCs w:val="21"/>
          <w:highlight w:val="none"/>
        </w:rPr>
        <w:t>甲方延</w:t>
      </w:r>
      <w:r>
        <w:rPr>
          <w:rFonts w:hint="eastAsia"/>
          <w:color w:val="auto"/>
          <w:szCs w:val="21"/>
          <w:highlight w:val="none"/>
          <w:lang w:eastAsia="zh-CN"/>
        </w:rPr>
        <w:t>期支</w:t>
      </w:r>
      <w:r>
        <w:rPr>
          <w:color w:val="auto"/>
          <w:szCs w:val="21"/>
          <w:highlight w:val="none"/>
        </w:rPr>
        <w:t>付</w:t>
      </w:r>
      <w:r>
        <w:rPr>
          <w:rFonts w:hint="eastAsia"/>
          <w:color w:val="auto"/>
          <w:szCs w:val="21"/>
          <w:highlight w:val="none"/>
        </w:rPr>
        <w:t>产品或服务费用</w:t>
      </w:r>
      <w:r>
        <w:rPr>
          <w:color w:val="auto"/>
          <w:szCs w:val="21"/>
          <w:highlight w:val="none"/>
        </w:rPr>
        <w:t>的，</w:t>
      </w:r>
      <w:r>
        <w:rPr>
          <w:rFonts w:hint="eastAsia"/>
          <w:color w:val="auto"/>
          <w:szCs w:val="21"/>
          <w:highlight w:val="none"/>
        </w:rPr>
        <w:t>应</w:t>
      </w:r>
      <w:r>
        <w:rPr>
          <w:color w:val="auto"/>
          <w:szCs w:val="21"/>
          <w:highlight w:val="none"/>
        </w:rPr>
        <w:t>向乙方</w:t>
      </w:r>
      <w:r>
        <w:rPr>
          <w:rFonts w:hint="eastAsia"/>
          <w:color w:val="auto"/>
          <w:szCs w:val="21"/>
          <w:highlight w:val="none"/>
        </w:rPr>
        <w:t>支</w:t>
      </w:r>
      <w:r>
        <w:rPr>
          <w:color w:val="auto"/>
          <w:szCs w:val="21"/>
          <w:highlight w:val="none"/>
        </w:rPr>
        <w:t>付延期滞纳金</w:t>
      </w:r>
      <w:r>
        <w:rPr>
          <w:rFonts w:hint="eastAsia"/>
          <w:color w:val="auto"/>
          <w:szCs w:val="21"/>
          <w:highlight w:val="none"/>
        </w:rPr>
        <w:t>，标准为合同总价</w:t>
      </w:r>
      <w:r>
        <w:rPr>
          <w:color w:val="auto"/>
          <w:szCs w:val="21"/>
          <w:highlight w:val="none"/>
        </w:rPr>
        <w:t>额</w:t>
      </w:r>
      <w:r>
        <w:rPr>
          <w:color w:val="auto"/>
          <w:szCs w:val="21"/>
          <w:highlight w:val="none"/>
          <w:u w:val="single"/>
        </w:rPr>
        <w:t>3‰/</w:t>
      </w:r>
      <w:r>
        <w:rPr>
          <w:rFonts w:hint="eastAsia"/>
          <w:color w:val="auto"/>
          <w:szCs w:val="21"/>
          <w:highlight w:val="none"/>
          <w:u w:val="single"/>
        </w:rPr>
        <w:t>日</w:t>
      </w:r>
      <w:r>
        <w:rPr>
          <w:color w:val="auto"/>
          <w:szCs w:val="21"/>
          <w:highlight w:val="none"/>
        </w:rPr>
        <w:t>，但滞纳金累计不得超过</w:t>
      </w:r>
      <w:r>
        <w:rPr>
          <w:rFonts w:hint="eastAsia"/>
          <w:color w:val="auto"/>
          <w:highlight w:val="none"/>
        </w:rPr>
        <w:t>合同总金额</w:t>
      </w:r>
      <w:r>
        <w:rPr>
          <w:color w:val="auto"/>
          <w:szCs w:val="21"/>
          <w:highlight w:val="none"/>
          <w:u w:val="single"/>
        </w:rPr>
        <w:t>5%</w:t>
      </w:r>
      <w:r>
        <w:rPr>
          <w:color w:val="auto"/>
          <w:szCs w:val="21"/>
          <w:highlight w:val="none"/>
        </w:rPr>
        <w:t>。</w:t>
      </w:r>
    </w:p>
    <w:p w14:paraId="5000AEC5">
      <w:pPr>
        <w:snapToGrid w:val="0"/>
        <w:spacing w:line="360" w:lineRule="exact"/>
        <w:ind w:firstLine="420" w:firstLineChars="200"/>
        <w:rPr>
          <w:color w:val="auto"/>
          <w:szCs w:val="21"/>
          <w:highlight w:val="none"/>
        </w:rPr>
      </w:pPr>
      <w:r>
        <w:rPr>
          <w:rFonts w:hint="eastAsia"/>
          <w:color w:val="auto"/>
          <w:szCs w:val="21"/>
          <w:highlight w:val="none"/>
        </w:rPr>
        <w:t>3</w:t>
      </w:r>
      <w:r>
        <w:rPr>
          <w:color w:val="auto"/>
          <w:szCs w:val="21"/>
          <w:highlight w:val="none"/>
        </w:rPr>
        <w:t>. 乙方未得到甲方同意，擅自更换项目负责人及服务团队成员时，甲方有权书面通知乙方解除合同，且无需支付合同解除后的合同后续费用。同时，乙方必须退还甲方已付出的所有服务费用，并赔偿由此给甲方造成的全部损失。</w:t>
      </w:r>
    </w:p>
    <w:p w14:paraId="1A97654F">
      <w:pPr>
        <w:snapToGrid w:val="0"/>
        <w:spacing w:line="360" w:lineRule="exact"/>
        <w:ind w:firstLine="420" w:firstLineChars="200"/>
        <w:rPr>
          <w:color w:val="auto"/>
          <w:szCs w:val="21"/>
          <w:highlight w:val="none"/>
        </w:rPr>
      </w:pPr>
      <w:r>
        <w:rPr>
          <w:rFonts w:hint="eastAsia"/>
          <w:color w:val="auto"/>
          <w:szCs w:val="21"/>
          <w:highlight w:val="none"/>
        </w:rPr>
        <w:t>4</w:t>
      </w:r>
      <w:r>
        <w:rPr>
          <w:color w:val="auto"/>
          <w:szCs w:val="21"/>
          <w:highlight w:val="none"/>
        </w:rPr>
        <w:t>.乙方或乙方人员违反保密义务时，甲方有权书面通知乙方解除合同，且无需支付合同解除后的合同后续费用。同时，乙方必须退还甲方已付出的所有咨询费用，并赔偿由此给甲方造成的全部损失。</w:t>
      </w:r>
    </w:p>
    <w:p w14:paraId="7A80E5F6">
      <w:pPr>
        <w:snapToGrid w:val="0"/>
        <w:spacing w:line="360" w:lineRule="exact"/>
        <w:ind w:firstLine="420" w:firstLineChars="200"/>
        <w:rPr>
          <w:color w:val="auto"/>
          <w:szCs w:val="21"/>
          <w:highlight w:val="none"/>
        </w:rPr>
      </w:pPr>
      <w:r>
        <w:rPr>
          <w:rFonts w:hint="eastAsia"/>
          <w:color w:val="auto"/>
          <w:szCs w:val="21"/>
          <w:highlight w:val="none"/>
        </w:rPr>
        <w:t>5</w:t>
      </w:r>
      <w:r>
        <w:rPr>
          <w:color w:val="auto"/>
          <w:szCs w:val="21"/>
          <w:highlight w:val="none"/>
        </w:rPr>
        <w:t>.乙方未按本合同和响应文件中规定的服务承诺提供售后服务的，乙方应按本合同</w:t>
      </w:r>
      <w:r>
        <w:rPr>
          <w:rStyle w:val="58"/>
          <w:rFonts w:hint="eastAsia"/>
          <w:color w:val="auto"/>
          <w:highlight w:val="none"/>
        </w:rPr>
        <w:t>总</w:t>
      </w:r>
      <w:r>
        <w:rPr>
          <w:color w:val="auto"/>
          <w:szCs w:val="21"/>
          <w:highlight w:val="none"/>
        </w:rPr>
        <w:t>金额</w:t>
      </w:r>
      <w:r>
        <w:rPr>
          <w:color w:val="auto"/>
          <w:szCs w:val="21"/>
          <w:highlight w:val="none"/>
          <w:u w:val="single"/>
        </w:rPr>
        <w:t xml:space="preserve"> 5%</w:t>
      </w:r>
      <w:r>
        <w:rPr>
          <w:color w:val="auto"/>
          <w:szCs w:val="21"/>
          <w:highlight w:val="none"/>
        </w:rPr>
        <w:t>向甲方支付违约金。</w:t>
      </w:r>
    </w:p>
    <w:p w14:paraId="52220ED2">
      <w:pPr>
        <w:snapToGrid w:val="0"/>
        <w:spacing w:line="360" w:lineRule="exact"/>
        <w:ind w:firstLine="420" w:firstLineChars="200"/>
        <w:rPr>
          <w:color w:val="auto"/>
          <w:szCs w:val="21"/>
          <w:highlight w:val="none"/>
        </w:rPr>
      </w:pPr>
      <w:r>
        <w:rPr>
          <w:rFonts w:hint="eastAsia"/>
          <w:color w:val="auto"/>
          <w:szCs w:val="21"/>
          <w:highlight w:val="none"/>
        </w:rPr>
        <w:t>6</w:t>
      </w:r>
      <w:r>
        <w:rPr>
          <w:color w:val="auto"/>
          <w:szCs w:val="21"/>
          <w:highlight w:val="none"/>
        </w:rPr>
        <w:t>.乙方提供的</w:t>
      </w:r>
      <w:r>
        <w:rPr>
          <w:rFonts w:hint="eastAsia"/>
          <w:color w:val="auto"/>
          <w:szCs w:val="21"/>
          <w:highlight w:val="none"/>
        </w:rPr>
        <w:t>产品</w:t>
      </w:r>
      <w:r>
        <w:rPr>
          <w:color w:val="auto"/>
          <w:szCs w:val="21"/>
          <w:highlight w:val="none"/>
        </w:rPr>
        <w:t>或服务成果在质量保证期内，因设计、工艺或材料的缺陷和</w:t>
      </w:r>
      <w:r>
        <w:rPr>
          <w:rFonts w:hint="eastAsia"/>
          <w:color w:val="auto"/>
          <w:szCs w:val="21"/>
          <w:highlight w:val="none"/>
          <w:lang w:eastAsia="zh-CN"/>
        </w:rPr>
        <w:t>其他</w:t>
      </w:r>
      <w:r>
        <w:rPr>
          <w:color w:val="auto"/>
          <w:szCs w:val="21"/>
          <w:highlight w:val="none"/>
        </w:rPr>
        <w:t>质量原因造成的问题，由乙方负责，费用从质量保证金中扣除，质量保证金不足以支付的，由乙方另行支付。</w:t>
      </w:r>
    </w:p>
    <w:p w14:paraId="51C9BBB6">
      <w:pPr>
        <w:snapToGrid w:val="0"/>
        <w:spacing w:line="360" w:lineRule="exact"/>
        <w:ind w:firstLine="420" w:firstLineChars="200"/>
        <w:jc w:val="left"/>
        <w:rPr>
          <w:color w:val="auto"/>
          <w:szCs w:val="21"/>
          <w:highlight w:val="none"/>
        </w:rPr>
      </w:pPr>
      <w:r>
        <w:rPr>
          <w:rFonts w:hint="eastAsia"/>
          <w:color w:val="auto"/>
          <w:szCs w:val="21"/>
          <w:highlight w:val="none"/>
        </w:rPr>
        <w:t>7</w:t>
      </w:r>
      <w:r>
        <w:rPr>
          <w:color w:val="auto"/>
          <w:szCs w:val="21"/>
          <w:highlight w:val="none"/>
        </w:rPr>
        <w:t>.乙方提供的</w:t>
      </w:r>
      <w:r>
        <w:rPr>
          <w:rFonts w:hint="eastAsia"/>
          <w:color w:val="auto"/>
          <w:szCs w:val="21"/>
          <w:highlight w:val="none"/>
        </w:rPr>
        <w:t>产品</w:t>
      </w:r>
      <w:r>
        <w:rPr>
          <w:color w:val="auto"/>
          <w:szCs w:val="21"/>
          <w:highlight w:val="none"/>
        </w:rPr>
        <w:t>或服务如侵犯了第三方合法权益而引发的任何纠纷或诉讼，均由乙方负责交涉并承担全部责任。</w:t>
      </w:r>
    </w:p>
    <w:p w14:paraId="24611550">
      <w:pPr>
        <w:snapToGrid w:val="0"/>
        <w:spacing w:line="360" w:lineRule="exact"/>
        <w:ind w:firstLine="420" w:firstLineChars="200"/>
        <w:rPr>
          <w:color w:val="auto"/>
          <w:szCs w:val="21"/>
          <w:highlight w:val="none"/>
        </w:rPr>
      </w:pPr>
      <w:r>
        <w:rPr>
          <w:rFonts w:hint="eastAsia"/>
          <w:color w:val="auto"/>
          <w:szCs w:val="21"/>
          <w:highlight w:val="none"/>
        </w:rPr>
        <w:t>8</w:t>
      </w:r>
      <w:r>
        <w:rPr>
          <w:color w:val="auto"/>
          <w:szCs w:val="21"/>
          <w:highlight w:val="none"/>
        </w:rPr>
        <w:t>.</w:t>
      </w:r>
      <w:r>
        <w:rPr>
          <w:rFonts w:hint="eastAsia"/>
          <w:color w:val="auto"/>
          <w:szCs w:val="21"/>
          <w:highlight w:val="none"/>
          <w:lang w:eastAsia="zh-CN"/>
        </w:rPr>
        <w:t>其他</w:t>
      </w:r>
      <w:r>
        <w:rPr>
          <w:color w:val="auto"/>
          <w:szCs w:val="21"/>
          <w:highlight w:val="none"/>
        </w:rPr>
        <w:t>违约行为按违约</w:t>
      </w:r>
      <w:r>
        <w:rPr>
          <w:rFonts w:hint="eastAsia"/>
          <w:color w:val="auto"/>
          <w:szCs w:val="21"/>
          <w:highlight w:val="none"/>
        </w:rPr>
        <w:t>部分产品</w:t>
      </w:r>
      <w:r>
        <w:rPr>
          <w:color w:val="auto"/>
          <w:szCs w:val="21"/>
          <w:highlight w:val="none"/>
        </w:rPr>
        <w:t>或服务费用金额5%收取违约金并赔偿经济损失。</w:t>
      </w:r>
    </w:p>
    <w:p w14:paraId="1E791763">
      <w:pPr>
        <w:snapToGrid w:val="0"/>
        <w:spacing w:line="300" w:lineRule="exact"/>
        <w:ind w:firstLine="420" w:firstLineChars="200"/>
        <w:rPr>
          <w:rFonts w:hint="eastAsia"/>
          <w:color w:val="auto"/>
          <w:szCs w:val="21"/>
          <w:highlight w:val="none"/>
        </w:rPr>
      </w:pPr>
      <w:r>
        <w:rPr>
          <w:rFonts w:hint="eastAsia"/>
          <w:color w:val="auto"/>
          <w:szCs w:val="21"/>
          <w:highlight w:val="none"/>
        </w:rPr>
        <w:t>9</w:t>
      </w:r>
      <w:r>
        <w:rPr>
          <w:color w:val="auto"/>
          <w:szCs w:val="21"/>
          <w:highlight w:val="none"/>
        </w:rPr>
        <w:t>.</w:t>
      </w:r>
      <w:r>
        <w:rPr>
          <w:rFonts w:hint="eastAsia"/>
          <w:color w:val="auto"/>
          <w:szCs w:val="21"/>
          <w:highlight w:val="none"/>
        </w:rPr>
        <w:t>因甲方原因导致变更、中止或者终止政府采购合同的，应当依照合同约定对乙方受到的损失予以赔偿或者补偿。</w:t>
      </w:r>
      <w:r>
        <w:rPr>
          <w:color w:val="auto"/>
          <w:szCs w:val="21"/>
          <w:highlight w:val="none"/>
        </w:rPr>
        <w:t>赔偿（补偿）标准：</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按实际损失赔偿</w:t>
      </w:r>
      <w:r>
        <w:rPr>
          <w:color w:val="auto"/>
          <w:szCs w:val="21"/>
          <w:highlight w:val="none"/>
          <w:u w:val="single"/>
        </w:rPr>
        <w:t xml:space="preserve">  </w:t>
      </w:r>
      <w:r>
        <w:rPr>
          <w:rFonts w:hint="eastAsia"/>
          <w:color w:val="auto"/>
          <w:szCs w:val="21"/>
          <w:highlight w:val="none"/>
        </w:rPr>
        <w:t>。</w:t>
      </w:r>
    </w:p>
    <w:p w14:paraId="7F6C9F12">
      <w:pPr>
        <w:pStyle w:val="26"/>
        <w:snapToGrid w:val="0"/>
        <w:spacing w:before="120" w:after="120" w:line="360" w:lineRule="exact"/>
        <w:ind w:firstLine="413" w:firstLineChars="196"/>
        <w:rPr>
          <w:rFonts w:ascii="Times New Roman" w:hAnsi="Times New Roman" w:cs="Times New Roman"/>
          <w:b/>
          <w:color w:val="auto"/>
          <w:highlight w:val="none"/>
        </w:rPr>
      </w:pPr>
      <w:r>
        <w:rPr>
          <w:rFonts w:ascii="Times New Roman" w:hAnsi="Times New Roman" w:cs="Times New Roman"/>
          <w:b/>
          <w:color w:val="auto"/>
          <w:highlight w:val="none"/>
        </w:rPr>
        <w:t>第十</w:t>
      </w:r>
      <w:r>
        <w:rPr>
          <w:rFonts w:hint="eastAsia" w:ascii="Times New Roman" w:hAnsi="Times New Roman" w:cs="Times New Roman"/>
          <w:b/>
          <w:color w:val="auto"/>
          <w:highlight w:val="none"/>
        </w:rPr>
        <w:t>三</w:t>
      </w:r>
      <w:r>
        <w:rPr>
          <w:rFonts w:ascii="Times New Roman" w:hAnsi="Times New Roman" w:cs="Times New Roman"/>
          <w:b/>
          <w:color w:val="auto"/>
          <w:highlight w:val="none"/>
        </w:rPr>
        <w:t>条 不可抗力事件处理</w:t>
      </w:r>
    </w:p>
    <w:p w14:paraId="21F38B8A">
      <w:pPr>
        <w:snapToGrid w:val="0"/>
        <w:spacing w:line="360" w:lineRule="exact"/>
        <w:ind w:firstLine="420" w:firstLineChars="200"/>
        <w:rPr>
          <w:color w:val="auto"/>
          <w:szCs w:val="21"/>
          <w:highlight w:val="none"/>
        </w:rPr>
      </w:pPr>
      <w:r>
        <w:rPr>
          <w:color w:val="auto"/>
          <w:szCs w:val="21"/>
          <w:highlight w:val="none"/>
        </w:rPr>
        <w:t>1.在合同有效期内，任何一方因不可抗力事件导致不能履行合同，则合同履行期可延长，其延长期与不可抗力影响期相同。</w:t>
      </w:r>
    </w:p>
    <w:p w14:paraId="67EAE4D7">
      <w:pPr>
        <w:snapToGrid w:val="0"/>
        <w:spacing w:line="360" w:lineRule="exact"/>
        <w:ind w:firstLine="420" w:firstLineChars="200"/>
        <w:rPr>
          <w:color w:val="auto"/>
          <w:szCs w:val="21"/>
          <w:highlight w:val="none"/>
        </w:rPr>
      </w:pPr>
      <w:r>
        <w:rPr>
          <w:color w:val="auto"/>
          <w:szCs w:val="21"/>
          <w:highlight w:val="none"/>
        </w:rPr>
        <w:t>2.不可抗力事件发生后，应立即通知对方，并寄送有关权威机构出具的证明。</w:t>
      </w:r>
    </w:p>
    <w:p w14:paraId="41C026A0">
      <w:pPr>
        <w:snapToGrid w:val="0"/>
        <w:spacing w:line="360" w:lineRule="exact"/>
        <w:ind w:firstLine="420" w:firstLineChars="200"/>
        <w:rPr>
          <w:color w:val="auto"/>
          <w:szCs w:val="21"/>
          <w:highlight w:val="none"/>
        </w:rPr>
      </w:pPr>
      <w:r>
        <w:rPr>
          <w:color w:val="auto"/>
          <w:szCs w:val="21"/>
          <w:highlight w:val="none"/>
        </w:rPr>
        <w:t>3.不可抗力事件延续一百二十天以上，双方应通过友好协商，确定是否继续履行合同。</w:t>
      </w:r>
    </w:p>
    <w:p w14:paraId="3E3B2DF8">
      <w:pPr>
        <w:snapToGrid w:val="0"/>
        <w:spacing w:line="360" w:lineRule="exact"/>
        <w:ind w:firstLine="422" w:firstLineChars="200"/>
        <w:rPr>
          <w:color w:val="auto"/>
          <w:szCs w:val="21"/>
          <w:highlight w:val="none"/>
        </w:rPr>
      </w:pPr>
      <w:r>
        <w:rPr>
          <w:b/>
          <w:color w:val="auto"/>
          <w:szCs w:val="21"/>
          <w:highlight w:val="none"/>
        </w:rPr>
        <w:t>第十</w:t>
      </w:r>
      <w:r>
        <w:rPr>
          <w:rFonts w:hint="eastAsia"/>
          <w:b/>
          <w:color w:val="auto"/>
          <w:szCs w:val="21"/>
          <w:highlight w:val="none"/>
        </w:rPr>
        <w:t>四</w:t>
      </w:r>
      <w:r>
        <w:rPr>
          <w:b/>
          <w:color w:val="auto"/>
          <w:szCs w:val="21"/>
          <w:highlight w:val="none"/>
        </w:rPr>
        <w:t>条  合同争议解决</w:t>
      </w:r>
    </w:p>
    <w:p w14:paraId="2B553C41">
      <w:pPr>
        <w:snapToGrid w:val="0"/>
        <w:spacing w:line="360" w:lineRule="exact"/>
        <w:ind w:firstLine="420" w:firstLineChars="200"/>
        <w:rPr>
          <w:color w:val="auto"/>
          <w:szCs w:val="21"/>
          <w:highlight w:val="none"/>
        </w:rPr>
      </w:pPr>
      <w:r>
        <w:rPr>
          <w:color w:val="auto"/>
          <w:szCs w:val="21"/>
          <w:highlight w:val="none"/>
        </w:rPr>
        <w:t>1</w:t>
      </w:r>
      <w:r>
        <w:rPr>
          <w:rFonts w:hint="eastAsia"/>
          <w:color w:val="auto"/>
          <w:szCs w:val="21"/>
          <w:highlight w:val="none"/>
        </w:rPr>
        <w:t>.</w:t>
      </w:r>
      <w:r>
        <w:rPr>
          <w:color w:val="auto"/>
          <w:szCs w:val="21"/>
          <w:highlight w:val="none"/>
        </w:rPr>
        <w:t>因</w:t>
      </w:r>
      <w:r>
        <w:rPr>
          <w:rFonts w:hint="eastAsia"/>
          <w:color w:val="auto"/>
          <w:szCs w:val="21"/>
          <w:highlight w:val="none"/>
        </w:rPr>
        <w:t>产品</w:t>
      </w:r>
      <w:r>
        <w:rPr>
          <w:color w:val="auto"/>
          <w:szCs w:val="21"/>
          <w:highlight w:val="none"/>
        </w:rPr>
        <w:t>或服务成果质量问题</w:t>
      </w:r>
      <w:r>
        <w:rPr>
          <w:rFonts w:hint="eastAsia"/>
          <w:color w:val="auto"/>
          <w:szCs w:val="21"/>
          <w:highlight w:val="none"/>
        </w:rPr>
        <w:t>或验收结果</w:t>
      </w:r>
      <w:r>
        <w:rPr>
          <w:color w:val="auto"/>
          <w:szCs w:val="21"/>
          <w:highlight w:val="none"/>
        </w:rPr>
        <w:t>发生争议的，应邀请国家认</w:t>
      </w:r>
      <w:r>
        <w:rPr>
          <w:rFonts w:hint="eastAsia"/>
          <w:color w:val="auto"/>
          <w:szCs w:val="21"/>
          <w:highlight w:val="none"/>
        </w:rPr>
        <w:t>定</w:t>
      </w:r>
      <w:r>
        <w:rPr>
          <w:color w:val="auto"/>
          <w:szCs w:val="21"/>
          <w:highlight w:val="none"/>
        </w:rPr>
        <w:t>的质量检测机构按照国家标准对</w:t>
      </w:r>
      <w:r>
        <w:rPr>
          <w:rFonts w:hint="eastAsia"/>
          <w:color w:val="auto"/>
          <w:szCs w:val="21"/>
          <w:highlight w:val="none"/>
        </w:rPr>
        <w:t>产品</w:t>
      </w:r>
      <w:r>
        <w:rPr>
          <w:color w:val="auto"/>
          <w:szCs w:val="21"/>
          <w:highlight w:val="none"/>
        </w:rPr>
        <w:t>或服务成果质量进行验收。</w:t>
      </w:r>
      <w:r>
        <w:rPr>
          <w:rFonts w:hint="eastAsia"/>
          <w:color w:val="auto"/>
          <w:szCs w:val="21"/>
          <w:highlight w:val="none"/>
        </w:rPr>
        <w:t>产品</w:t>
      </w:r>
      <w:r>
        <w:rPr>
          <w:color w:val="auto"/>
          <w:szCs w:val="21"/>
          <w:highlight w:val="none"/>
        </w:rPr>
        <w:t>或服务成果符合国家标准的，鉴定费由甲方承担；</w:t>
      </w:r>
      <w:r>
        <w:rPr>
          <w:rFonts w:hint="eastAsia"/>
          <w:color w:val="auto"/>
          <w:szCs w:val="21"/>
          <w:highlight w:val="none"/>
        </w:rPr>
        <w:t>产品</w:t>
      </w:r>
      <w:r>
        <w:rPr>
          <w:color w:val="auto"/>
          <w:szCs w:val="21"/>
          <w:highlight w:val="none"/>
        </w:rPr>
        <w:t>或服务成果不符合国家标准的，鉴定费由乙方承担。</w:t>
      </w:r>
    </w:p>
    <w:p w14:paraId="1927DC9F">
      <w:pPr>
        <w:snapToGrid w:val="0"/>
        <w:spacing w:line="360" w:lineRule="exact"/>
        <w:ind w:firstLine="420" w:firstLineChars="200"/>
        <w:rPr>
          <w:color w:val="auto"/>
          <w:szCs w:val="21"/>
          <w:highlight w:val="none"/>
        </w:rPr>
      </w:pPr>
      <w:r>
        <w:rPr>
          <w:color w:val="auto"/>
          <w:szCs w:val="21"/>
          <w:highlight w:val="none"/>
        </w:rPr>
        <w:t>2</w:t>
      </w:r>
      <w:r>
        <w:rPr>
          <w:rFonts w:hint="eastAsia"/>
          <w:color w:val="auto"/>
          <w:szCs w:val="21"/>
          <w:highlight w:val="none"/>
        </w:rPr>
        <w:t>.</w:t>
      </w:r>
      <w:r>
        <w:rPr>
          <w:color w:val="auto"/>
          <w:szCs w:val="21"/>
          <w:highlight w:val="none"/>
        </w:rPr>
        <w:t>因履行本合同引起的或与本合同有关的争议，甲乙双方应首先通过友好协商解决，如果协商不能解决，可向甲方所在地人民法院提起诉讼。</w:t>
      </w:r>
    </w:p>
    <w:p w14:paraId="3F47F983">
      <w:pPr>
        <w:snapToGrid w:val="0"/>
        <w:spacing w:line="360" w:lineRule="exact"/>
        <w:ind w:firstLine="420" w:firstLineChars="200"/>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诉讼期间，本合同继续履行。</w:t>
      </w:r>
    </w:p>
    <w:p w14:paraId="2CE8A7EE">
      <w:pPr>
        <w:pStyle w:val="26"/>
        <w:snapToGrid w:val="0"/>
        <w:spacing w:before="120" w:after="120" w:line="360" w:lineRule="exact"/>
        <w:ind w:firstLine="422" w:firstLineChars="200"/>
        <w:rPr>
          <w:rFonts w:ascii="Times New Roman" w:hAnsi="Times New Roman" w:cs="Times New Roman"/>
          <w:b/>
          <w:color w:val="auto"/>
          <w:highlight w:val="none"/>
        </w:rPr>
      </w:pPr>
      <w:r>
        <w:rPr>
          <w:rFonts w:ascii="Times New Roman" w:hAnsi="Times New Roman" w:cs="Times New Roman"/>
          <w:b/>
          <w:color w:val="auto"/>
          <w:highlight w:val="none"/>
        </w:rPr>
        <w:t>第十</w:t>
      </w:r>
      <w:r>
        <w:rPr>
          <w:rFonts w:hint="eastAsia" w:ascii="Times New Roman" w:hAnsi="Times New Roman" w:cs="Times New Roman"/>
          <w:b/>
          <w:color w:val="auto"/>
          <w:highlight w:val="none"/>
        </w:rPr>
        <w:t>五</w:t>
      </w:r>
      <w:r>
        <w:rPr>
          <w:rFonts w:ascii="Times New Roman" w:hAnsi="Times New Roman" w:cs="Times New Roman"/>
          <w:b/>
          <w:color w:val="auto"/>
          <w:highlight w:val="none"/>
        </w:rPr>
        <w:t>条 合同生效</w:t>
      </w:r>
      <w:r>
        <w:rPr>
          <w:rFonts w:hint="eastAsia" w:ascii="Times New Roman" w:hAnsi="Times New Roman" w:cs="Times New Roman"/>
          <w:b/>
          <w:color w:val="auto"/>
          <w:highlight w:val="none"/>
          <w:lang w:eastAsia="zh-CN"/>
        </w:rPr>
        <w:t>及其他</w:t>
      </w:r>
    </w:p>
    <w:p w14:paraId="1EA00669">
      <w:pPr>
        <w:snapToGrid w:val="0"/>
        <w:spacing w:line="300" w:lineRule="exact"/>
        <w:ind w:firstLine="420" w:firstLineChars="200"/>
        <w:rPr>
          <w:color w:val="auto"/>
          <w:szCs w:val="21"/>
          <w:highlight w:val="none"/>
          <w:u w:val="single"/>
        </w:rPr>
      </w:pPr>
      <w:r>
        <w:rPr>
          <w:color w:val="auto"/>
          <w:szCs w:val="21"/>
          <w:highlight w:val="none"/>
          <w:u w:val="single"/>
        </w:rPr>
        <w:t>1</w:t>
      </w:r>
      <w:r>
        <w:rPr>
          <w:rFonts w:hint="eastAsia"/>
          <w:color w:val="auto"/>
          <w:szCs w:val="21"/>
          <w:highlight w:val="none"/>
          <w:u w:val="single"/>
        </w:rPr>
        <w:t>.</w:t>
      </w:r>
      <w:r>
        <w:rPr>
          <w:color w:val="auto"/>
          <w:szCs w:val="21"/>
          <w:highlight w:val="none"/>
          <w:u w:val="single"/>
        </w:rPr>
        <w:t>本合同履行期限为：         ；合同履行地点为：                    ；合同履行的方式： 按照本合同约定  。</w:t>
      </w:r>
    </w:p>
    <w:p w14:paraId="676D8CDE">
      <w:pPr>
        <w:snapToGrid w:val="0"/>
        <w:spacing w:line="300" w:lineRule="exact"/>
        <w:ind w:firstLine="420" w:firstLineChars="200"/>
        <w:rPr>
          <w:color w:val="auto"/>
          <w:szCs w:val="21"/>
          <w:highlight w:val="none"/>
        </w:rPr>
      </w:pPr>
      <w:r>
        <w:rPr>
          <w:color w:val="auto"/>
          <w:szCs w:val="21"/>
          <w:highlight w:val="none"/>
        </w:rPr>
        <w:t>2</w:t>
      </w:r>
      <w:r>
        <w:rPr>
          <w:rFonts w:hint="eastAsia"/>
          <w:color w:val="auto"/>
          <w:szCs w:val="21"/>
          <w:highlight w:val="none"/>
        </w:rPr>
        <w:t>.</w:t>
      </w:r>
      <w:r>
        <w:rPr>
          <w:color w:val="auto"/>
          <w:szCs w:val="21"/>
          <w:highlight w:val="none"/>
        </w:rPr>
        <w:t>合同经双方法定代表人或授权代表签字并加盖单位公章后生效。</w:t>
      </w:r>
    </w:p>
    <w:p w14:paraId="4552131F">
      <w:pPr>
        <w:snapToGrid w:val="0"/>
        <w:spacing w:line="300" w:lineRule="exact"/>
        <w:ind w:firstLine="420" w:firstLineChars="200"/>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合同执行中涉及采购资金和采购内容修改或补充的，须经财政部门</w:t>
      </w:r>
      <w:r>
        <w:rPr>
          <w:rFonts w:hint="eastAsia"/>
          <w:color w:val="auto"/>
          <w:szCs w:val="21"/>
          <w:highlight w:val="none"/>
        </w:rPr>
        <w:t>备案</w:t>
      </w:r>
      <w:r>
        <w:rPr>
          <w:color w:val="auto"/>
          <w:szCs w:val="21"/>
          <w:highlight w:val="none"/>
        </w:rPr>
        <w:t>，</w:t>
      </w:r>
      <w:r>
        <w:rPr>
          <w:rFonts w:hint="eastAsia"/>
          <w:color w:val="auto"/>
          <w:szCs w:val="21"/>
          <w:highlight w:val="none"/>
        </w:rPr>
        <w:t>经</w:t>
      </w:r>
      <w:r>
        <w:rPr>
          <w:color w:val="auto"/>
          <w:szCs w:val="21"/>
          <w:highlight w:val="none"/>
        </w:rPr>
        <w:t>财政部门</w:t>
      </w:r>
      <w:r>
        <w:rPr>
          <w:rFonts w:hint="eastAsia"/>
          <w:color w:val="auto"/>
          <w:szCs w:val="21"/>
          <w:highlight w:val="none"/>
        </w:rPr>
        <w:t>同意后</w:t>
      </w:r>
      <w:r>
        <w:rPr>
          <w:rFonts w:hint="eastAsia"/>
          <w:color w:val="auto"/>
          <w:szCs w:val="21"/>
          <w:highlight w:val="none"/>
          <w:lang w:eastAsia="zh-CN"/>
        </w:rPr>
        <w:t>签订</w:t>
      </w:r>
      <w:r>
        <w:rPr>
          <w:color w:val="auto"/>
          <w:szCs w:val="21"/>
          <w:highlight w:val="none"/>
        </w:rPr>
        <w:t>书面补充协议。</w:t>
      </w:r>
    </w:p>
    <w:p w14:paraId="49AB75BE">
      <w:pPr>
        <w:snapToGrid w:val="0"/>
        <w:spacing w:line="300" w:lineRule="exact"/>
        <w:ind w:firstLine="420" w:firstLineChars="200"/>
        <w:rPr>
          <w:color w:val="auto"/>
          <w:szCs w:val="21"/>
          <w:highlight w:val="none"/>
        </w:rPr>
      </w:pPr>
      <w:r>
        <w:rPr>
          <w:color w:val="auto"/>
          <w:szCs w:val="21"/>
          <w:highlight w:val="none"/>
        </w:rPr>
        <w:t>4</w:t>
      </w:r>
      <w:r>
        <w:rPr>
          <w:rFonts w:hint="eastAsia"/>
          <w:color w:val="auto"/>
          <w:szCs w:val="21"/>
          <w:highlight w:val="none"/>
        </w:rPr>
        <w:t>.如无特别说明，</w:t>
      </w:r>
      <w:r>
        <w:rPr>
          <w:color w:val="auto"/>
          <w:szCs w:val="21"/>
          <w:highlight w:val="none"/>
        </w:rPr>
        <w:t>本合同使用货币币制为人民币</w:t>
      </w:r>
      <w:r>
        <w:rPr>
          <w:rFonts w:hint="eastAsia"/>
          <w:color w:val="auto"/>
          <w:szCs w:val="21"/>
          <w:highlight w:val="none"/>
        </w:rPr>
        <w:t>，使用单位为中国国家法定计量单位。</w:t>
      </w:r>
    </w:p>
    <w:p w14:paraId="12B55009">
      <w:pPr>
        <w:snapToGrid w:val="0"/>
        <w:spacing w:line="300" w:lineRule="exact"/>
        <w:ind w:firstLine="420" w:firstLineChars="200"/>
        <w:rPr>
          <w:color w:val="auto"/>
          <w:szCs w:val="21"/>
          <w:highlight w:val="none"/>
        </w:rPr>
      </w:pPr>
      <w:r>
        <w:rPr>
          <w:rFonts w:hint="eastAsia"/>
          <w:color w:val="auto"/>
          <w:szCs w:val="21"/>
          <w:highlight w:val="none"/>
        </w:rPr>
        <w:t>5.本合同中提及的招标与谈判、磋商、询价、单一来源采购为同一含义，提及的投标与响应为同一含义，提及的中标与成交为同一含义。</w:t>
      </w:r>
    </w:p>
    <w:p w14:paraId="75E474E7">
      <w:pPr>
        <w:snapToGrid w:val="0"/>
        <w:spacing w:line="300" w:lineRule="exact"/>
        <w:ind w:firstLine="420" w:firstLineChars="200"/>
        <w:rPr>
          <w:color w:val="auto"/>
          <w:szCs w:val="21"/>
          <w:highlight w:val="none"/>
        </w:rPr>
      </w:pPr>
      <w:r>
        <w:rPr>
          <w:rFonts w:hint="eastAsia"/>
          <w:color w:val="auto"/>
          <w:szCs w:val="21"/>
          <w:highlight w:val="none"/>
        </w:rPr>
        <w:t>6.</w:t>
      </w:r>
      <w:r>
        <w:rPr>
          <w:color w:val="auto"/>
          <w:szCs w:val="21"/>
          <w:highlight w:val="none"/>
        </w:rPr>
        <w:t>本合同未尽事宜，遵照《</w:t>
      </w:r>
      <w:r>
        <w:rPr>
          <w:rFonts w:hint="eastAsia"/>
          <w:color w:val="auto"/>
          <w:szCs w:val="21"/>
          <w:highlight w:val="none"/>
        </w:rPr>
        <w:t>民法典</w:t>
      </w:r>
      <w:r>
        <w:rPr>
          <w:color w:val="auto"/>
          <w:szCs w:val="21"/>
          <w:highlight w:val="none"/>
        </w:rPr>
        <w:t>》有关条文执行。</w:t>
      </w:r>
    </w:p>
    <w:p w14:paraId="255ED6EF">
      <w:pPr>
        <w:snapToGrid w:val="0"/>
        <w:spacing w:line="300" w:lineRule="exact"/>
        <w:ind w:firstLine="420" w:firstLineChars="200"/>
        <w:rPr>
          <w:rFonts w:hint="eastAsia"/>
          <w:color w:val="auto"/>
          <w:szCs w:val="21"/>
          <w:highlight w:val="none"/>
        </w:rPr>
      </w:pPr>
      <w:r>
        <w:rPr>
          <w:rFonts w:hint="eastAsia"/>
          <w:color w:val="auto"/>
          <w:szCs w:val="21"/>
          <w:highlight w:val="none"/>
        </w:rPr>
        <w:t xml:space="preserve">7.本合同（□是  </w:t>
      </w:r>
      <w:r>
        <w:rPr>
          <w:color w:val="auto"/>
          <w:szCs w:val="21"/>
          <w:highlight w:val="none"/>
        </w:rPr>
        <w:sym w:font="Wingdings 2" w:char="00A3"/>
      </w:r>
      <w:r>
        <w:rPr>
          <w:rFonts w:hint="eastAsia"/>
          <w:color w:val="auto"/>
          <w:szCs w:val="21"/>
          <w:highlight w:val="none"/>
        </w:rPr>
        <w:t>否）为中小企业预留合同</w:t>
      </w:r>
    </w:p>
    <w:p w14:paraId="61D37E6B">
      <w:pPr>
        <w:snapToGrid w:val="0"/>
        <w:spacing w:line="360" w:lineRule="exact"/>
        <w:ind w:firstLine="422" w:firstLineChars="200"/>
        <w:rPr>
          <w:b/>
          <w:color w:val="auto"/>
          <w:szCs w:val="21"/>
          <w:highlight w:val="none"/>
        </w:rPr>
      </w:pPr>
      <w:r>
        <w:rPr>
          <w:b/>
          <w:color w:val="auto"/>
          <w:szCs w:val="21"/>
          <w:highlight w:val="none"/>
        </w:rPr>
        <w:t>第十</w:t>
      </w:r>
      <w:r>
        <w:rPr>
          <w:rFonts w:hint="eastAsia"/>
          <w:b/>
          <w:color w:val="auto"/>
          <w:szCs w:val="21"/>
          <w:highlight w:val="none"/>
        </w:rPr>
        <w:t>六</w:t>
      </w:r>
      <w:r>
        <w:rPr>
          <w:b/>
          <w:color w:val="auto"/>
          <w:szCs w:val="21"/>
          <w:highlight w:val="none"/>
        </w:rPr>
        <w:t>条　合同的变更、终止与转让</w:t>
      </w:r>
    </w:p>
    <w:p w14:paraId="5A49FD21">
      <w:pPr>
        <w:snapToGrid w:val="0"/>
        <w:spacing w:line="300" w:lineRule="exact"/>
        <w:ind w:firstLine="420" w:firstLineChars="200"/>
        <w:rPr>
          <w:rFonts w:hint="eastAsia"/>
          <w:color w:val="auto"/>
          <w:szCs w:val="21"/>
          <w:highlight w:val="none"/>
        </w:rPr>
      </w:pPr>
      <w:r>
        <w:rPr>
          <w:color w:val="auto"/>
          <w:szCs w:val="21"/>
          <w:highlight w:val="none"/>
        </w:rPr>
        <w:t>1.除《中华人民共和国政府采购法》第五十条规定的情形外，本合同一经签订，甲乙双方不得擅自变更、中止或终止。</w:t>
      </w:r>
      <w:bookmarkStart w:id="78" w:name="_Hlk155172858"/>
      <w:bookmarkStart w:id="79" w:name="_Hlk155171733"/>
      <w:r>
        <w:rPr>
          <w:rFonts w:hint="eastAsia"/>
          <w:color w:val="auto"/>
          <w:szCs w:val="21"/>
          <w:highlight w:val="none"/>
        </w:rPr>
        <w:t>如依照政府采购法确需变更合同内容的，甲方应当自合同变更之日起2个工作日内在省级以上财政部门指定的媒体上发布合同变更公告。</w:t>
      </w:r>
      <w:bookmarkEnd w:id="78"/>
      <w:bookmarkEnd w:id="79"/>
    </w:p>
    <w:p w14:paraId="58CF578C">
      <w:pPr>
        <w:snapToGrid w:val="0"/>
        <w:spacing w:line="360" w:lineRule="exact"/>
        <w:ind w:firstLine="420" w:firstLineChars="200"/>
        <w:rPr>
          <w:color w:val="auto"/>
          <w:szCs w:val="21"/>
          <w:highlight w:val="none"/>
        </w:rPr>
      </w:pPr>
      <w:r>
        <w:rPr>
          <w:color w:val="auto"/>
          <w:szCs w:val="21"/>
          <w:highlight w:val="none"/>
        </w:rPr>
        <w:t>2.未经甲方书面同意，乙方不得擅自转让其应履行的合同义务。</w:t>
      </w:r>
    </w:p>
    <w:p w14:paraId="499A8BDE">
      <w:pPr>
        <w:snapToGrid w:val="0"/>
        <w:spacing w:line="360" w:lineRule="exact"/>
        <w:ind w:firstLine="422" w:firstLineChars="200"/>
        <w:rPr>
          <w:rFonts w:hint="eastAsia"/>
          <w:b/>
          <w:color w:val="auto"/>
          <w:szCs w:val="21"/>
          <w:highlight w:val="none"/>
        </w:rPr>
      </w:pPr>
      <w:r>
        <w:rPr>
          <w:b/>
          <w:color w:val="auto"/>
          <w:szCs w:val="21"/>
          <w:highlight w:val="none"/>
        </w:rPr>
        <w:t>第十</w:t>
      </w:r>
      <w:r>
        <w:rPr>
          <w:rFonts w:hint="eastAsia"/>
          <w:b/>
          <w:color w:val="auto"/>
          <w:szCs w:val="21"/>
          <w:highlight w:val="none"/>
        </w:rPr>
        <w:t>七</w:t>
      </w:r>
      <w:r>
        <w:rPr>
          <w:b/>
          <w:color w:val="auto"/>
          <w:szCs w:val="21"/>
          <w:highlight w:val="none"/>
        </w:rPr>
        <w:t>条　</w:t>
      </w:r>
      <w:r>
        <w:rPr>
          <w:rFonts w:hint="eastAsia"/>
          <w:b/>
          <w:color w:val="auto"/>
          <w:szCs w:val="21"/>
          <w:highlight w:val="none"/>
        </w:rPr>
        <w:t>合同文件的组成</w:t>
      </w:r>
    </w:p>
    <w:p w14:paraId="56F8869F">
      <w:pPr>
        <w:snapToGrid w:val="0"/>
        <w:spacing w:line="360" w:lineRule="exact"/>
        <w:ind w:firstLine="420" w:firstLineChars="200"/>
        <w:rPr>
          <w:color w:val="auto"/>
          <w:szCs w:val="21"/>
          <w:highlight w:val="none"/>
        </w:rPr>
      </w:pPr>
      <w:r>
        <w:rPr>
          <w:color w:val="auto"/>
          <w:szCs w:val="21"/>
          <w:highlight w:val="none"/>
        </w:rPr>
        <w:t>1.</w:t>
      </w:r>
      <w:r>
        <w:rPr>
          <w:rFonts w:hint="eastAsia" w:hAnsi="宋体" w:cs="宋体"/>
          <w:color w:val="auto"/>
          <w:kern w:val="0"/>
          <w:highlight w:val="none"/>
        </w:rPr>
        <w:t>政府采购合同；</w:t>
      </w:r>
    </w:p>
    <w:p w14:paraId="4651C722">
      <w:pPr>
        <w:snapToGrid w:val="0"/>
        <w:spacing w:line="360" w:lineRule="exact"/>
        <w:ind w:firstLine="420" w:firstLineChars="200"/>
        <w:rPr>
          <w:color w:val="auto"/>
          <w:szCs w:val="21"/>
          <w:highlight w:val="none"/>
        </w:rPr>
      </w:pPr>
      <w:r>
        <w:rPr>
          <w:rFonts w:hint="eastAsia"/>
          <w:color w:val="auto"/>
          <w:szCs w:val="21"/>
          <w:highlight w:val="none"/>
        </w:rPr>
        <w:t>2</w:t>
      </w:r>
      <w:r>
        <w:rPr>
          <w:color w:val="auto"/>
          <w:szCs w:val="21"/>
          <w:highlight w:val="none"/>
        </w:rPr>
        <w:t>.中标通知书</w:t>
      </w:r>
      <w:r>
        <w:rPr>
          <w:rFonts w:hint="eastAsia"/>
          <w:color w:val="auto"/>
          <w:szCs w:val="21"/>
          <w:highlight w:val="none"/>
        </w:rPr>
        <w:t>（如有）</w:t>
      </w:r>
      <w:r>
        <w:rPr>
          <w:color w:val="auto"/>
          <w:szCs w:val="21"/>
          <w:highlight w:val="none"/>
        </w:rPr>
        <w:t>；</w:t>
      </w:r>
    </w:p>
    <w:p w14:paraId="14E3D394">
      <w:pPr>
        <w:snapToGrid w:val="0"/>
        <w:spacing w:line="360" w:lineRule="exact"/>
        <w:ind w:firstLine="420" w:firstLineChars="200"/>
        <w:rPr>
          <w:color w:val="auto"/>
          <w:szCs w:val="21"/>
          <w:highlight w:val="none"/>
        </w:rPr>
      </w:pPr>
      <w:r>
        <w:rPr>
          <w:rFonts w:hint="eastAsia"/>
          <w:color w:val="auto"/>
          <w:szCs w:val="21"/>
          <w:highlight w:val="none"/>
        </w:rPr>
        <w:t>3</w:t>
      </w:r>
      <w:r>
        <w:rPr>
          <w:color w:val="auto"/>
          <w:szCs w:val="21"/>
          <w:highlight w:val="none"/>
        </w:rPr>
        <w:t>.乙方的响应文件；</w:t>
      </w:r>
    </w:p>
    <w:p w14:paraId="67D97A2D">
      <w:pPr>
        <w:snapToGrid w:val="0"/>
        <w:spacing w:line="360" w:lineRule="exact"/>
        <w:ind w:firstLine="420" w:firstLineChars="200"/>
        <w:rPr>
          <w:color w:val="auto"/>
          <w:szCs w:val="21"/>
          <w:highlight w:val="none"/>
        </w:rPr>
      </w:pPr>
      <w:r>
        <w:rPr>
          <w:rFonts w:hint="eastAsia"/>
          <w:color w:val="auto"/>
          <w:szCs w:val="21"/>
          <w:highlight w:val="none"/>
        </w:rPr>
        <w:t>4</w:t>
      </w:r>
      <w:r>
        <w:rPr>
          <w:color w:val="auto"/>
          <w:szCs w:val="21"/>
          <w:highlight w:val="none"/>
        </w:rPr>
        <w:t>.</w:t>
      </w:r>
      <w:r>
        <w:rPr>
          <w:rFonts w:hint="eastAsia"/>
          <w:color w:val="auto"/>
          <w:szCs w:val="21"/>
          <w:highlight w:val="none"/>
        </w:rPr>
        <w:t>采购文件</w:t>
      </w:r>
      <w:r>
        <w:rPr>
          <w:color w:val="auto"/>
          <w:szCs w:val="21"/>
          <w:highlight w:val="none"/>
        </w:rPr>
        <w:t>；</w:t>
      </w:r>
    </w:p>
    <w:p w14:paraId="14547505">
      <w:pPr>
        <w:snapToGrid w:val="0"/>
        <w:spacing w:line="300" w:lineRule="exact"/>
        <w:ind w:firstLine="420" w:firstLineChars="200"/>
        <w:rPr>
          <w:color w:val="auto"/>
          <w:szCs w:val="21"/>
          <w:highlight w:val="none"/>
          <w:u w:val="single"/>
        </w:rPr>
      </w:pPr>
      <w:r>
        <w:rPr>
          <w:rFonts w:hint="eastAsia"/>
          <w:color w:val="auto"/>
          <w:highlight w:val="none"/>
        </w:rPr>
        <w:t>5.其他合同文件。</w:t>
      </w:r>
    </w:p>
    <w:p w14:paraId="37EBD94A">
      <w:pPr>
        <w:snapToGrid w:val="0"/>
        <w:spacing w:line="360" w:lineRule="exact"/>
        <w:ind w:firstLine="422" w:firstLineChars="200"/>
        <w:rPr>
          <w:color w:val="auto"/>
          <w:szCs w:val="21"/>
          <w:highlight w:val="none"/>
        </w:rPr>
      </w:pPr>
      <w:r>
        <w:rPr>
          <w:b/>
          <w:color w:val="auto"/>
          <w:szCs w:val="21"/>
          <w:highlight w:val="none"/>
        </w:rPr>
        <w:t>第十</w:t>
      </w:r>
      <w:r>
        <w:rPr>
          <w:rFonts w:hint="eastAsia"/>
          <w:b/>
          <w:color w:val="auto"/>
          <w:szCs w:val="21"/>
          <w:highlight w:val="none"/>
        </w:rPr>
        <w:t>八</w:t>
      </w:r>
      <w:r>
        <w:rPr>
          <w:b/>
          <w:color w:val="auto"/>
          <w:szCs w:val="21"/>
          <w:highlight w:val="none"/>
        </w:rPr>
        <w:t>条　</w:t>
      </w:r>
      <w:r>
        <w:rPr>
          <w:color w:val="auto"/>
          <w:szCs w:val="21"/>
          <w:highlight w:val="none"/>
        </w:rPr>
        <w:t>本合同一式五份，具有同等法律效力。甲</w:t>
      </w:r>
      <w:r>
        <w:rPr>
          <w:rFonts w:hint="eastAsia"/>
          <w:color w:val="auto"/>
          <w:szCs w:val="21"/>
          <w:highlight w:val="none"/>
        </w:rPr>
        <w:t>、乙双方各执</w:t>
      </w:r>
      <w:r>
        <w:rPr>
          <w:color w:val="auto"/>
          <w:szCs w:val="21"/>
          <w:highlight w:val="none"/>
        </w:rPr>
        <w:t>两份，</w:t>
      </w:r>
      <w:r>
        <w:rPr>
          <w:color w:val="auto"/>
          <w:spacing w:val="4"/>
          <w:szCs w:val="21"/>
          <w:highlight w:val="none"/>
        </w:rPr>
        <w:t>采购代理机构</w:t>
      </w:r>
      <w:r>
        <w:rPr>
          <w:color w:val="auto"/>
          <w:szCs w:val="21"/>
          <w:highlight w:val="none"/>
        </w:rPr>
        <w:t>各一份。</w:t>
      </w:r>
    </w:p>
    <w:p w14:paraId="259FBEAB">
      <w:pPr>
        <w:snapToGrid w:val="0"/>
        <w:spacing w:line="360" w:lineRule="exact"/>
        <w:ind w:firstLine="420" w:firstLineChars="200"/>
        <w:rPr>
          <w:color w:val="auto"/>
          <w:szCs w:val="21"/>
          <w:highlight w:val="none"/>
        </w:rPr>
      </w:pPr>
      <w:r>
        <w:rPr>
          <w:color w:val="auto"/>
          <w:szCs w:val="21"/>
          <w:highlight w:val="none"/>
        </w:rPr>
        <w:t>本合同经甲乙双方法定代表人或被授权代表签字并加盖单位公章后生效。</w:t>
      </w: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7"/>
        <w:gridCol w:w="4688"/>
      </w:tblGrid>
      <w:tr w14:paraId="645D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trPr>
        <w:tc>
          <w:tcPr>
            <w:tcW w:w="4437" w:type="dxa"/>
            <w:noWrap w:val="0"/>
            <w:vAlign w:val="center"/>
          </w:tcPr>
          <w:p w14:paraId="04260783">
            <w:pPr>
              <w:snapToGrid w:val="0"/>
              <w:spacing w:line="360" w:lineRule="exact"/>
              <w:rPr>
                <w:color w:val="auto"/>
                <w:szCs w:val="21"/>
                <w:highlight w:val="none"/>
              </w:rPr>
            </w:pPr>
            <w:r>
              <w:rPr>
                <w:color w:val="auto"/>
                <w:szCs w:val="21"/>
                <w:highlight w:val="none"/>
              </w:rPr>
              <w:t xml:space="preserve">甲方（章）           </w:t>
            </w:r>
          </w:p>
          <w:p w14:paraId="0F4B2E85">
            <w:pPr>
              <w:snapToGrid w:val="0"/>
              <w:spacing w:line="360" w:lineRule="exact"/>
              <w:ind w:firstLine="945" w:firstLineChars="450"/>
              <w:jc w:val="right"/>
              <w:rPr>
                <w:color w:val="auto"/>
                <w:szCs w:val="21"/>
                <w:highlight w:val="none"/>
              </w:rPr>
            </w:pPr>
          </w:p>
        </w:tc>
        <w:tc>
          <w:tcPr>
            <w:tcW w:w="4688" w:type="dxa"/>
            <w:noWrap w:val="0"/>
            <w:vAlign w:val="center"/>
          </w:tcPr>
          <w:p w14:paraId="5BB04A9D">
            <w:pPr>
              <w:snapToGrid w:val="0"/>
              <w:spacing w:line="360" w:lineRule="exact"/>
              <w:rPr>
                <w:color w:val="auto"/>
                <w:szCs w:val="21"/>
                <w:highlight w:val="none"/>
              </w:rPr>
            </w:pPr>
            <w:r>
              <w:rPr>
                <w:color w:val="auto"/>
                <w:szCs w:val="21"/>
                <w:highlight w:val="none"/>
              </w:rPr>
              <w:t xml:space="preserve">乙方（章）              </w:t>
            </w:r>
          </w:p>
          <w:p w14:paraId="20262406">
            <w:pPr>
              <w:snapToGrid w:val="0"/>
              <w:spacing w:line="360" w:lineRule="exact"/>
              <w:jc w:val="right"/>
              <w:rPr>
                <w:color w:val="auto"/>
                <w:szCs w:val="21"/>
                <w:highlight w:val="none"/>
              </w:rPr>
            </w:pPr>
          </w:p>
        </w:tc>
      </w:tr>
      <w:tr w14:paraId="2CFE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4437" w:type="dxa"/>
            <w:noWrap w:val="0"/>
            <w:vAlign w:val="center"/>
          </w:tcPr>
          <w:p w14:paraId="71FFFBB0">
            <w:pPr>
              <w:snapToGrid w:val="0"/>
              <w:spacing w:line="360" w:lineRule="exact"/>
              <w:rPr>
                <w:color w:val="auto"/>
                <w:szCs w:val="21"/>
                <w:highlight w:val="none"/>
              </w:rPr>
            </w:pPr>
            <w:r>
              <w:rPr>
                <w:color w:val="auto"/>
                <w:szCs w:val="21"/>
                <w:highlight w:val="none"/>
              </w:rPr>
              <w:t>单位地址：</w:t>
            </w:r>
          </w:p>
        </w:tc>
        <w:tc>
          <w:tcPr>
            <w:tcW w:w="4688" w:type="dxa"/>
            <w:noWrap w:val="0"/>
            <w:vAlign w:val="center"/>
          </w:tcPr>
          <w:p w14:paraId="0F981002">
            <w:pPr>
              <w:snapToGrid w:val="0"/>
              <w:spacing w:line="360" w:lineRule="exact"/>
              <w:rPr>
                <w:color w:val="auto"/>
                <w:szCs w:val="21"/>
                <w:highlight w:val="none"/>
              </w:rPr>
            </w:pPr>
            <w:r>
              <w:rPr>
                <w:color w:val="auto"/>
                <w:szCs w:val="21"/>
                <w:highlight w:val="none"/>
              </w:rPr>
              <w:t>单位地址：</w:t>
            </w:r>
          </w:p>
        </w:tc>
      </w:tr>
      <w:tr w14:paraId="053D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437" w:type="dxa"/>
            <w:noWrap w:val="0"/>
            <w:vAlign w:val="center"/>
          </w:tcPr>
          <w:p w14:paraId="3B4AC8BC">
            <w:pPr>
              <w:snapToGrid w:val="0"/>
              <w:spacing w:line="360" w:lineRule="exact"/>
              <w:rPr>
                <w:color w:val="auto"/>
                <w:szCs w:val="21"/>
                <w:highlight w:val="none"/>
              </w:rPr>
            </w:pPr>
            <w:r>
              <w:rPr>
                <w:color w:val="auto"/>
                <w:szCs w:val="21"/>
                <w:highlight w:val="none"/>
              </w:rPr>
              <w:t>法定代表人：</w:t>
            </w:r>
          </w:p>
        </w:tc>
        <w:tc>
          <w:tcPr>
            <w:tcW w:w="4688" w:type="dxa"/>
            <w:noWrap w:val="0"/>
            <w:vAlign w:val="center"/>
          </w:tcPr>
          <w:p w14:paraId="3BAAAF27">
            <w:pPr>
              <w:snapToGrid w:val="0"/>
              <w:spacing w:line="360" w:lineRule="exact"/>
              <w:rPr>
                <w:color w:val="auto"/>
                <w:szCs w:val="21"/>
                <w:highlight w:val="none"/>
              </w:rPr>
            </w:pPr>
            <w:r>
              <w:rPr>
                <w:color w:val="auto"/>
                <w:szCs w:val="21"/>
                <w:highlight w:val="none"/>
              </w:rPr>
              <w:t>法定代表人：</w:t>
            </w:r>
          </w:p>
        </w:tc>
      </w:tr>
      <w:tr w14:paraId="2459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4437" w:type="dxa"/>
            <w:noWrap w:val="0"/>
            <w:vAlign w:val="center"/>
          </w:tcPr>
          <w:p w14:paraId="67ECD76B">
            <w:pPr>
              <w:snapToGrid w:val="0"/>
              <w:spacing w:line="360" w:lineRule="exact"/>
              <w:rPr>
                <w:color w:val="auto"/>
                <w:szCs w:val="21"/>
                <w:highlight w:val="none"/>
              </w:rPr>
            </w:pPr>
            <w:r>
              <w:rPr>
                <w:color w:val="auto"/>
                <w:szCs w:val="21"/>
                <w:highlight w:val="none"/>
              </w:rPr>
              <w:t>委托代理人：</w:t>
            </w:r>
          </w:p>
        </w:tc>
        <w:tc>
          <w:tcPr>
            <w:tcW w:w="4688" w:type="dxa"/>
            <w:noWrap w:val="0"/>
            <w:vAlign w:val="center"/>
          </w:tcPr>
          <w:p w14:paraId="2CEA2F3F">
            <w:pPr>
              <w:snapToGrid w:val="0"/>
              <w:spacing w:line="360" w:lineRule="exact"/>
              <w:rPr>
                <w:color w:val="auto"/>
                <w:szCs w:val="21"/>
                <w:highlight w:val="none"/>
              </w:rPr>
            </w:pPr>
            <w:r>
              <w:rPr>
                <w:color w:val="auto"/>
                <w:szCs w:val="21"/>
                <w:highlight w:val="none"/>
              </w:rPr>
              <w:t>委托代理人</w:t>
            </w:r>
          </w:p>
        </w:tc>
      </w:tr>
      <w:tr w14:paraId="1178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4437" w:type="dxa"/>
            <w:noWrap w:val="0"/>
            <w:vAlign w:val="center"/>
          </w:tcPr>
          <w:p w14:paraId="1E1D4C1F">
            <w:pPr>
              <w:snapToGrid w:val="0"/>
              <w:spacing w:line="360" w:lineRule="exact"/>
              <w:rPr>
                <w:color w:val="auto"/>
                <w:szCs w:val="21"/>
                <w:highlight w:val="none"/>
              </w:rPr>
            </w:pPr>
            <w:r>
              <w:rPr>
                <w:color w:val="auto"/>
                <w:szCs w:val="21"/>
                <w:highlight w:val="none"/>
              </w:rPr>
              <w:t>电话：</w:t>
            </w:r>
          </w:p>
        </w:tc>
        <w:tc>
          <w:tcPr>
            <w:tcW w:w="4688" w:type="dxa"/>
            <w:noWrap w:val="0"/>
            <w:vAlign w:val="center"/>
          </w:tcPr>
          <w:p w14:paraId="137B2447">
            <w:pPr>
              <w:snapToGrid w:val="0"/>
              <w:spacing w:line="360" w:lineRule="exact"/>
              <w:rPr>
                <w:color w:val="auto"/>
                <w:szCs w:val="21"/>
                <w:highlight w:val="none"/>
              </w:rPr>
            </w:pPr>
            <w:r>
              <w:rPr>
                <w:color w:val="auto"/>
                <w:szCs w:val="21"/>
                <w:highlight w:val="none"/>
              </w:rPr>
              <w:t>电话：</w:t>
            </w:r>
          </w:p>
        </w:tc>
      </w:tr>
      <w:tr w14:paraId="07C4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4437" w:type="dxa"/>
            <w:noWrap w:val="0"/>
            <w:vAlign w:val="center"/>
          </w:tcPr>
          <w:p w14:paraId="6A0B3078">
            <w:pPr>
              <w:snapToGrid w:val="0"/>
              <w:spacing w:line="360" w:lineRule="exact"/>
              <w:rPr>
                <w:color w:val="auto"/>
                <w:szCs w:val="21"/>
                <w:highlight w:val="none"/>
              </w:rPr>
            </w:pPr>
            <w:r>
              <w:rPr>
                <w:color w:val="auto"/>
                <w:szCs w:val="21"/>
                <w:highlight w:val="none"/>
              </w:rPr>
              <w:t>开户银行：</w:t>
            </w:r>
          </w:p>
        </w:tc>
        <w:tc>
          <w:tcPr>
            <w:tcW w:w="4688" w:type="dxa"/>
            <w:noWrap w:val="0"/>
            <w:vAlign w:val="center"/>
          </w:tcPr>
          <w:p w14:paraId="17872B56">
            <w:pPr>
              <w:snapToGrid w:val="0"/>
              <w:spacing w:line="360" w:lineRule="exact"/>
              <w:rPr>
                <w:color w:val="auto"/>
                <w:szCs w:val="21"/>
                <w:highlight w:val="none"/>
              </w:rPr>
            </w:pPr>
            <w:r>
              <w:rPr>
                <w:color w:val="auto"/>
                <w:szCs w:val="21"/>
                <w:highlight w:val="none"/>
              </w:rPr>
              <w:t>开户银行：</w:t>
            </w:r>
          </w:p>
        </w:tc>
      </w:tr>
      <w:tr w14:paraId="7FF2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437" w:type="dxa"/>
            <w:noWrap w:val="0"/>
            <w:vAlign w:val="center"/>
          </w:tcPr>
          <w:p w14:paraId="1BE62B3C">
            <w:pPr>
              <w:snapToGrid w:val="0"/>
              <w:spacing w:line="360" w:lineRule="exact"/>
              <w:rPr>
                <w:color w:val="auto"/>
                <w:szCs w:val="21"/>
                <w:highlight w:val="none"/>
              </w:rPr>
            </w:pPr>
            <w:r>
              <w:rPr>
                <w:color w:val="auto"/>
                <w:szCs w:val="21"/>
                <w:highlight w:val="none"/>
              </w:rPr>
              <w:t>账号：</w:t>
            </w:r>
          </w:p>
        </w:tc>
        <w:tc>
          <w:tcPr>
            <w:tcW w:w="4688" w:type="dxa"/>
            <w:noWrap w:val="0"/>
            <w:vAlign w:val="center"/>
          </w:tcPr>
          <w:p w14:paraId="0FA085EB">
            <w:pPr>
              <w:snapToGrid w:val="0"/>
              <w:spacing w:line="360" w:lineRule="exact"/>
              <w:rPr>
                <w:color w:val="auto"/>
                <w:szCs w:val="21"/>
                <w:highlight w:val="none"/>
              </w:rPr>
            </w:pPr>
            <w:r>
              <w:rPr>
                <w:color w:val="auto"/>
                <w:szCs w:val="21"/>
                <w:highlight w:val="none"/>
              </w:rPr>
              <w:t>账号：</w:t>
            </w:r>
          </w:p>
        </w:tc>
      </w:tr>
    </w:tbl>
    <w:p w14:paraId="20401F27">
      <w:pPr>
        <w:snapToGrid w:val="0"/>
        <w:spacing w:line="360" w:lineRule="exact"/>
        <w:ind w:firstLine="420" w:firstLineChars="200"/>
        <w:rPr>
          <w:color w:val="auto"/>
          <w:szCs w:val="21"/>
          <w:highlight w:val="none"/>
        </w:rPr>
      </w:pPr>
    </w:p>
    <w:p w14:paraId="1F1A75AA">
      <w:pPr>
        <w:spacing w:before="120" w:line="320" w:lineRule="atLeast"/>
        <w:jc w:val="left"/>
        <w:outlineLvl w:val="1"/>
        <w:rPr>
          <w:b/>
          <w:bCs/>
          <w:color w:val="auto"/>
          <w:kern w:val="0"/>
          <w:szCs w:val="21"/>
          <w:highlight w:val="none"/>
        </w:rPr>
      </w:pPr>
      <w:r>
        <w:rPr>
          <w:color w:val="auto"/>
          <w:szCs w:val="21"/>
          <w:highlight w:val="none"/>
        </w:rPr>
        <w:br w:type="page"/>
      </w:r>
      <w:r>
        <w:rPr>
          <w:b/>
          <w:bCs/>
          <w:color w:val="auto"/>
          <w:kern w:val="0"/>
          <w:szCs w:val="21"/>
          <w:highlight w:val="none"/>
        </w:rPr>
        <w:t>合同附件1</w:t>
      </w:r>
    </w:p>
    <w:p w14:paraId="3023F26E">
      <w:pPr>
        <w:snapToGrid w:val="0"/>
        <w:rPr>
          <w:color w:val="auto"/>
          <w:sz w:val="18"/>
          <w:szCs w:val="18"/>
          <w:highlight w:val="none"/>
        </w:rPr>
      </w:pPr>
    </w:p>
    <w:tbl>
      <w:tblPr>
        <w:tblStyle w:val="51"/>
        <w:tblW w:w="96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640"/>
      </w:tblGrid>
      <w:tr w14:paraId="3993C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5" w:hRule="atLeast"/>
        </w:trPr>
        <w:tc>
          <w:tcPr>
            <w:tcW w:w="1008" w:type="dxa"/>
            <w:vMerge w:val="restart"/>
            <w:noWrap w:val="0"/>
            <w:vAlign w:val="center"/>
          </w:tcPr>
          <w:p w14:paraId="787D7105">
            <w:pPr>
              <w:jc w:val="center"/>
              <w:rPr>
                <w:color w:val="auto"/>
                <w:szCs w:val="21"/>
                <w:highlight w:val="none"/>
              </w:rPr>
            </w:pPr>
            <w:r>
              <w:rPr>
                <w:color w:val="auto"/>
                <w:szCs w:val="21"/>
                <w:highlight w:val="none"/>
              </w:rPr>
              <w:t>供</w:t>
            </w:r>
          </w:p>
          <w:p w14:paraId="116AB698">
            <w:pPr>
              <w:jc w:val="center"/>
              <w:rPr>
                <w:color w:val="auto"/>
                <w:szCs w:val="21"/>
                <w:highlight w:val="none"/>
              </w:rPr>
            </w:pPr>
            <w:r>
              <w:rPr>
                <w:color w:val="auto"/>
                <w:szCs w:val="21"/>
                <w:highlight w:val="none"/>
              </w:rPr>
              <w:t>应</w:t>
            </w:r>
          </w:p>
          <w:p w14:paraId="79470267">
            <w:pPr>
              <w:jc w:val="center"/>
              <w:rPr>
                <w:color w:val="auto"/>
                <w:szCs w:val="21"/>
                <w:highlight w:val="none"/>
              </w:rPr>
            </w:pPr>
            <w:r>
              <w:rPr>
                <w:color w:val="auto"/>
                <w:szCs w:val="21"/>
                <w:highlight w:val="none"/>
              </w:rPr>
              <w:t>商</w:t>
            </w:r>
          </w:p>
          <w:p w14:paraId="62ABA636">
            <w:pPr>
              <w:jc w:val="center"/>
              <w:rPr>
                <w:color w:val="auto"/>
                <w:szCs w:val="21"/>
                <w:highlight w:val="none"/>
              </w:rPr>
            </w:pPr>
            <w:r>
              <w:rPr>
                <w:color w:val="auto"/>
                <w:szCs w:val="21"/>
                <w:highlight w:val="none"/>
              </w:rPr>
              <w:t>申</w:t>
            </w:r>
          </w:p>
          <w:p w14:paraId="3D0C4CEF">
            <w:pPr>
              <w:jc w:val="center"/>
              <w:rPr>
                <w:color w:val="auto"/>
                <w:szCs w:val="21"/>
                <w:highlight w:val="none"/>
              </w:rPr>
            </w:pPr>
            <w:r>
              <w:rPr>
                <w:color w:val="auto"/>
                <w:szCs w:val="21"/>
                <w:highlight w:val="none"/>
              </w:rPr>
              <w:t>请</w:t>
            </w:r>
          </w:p>
        </w:tc>
        <w:tc>
          <w:tcPr>
            <w:tcW w:w="8640" w:type="dxa"/>
            <w:noWrap w:val="0"/>
            <w:vAlign w:val="center"/>
          </w:tcPr>
          <w:p w14:paraId="1B707496">
            <w:pPr>
              <w:rPr>
                <w:color w:val="auto"/>
                <w:szCs w:val="21"/>
                <w:highlight w:val="none"/>
              </w:rPr>
            </w:pPr>
            <w:r>
              <w:rPr>
                <w:color w:val="auto"/>
                <w:szCs w:val="21"/>
                <w:highlight w:val="none"/>
              </w:rPr>
              <w:t>项目编号：</w:t>
            </w:r>
          </w:p>
        </w:tc>
      </w:tr>
      <w:tr w14:paraId="27D0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noWrap w:val="0"/>
            <w:vAlign w:val="center"/>
          </w:tcPr>
          <w:p w14:paraId="75A5B495">
            <w:pPr>
              <w:rPr>
                <w:color w:val="auto"/>
                <w:szCs w:val="21"/>
                <w:highlight w:val="none"/>
              </w:rPr>
            </w:pPr>
          </w:p>
        </w:tc>
        <w:tc>
          <w:tcPr>
            <w:tcW w:w="8640" w:type="dxa"/>
            <w:noWrap w:val="0"/>
            <w:vAlign w:val="center"/>
          </w:tcPr>
          <w:p w14:paraId="6F869911">
            <w:pPr>
              <w:rPr>
                <w:color w:val="auto"/>
                <w:szCs w:val="21"/>
                <w:highlight w:val="none"/>
              </w:rPr>
            </w:pPr>
            <w:r>
              <w:rPr>
                <w:color w:val="auto"/>
                <w:szCs w:val="21"/>
                <w:highlight w:val="none"/>
              </w:rPr>
              <w:t>项目名称：</w:t>
            </w:r>
          </w:p>
        </w:tc>
      </w:tr>
      <w:tr w14:paraId="34B0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noWrap w:val="0"/>
            <w:vAlign w:val="top"/>
          </w:tcPr>
          <w:p w14:paraId="270CA723">
            <w:pPr>
              <w:rPr>
                <w:color w:val="auto"/>
                <w:szCs w:val="21"/>
                <w:highlight w:val="none"/>
              </w:rPr>
            </w:pPr>
          </w:p>
        </w:tc>
        <w:tc>
          <w:tcPr>
            <w:tcW w:w="8640" w:type="dxa"/>
            <w:noWrap w:val="0"/>
            <w:vAlign w:val="top"/>
          </w:tcPr>
          <w:p w14:paraId="42089832">
            <w:pPr>
              <w:rPr>
                <w:color w:val="auto"/>
                <w:szCs w:val="21"/>
                <w:highlight w:val="none"/>
              </w:rPr>
            </w:pPr>
            <w:r>
              <w:rPr>
                <w:color w:val="auto"/>
                <w:szCs w:val="21"/>
                <w:highlight w:val="none"/>
              </w:rPr>
              <w:t xml:space="preserve">  </w:t>
            </w:r>
          </w:p>
          <w:p w14:paraId="340C93C7">
            <w:pPr>
              <w:spacing w:line="400" w:lineRule="exact"/>
              <w:ind w:firstLine="420" w:firstLineChars="200"/>
              <w:rPr>
                <w:color w:val="auto"/>
                <w:szCs w:val="21"/>
                <w:highlight w:val="none"/>
              </w:rPr>
            </w:pPr>
            <w:r>
              <w:rPr>
                <w:color w:val="auto"/>
                <w:szCs w:val="21"/>
                <w:highlight w:val="none"/>
              </w:rPr>
              <w:t>该项目已于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日验收并交付使用。根据合同规定，该项目的履约保证金期限于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日已满，请将履约保证金</w:t>
            </w:r>
          </w:p>
          <w:p w14:paraId="133A05A5">
            <w:pPr>
              <w:spacing w:line="400" w:lineRule="exact"/>
              <w:rPr>
                <w:color w:val="auto"/>
                <w:szCs w:val="21"/>
                <w:highlight w:val="none"/>
              </w:rPr>
            </w:pPr>
            <w:r>
              <w:rPr>
                <w:color w:val="auto"/>
                <w:szCs w:val="21"/>
                <w:highlight w:val="none"/>
                <w:u w:val="single"/>
              </w:rPr>
              <w:t xml:space="preserve">                                        </w:t>
            </w:r>
            <w:r>
              <w:rPr>
                <w:color w:val="auto"/>
                <w:szCs w:val="21"/>
                <w:highlight w:val="none"/>
              </w:rPr>
              <w:t>（大写）¥</w:t>
            </w:r>
            <w:r>
              <w:rPr>
                <w:color w:val="auto"/>
                <w:szCs w:val="21"/>
                <w:highlight w:val="none"/>
                <w:u w:val="single"/>
              </w:rPr>
              <w:t xml:space="preserve">          </w:t>
            </w:r>
            <w:r>
              <w:rPr>
                <w:color w:val="auto"/>
                <w:szCs w:val="21"/>
                <w:highlight w:val="none"/>
              </w:rPr>
              <w:t>（小写）退付到达以下账户。</w:t>
            </w:r>
          </w:p>
          <w:p w14:paraId="39667C02">
            <w:pPr>
              <w:spacing w:line="400" w:lineRule="exact"/>
              <w:ind w:firstLine="705"/>
              <w:rPr>
                <w:color w:val="auto"/>
                <w:szCs w:val="21"/>
                <w:highlight w:val="none"/>
              </w:rPr>
            </w:pPr>
            <w:r>
              <w:rPr>
                <w:color w:val="auto"/>
                <w:szCs w:val="21"/>
                <w:highlight w:val="none"/>
              </w:rPr>
              <w:t>单位名称：</w:t>
            </w:r>
          </w:p>
          <w:p w14:paraId="18E9FE84">
            <w:pPr>
              <w:spacing w:line="400" w:lineRule="exact"/>
              <w:ind w:firstLine="705"/>
              <w:rPr>
                <w:color w:val="auto"/>
                <w:szCs w:val="21"/>
                <w:highlight w:val="none"/>
              </w:rPr>
            </w:pPr>
            <w:r>
              <w:rPr>
                <w:color w:val="auto"/>
                <w:szCs w:val="21"/>
                <w:highlight w:val="none"/>
              </w:rPr>
              <w:t>开户银行：</w:t>
            </w:r>
          </w:p>
          <w:p w14:paraId="7D285583">
            <w:pPr>
              <w:spacing w:line="400" w:lineRule="exact"/>
              <w:ind w:firstLine="705"/>
              <w:rPr>
                <w:color w:val="auto"/>
                <w:szCs w:val="21"/>
                <w:highlight w:val="none"/>
              </w:rPr>
            </w:pPr>
            <w:r>
              <w:rPr>
                <w:color w:val="auto"/>
                <w:szCs w:val="21"/>
                <w:highlight w:val="none"/>
              </w:rPr>
              <w:t>账   号：</w:t>
            </w:r>
          </w:p>
          <w:p w14:paraId="43A1C82A">
            <w:pPr>
              <w:spacing w:line="400" w:lineRule="exact"/>
              <w:rPr>
                <w:color w:val="auto"/>
                <w:szCs w:val="21"/>
                <w:highlight w:val="none"/>
              </w:rPr>
            </w:pPr>
            <w:r>
              <w:rPr>
                <w:color w:val="auto"/>
                <w:szCs w:val="21"/>
                <w:highlight w:val="none"/>
              </w:rPr>
              <w:t>联系人及电话：</w:t>
            </w:r>
          </w:p>
          <w:p w14:paraId="1BFCF5C2">
            <w:pPr>
              <w:spacing w:line="400" w:lineRule="exact"/>
              <w:rPr>
                <w:color w:val="auto"/>
                <w:szCs w:val="21"/>
                <w:highlight w:val="none"/>
              </w:rPr>
            </w:pPr>
          </w:p>
          <w:p w14:paraId="1B7A1169">
            <w:pPr>
              <w:spacing w:line="520" w:lineRule="exact"/>
              <w:jc w:val="center"/>
              <w:rPr>
                <w:color w:val="auto"/>
                <w:szCs w:val="21"/>
                <w:highlight w:val="none"/>
              </w:rPr>
            </w:pPr>
            <w:r>
              <w:rPr>
                <w:color w:val="auto"/>
                <w:szCs w:val="21"/>
                <w:highlight w:val="none"/>
              </w:rPr>
              <w:t xml:space="preserve">                                     供应商</w:t>
            </w:r>
            <w:r>
              <w:rPr>
                <w:rFonts w:hint="eastAsia"/>
                <w:color w:val="auto"/>
                <w:szCs w:val="21"/>
                <w:highlight w:val="none"/>
              </w:rPr>
              <w:t>公</w:t>
            </w:r>
            <w:r>
              <w:rPr>
                <w:color w:val="auto"/>
                <w:szCs w:val="21"/>
                <w:highlight w:val="none"/>
              </w:rPr>
              <w:t>章：</w:t>
            </w:r>
          </w:p>
          <w:p w14:paraId="3B992B62">
            <w:pPr>
              <w:spacing w:line="520" w:lineRule="exact"/>
              <w:jc w:val="center"/>
              <w:rPr>
                <w:color w:val="auto"/>
                <w:szCs w:val="21"/>
                <w:highlight w:val="none"/>
              </w:rPr>
            </w:pPr>
            <w:r>
              <w:rPr>
                <w:color w:val="auto"/>
                <w:szCs w:val="21"/>
                <w:highlight w:val="none"/>
              </w:rPr>
              <w:t xml:space="preserve">                           年    月     日</w:t>
            </w:r>
          </w:p>
        </w:tc>
      </w:tr>
      <w:tr w14:paraId="718E1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vAlign w:val="center"/>
          </w:tcPr>
          <w:p w14:paraId="746C5D7E">
            <w:pPr>
              <w:jc w:val="center"/>
              <w:rPr>
                <w:color w:val="auto"/>
                <w:szCs w:val="21"/>
                <w:highlight w:val="none"/>
              </w:rPr>
            </w:pPr>
            <w:r>
              <w:rPr>
                <w:color w:val="auto"/>
                <w:szCs w:val="21"/>
                <w:highlight w:val="none"/>
              </w:rPr>
              <w:t>采</w:t>
            </w:r>
          </w:p>
          <w:p w14:paraId="05CE0BCC">
            <w:pPr>
              <w:jc w:val="center"/>
              <w:rPr>
                <w:color w:val="auto"/>
                <w:szCs w:val="21"/>
                <w:highlight w:val="none"/>
              </w:rPr>
            </w:pPr>
            <w:r>
              <w:rPr>
                <w:color w:val="auto"/>
                <w:szCs w:val="21"/>
                <w:highlight w:val="none"/>
              </w:rPr>
              <w:t>购</w:t>
            </w:r>
          </w:p>
          <w:p w14:paraId="6A2C89EC">
            <w:pPr>
              <w:jc w:val="center"/>
              <w:rPr>
                <w:color w:val="auto"/>
                <w:szCs w:val="21"/>
                <w:highlight w:val="none"/>
              </w:rPr>
            </w:pPr>
            <w:r>
              <w:rPr>
                <w:color w:val="auto"/>
                <w:szCs w:val="21"/>
                <w:highlight w:val="none"/>
              </w:rPr>
              <w:t>单</w:t>
            </w:r>
          </w:p>
          <w:p w14:paraId="6466F6DA">
            <w:pPr>
              <w:jc w:val="center"/>
              <w:rPr>
                <w:color w:val="auto"/>
                <w:szCs w:val="21"/>
                <w:highlight w:val="none"/>
              </w:rPr>
            </w:pPr>
            <w:r>
              <w:rPr>
                <w:color w:val="auto"/>
                <w:szCs w:val="21"/>
                <w:highlight w:val="none"/>
              </w:rPr>
              <w:t>位</w:t>
            </w:r>
          </w:p>
          <w:p w14:paraId="34EF386E">
            <w:pPr>
              <w:jc w:val="center"/>
              <w:rPr>
                <w:color w:val="auto"/>
                <w:szCs w:val="21"/>
                <w:highlight w:val="none"/>
              </w:rPr>
            </w:pPr>
            <w:r>
              <w:rPr>
                <w:color w:val="auto"/>
                <w:szCs w:val="21"/>
                <w:highlight w:val="none"/>
              </w:rPr>
              <w:t>意</w:t>
            </w:r>
          </w:p>
          <w:p w14:paraId="5B81AAB7">
            <w:pPr>
              <w:jc w:val="center"/>
              <w:rPr>
                <w:color w:val="auto"/>
                <w:szCs w:val="21"/>
                <w:highlight w:val="none"/>
              </w:rPr>
            </w:pPr>
            <w:r>
              <w:rPr>
                <w:color w:val="auto"/>
                <w:szCs w:val="21"/>
                <w:highlight w:val="none"/>
              </w:rPr>
              <w:t>见</w:t>
            </w:r>
          </w:p>
        </w:tc>
        <w:tc>
          <w:tcPr>
            <w:tcW w:w="8640" w:type="dxa"/>
            <w:noWrap w:val="0"/>
            <w:vAlign w:val="top"/>
          </w:tcPr>
          <w:p w14:paraId="65B944D4">
            <w:pPr>
              <w:rPr>
                <w:color w:val="auto"/>
                <w:szCs w:val="21"/>
                <w:highlight w:val="none"/>
              </w:rPr>
            </w:pPr>
          </w:p>
          <w:p w14:paraId="3AE45E70">
            <w:pPr>
              <w:rPr>
                <w:color w:val="auto"/>
                <w:szCs w:val="21"/>
                <w:highlight w:val="none"/>
              </w:rPr>
            </w:pPr>
            <w:r>
              <w:rPr>
                <w:color w:val="auto"/>
                <w:szCs w:val="21"/>
                <w:highlight w:val="none"/>
              </w:rPr>
              <w:t>退付意见：是否同意退付履约保证金及退付金额：</w:t>
            </w:r>
          </w:p>
          <w:p w14:paraId="4DA51AEB">
            <w:pPr>
              <w:rPr>
                <w:color w:val="auto"/>
                <w:szCs w:val="21"/>
                <w:highlight w:val="none"/>
              </w:rPr>
            </w:pPr>
          </w:p>
          <w:p w14:paraId="493629E0">
            <w:pPr>
              <w:rPr>
                <w:color w:val="auto"/>
                <w:szCs w:val="21"/>
                <w:highlight w:val="none"/>
              </w:rPr>
            </w:pPr>
          </w:p>
          <w:p w14:paraId="1E912A48">
            <w:pPr>
              <w:spacing w:line="520" w:lineRule="exact"/>
              <w:rPr>
                <w:color w:val="auto"/>
                <w:szCs w:val="21"/>
                <w:highlight w:val="none"/>
              </w:rPr>
            </w:pPr>
            <w:r>
              <w:rPr>
                <w:color w:val="auto"/>
                <w:szCs w:val="21"/>
                <w:highlight w:val="none"/>
              </w:rPr>
              <w:t>联系人及电话：                                 采购单位</w:t>
            </w:r>
            <w:r>
              <w:rPr>
                <w:rFonts w:hint="eastAsia"/>
                <w:color w:val="auto"/>
                <w:szCs w:val="21"/>
                <w:highlight w:val="none"/>
              </w:rPr>
              <w:t>公</w:t>
            </w:r>
            <w:r>
              <w:rPr>
                <w:color w:val="auto"/>
                <w:szCs w:val="21"/>
                <w:highlight w:val="none"/>
              </w:rPr>
              <w:t>章</w:t>
            </w:r>
          </w:p>
          <w:p w14:paraId="62347620">
            <w:pPr>
              <w:spacing w:line="520" w:lineRule="exact"/>
              <w:jc w:val="center"/>
              <w:rPr>
                <w:color w:val="auto"/>
                <w:szCs w:val="21"/>
                <w:highlight w:val="none"/>
              </w:rPr>
            </w:pPr>
            <w:r>
              <w:rPr>
                <w:color w:val="auto"/>
                <w:szCs w:val="21"/>
                <w:highlight w:val="none"/>
              </w:rPr>
              <w:t xml:space="preserve">                                        年    月     日</w:t>
            </w:r>
          </w:p>
        </w:tc>
      </w:tr>
      <w:tr w14:paraId="6C06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noWrap w:val="0"/>
            <w:vAlign w:val="center"/>
          </w:tcPr>
          <w:p w14:paraId="01BE63A1">
            <w:pPr>
              <w:jc w:val="center"/>
              <w:rPr>
                <w:color w:val="auto"/>
                <w:szCs w:val="21"/>
                <w:highlight w:val="none"/>
              </w:rPr>
            </w:pPr>
            <w:r>
              <w:rPr>
                <w:color w:val="auto"/>
                <w:szCs w:val="21"/>
                <w:highlight w:val="none"/>
              </w:rPr>
              <w:t>财</w:t>
            </w:r>
          </w:p>
          <w:p w14:paraId="401FACEF">
            <w:pPr>
              <w:jc w:val="center"/>
              <w:rPr>
                <w:color w:val="auto"/>
                <w:szCs w:val="21"/>
                <w:highlight w:val="none"/>
              </w:rPr>
            </w:pPr>
            <w:r>
              <w:rPr>
                <w:color w:val="auto"/>
                <w:szCs w:val="21"/>
                <w:highlight w:val="none"/>
              </w:rPr>
              <w:t>务</w:t>
            </w:r>
          </w:p>
          <w:p w14:paraId="4D46F336">
            <w:pPr>
              <w:jc w:val="center"/>
              <w:rPr>
                <w:color w:val="auto"/>
                <w:szCs w:val="21"/>
                <w:highlight w:val="none"/>
              </w:rPr>
            </w:pPr>
            <w:r>
              <w:rPr>
                <w:color w:val="auto"/>
                <w:szCs w:val="21"/>
                <w:highlight w:val="none"/>
              </w:rPr>
              <w:t>部</w:t>
            </w:r>
          </w:p>
          <w:p w14:paraId="3C45F43C">
            <w:pPr>
              <w:jc w:val="center"/>
              <w:rPr>
                <w:color w:val="auto"/>
                <w:szCs w:val="21"/>
                <w:highlight w:val="none"/>
              </w:rPr>
            </w:pPr>
            <w:r>
              <w:rPr>
                <w:color w:val="auto"/>
                <w:szCs w:val="21"/>
                <w:highlight w:val="none"/>
              </w:rPr>
              <w:t>门</w:t>
            </w:r>
          </w:p>
          <w:p w14:paraId="73A30478">
            <w:pPr>
              <w:jc w:val="center"/>
              <w:rPr>
                <w:color w:val="auto"/>
                <w:szCs w:val="21"/>
                <w:highlight w:val="none"/>
              </w:rPr>
            </w:pPr>
            <w:r>
              <w:rPr>
                <w:color w:val="auto"/>
                <w:szCs w:val="21"/>
                <w:highlight w:val="none"/>
              </w:rPr>
              <w:t>意</w:t>
            </w:r>
          </w:p>
          <w:p w14:paraId="0C456894">
            <w:pPr>
              <w:jc w:val="center"/>
              <w:rPr>
                <w:color w:val="auto"/>
                <w:szCs w:val="21"/>
                <w:highlight w:val="none"/>
              </w:rPr>
            </w:pPr>
            <w:r>
              <w:rPr>
                <w:color w:val="auto"/>
                <w:szCs w:val="21"/>
                <w:highlight w:val="none"/>
              </w:rPr>
              <w:t>见</w:t>
            </w:r>
          </w:p>
        </w:tc>
        <w:tc>
          <w:tcPr>
            <w:tcW w:w="8640" w:type="dxa"/>
            <w:noWrap w:val="0"/>
            <w:vAlign w:val="top"/>
          </w:tcPr>
          <w:p w14:paraId="3FA0A45E">
            <w:pPr>
              <w:spacing w:line="640" w:lineRule="exact"/>
              <w:rPr>
                <w:color w:val="auto"/>
                <w:szCs w:val="21"/>
                <w:highlight w:val="none"/>
              </w:rPr>
            </w:pPr>
            <w:r>
              <w:rPr>
                <w:color w:val="auto"/>
                <w:szCs w:val="21"/>
                <w:highlight w:val="none"/>
              </w:rPr>
              <w:t>此表于</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 xml:space="preserve"> 月 </w:t>
            </w:r>
            <w:r>
              <w:rPr>
                <w:color w:val="auto"/>
                <w:szCs w:val="21"/>
                <w:highlight w:val="none"/>
                <w:u w:val="single"/>
              </w:rPr>
              <w:t xml:space="preserve">   </w:t>
            </w:r>
            <w:r>
              <w:rPr>
                <w:color w:val="auto"/>
                <w:szCs w:val="21"/>
                <w:highlight w:val="none"/>
              </w:rPr>
              <w:t xml:space="preserve"> 日收到。</w:t>
            </w:r>
          </w:p>
          <w:p w14:paraId="28BD5FA6">
            <w:pPr>
              <w:spacing w:line="640" w:lineRule="exact"/>
              <w:rPr>
                <w:color w:val="auto"/>
                <w:szCs w:val="21"/>
                <w:highlight w:val="none"/>
              </w:rPr>
            </w:pPr>
            <w:r>
              <w:rPr>
                <w:color w:val="auto"/>
                <w:szCs w:val="21"/>
                <w:highlight w:val="none"/>
              </w:rPr>
              <w:t>会计审核：</w:t>
            </w:r>
          </w:p>
          <w:p w14:paraId="098E235C">
            <w:pPr>
              <w:spacing w:line="640" w:lineRule="exact"/>
              <w:rPr>
                <w:color w:val="auto"/>
                <w:szCs w:val="21"/>
                <w:highlight w:val="none"/>
              </w:rPr>
            </w:pPr>
            <w:r>
              <w:rPr>
                <w:color w:val="auto"/>
                <w:szCs w:val="21"/>
                <w:highlight w:val="none"/>
              </w:rPr>
              <w:t>财务负责人审核：</w:t>
            </w:r>
          </w:p>
          <w:p w14:paraId="53B63185">
            <w:pPr>
              <w:spacing w:line="640" w:lineRule="exact"/>
              <w:rPr>
                <w:color w:val="auto"/>
                <w:szCs w:val="21"/>
                <w:highlight w:val="none"/>
              </w:rPr>
            </w:pPr>
            <w:r>
              <w:rPr>
                <w:color w:val="auto"/>
                <w:szCs w:val="21"/>
                <w:highlight w:val="none"/>
              </w:rPr>
              <w:t>单位负责人签字：</w:t>
            </w:r>
          </w:p>
          <w:p w14:paraId="4ADFA647">
            <w:pPr>
              <w:spacing w:line="640" w:lineRule="exact"/>
              <w:rPr>
                <w:color w:val="auto"/>
                <w:szCs w:val="21"/>
                <w:highlight w:val="none"/>
              </w:rPr>
            </w:pPr>
            <w:r>
              <w:rPr>
                <w:color w:val="auto"/>
                <w:szCs w:val="21"/>
                <w:highlight w:val="none"/>
              </w:rPr>
              <w:t>出纳办理转账日期：</w:t>
            </w:r>
          </w:p>
        </w:tc>
      </w:tr>
    </w:tbl>
    <w:p w14:paraId="7D4A0A81">
      <w:pPr>
        <w:pStyle w:val="19"/>
        <w:ind w:left="450" w:leftChars="114" w:hanging="211" w:hangingChars="100"/>
        <w:rPr>
          <w:b/>
          <w:bCs/>
          <w:color w:val="auto"/>
          <w:sz w:val="21"/>
          <w:szCs w:val="21"/>
          <w:highlight w:val="none"/>
        </w:rPr>
      </w:pPr>
      <w:r>
        <w:rPr>
          <w:b/>
          <w:bCs/>
          <w:color w:val="auto"/>
          <w:sz w:val="21"/>
          <w:szCs w:val="21"/>
          <w:highlight w:val="none"/>
        </w:rPr>
        <w:t>注：供应商凭经采购单位审批的退付意见书到相关财务部办理履约保证金退付事宜。</w:t>
      </w:r>
    </w:p>
    <w:p w14:paraId="2A890AB9">
      <w:pPr>
        <w:spacing w:before="120" w:line="320" w:lineRule="atLeast"/>
        <w:jc w:val="left"/>
        <w:outlineLvl w:val="1"/>
        <w:rPr>
          <w:b/>
          <w:bCs/>
          <w:color w:val="auto"/>
          <w:kern w:val="0"/>
          <w:szCs w:val="21"/>
          <w:highlight w:val="none"/>
        </w:rPr>
      </w:pPr>
      <w:r>
        <w:rPr>
          <w:b/>
          <w:color w:val="auto"/>
          <w:sz w:val="32"/>
          <w:szCs w:val="32"/>
          <w:highlight w:val="none"/>
        </w:rPr>
        <w:br w:type="page"/>
      </w:r>
      <w:r>
        <w:rPr>
          <w:b/>
          <w:bCs/>
          <w:color w:val="auto"/>
          <w:kern w:val="0"/>
          <w:szCs w:val="21"/>
          <w:highlight w:val="none"/>
        </w:rPr>
        <w:t>合同附件2</w:t>
      </w:r>
    </w:p>
    <w:p w14:paraId="571D29C9">
      <w:pPr>
        <w:snapToGrid w:val="0"/>
        <w:spacing w:line="360" w:lineRule="exact"/>
        <w:jc w:val="center"/>
        <w:rPr>
          <w:b/>
          <w:bCs/>
          <w:color w:val="auto"/>
          <w:szCs w:val="21"/>
          <w:highlight w:val="none"/>
        </w:rPr>
      </w:pPr>
    </w:p>
    <w:p w14:paraId="189EAC5E">
      <w:pPr>
        <w:snapToGrid w:val="0"/>
        <w:spacing w:line="360" w:lineRule="exact"/>
        <w:jc w:val="center"/>
        <w:rPr>
          <w:b/>
          <w:bCs/>
          <w:color w:val="auto"/>
          <w:szCs w:val="21"/>
          <w:highlight w:val="none"/>
        </w:rPr>
      </w:pPr>
      <w:r>
        <w:rPr>
          <w:b/>
          <w:bCs/>
          <w:color w:val="auto"/>
          <w:szCs w:val="21"/>
          <w:highlight w:val="none"/>
        </w:rPr>
        <w:t>履约</w:t>
      </w:r>
      <w:r>
        <w:rPr>
          <w:rFonts w:hint="eastAsia"/>
          <w:b/>
          <w:bCs/>
          <w:color w:val="auto"/>
          <w:szCs w:val="21"/>
          <w:highlight w:val="none"/>
        </w:rPr>
        <w:t>验收方案</w:t>
      </w:r>
    </w:p>
    <w:p w14:paraId="2061FC55">
      <w:pPr>
        <w:widowControl/>
        <w:jc w:val="left"/>
        <w:rPr>
          <w:color w:val="auto"/>
          <w:szCs w:val="21"/>
          <w:highlight w:val="none"/>
        </w:rPr>
      </w:pPr>
    </w:p>
    <w:p w14:paraId="53F1B9C4">
      <w:pPr>
        <w:pStyle w:val="26"/>
        <w:snapToGrid w:val="0"/>
        <w:jc w:val="center"/>
        <w:rPr>
          <w:rFonts w:ascii="Times New Roman" w:hAnsi="Times New Roman" w:cs="Times New Roman"/>
          <w:b/>
          <w:color w:val="auto"/>
          <w:sz w:val="24"/>
          <w:szCs w:val="24"/>
          <w:highlight w:val="none"/>
        </w:rPr>
      </w:pPr>
      <w:r>
        <w:rPr>
          <w:rFonts w:hint="eastAsia" w:eastAsia="楷体_GB2312"/>
          <w:b/>
          <w:color w:val="auto"/>
          <w:sz w:val="24"/>
          <w:szCs w:val="24"/>
          <w:highlight w:val="none"/>
        </w:rPr>
        <w:t>【备注：本方案除无法确定的内容外，所有选项必须选择，所有空格必须填写内容】</w:t>
      </w:r>
    </w:p>
    <w:p w14:paraId="47948F0B">
      <w:pPr>
        <w:pStyle w:val="173"/>
        <w:ind w:firstLineChars="0"/>
        <w:rPr>
          <w:rFonts w:ascii="Times New Roman" w:hAnsi="Times New Roman" w:eastAsia="宋体"/>
          <w:color w:val="auto"/>
          <w:kern w:val="2"/>
          <w:sz w:val="21"/>
          <w:szCs w:val="21"/>
          <w:highlight w:val="none"/>
        </w:rPr>
      </w:pPr>
    </w:p>
    <w:p w14:paraId="22F9DD6C">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1.履约验收工作参加人员</w:t>
      </w:r>
    </w:p>
    <w:p w14:paraId="574B0B8C">
      <w:pPr>
        <w:spacing w:before="120" w:line="320" w:lineRule="exact"/>
        <w:jc w:val="left"/>
        <w:rPr>
          <w:rFonts w:ascii="宋体" w:hAnsi="宋体" w:cs="宋体"/>
          <w:color w:val="auto"/>
          <w:szCs w:val="21"/>
          <w:highlight w:val="none"/>
        </w:rPr>
      </w:pPr>
      <w:r>
        <w:rPr>
          <w:rFonts w:hint="eastAsia" w:ascii="宋体" w:hAnsi="宋体" w:cs="宋体"/>
          <w:b/>
          <w:bCs/>
          <w:color w:val="auto"/>
          <w:szCs w:val="21"/>
          <w:highlight w:val="none"/>
        </w:rPr>
        <w:t>1.1履约验收主体单位</w:t>
      </w:r>
    </w:p>
    <w:p w14:paraId="4B193243">
      <w:pPr>
        <w:spacing w:before="120" w:line="320" w:lineRule="exact"/>
        <w:ind w:firstLine="420" w:firstLineChars="200"/>
        <w:jc w:val="left"/>
        <w:rPr>
          <w:rFonts w:ascii="宋体" w:hAnsi="宋体" w:cs="宋体"/>
          <w:color w:val="auto"/>
          <w:szCs w:val="21"/>
          <w:highlight w:val="none"/>
          <w:u w:val="single"/>
        </w:rPr>
      </w:pPr>
      <w:r>
        <w:rPr>
          <w:rStyle w:val="58"/>
          <w:rFonts w:hint="eastAsia"/>
          <w:color w:val="auto"/>
          <w:highlight w:val="none"/>
          <w:u w:val="single"/>
        </w:rPr>
        <w:t>采购人</w:t>
      </w:r>
      <w:r>
        <w:rPr>
          <w:rStyle w:val="58"/>
          <w:rFonts w:hint="eastAsia"/>
          <w:color w:val="auto"/>
          <w:highlight w:val="none"/>
        </w:rPr>
        <w:t>（如委托第三方机构签订，应注明收费方式）</w:t>
      </w:r>
    </w:p>
    <w:p w14:paraId="51306717">
      <w:pPr>
        <w:spacing w:before="120" w:line="320" w:lineRule="exact"/>
        <w:jc w:val="left"/>
        <w:rPr>
          <w:rFonts w:ascii="宋体" w:hAnsi="宋体" w:cs="宋体"/>
          <w:color w:val="auto"/>
          <w:szCs w:val="21"/>
          <w:highlight w:val="none"/>
        </w:rPr>
      </w:pPr>
      <w:r>
        <w:rPr>
          <w:rFonts w:hint="eastAsia" w:ascii="宋体" w:hAnsi="宋体" w:cs="宋体"/>
          <w:b/>
          <w:bCs/>
          <w:color w:val="auto"/>
          <w:szCs w:val="21"/>
          <w:highlight w:val="none"/>
        </w:rPr>
        <w:t>1.2履约验收参加人员</w:t>
      </w:r>
    </w:p>
    <w:p w14:paraId="19FA2543">
      <w:pPr>
        <w:spacing w:before="120" w:line="320" w:lineRule="exact"/>
        <w:ind w:firstLine="420" w:firstLineChars="200"/>
        <w:jc w:val="left"/>
        <w:rPr>
          <w:rFonts w:ascii="宋体" w:hAnsi="宋体" w:cs="宋体"/>
          <w:color w:val="auto"/>
          <w:szCs w:val="21"/>
          <w:highlight w:val="none"/>
          <w:u w:val="single"/>
        </w:rPr>
      </w:pPr>
      <w:r>
        <w:rPr>
          <w:rFonts w:hint="eastAsia"/>
          <w:color w:val="auto"/>
          <w:highlight w:val="none"/>
        </w:rPr>
        <w:t>采购人代表、委托机构代表、成交供应商代表及采购人邀请的其他人员</w:t>
      </w:r>
    </w:p>
    <w:p w14:paraId="2CEE8E86">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2.履约验收时间</w:t>
      </w:r>
    </w:p>
    <w:p w14:paraId="6E9549C9">
      <w:pPr>
        <w:spacing w:before="120" w:line="320" w:lineRule="exact"/>
        <w:jc w:val="left"/>
        <w:rPr>
          <w:rFonts w:ascii="宋体" w:hAnsi="宋体" w:cs="宋体"/>
          <w:color w:val="auto"/>
          <w:szCs w:val="21"/>
          <w:highlight w:val="none"/>
        </w:rPr>
      </w:pPr>
      <w:r>
        <w:rPr>
          <w:rFonts w:hint="eastAsia" w:ascii="宋体" w:hAnsi="宋体" w:cs="宋体"/>
          <w:color w:val="auto"/>
          <w:szCs w:val="21"/>
          <w:highlight w:val="none"/>
        </w:rPr>
        <w:t>20XX年XX月XX日</w:t>
      </w:r>
    </w:p>
    <w:p w14:paraId="4B026E63">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3.履约验收地点</w:t>
      </w:r>
    </w:p>
    <w:p w14:paraId="3E195B31">
      <w:pPr>
        <w:spacing w:before="120" w:line="320" w:lineRule="exact"/>
        <w:jc w:val="left"/>
        <w:rPr>
          <w:rFonts w:ascii="宋体" w:hAnsi="宋体" w:cs="宋体"/>
          <w:color w:val="auto"/>
          <w:szCs w:val="21"/>
          <w:highlight w:val="none"/>
        </w:rPr>
      </w:pPr>
      <w:r>
        <w:rPr>
          <w:rFonts w:hint="eastAsia" w:ascii="宋体" w:hAnsi="宋体" w:cs="宋体"/>
          <w:color w:val="auto"/>
          <w:szCs w:val="21"/>
          <w:highlight w:val="none"/>
        </w:rPr>
        <w:t>XX市XX区XX路XX号</w:t>
      </w:r>
    </w:p>
    <w:p w14:paraId="037B76ED">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4.履约验收方式</w:t>
      </w:r>
    </w:p>
    <w:p w14:paraId="3C84943C">
      <w:pPr>
        <w:spacing w:before="120" w:line="320" w:lineRule="exact"/>
        <w:jc w:val="left"/>
        <w:rPr>
          <w:rFonts w:ascii="宋体" w:hAnsi="宋体" w:cs="宋体"/>
          <w:b/>
          <w:bCs/>
          <w:color w:val="auto"/>
          <w:szCs w:val="21"/>
          <w:highlight w:val="none"/>
          <w:u w:val="single"/>
        </w:rPr>
      </w:pPr>
      <w:r>
        <w:rPr>
          <w:rFonts w:hint="eastAsia" w:ascii="宋体" w:hAnsi="宋体" w:cs="宋体"/>
          <w:color w:val="auto"/>
          <w:szCs w:val="21"/>
          <w:highlight w:val="none"/>
          <w:u w:val="single"/>
        </w:rPr>
        <w:t>采购人自行验收</w:t>
      </w:r>
    </w:p>
    <w:p w14:paraId="54C3D4E1">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5.履约验收程序</w:t>
      </w:r>
    </w:p>
    <w:p w14:paraId="38CBB73D">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5.1成立验收小组</w:t>
      </w:r>
    </w:p>
    <w:p w14:paraId="18B518FB">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.2</w:t>
      </w:r>
      <w:r>
        <w:rPr>
          <w:rFonts w:hint="eastAsia" w:ascii="宋体" w:hAnsi="宋体" w:cs="宋体"/>
          <w:b/>
          <w:bCs/>
          <w:color w:val="auto"/>
          <w:szCs w:val="21"/>
          <w:highlight w:val="none"/>
        </w:rPr>
        <w:t>量化验收标准</w:t>
      </w:r>
    </w:p>
    <w:p w14:paraId="6C6037C4">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3</w:t>
      </w:r>
      <w:r>
        <w:rPr>
          <w:rFonts w:hint="eastAsia" w:ascii="宋体" w:hAnsi="宋体" w:cs="宋体"/>
          <w:b/>
          <w:bCs/>
          <w:color w:val="auto"/>
          <w:szCs w:val="21"/>
          <w:highlight w:val="none"/>
        </w:rPr>
        <w:t>组织验收</w:t>
      </w:r>
    </w:p>
    <w:p w14:paraId="663EDC08">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4</w:t>
      </w:r>
      <w:r>
        <w:rPr>
          <w:rFonts w:hint="eastAsia" w:ascii="宋体" w:hAnsi="宋体" w:cs="宋体"/>
          <w:b/>
          <w:bCs/>
          <w:color w:val="auto"/>
          <w:szCs w:val="21"/>
          <w:highlight w:val="none"/>
        </w:rPr>
        <w:t>出具验收报告</w:t>
      </w:r>
    </w:p>
    <w:p w14:paraId="368201CF">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5</w:t>
      </w:r>
      <w:r>
        <w:rPr>
          <w:rFonts w:hint="eastAsia" w:ascii="宋体" w:hAnsi="宋体" w:cs="宋体"/>
          <w:b/>
          <w:bCs/>
          <w:color w:val="auto"/>
          <w:szCs w:val="21"/>
          <w:highlight w:val="none"/>
        </w:rPr>
        <w:t>验收结果公告</w:t>
      </w:r>
    </w:p>
    <w:p w14:paraId="0C7580CD">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5.</w:t>
      </w:r>
      <w:r>
        <w:rPr>
          <w:rFonts w:ascii="宋体" w:hAnsi="宋体" w:cs="宋体"/>
          <w:b/>
          <w:bCs/>
          <w:color w:val="auto"/>
          <w:szCs w:val="21"/>
          <w:highlight w:val="none"/>
        </w:rPr>
        <w:t>6</w:t>
      </w:r>
      <w:r>
        <w:rPr>
          <w:rFonts w:hint="eastAsia" w:ascii="宋体" w:hAnsi="宋体" w:cs="宋体"/>
          <w:b/>
          <w:bCs/>
          <w:color w:val="auto"/>
          <w:szCs w:val="21"/>
          <w:highlight w:val="none"/>
        </w:rPr>
        <w:t>验收资料归档</w:t>
      </w:r>
    </w:p>
    <w:p w14:paraId="1F8F3738">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采购合同项目完成验收后，采购人整理好验收原始记录、验收书等资料后妥善保管，不得变造、隐匿或者销毁，验收资料保存期为采购结束之日起至少保存15年。</w:t>
      </w:r>
    </w:p>
    <w:p w14:paraId="41E45A99">
      <w:pPr>
        <w:spacing w:before="120" w:line="320" w:lineRule="exact"/>
        <w:jc w:val="left"/>
        <w:rPr>
          <w:rFonts w:ascii="宋体" w:hAnsi="宋体" w:cs="宋体"/>
          <w:b/>
          <w:bCs/>
          <w:iCs/>
          <w:color w:val="auto"/>
          <w:szCs w:val="21"/>
          <w:highlight w:val="none"/>
        </w:rPr>
      </w:pPr>
      <w:r>
        <w:rPr>
          <w:rFonts w:hint="eastAsia" w:ascii="宋体" w:hAnsi="宋体" w:cs="宋体"/>
          <w:b/>
          <w:bCs/>
          <w:color w:val="auto"/>
          <w:szCs w:val="21"/>
          <w:highlight w:val="none"/>
        </w:rPr>
        <w:t>6.履约验收内容</w:t>
      </w:r>
    </w:p>
    <w:p w14:paraId="4F6F5751">
      <w:pPr>
        <w:spacing w:before="120" w:line="320" w:lineRule="exact"/>
        <w:jc w:val="left"/>
        <w:rPr>
          <w:rFonts w:ascii="宋体" w:hAnsi="宋体" w:cs="宋体"/>
          <w:iCs/>
          <w:color w:val="auto"/>
          <w:szCs w:val="21"/>
          <w:highlight w:val="none"/>
        </w:rPr>
      </w:pPr>
      <w:r>
        <w:rPr>
          <w:rFonts w:hint="eastAsia" w:ascii="宋体" w:hAnsi="宋体" w:cs="宋体"/>
          <w:b/>
          <w:bCs/>
          <w:color w:val="auto"/>
          <w:szCs w:val="21"/>
          <w:highlight w:val="none"/>
        </w:rPr>
        <w:t>6.1商务验收内容</w:t>
      </w:r>
    </w:p>
    <w:p w14:paraId="284D4FBC">
      <w:pPr>
        <w:spacing w:before="120" w:line="320" w:lineRule="exact"/>
        <w:ind w:firstLine="420" w:firstLineChars="200"/>
        <w:jc w:val="left"/>
        <w:rPr>
          <w:rFonts w:ascii="宋体" w:hAnsi="宋体" w:eastAsia="Microsoft YaHei UI" w:cs="宋体"/>
          <w:color w:val="auto"/>
          <w:szCs w:val="21"/>
          <w:highlight w:val="none"/>
          <w:u w:val="single"/>
        </w:rPr>
      </w:pPr>
      <w:r>
        <w:rPr>
          <w:rFonts w:hint="eastAsia" w:ascii="宋体" w:hAnsi="宋体" w:cs="宋体"/>
          <w:color w:val="auto"/>
          <w:szCs w:val="21"/>
          <w:highlight w:val="none"/>
        </w:rPr>
        <w:t>对采购标的交付的情况、财务和服务要求，包括交付（实施）的时间（期限）和地点（范围），付款条件（进度和方式），包装和运输，售后服务，保险等进行验收。</w:t>
      </w:r>
    </w:p>
    <w:p w14:paraId="1EFDFCF9">
      <w:pPr>
        <w:spacing w:before="120" w:line="320" w:lineRule="exact"/>
        <w:jc w:val="left"/>
        <w:rPr>
          <w:rFonts w:ascii="宋体" w:hAnsi="宋体" w:cs="宋体"/>
          <w:iCs/>
          <w:color w:val="auto"/>
          <w:szCs w:val="21"/>
          <w:highlight w:val="none"/>
        </w:rPr>
      </w:pPr>
      <w:r>
        <w:rPr>
          <w:rFonts w:hint="eastAsia" w:ascii="宋体" w:hAnsi="宋体" w:cs="宋体"/>
          <w:b/>
          <w:bCs/>
          <w:color w:val="auto"/>
          <w:szCs w:val="21"/>
          <w:highlight w:val="none"/>
        </w:rPr>
        <w:t>6.2技术验收内容</w:t>
      </w:r>
    </w:p>
    <w:p w14:paraId="38352DCB">
      <w:pPr>
        <w:spacing w:before="120" w:line="320" w:lineRule="exact"/>
        <w:ind w:firstLine="420" w:firstLineChars="200"/>
        <w:jc w:val="left"/>
        <w:rPr>
          <w:rFonts w:ascii="宋体" w:hAnsi="宋体" w:cs="宋体"/>
          <w:color w:val="auto"/>
          <w:szCs w:val="21"/>
          <w:highlight w:val="none"/>
          <w:u w:val="single"/>
        </w:rPr>
      </w:pPr>
      <w:r>
        <w:rPr>
          <w:rFonts w:hint="eastAsia" w:ascii="宋体" w:hAnsi="宋体" w:cs="宋体"/>
          <w:color w:val="auto"/>
          <w:szCs w:val="21"/>
          <w:highlight w:val="none"/>
        </w:rPr>
        <w:t>对采购标的的功能和质量要求，包括性能、材料、结构、外观、安全，或者服务内容和标准等进行验收。</w:t>
      </w:r>
    </w:p>
    <w:p w14:paraId="2DAE5534">
      <w:pPr>
        <w:spacing w:before="120" w:line="320" w:lineRule="exact"/>
        <w:jc w:val="left"/>
        <w:rPr>
          <w:rFonts w:ascii="宋体" w:hAnsi="宋体" w:cs="宋体"/>
          <w:b/>
          <w:bCs/>
          <w:color w:val="auto"/>
          <w:szCs w:val="21"/>
          <w:highlight w:val="none"/>
        </w:rPr>
      </w:pPr>
      <w:r>
        <w:rPr>
          <w:rFonts w:hint="eastAsia" w:ascii="宋体" w:hAnsi="宋体" w:cs="宋体"/>
          <w:b/>
          <w:bCs/>
          <w:color w:val="auto"/>
          <w:szCs w:val="21"/>
          <w:highlight w:val="none"/>
        </w:rPr>
        <w:t>7.履约验收标准</w:t>
      </w:r>
    </w:p>
    <w:p w14:paraId="09344F9A">
      <w:pPr>
        <w:pStyle w:val="173"/>
        <w:spacing w:before="120" w:line="320" w:lineRule="exact"/>
        <w:ind w:firstLine="420"/>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验收标准：</w:t>
      </w:r>
    </w:p>
    <w:p w14:paraId="290F308A">
      <w:pPr>
        <w:pStyle w:val="173"/>
        <w:spacing w:before="120" w:line="320" w:lineRule="exact"/>
        <w:ind w:firstLine="42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（1）中标（成交）供应商应提供完备的技术或服务资料、装箱单和合格证等，并派遣专业人员进行现场安装调试。验收合格条件如下：</w:t>
      </w:r>
    </w:p>
    <w:p w14:paraId="5281F110">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服务技术参数与响应文件中响应表或证明材料一致，性能或指标达到规定的标准。否则，以实际服务技术参数与响应文件响应表参数或证明材料比较，按如下情况处理：</w:t>
      </w:r>
    </w:p>
    <w:p w14:paraId="1F07D8BF">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①供应商响应文件响应表或证明材料中满足或优于的技术参数，在验收时实际不满足技术参数要求的，视为供应商违约，采购人有权终止合同拒收服务成果，并追究供应商责任，同时报财政部门备案。</w:t>
      </w:r>
    </w:p>
    <w:p w14:paraId="73567EED">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②供应商响应文件响应表或证明材料中优于的技术参数，在验收时实际仅满足并未优于技术参数要求的，视为供应商违约，采购人有权终止合同拒收服务成果，并追究供应商责任，同时报财政部门备案。</w:t>
      </w:r>
    </w:p>
    <w:p w14:paraId="3A156FAD">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 xml:space="preserve">③供应商响应文件响应表或证明材料中不满足的技术参数，在验收时实际满足技术参数的要求，以满足技术参数的要求验收。 </w:t>
      </w:r>
    </w:p>
    <w:p w14:paraId="5A2F3BD9">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④供应商响应文件响应表或证明材料中满足的技术参数，在验收时实际优于技术参数的要求，以满足技术参数的要求验收。</w:t>
      </w:r>
    </w:p>
    <w:p w14:paraId="34492761">
      <w:pPr>
        <w:spacing w:before="120" w:line="320" w:lineRule="exact"/>
        <w:rPr>
          <w:rFonts w:ascii="宋体" w:hAnsi="宋体" w:cs="宋体"/>
          <w:color w:val="auto"/>
          <w:szCs w:val="21"/>
          <w:highlight w:val="none"/>
        </w:rPr>
      </w:pPr>
      <w:r>
        <w:rPr>
          <w:rFonts w:hint="eastAsia" w:ascii="宋体" w:hAnsi="宋体" w:cs="宋体"/>
          <w:color w:val="auto"/>
          <w:szCs w:val="21"/>
          <w:highlight w:val="none"/>
        </w:rPr>
        <w:t>⑤供应商响应文件响应表或证明材料中优于的技术参数，在验收时实际也优于技术参数的要求，但没有达到响应表或证明材料中优于的程度，由采购人与供应商协商按是否满足要求验收。</w:t>
      </w:r>
    </w:p>
    <w:p w14:paraId="227F4DC7">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（1）在测试或试运行期间所出现的问题得到解决，并运行或工作正常。</w:t>
      </w:r>
    </w:p>
    <w:p w14:paraId="5E984FED">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（2）在规定时间内完成交付及验收，并经采购人确认。</w:t>
      </w:r>
    </w:p>
    <w:p w14:paraId="3F2CD34D">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（3）服务在安装调试并试运行符合要求后，才作为最终验收。</w:t>
      </w:r>
    </w:p>
    <w:p w14:paraId="2A071EA7">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（4）成交供应商提供的服务未达到采购文件规定要求，且对采购人造成损失的，由成交供应商承担一切责任，并赔偿所造成的损失。</w:t>
      </w:r>
    </w:p>
    <w:p w14:paraId="0A85E4F5">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（5）政府采购合同约定的其他要求及响应文件响应的其他标准。</w:t>
      </w:r>
    </w:p>
    <w:p w14:paraId="1F14BDE2">
      <w:pPr>
        <w:spacing w:before="120" w:line="320" w:lineRule="exact"/>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8.履约验收其他事项</w:t>
      </w:r>
    </w:p>
    <w:p w14:paraId="683115C7">
      <w:pPr>
        <w:spacing w:before="120" w:line="32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无</w:t>
      </w:r>
    </w:p>
    <w:p w14:paraId="61A9FC06">
      <w:pPr>
        <w:spacing w:before="120" w:line="320" w:lineRule="exact"/>
        <w:rPr>
          <w:rFonts w:ascii="仿宋" w:hAnsi="仿宋" w:eastAsia="仿宋"/>
          <w:color w:val="auto"/>
          <w:szCs w:val="21"/>
          <w:highlight w:val="none"/>
          <w:u w:val="single"/>
        </w:rPr>
      </w:pPr>
      <w:r>
        <w:rPr>
          <w:rFonts w:hint="eastAsia" w:ascii="仿宋" w:hAnsi="仿宋" w:eastAsia="仿宋"/>
          <w:color w:val="auto"/>
          <w:szCs w:val="21"/>
          <w:highlight w:val="none"/>
          <w:u w:val="single"/>
        </w:rPr>
        <w:br w:type="page"/>
      </w:r>
    </w:p>
    <w:p w14:paraId="3D4AB928">
      <w:pPr>
        <w:snapToGrid w:val="0"/>
        <w:spacing w:line="360" w:lineRule="exact"/>
        <w:jc w:val="center"/>
        <w:rPr>
          <w:b/>
          <w:bCs/>
          <w:color w:val="auto"/>
          <w:szCs w:val="21"/>
          <w:highlight w:val="none"/>
        </w:rPr>
      </w:pPr>
      <w:r>
        <w:rPr>
          <w:b/>
          <w:bCs/>
          <w:color w:val="auto"/>
          <w:szCs w:val="21"/>
          <w:highlight w:val="none"/>
        </w:rPr>
        <w:t>广西壮族自治区政府采购项目合同验收书</w:t>
      </w:r>
    </w:p>
    <w:p w14:paraId="2AD2FB79">
      <w:pPr>
        <w:widowControl/>
        <w:snapToGrid w:val="0"/>
        <w:spacing w:before="100" w:beforeAutospacing="1" w:after="100" w:afterAutospacing="1" w:line="320" w:lineRule="exact"/>
        <w:ind w:left="-359" w:leftChars="-171" w:firstLine="420" w:firstLineChars="200"/>
        <w:jc w:val="left"/>
        <w:rPr>
          <w:color w:val="auto"/>
          <w:kern w:val="0"/>
          <w:szCs w:val="21"/>
          <w:highlight w:val="none"/>
        </w:rPr>
      </w:pPr>
      <w:r>
        <w:rPr>
          <w:color w:val="auto"/>
          <w:kern w:val="0"/>
          <w:szCs w:val="21"/>
          <w:highlight w:val="none"/>
        </w:rPr>
        <w:t>根据政府采购项目（</w:t>
      </w:r>
      <w:r>
        <w:rPr>
          <w:color w:val="auto"/>
          <w:kern w:val="0"/>
          <w:szCs w:val="21"/>
          <w:highlight w:val="none"/>
          <w:u w:val="single"/>
        </w:rPr>
        <w:t>采购合同编号：</w:t>
      </w:r>
      <w:r>
        <w:rPr>
          <w:rFonts w:cs="Arial"/>
          <w:color w:val="auto"/>
          <w:szCs w:val="21"/>
          <w:highlight w:val="none"/>
          <w:u w:val="single"/>
        </w:rPr>
        <w:t>GXZC20XX-XX-XXXXX-JDZB</w:t>
      </w:r>
      <w:r>
        <w:rPr>
          <w:color w:val="auto"/>
          <w:kern w:val="0"/>
          <w:szCs w:val="21"/>
          <w:highlight w:val="none"/>
        </w:rPr>
        <w:t>）的约定，我单位对（</w:t>
      </w:r>
      <w:r>
        <w:rPr>
          <w:rFonts w:hint="eastAsia" w:cs="Arial"/>
          <w:color w:val="auto"/>
          <w:szCs w:val="21"/>
          <w:highlight w:val="none"/>
          <w:u w:val="single"/>
        </w:rPr>
        <w:t>XXXX采购项目</w:t>
      </w:r>
      <w:r>
        <w:rPr>
          <w:color w:val="auto"/>
          <w:kern w:val="0"/>
          <w:szCs w:val="21"/>
          <w:highlight w:val="none"/>
        </w:rPr>
        <w:t>）政府采购项目中标（或成交）供应商</w:t>
      </w:r>
      <w:r>
        <w:rPr>
          <w:rFonts w:hint="eastAsia"/>
          <w:color w:val="auto"/>
          <w:kern w:val="0"/>
          <w:szCs w:val="21"/>
          <w:highlight w:val="none"/>
          <w:u w:val="single"/>
        </w:rPr>
        <w:t>XX公司（填写供应商名称）</w:t>
      </w:r>
      <w:r>
        <w:rPr>
          <w:color w:val="auto"/>
          <w:kern w:val="0"/>
          <w:szCs w:val="21"/>
          <w:highlight w:val="none"/>
        </w:rPr>
        <w:t>提供的</w:t>
      </w:r>
      <w:r>
        <w:rPr>
          <w:rFonts w:hint="eastAsia"/>
          <w:color w:val="auto"/>
          <w:kern w:val="0"/>
          <w:szCs w:val="21"/>
          <w:highlight w:val="none"/>
        </w:rPr>
        <w:t>服务（或工程、货物）</w:t>
      </w:r>
      <w:r>
        <w:rPr>
          <w:color w:val="auto"/>
          <w:kern w:val="0"/>
          <w:szCs w:val="21"/>
          <w:highlight w:val="none"/>
        </w:rPr>
        <w:t>进行了验收，验收情况如下：</w:t>
      </w:r>
    </w:p>
    <w:tbl>
      <w:tblPr>
        <w:tblStyle w:val="51"/>
        <w:tblW w:w="962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61"/>
        <w:gridCol w:w="866"/>
        <w:gridCol w:w="977"/>
        <w:gridCol w:w="2263"/>
        <w:gridCol w:w="1608"/>
        <w:gridCol w:w="850"/>
        <w:gridCol w:w="242"/>
        <w:gridCol w:w="2160"/>
      </w:tblGrid>
      <w:tr w14:paraId="66B6C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61" w:hRule="atLeast"/>
          <w:jc w:val="center"/>
        </w:trPr>
        <w:tc>
          <w:tcPr>
            <w:tcW w:w="2504" w:type="dxa"/>
            <w:gridSpan w:val="3"/>
            <w:tcBorders>
              <w:top w:val="single" w:color="auto" w:sz="8" w:space="0"/>
              <w:left w:val="single" w:color="auto" w:sz="8" w:space="0"/>
              <w:bottom w:val="single" w:color="auto" w:sz="8" w:space="0"/>
              <w:right w:val="single" w:color="auto" w:sz="8" w:space="0"/>
            </w:tcBorders>
            <w:noWrap w:val="0"/>
            <w:vAlign w:val="center"/>
          </w:tcPr>
          <w:p w14:paraId="23CA3C84">
            <w:pPr>
              <w:widowControl/>
              <w:snapToGrid w:val="0"/>
              <w:spacing w:before="100" w:beforeAutospacing="1" w:after="100" w:afterAutospacing="1" w:line="320" w:lineRule="exact"/>
              <w:ind w:left="-3" w:firstLine="4" w:firstLineChars="2"/>
              <w:jc w:val="center"/>
              <w:rPr>
                <w:color w:val="auto"/>
                <w:kern w:val="0"/>
                <w:szCs w:val="21"/>
                <w:highlight w:val="none"/>
              </w:rPr>
            </w:pPr>
            <w:r>
              <w:rPr>
                <w:color w:val="auto"/>
                <w:kern w:val="0"/>
                <w:szCs w:val="21"/>
                <w:highlight w:val="none"/>
              </w:rPr>
              <w:t>验收方式：</w:t>
            </w:r>
          </w:p>
        </w:tc>
        <w:tc>
          <w:tcPr>
            <w:tcW w:w="7123" w:type="dxa"/>
            <w:gridSpan w:val="5"/>
            <w:tcBorders>
              <w:top w:val="single" w:color="auto" w:sz="8" w:space="0"/>
              <w:left w:val="single" w:color="auto" w:sz="8" w:space="0"/>
              <w:bottom w:val="single" w:color="auto" w:sz="8" w:space="0"/>
              <w:right w:val="single" w:color="auto" w:sz="8" w:space="0"/>
            </w:tcBorders>
            <w:noWrap w:val="0"/>
            <w:vAlign w:val="center"/>
          </w:tcPr>
          <w:p w14:paraId="7F2AEA1D">
            <w:pPr>
              <w:widowControl/>
              <w:snapToGrid w:val="0"/>
              <w:spacing w:before="100" w:beforeAutospacing="1" w:after="100" w:afterAutospacing="1" w:line="320" w:lineRule="exact"/>
              <w:ind w:left="-3" w:firstLine="420" w:firstLineChars="200"/>
              <w:jc w:val="center"/>
              <w:rPr>
                <w:color w:val="auto"/>
                <w:kern w:val="0"/>
                <w:szCs w:val="21"/>
                <w:highlight w:val="none"/>
              </w:rPr>
            </w:pPr>
            <w:r>
              <w:rPr>
                <w:rFonts w:hint="eastAsia" w:cs="Arial"/>
                <w:color w:val="auto"/>
                <w:szCs w:val="21"/>
                <w:highlight w:val="none"/>
              </w:rPr>
              <w:t>□</w:t>
            </w:r>
            <w:r>
              <w:rPr>
                <w:color w:val="auto"/>
                <w:kern w:val="0"/>
                <w:szCs w:val="21"/>
                <w:highlight w:val="none"/>
              </w:rPr>
              <w:t>自行验收        </w:t>
            </w:r>
            <w:r>
              <w:rPr>
                <w:rFonts w:cs="Arial"/>
                <w:color w:val="auto"/>
                <w:szCs w:val="21"/>
                <w:highlight w:val="none"/>
              </w:rPr>
              <w:sym w:font="Wingdings 2" w:char="00A3"/>
            </w:r>
            <w:r>
              <w:rPr>
                <w:color w:val="auto"/>
                <w:kern w:val="0"/>
                <w:szCs w:val="21"/>
                <w:highlight w:val="none"/>
              </w:rPr>
              <w:t>委托验收</w:t>
            </w:r>
          </w:p>
        </w:tc>
      </w:tr>
      <w:tr w14:paraId="048AC8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24" w:hRule="atLeast"/>
          <w:jc w:val="center"/>
        </w:trPr>
        <w:tc>
          <w:tcPr>
            <w:tcW w:w="661" w:type="dxa"/>
            <w:tcBorders>
              <w:top w:val="single" w:color="auto" w:sz="8" w:space="0"/>
              <w:left w:val="single" w:color="auto" w:sz="8" w:space="0"/>
              <w:bottom w:val="single" w:color="auto" w:sz="8" w:space="0"/>
              <w:right w:val="single" w:color="auto" w:sz="8" w:space="0"/>
            </w:tcBorders>
            <w:noWrap w:val="0"/>
            <w:vAlign w:val="center"/>
          </w:tcPr>
          <w:p w14:paraId="51C5B67D">
            <w:pPr>
              <w:widowControl/>
              <w:snapToGrid w:val="0"/>
              <w:spacing w:before="100" w:beforeAutospacing="1" w:after="100" w:afterAutospacing="1" w:line="320" w:lineRule="exact"/>
              <w:ind w:firstLine="2" w:firstLineChars="1"/>
              <w:jc w:val="center"/>
              <w:rPr>
                <w:color w:val="auto"/>
                <w:kern w:val="0"/>
                <w:szCs w:val="21"/>
                <w:highlight w:val="none"/>
              </w:rPr>
            </w:pPr>
            <w:r>
              <w:rPr>
                <w:color w:val="auto"/>
                <w:kern w:val="0"/>
                <w:szCs w:val="21"/>
                <w:highlight w:val="none"/>
              </w:rPr>
              <w:t>序号</w:t>
            </w:r>
          </w:p>
        </w:tc>
        <w:tc>
          <w:tcPr>
            <w:tcW w:w="1843" w:type="dxa"/>
            <w:gridSpan w:val="2"/>
            <w:tcBorders>
              <w:top w:val="single" w:color="auto" w:sz="8" w:space="0"/>
              <w:left w:val="single" w:color="auto" w:sz="8" w:space="0"/>
              <w:bottom w:val="single" w:color="auto" w:sz="8" w:space="0"/>
              <w:right w:val="single" w:color="auto" w:sz="8" w:space="0"/>
            </w:tcBorders>
            <w:noWrap w:val="0"/>
            <w:vAlign w:val="center"/>
          </w:tcPr>
          <w:p w14:paraId="7C5E77A8">
            <w:pPr>
              <w:widowControl/>
              <w:snapToGrid w:val="0"/>
              <w:spacing w:before="100" w:beforeAutospacing="1" w:after="100" w:afterAutospacing="1" w:line="320" w:lineRule="exact"/>
              <w:ind w:left="-3" w:firstLine="2" w:firstLineChars="1"/>
              <w:jc w:val="center"/>
              <w:rPr>
                <w:color w:val="auto"/>
                <w:kern w:val="0"/>
                <w:szCs w:val="21"/>
                <w:highlight w:val="none"/>
              </w:rPr>
            </w:pPr>
            <w:r>
              <w:rPr>
                <w:color w:val="auto"/>
                <w:kern w:val="0"/>
                <w:szCs w:val="21"/>
                <w:highlight w:val="none"/>
              </w:rPr>
              <w:t>名  称</w:t>
            </w:r>
          </w:p>
        </w:tc>
        <w:tc>
          <w:tcPr>
            <w:tcW w:w="3871" w:type="dxa"/>
            <w:gridSpan w:val="2"/>
            <w:tcBorders>
              <w:top w:val="single" w:color="auto" w:sz="8" w:space="0"/>
              <w:left w:val="single" w:color="auto" w:sz="8" w:space="0"/>
              <w:bottom w:val="single" w:color="auto" w:sz="8" w:space="0"/>
              <w:right w:val="single" w:color="auto" w:sz="8" w:space="0"/>
            </w:tcBorders>
            <w:noWrap w:val="0"/>
            <w:vAlign w:val="center"/>
          </w:tcPr>
          <w:p w14:paraId="618FDF2C">
            <w:pPr>
              <w:widowControl/>
              <w:snapToGrid w:val="0"/>
              <w:spacing w:before="100" w:beforeAutospacing="1" w:after="100" w:afterAutospacing="1" w:line="320" w:lineRule="exact"/>
              <w:ind w:left="-3" w:firstLine="2" w:firstLineChars="1"/>
              <w:jc w:val="center"/>
              <w:rPr>
                <w:color w:val="auto"/>
                <w:kern w:val="0"/>
                <w:szCs w:val="21"/>
                <w:highlight w:val="none"/>
              </w:rPr>
            </w:pPr>
            <w:r>
              <w:rPr>
                <w:color w:val="auto"/>
                <w:kern w:val="0"/>
                <w:szCs w:val="21"/>
                <w:highlight w:val="none"/>
              </w:rPr>
              <w:t>服务内容、标准等</w:t>
            </w:r>
          </w:p>
        </w:tc>
        <w:tc>
          <w:tcPr>
            <w:tcW w:w="850" w:type="dxa"/>
            <w:tcBorders>
              <w:top w:val="single" w:color="auto" w:sz="8" w:space="0"/>
              <w:left w:val="single" w:color="auto" w:sz="8" w:space="0"/>
              <w:bottom w:val="single" w:color="auto" w:sz="8" w:space="0"/>
              <w:right w:val="single" w:color="auto" w:sz="8" w:space="0"/>
            </w:tcBorders>
            <w:noWrap w:val="0"/>
            <w:vAlign w:val="center"/>
          </w:tcPr>
          <w:p w14:paraId="6215210E">
            <w:pPr>
              <w:widowControl/>
              <w:snapToGrid w:val="0"/>
              <w:spacing w:before="100" w:beforeAutospacing="1" w:after="100" w:afterAutospacing="1" w:line="320" w:lineRule="exact"/>
              <w:jc w:val="center"/>
              <w:rPr>
                <w:color w:val="auto"/>
                <w:kern w:val="0"/>
                <w:szCs w:val="21"/>
                <w:highlight w:val="none"/>
              </w:rPr>
            </w:pPr>
            <w:r>
              <w:rPr>
                <w:color w:val="auto"/>
                <w:kern w:val="0"/>
                <w:szCs w:val="21"/>
                <w:highlight w:val="none"/>
              </w:rPr>
              <w:t>数量</w:t>
            </w:r>
          </w:p>
        </w:tc>
        <w:tc>
          <w:tcPr>
            <w:tcW w:w="2402" w:type="dxa"/>
            <w:gridSpan w:val="2"/>
            <w:tcBorders>
              <w:top w:val="single" w:color="auto" w:sz="8" w:space="0"/>
              <w:left w:val="single" w:color="auto" w:sz="8" w:space="0"/>
              <w:bottom w:val="single" w:color="auto" w:sz="8" w:space="0"/>
              <w:right w:val="single" w:color="auto" w:sz="8" w:space="0"/>
            </w:tcBorders>
            <w:noWrap w:val="0"/>
            <w:vAlign w:val="center"/>
          </w:tcPr>
          <w:p w14:paraId="0BFAED1B">
            <w:pPr>
              <w:widowControl/>
              <w:snapToGrid w:val="0"/>
              <w:spacing w:before="100" w:beforeAutospacing="1" w:after="100" w:afterAutospacing="1" w:line="320" w:lineRule="exact"/>
              <w:ind w:left="-3" w:firstLine="2" w:firstLineChars="1"/>
              <w:jc w:val="center"/>
              <w:rPr>
                <w:color w:val="auto"/>
                <w:kern w:val="0"/>
                <w:szCs w:val="21"/>
                <w:highlight w:val="none"/>
              </w:rPr>
            </w:pPr>
            <w:r>
              <w:rPr>
                <w:color w:val="auto"/>
                <w:kern w:val="0"/>
                <w:szCs w:val="21"/>
                <w:highlight w:val="none"/>
              </w:rPr>
              <w:t>金  额</w:t>
            </w:r>
          </w:p>
        </w:tc>
      </w:tr>
      <w:tr w14:paraId="57BFE2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661" w:type="dxa"/>
            <w:tcBorders>
              <w:top w:val="single" w:color="auto" w:sz="8" w:space="0"/>
              <w:left w:val="single" w:color="auto" w:sz="8" w:space="0"/>
              <w:bottom w:val="single" w:color="auto" w:sz="8" w:space="0"/>
              <w:right w:val="single" w:color="auto" w:sz="8" w:space="0"/>
            </w:tcBorders>
            <w:noWrap w:val="0"/>
            <w:vAlign w:val="center"/>
          </w:tcPr>
          <w:p w14:paraId="1DBF082C">
            <w:pPr>
              <w:widowControl/>
              <w:snapToGrid w:val="0"/>
              <w:spacing w:before="100" w:beforeAutospacing="1" w:after="100" w:afterAutospacing="1" w:line="320" w:lineRule="exact"/>
              <w:ind w:left="-3" w:firstLine="4" w:firstLineChars="2"/>
              <w:jc w:val="center"/>
              <w:rPr>
                <w:color w:val="auto"/>
                <w:kern w:val="0"/>
                <w:szCs w:val="21"/>
                <w:highlight w:val="none"/>
              </w:rPr>
            </w:pPr>
            <w:r>
              <w:rPr>
                <w:rFonts w:hint="eastAsia"/>
                <w:color w:val="auto"/>
                <w:kern w:val="0"/>
                <w:szCs w:val="21"/>
                <w:highlight w:val="none"/>
              </w:rPr>
              <w:t>1</w:t>
            </w:r>
          </w:p>
        </w:tc>
        <w:tc>
          <w:tcPr>
            <w:tcW w:w="1843" w:type="dxa"/>
            <w:gridSpan w:val="2"/>
            <w:tcBorders>
              <w:top w:val="single" w:color="auto" w:sz="8" w:space="0"/>
              <w:left w:val="single" w:color="auto" w:sz="8" w:space="0"/>
              <w:bottom w:val="single" w:color="auto" w:sz="8" w:space="0"/>
              <w:right w:val="single" w:color="auto" w:sz="8" w:space="0"/>
            </w:tcBorders>
            <w:noWrap w:val="0"/>
            <w:vAlign w:val="center"/>
          </w:tcPr>
          <w:p w14:paraId="001FC865">
            <w:pPr>
              <w:widowControl/>
              <w:snapToGrid w:val="0"/>
              <w:spacing w:before="100" w:beforeAutospacing="1" w:after="100" w:afterAutospacing="1" w:line="320" w:lineRule="exact"/>
              <w:ind w:left="-3" w:firstLine="420" w:firstLineChars="200"/>
              <w:jc w:val="left"/>
              <w:rPr>
                <w:rFonts w:hint="eastAsia" w:eastAsia="宋体"/>
                <w:color w:val="auto"/>
                <w:kern w:val="0"/>
                <w:szCs w:val="21"/>
                <w:highlight w:val="none"/>
                <w:lang w:eastAsia="zh-CN"/>
              </w:rPr>
            </w:pPr>
            <w:r>
              <w:rPr>
                <w:rFonts w:hint="eastAsia"/>
                <w:color w:val="auto"/>
                <w:kern w:val="0"/>
                <w:szCs w:val="21"/>
                <w:highlight w:val="none"/>
              </w:rPr>
              <w:t>XXXX</w:t>
            </w:r>
            <w:r>
              <w:rPr>
                <w:rFonts w:hint="eastAsia"/>
                <w:color w:val="auto"/>
                <w:kern w:val="0"/>
                <w:szCs w:val="21"/>
                <w:highlight w:val="none"/>
                <w:lang w:val="en-US" w:eastAsia="zh-CN"/>
              </w:rPr>
              <w:t>服务</w:t>
            </w:r>
          </w:p>
        </w:tc>
        <w:tc>
          <w:tcPr>
            <w:tcW w:w="3871" w:type="dxa"/>
            <w:gridSpan w:val="2"/>
            <w:tcBorders>
              <w:top w:val="single" w:color="auto" w:sz="8" w:space="0"/>
              <w:left w:val="single" w:color="auto" w:sz="8" w:space="0"/>
              <w:bottom w:val="single" w:color="auto" w:sz="8" w:space="0"/>
              <w:right w:val="single" w:color="auto" w:sz="8" w:space="0"/>
            </w:tcBorders>
            <w:noWrap w:val="0"/>
            <w:vAlign w:val="center"/>
          </w:tcPr>
          <w:p w14:paraId="380D0178">
            <w:pPr>
              <w:pStyle w:val="175"/>
              <w:spacing w:before="120" w:after="120"/>
              <w:ind w:firstLine="0" w:firstLineChars="0"/>
              <w:rPr>
                <w:color w:val="auto"/>
                <w:szCs w:val="21"/>
                <w:highlight w:val="none"/>
              </w:rPr>
            </w:pPr>
          </w:p>
        </w:tc>
        <w:tc>
          <w:tcPr>
            <w:tcW w:w="850" w:type="dxa"/>
            <w:tcBorders>
              <w:top w:val="single" w:color="auto" w:sz="8" w:space="0"/>
              <w:left w:val="single" w:color="auto" w:sz="8" w:space="0"/>
              <w:bottom w:val="single" w:color="auto" w:sz="8" w:space="0"/>
              <w:right w:val="single" w:color="auto" w:sz="8" w:space="0"/>
            </w:tcBorders>
            <w:noWrap w:val="0"/>
            <w:vAlign w:val="center"/>
          </w:tcPr>
          <w:p w14:paraId="7C57E54B">
            <w:pPr>
              <w:widowControl/>
              <w:snapToGrid w:val="0"/>
              <w:spacing w:before="100" w:beforeAutospacing="1" w:after="100" w:afterAutospacing="1" w:line="320" w:lineRule="exact"/>
              <w:jc w:val="center"/>
              <w:rPr>
                <w:color w:val="auto"/>
                <w:kern w:val="0"/>
                <w:szCs w:val="21"/>
                <w:highlight w:val="none"/>
              </w:rPr>
            </w:pPr>
            <w:r>
              <w:rPr>
                <w:color w:val="auto"/>
                <w:kern w:val="0"/>
                <w:szCs w:val="21"/>
                <w:highlight w:val="none"/>
              </w:rPr>
              <w:t>1</w:t>
            </w:r>
            <w:r>
              <w:rPr>
                <w:rFonts w:hint="eastAsia"/>
                <w:color w:val="auto"/>
                <w:kern w:val="0"/>
                <w:szCs w:val="21"/>
                <w:highlight w:val="none"/>
              </w:rPr>
              <w:t>套</w:t>
            </w:r>
          </w:p>
        </w:tc>
        <w:tc>
          <w:tcPr>
            <w:tcW w:w="2402" w:type="dxa"/>
            <w:gridSpan w:val="2"/>
            <w:tcBorders>
              <w:top w:val="single" w:color="auto" w:sz="8" w:space="0"/>
              <w:left w:val="single" w:color="auto" w:sz="8" w:space="0"/>
              <w:bottom w:val="single" w:color="auto" w:sz="8" w:space="0"/>
              <w:right w:val="single" w:color="auto" w:sz="8" w:space="0"/>
            </w:tcBorders>
            <w:noWrap w:val="0"/>
            <w:vAlign w:val="center"/>
          </w:tcPr>
          <w:p w14:paraId="6F21330D">
            <w:pPr>
              <w:pStyle w:val="175"/>
              <w:spacing w:before="120" w:after="120"/>
              <w:ind w:firstLine="0" w:firstLineChars="0"/>
              <w:jc w:val="center"/>
              <w:rPr>
                <w:color w:val="auto"/>
                <w:szCs w:val="21"/>
                <w:highlight w:val="none"/>
              </w:rPr>
            </w:pPr>
            <w:r>
              <w:rPr>
                <w:color w:val="auto"/>
                <w:szCs w:val="21"/>
                <w:highlight w:val="none"/>
              </w:rPr>
              <w:t>¥0.00元</w:t>
            </w:r>
          </w:p>
        </w:tc>
      </w:tr>
      <w:tr w14:paraId="596DFD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6375" w:type="dxa"/>
            <w:gridSpan w:val="5"/>
            <w:tcBorders>
              <w:top w:val="single" w:color="auto" w:sz="8" w:space="0"/>
              <w:left w:val="single" w:color="auto" w:sz="8" w:space="0"/>
              <w:bottom w:val="single" w:color="auto" w:sz="8" w:space="0"/>
              <w:right w:val="single" w:color="auto" w:sz="8" w:space="0"/>
            </w:tcBorders>
            <w:noWrap w:val="0"/>
            <w:vAlign w:val="center"/>
          </w:tcPr>
          <w:p w14:paraId="62EC78FF">
            <w:pPr>
              <w:pStyle w:val="175"/>
              <w:spacing w:before="120" w:after="120"/>
              <w:ind w:firstLine="0" w:firstLineChars="0"/>
              <w:jc w:val="center"/>
              <w:rPr>
                <w:color w:val="auto"/>
                <w:szCs w:val="21"/>
                <w:highlight w:val="none"/>
              </w:rPr>
            </w:pPr>
            <w:r>
              <w:rPr>
                <w:rFonts w:hint="eastAsia"/>
                <w:color w:val="auto"/>
                <w:szCs w:val="21"/>
                <w:highlight w:val="none"/>
              </w:rPr>
              <w:t>合 计</w:t>
            </w:r>
          </w:p>
        </w:tc>
        <w:tc>
          <w:tcPr>
            <w:tcW w:w="850" w:type="dxa"/>
            <w:tcBorders>
              <w:top w:val="single" w:color="auto" w:sz="8" w:space="0"/>
              <w:left w:val="single" w:color="auto" w:sz="8" w:space="0"/>
              <w:bottom w:val="single" w:color="auto" w:sz="8" w:space="0"/>
              <w:right w:val="single" w:color="auto" w:sz="8" w:space="0"/>
            </w:tcBorders>
            <w:noWrap w:val="0"/>
            <w:vAlign w:val="center"/>
          </w:tcPr>
          <w:p w14:paraId="63A8DADA">
            <w:pPr>
              <w:widowControl/>
              <w:snapToGrid w:val="0"/>
              <w:spacing w:before="100" w:beforeAutospacing="1" w:after="100" w:afterAutospacing="1" w:line="320" w:lineRule="exact"/>
              <w:jc w:val="center"/>
              <w:rPr>
                <w:color w:val="auto"/>
                <w:kern w:val="0"/>
                <w:szCs w:val="21"/>
                <w:highlight w:val="none"/>
              </w:rPr>
            </w:pPr>
          </w:p>
        </w:tc>
        <w:tc>
          <w:tcPr>
            <w:tcW w:w="2402" w:type="dxa"/>
            <w:gridSpan w:val="2"/>
            <w:tcBorders>
              <w:top w:val="single" w:color="auto" w:sz="8" w:space="0"/>
              <w:left w:val="single" w:color="auto" w:sz="8" w:space="0"/>
              <w:bottom w:val="single" w:color="auto" w:sz="8" w:space="0"/>
              <w:right w:val="single" w:color="auto" w:sz="8" w:space="0"/>
            </w:tcBorders>
            <w:noWrap w:val="0"/>
            <w:vAlign w:val="center"/>
          </w:tcPr>
          <w:p w14:paraId="0A693AD1">
            <w:pPr>
              <w:pStyle w:val="175"/>
              <w:spacing w:before="120" w:after="120"/>
              <w:ind w:firstLine="0" w:firstLineChars="0"/>
              <w:jc w:val="center"/>
              <w:rPr>
                <w:color w:val="auto"/>
                <w:szCs w:val="21"/>
                <w:highlight w:val="none"/>
              </w:rPr>
            </w:pPr>
            <w:r>
              <w:rPr>
                <w:color w:val="auto"/>
                <w:szCs w:val="21"/>
                <w:highlight w:val="none"/>
              </w:rPr>
              <w:t>¥0.00元</w:t>
            </w:r>
          </w:p>
        </w:tc>
      </w:tr>
      <w:tr w14:paraId="3814A2C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55" w:hRule="atLeast"/>
          <w:jc w:val="center"/>
        </w:trPr>
        <w:tc>
          <w:tcPr>
            <w:tcW w:w="9627" w:type="dxa"/>
            <w:gridSpan w:val="8"/>
            <w:tcBorders>
              <w:top w:val="single" w:color="auto" w:sz="8" w:space="0"/>
              <w:left w:val="single" w:color="auto" w:sz="8" w:space="0"/>
              <w:bottom w:val="single" w:color="auto" w:sz="8" w:space="0"/>
              <w:right w:val="single" w:color="auto" w:sz="8" w:space="0"/>
            </w:tcBorders>
            <w:noWrap w:val="0"/>
            <w:vAlign w:val="center"/>
          </w:tcPr>
          <w:p w14:paraId="0AF483BF">
            <w:pPr>
              <w:widowControl/>
              <w:snapToGrid w:val="0"/>
              <w:spacing w:before="100" w:beforeAutospacing="1" w:after="100" w:afterAutospacing="1" w:line="320" w:lineRule="exact"/>
              <w:ind w:firstLine="2" w:firstLineChars="1"/>
              <w:jc w:val="left"/>
              <w:rPr>
                <w:color w:val="auto"/>
                <w:kern w:val="0"/>
                <w:szCs w:val="21"/>
                <w:highlight w:val="none"/>
              </w:rPr>
            </w:pPr>
            <w:r>
              <w:rPr>
                <w:color w:val="auto"/>
                <w:kern w:val="0"/>
                <w:szCs w:val="21"/>
                <w:highlight w:val="none"/>
              </w:rPr>
              <w:t>合计大写金额：</w:t>
            </w:r>
            <w:r>
              <w:rPr>
                <w:rFonts w:hint="eastAsia"/>
                <w:color w:val="auto"/>
                <w:kern w:val="0"/>
                <w:szCs w:val="21"/>
                <w:highlight w:val="none"/>
              </w:rPr>
              <w:t>人民币元整</w:t>
            </w:r>
          </w:p>
        </w:tc>
      </w:tr>
      <w:tr w14:paraId="1EA8AE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9" w:hRule="atLeast"/>
          <w:jc w:val="center"/>
        </w:trPr>
        <w:tc>
          <w:tcPr>
            <w:tcW w:w="1527" w:type="dxa"/>
            <w:gridSpan w:val="2"/>
            <w:tcBorders>
              <w:top w:val="single" w:color="auto" w:sz="8" w:space="0"/>
              <w:left w:val="single" w:color="auto" w:sz="8" w:space="0"/>
              <w:bottom w:val="single" w:color="auto" w:sz="8" w:space="0"/>
              <w:right w:val="single" w:color="auto" w:sz="8" w:space="0"/>
            </w:tcBorders>
            <w:noWrap w:val="0"/>
            <w:vAlign w:val="center"/>
          </w:tcPr>
          <w:p w14:paraId="12F98294">
            <w:pPr>
              <w:widowControl/>
              <w:snapToGrid w:val="0"/>
              <w:spacing w:before="100" w:beforeAutospacing="1" w:after="100" w:afterAutospacing="1" w:line="320" w:lineRule="exact"/>
              <w:ind w:firstLine="2" w:firstLineChars="1"/>
              <w:jc w:val="left"/>
              <w:rPr>
                <w:rFonts w:ascii="宋体" w:hAnsi="宋体" w:cs="宋体"/>
                <w:color w:val="auto"/>
                <w:kern w:val="0"/>
                <w:szCs w:val="21"/>
                <w:highlight w:val="none"/>
              </w:rPr>
            </w:pPr>
            <w:r>
              <w:rPr>
                <w:rFonts w:hint="eastAsia" w:ascii="宋体" w:hAnsi="宋体" w:cs="宋体"/>
                <w:color w:val="auto"/>
                <w:kern w:val="0"/>
                <w:szCs w:val="21"/>
                <w:highlight w:val="none"/>
              </w:rPr>
              <w:t>实际交付日期</w:t>
            </w:r>
          </w:p>
        </w:tc>
        <w:tc>
          <w:tcPr>
            <w:tcW w:w="3240" w:type="dxa"/>
            <w:gridSpan w:val="2"/>
            <w:tcBorders>
              <w:top w:val="single" w:color="auto" w:sz="8" w:space="0"/>
              <w:left w:val="single" w:color="auto" w:sz="8" w:space="0"/>
              <w:bottom w:val="single" w:color="auto" w:sz="8" w:space="0"/>
              <w:right w:val="single" w:color="auto" w:sz="8" w:space="0"/>
            </w:tcBorders>
            <w:noWrap w:val="0"/>
            <w:vAlign w:val="center"/>
          </w:tcPr>
          <w:p w14:paraId="22D0ADF1">
            <w:pPr>
              <w:snapToGrid w:val="0"/>
              <w:spacing w:before="100" w:beforeAutospacing="1" w:after="100" w:afterAutospacing="1"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20  年  月  日</w:t>
            </w:r>
          </w:p>
        </w:tc>
        <w:tc>
          <w:tcPr>
            <w:tcW w:w="2700" w:type="dxa"/>
            <w:gridSpan w:val="3"/>
            <w:tcBorders>
              <w:top w:val="single" w:color="auto" w:sz="8" w:space="0"/>
              <w:left w:val="single" w:color="auto" w:sz="8" w:space="0"/>
              <w:bottom w:val="single" w:color="auto" w:sz="8" w:space="0"/>
              <w:right w:val="single" w:color="auto" w:sz="8" w:space="0"/>
            </w:tcBorders>
            <w:noWrap w:val="0"/>
            <w:vAlign w:val="center"/>
          </w:tcPr>
          <w:p w14:paraId="3618D4ED">
            <w:pPr>
              <w:snapToGrid w:val="0"/>
              <w:spacing w:before="100" w:beforeAutospacing="1" w:after="100" w:afterAutospacing="1" w:line="320" w:lineRule="exact"/>
              <w:ind w:firstLine="39" w:firstLineChars="19"/>
              <w:jc w:val="center"/>
              <w:rPr>
                <w:rFonts w:ascii="宋体" w:hAnsi="宋体" w:cs="宋体"/>
                <w:color w:val="auto"/>
                <w:kern w:val="0"/>
                <w:szCs w:val="21"/>
                <w:highlight w:val="none"/>
              </w:rPr>
            </w:pPr>
            <w:r>
              <w:rPr>
                <w:rFonts w:hint="eastAsia" w:ascii="宋体" w:hAnsi="宋体" w:cs="宋体"/>
                <w:color w:val="auto"/>
                <w:kern w:val="0"/>
                <w:szCs w:val="21"/>
                <w:highlight w:val="none"/>
              </w:rPr>
              <w:t>合同交付验收日期</w:t>
            </w:r>
          </w:p>
        </w:tc>
        <w:tc>
          <w:tcPr>
            <w:tcW w:w="2160" w:type="dxa"/>
            <w:tcBorders>
              <w:top w:val="single" w:color="auto" w:sz="8" w:space="0"/>
              <w:left w:val="single" w:color="auto" w:sz="8" w:space="0"/>
              <w:bottom w:val="single" w:color="auto" w:sz="8" w:space="0"/>
              <w:right w:val="single" w:color="auto" w:sz="8" w:space="0"/>
            </w:tcBorders>
            <w:noWrap w:val="0"/>
            <w:vAlign w:val="center"/>
          </w:tcPr>
          <w:p w14:paraId="36868731">
            <w:pPr>
              <w:snapToGrid w:val="0"/>
              <w:spacing w:before="100" w:beforeAutospacing="1" w:after="100" w:afterAutospacing="1" w:line="32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20  年  月  日</w:t>
            </w:r>
          </w:p>
        </w:tc>
      </w:tr>
      <w:tr w14:paraId="78DB65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3" w:hRule="atLeast"/>
          <w:jc w:val="center"/>
        </w:trPr>
        <w:tc>
          <w:tcPr>
            <w:tcW w:w="1527"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6FEC46C">
            <w:pPr>
              <w:widowControl/>
              <w:snapToGrid w:val="0"/>
              <w:spacing w:before="100" w:beforeAutospacing="1" w:after="100" w:afterAutospacing="1"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验收具体内容</w:t>
            </w:r>
          </w:p>
        </w:tc>
        <w:tc>
          <w:tcPr>
            <w:tcW w:w="8100" w:type="dxa"/>
            <w:gridSpan w:val="6"/>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9EA3655">
            <w:pPr>
              <w:pStyle w:val="175"/>
              <w:spacing w:before="120" w:after="120"/>
              <w:ind w:firstLine="0" w:firstLineChars="0"/>
              <w:rPr>
                <w:rFonts w:ascii="宋体" w:hAnsi="宋体" w:cs="宋体"/>
                <w:color w:val="auto"/>
                <w:szCs w:val="21"/>
                <w:highlight w:val="none"/>
              </w:rPr>
            </w:pPr>
            <w:r>
              <w:rPr>
                <w:rFonts w:hint="eastAsia" w:ascii="宋体" w:hAnsi="宋体" w:cs="宋体"/>
                <w:color w:val="auto"/>
                <w:szCs w:val="21"/>
                <w:highlight w:val="none"/>
              </w:rPr>
              <w:t>中标人所提供服务的内容满足采购合同约定的要求、标准。</w:t>
            </w:r>
          </w:p>
        </w:tc>
      </w:tr>
      <w:tr w14:paraId="1E1F5A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46" w:hRule="atLeast"/>
          <w:jc w:val="center"/>
        </w:trPr>
        <w:tc>
          <w:tcPr>
            <w:tcW w:w="1527" w:type="dxa"/>
            <w:gridSpan w:val="2"/>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E77F479">
            <w:pPr>
              <w:widowControl/>
              <w:spacing w:before="100" w:beforeAutospacing="1" w:after="100" w:afterAutospacing="1"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验收小组意见</w:t>
            </w:r>
          </w:p>
        </w:tc>
        <w:tc>
          <w:tcPr>
            <w:tcW w:w="8100" w:type="dxa"/>
            <w:gridSpan w:val="6"/>
            <w:tcBorders>
              <w:top w:val="single" w:color="auto" w:sz="8" w:space="0"/>
              <w:left w:val="single" w:color="auto" w:sz="8" w:space="0"/>
              <w:bottom w:val="single" w:color="auto" w:sz="4" w:space="0"/>
              <w:right w:val="single" w:color="auto" w:sz="8" w:space="0"/>
            </w:tcBorders>
            <w:noWrap w:val="0"/>
            <w:vAlign w:val="center"/>
          </w:tcPr>
          <w:p w14:paraId="42F32505">
            <w:pPr>
              <w:widowControl/>
              <w:spacing w:before="100" w:beforeAutospacing="1" w:after="100" w:afterAutospacing="1" w:line="320" w:lineRule="exact"/>
              <w:jc w:val="left"/>
              <w:rPr>
                <w:rFonts w:ascii="宋体" w:hAnsi="宋体" w:cs="宋体"/>
                <w:color w:val="auto"/>
                <w:kern w:val="0"/>
                <w:szCs w:val="21"/>
                <w:highlight w:val="none"/>
              </w:rPr>
            </w:pPr>
            <w:r>
              <w:rPr>
                <w:rFonts w:hint="eastAsia" w:ascii="宋体" w:hAnsi="宋体" w:cs="宋体"/>
                <w:color w:val="auto"/>
                <w:kern w:val="0"/>
                <w:szCs w:val="21"/>
                <w:highlight w:val="none"/>
              </w:rPr>
              <w:t>验收结论性意见：同意（不同意）通过项目验收</w:t>
            </w:r>
          </w:p>
        </w:tc>
      </w:tr>
      <w:tr w14:paraId="69713B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037" w:hRule="atLeast"/>
          <w:jc w:val="center"/>
        </w:trPr>
        <w:tc>
          <w:tcPr>
            <w:tcW w:w="1527" w:type="dxa"/>
            <w:gridSpan w:val="2"/>
            <w:vMerge w:val="continue"/>
            <w:tcBorders>
              <w:top w:val="single" w:color="auto" w:sz="8" w:space="0"/>
              <w:left w:val="single" w:color="auto" w:sz="8" w:space="0"/>
              <w:bottom w:val="single" w:color="auto" w:sz="8" w:space="0"/>
              <w:right w:val="single" w:color="auto" w:sz="8" w:space="0"/>
            </w:tcBorders>
            <w:noWrap w:val="0"/>
            <w:vAlign w:val="center"/>
          </w:tcPr>
          <w:p w14:paraId="2CD709CA">
            <w:pPr>
              <w:widowControl/>
              <w:spacing w:line="320" w:lineRule="exact"/>
              <w:jc w:val="left"/>
              <w:rPr>
                <w:rFonts w:ascii="宋体" w:hAnsi="宋体" w:cs="宋体"/>
                <w:color w:val="auto"/>
                <w:kern w:val="0"/>
                <w:szCs w:val="21"/>
                <w:highlight w:val="none"/>
              </w:rPr>
            </w:pPr>
          </w:p>
        </w:tc>
        <w:tc>
          <w:tcPr>
            <w:tcW w:w="8100" w:type="dxa"/>
            <w:gridSpan w:val="6"/>
            <w:tcBorders>
              <w:top w:val="single" w:color="auto" w:sz="4" w:space="0"/>
              <w:left w:val="single" w:color="auto" w:sz="8" w:space="0"/>
              <w:bottom w:val="single" w:color="auto" w:sz="8" w:space="0"/>
              <w:right w:val="single" w:color="auto" w:sz="8" w:space="0"/>
            </w:tcBorders>
            <w:noWrap w:val="0"/>
            <w:vAlign w:val="center"/>
          </w:tcPr>
          <w:p w14:paraId="447804B8">
            <w:pPr>
              <w:pStyle w:val="175"/>
              <w:spacing w:before="120" w:after="120"/>
              <w:ind w:firstLine="0" w:firstLineChars="0"/>
              <w:rPr>
                <w:rFonts w:ascii="宋体" w:hAnsi="宋体" w:cs="宋体"/>
                <w:color w:val="auto"/>
                <w:szCs w:val="21"/>
                <w:highlight w:val="none"/>
              </w:rPr>
            </w:pPr>
            <w:r>
              <w:rPr>
                <w:rFonts w:hint="eastAsia" w:ascii="宋体" w:hAnsi="宋体" w:cs="宋体"/>
                <w:color w:val="auto"/>
                <w:szCs w:val="21"/>
                <w:highlight w:val="none"/>
              </w:rPr>
              <w:t>有异议的意见和说明理由：</w:t>
            </w:r>
          </w:p>
          <w:p w14:paraId="1E7A0D2A">
            <w:pPr>
              <w:pStyle w:val="175"/>
              <w:spacing w:before="120" w:after="120"/>
              <w:ind w:firstLine="5880" w:firstLineChars="2800"/>
              <w:rPr>
                <w:rFonts w:ascii="宋体" w:hAnsi="宋体" w:cs="宋体"/>
                <w:color w:val="auto"/>
                <w:szCs w:val="21"/>
                <w:highlight w:val="none"/>
              </w:rPr>
            </w:pPr>
            <w:r>
              <w:rPr>
                <w:rFonts w:hint="eastAsia" w:ascii="宋体" w:hAnsi="宋体" w:cs="宋体"/>
                <w:color w:val="auto"/>
                <w:szCs w:val="21"/>
                <w:highlight w:val="none"/>
              </w:rPr>
              <w:t>签字：</w:t>
            </w:r>
          </w:p>
        </w:tc>
      </w:tr>
      <w:tr w14:paraId="3129E4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331" w:hRule="atLeast"/>
          <w:jc w:val="center"/>
        </w:trPr>
        <w:tc>
          <w:tcPr>
            <w:tcW w:w="9627" w:type="dxa"/>
            <w:gridSpan w:val="8"/>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D3519D">
            <w:pPr>
              <w:widowControl/>
              <w:spacing w:before="100" w:beforeAutospacing="1" w:after="100" w:afterAutospacing="1" w:line="320" w:lineRule="exact"/>
              <w:jc w:val="left"/>
              <w:rPr>
                <w:color w:val="auto"/>
                <w:kern w:val="0"/>
                <w:szCs w:val="21"/>
                <w:highlight w:val="none"/>
              </w:rPr>
            </w:pPr>
            <w:r>
              <w:rPr>
                <w:color w:val="auto"/>
                <w:kern w:val="0"/>
                <w:szCs w:val="21"/>
                <w:highlight w:val="none"/>
              </w:rPr>
              <w:t>验收小组成员签字：</w:t>
            </w:r>
          </w:p>
          <w:p w14:paraId="3441E80F">
            <w:pPr>
              <w:widowControl/>
              <w:spacing w:before="100" w:beforeAutospacing="1" w:after="100" w:afterAutospacing="1" w:line="320" w:lineRule="exact"/>
              <w:jc w:val="left"/>
              <w:rPr>
                <w:color w:val="auto"/>
                <w:kern w:val="0"/>
                <w:szCs w:val="21"/>
                <w:highlight w:val="none"/>
              </w:rPr>
            </w:pPr>
          </w:p>
        </w:tc>
      </w:tr>
      <w:tr w14:paraId="0F23E3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110" w:hRule="atLeast"/>
          <w:jc w:val="center"/>
        </w:trPr>
        <w:tc>
          <w:tcPr>
            <w:tcW w:w="9627" w:type="dxa"/>
            <w:gridSpan w:val="8"/>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38C7026">
            <w:pPr>
              <w:widowControl/>
              <w:spacing w:before="100" w:beforeAutospacing="1" w:after="100" w:afterAutospacing="1" w:line="320" w:lineRule="exact"/>
              <w:jc w:val="left"/>
              <w:rPr>
                <w:color w:val="auto"/>
                <w:kern w:val="0"/>
                <w:szCs w:val="21"/>
                <w:highlight w:val="none"/>
              </w:rPr>
            </w:pPr>
            <w:r>
              <w:rPr>
                <w:color w:val="auto"/>
                <w:kern w:val="0"/>
                <w:szCs w:val="21"/>
                <w:highlight w:val="none"/>
              </w:rPr>
              <w:t>监督人员或其他相关人员签字：</w:t>
            </w:r>
          </w:p>
          <w:p w14:paraId="2DA601C9">
            <w:pPr>
              <w:widowControl/>
              <w:spacing w:before="100" w:beforeAutospacing="1" w:after="100" w:afterAutospacing="1" w:line="320" w:lineRule="exact"/>
              <w:ind w:firstLine="65" w:firstLineChars="31"/>
              <w:jc w:val="left"/>
              <w:rPr>
                <w:color w:val="auto"/>
                <w:kern w:val="0"/>
                <w:szCs w:val="21"/>
                <w:highlight w:val="none"/>
              </w:rPr>
            </w:pPr>
            <w:r>
              <w:rPr>
                <w:color w:val="auto"/>
                <w:kern w:val="0"/>
                <w:szCs w:val="21"/>
                <w:highlight w:val="none"/>
              </w:rPr>
              <w:t>或受邀机构的意见（盖章）：</w:t>
            </w:r>
          </w:p>
        </w:tc>
      </w:tr>
      <w:tr w14:paraId="517553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418" w:hRule="atLeast"/>
          <w:jc w:val="center"/>
        </w:trPr>
        <w:tc>
          <w:tcPr>
            <w:tcW w:w="4767" w:type="dxa"/>
            <w:gridSpan w:val="4"/>
            <w:tcBorders>
              <w:top w:val="single" w:color="auto" w:sz="8" w:space="0"/>
              <w:left w:val="single" w:color="auto" w:sz="8" w:space="0"/>
              <w:bottom w:val="single" w:color="auto" w:sz="8" w:space="0"/>
              <w:right w:val="nil"/>
            </w:tcBorders>
            <w:noWrap w:val="0"/>
            <w:tcMar>
              <w:top w:w="0" w:type="dxa"/>
              <w:left w:w="108" w:type="dxa"/>
              <w:bottom w:w="0" w:type="dxa"/>
              <w:right w:w="108" w:type="dxa"/>
            </w:tcMar>
            <w:vAlign w:val="center"/>
          </w:tcPr>
          <w:p w14:paraId="2B659632">
            <w:pPr>
              <w:widowControl/>
              <w:spacing w:before="100" w:beforeAutospacing="1" w:after="100" w:afterAutospacing="1" w:line="320" w:lineRule="exact"/>
              <w:ind w:firstLine="65" w:firstLineChars="31"/>
              <w:jc w:val="left"/>
              <w:rPr>
                <w:color w:val="auto"/>
                <w:kern w:val="0"/>
                <w:szCs w:val="21"/>
                <w:highlight w:val="none"/>
              </w:rPr>
            </w:pPr>
            <w:r>
              <w:rPr>
                <w:color w:val="auto"/>
                <w:kern w:val="0"/>
                <w:szCs w:val="21"/>
                <w:highlight w:val="none"/>
              </w:rPr>
              <w:t>中标或者成交供应商负责人签字或盖章：</w:t>
            </w:r>
          </w:p>
          <w:p w14:paraId="68DE2788">
            <w:pPr>
              <w:widowControl/>
              <w:spacing w:before="100" w:beforeAutospacing="1" w:after="100" w:afterAutospacing="1" w:line="320" w:lineRule="exact"/>
              <w:jc w:val="left"/>
              <w:rPr>
                <w:color w:val="auto"/>
                <w:kern w:val="0"/>
                <w:szCs w:val="21"/>
                <w:highlight w:val="none"/>
              </w:rPr>
            </w:pPr>
            <w:r>
              <w:rPr>
                <w:color w:val="auto"/>
                <w:kern w:val="0"/>
                <w:szCs w:val="21"/>
                <w:highlight w:val="none"/>
              </w:rPr>
              <w:t>联系电话：     </w:t>
            </w:r>
            <w:r>
              <w:rPr>
                <w:rFonts w:hint="eastAsia"/>
                <w:color w:val="auto"/>
                <w:kern w:val="0"/>
                <w:szCs w:val="21"/>
                <w:highlight w:val="none"/>
              </w:rPr>
              <w:t xml:space="preserve">   </w:t>
            </w:r>
            <w:r>
              <w:rPr>
                <w:color w:val="auto"/>
                <w:kern w:val="0"/>
                <w:szCs w:val="21"/>
                <w:highlight w:val="none"/>
              </w:rPr>
              <w:t>  年</w:t>
            </w:r>
            <w:r>
              <w:rPr>
                <w:rFonts w:hint="eastAsia"/>
                <w:color w:val="auto"/>
                <w:kern w:val="0"/>
                <w:szCs w:val="21"/>
                <w:highlight w:val="none"/>
              </w:rPr>
              <w:t xml:space="preserve">  </w:t>
            </w:r>
            <w:r>
              <w:rPr>
                <w:color w:val="auto"/>
                <w:kern w:val="0"/>
                <w:szCs w:val="21"/>
                <w:highlight w:val="none"/>
              </w:rPr>
              <w:t> 月 </w:t>
            </w:r>
            <w:r>
              <w:rPr>
                <w:rFonts w:hint="eastAsia"/>
                <w:color w:val="auto"/>
                <w:kern w:val="0"/>
                <w:szCs w:val="21"/>
                <w:highlight w:val="none"/>
              </w:rPr>
              <w:t xml:space="preserve">  </w:t>
            </w:r>
            <w:r>
              <w:rPr>
                <w:color w:val="auto"/>
                <w:kern w:val="0"/>
                <w:szCs w:val="21"/>
                <w:highlight w:val="none"/>
              </w:rPr>
              <w:t>日</w:t>
            </w:r>
          </w:p>
          <w:p w14:paraId="3B7C7439">
            <w:pPr>
              <w:widowControl/>
              <w:spacing w:before="100" w:beforeAutospacing="1" w:after="100" w:afterAutospacing="1" w:line="320" w:lineRule="exact"/>
              <w:jc w:val="left"/>
              <w:rPr>
                <w:color w:val="auto"/>
                <w:kern w:val="0"/>
                <w:szCs w:val="21"/>
                <w:highlight w:val="none"/>
              </w:rPr>
            </w:pPr>
          </w:p>
          <w:p w14:paraId="645219B2">
            <w:pPr>
              <w:widowControl/>
              <w:spacing w:before="100" w:beforeAutospacing="1" w:after="100" w:afterAutospacing="1" w:line="320" w:lineRule="exact"/>
              <w:ind w:firstLine="65" w:firstLineChars="31"/>
              <w:jc w:val="left"/>
              <w:rPr>
                <w:color w:val="auto"/>
                <w:kern w:val="0"/>
                <w:szCs w:val="21"/>
                <w:highlight w:val="none"/>
              </w:rPr>
            </w:pPr>
            <w:r>
              <w:rPr>
                <w:rFonts w:hint="eastAsia"/>
                <w:color w:val="auto"/>
                <w:kern w:val="0"/>
                <w:szCs w:val="21"/>
                <w:highlight w:val="none"/>
              </w:rPr>
              <w:t>采购人</w:t>
            </w:r>
            <w:r>
              <w:rPr>
                <w:color w:val="auto"/>
                <w:kern w:val="0"/>
                <w:szCs w:val="21"/>
                <w:highlight w:val="none"/>
              </w:rPr>
              <w:t>签字或盖章：</w:t>
            </w:r>
          </w:p>
          <w:p w14:paraId="64230703">
            <w:pPr>
              <w:widowControl/>
              <w:spacing w:before="100" w:beforeAutospacing="1" w:after="100" w:afterAutospacing="1" w:line="320" w:lineRule="exact"/>
              <w:jc w:val="left"/>
              <w:rPr>
                <w:color w:val="auto"/>
                <w:kern w:val="0"/>
                <w:szCs w:val="21"/>
                <w:highlight w:val="none"/>
              </w:rPr>
            </w:pPr>
            <w:r>
              <w:rPr>
                <w:color w:val="auto"/>
                <w:kern w:val="0"/>
                <w:szCs w:val="21"/>
                <w:highlight w:val="none"/>
              </w:rPr>
              <w:t xml:space="preserve">联系电话：      </w:t>
            </w:r>
            <w:r>
              <w:rPr>
                <w:rFonts w:hint="eastAsia"/>
                <w:color w:val="auto"/>
                <w:kern w:val="0"/>
                <w:szCs w:val="21"/>
                <w:highlight w:val="none"/>
              </w:rPr>
              <w:t xml:space="preserve"> </w:t>
            </w:r>
            <w:r>
              <w:rPr>
                <w:color w:val="auto"/>
                <w:kern w:val="0"/>
                <w:szCs w:val="21"/>
                <w:highlight w:val="none"/>
              </w:rPr>
              <w:t>  年</w:t>
            </w:r>
            <w:r>
              <w:rPr>
                <w:rFonts w:hint="eastAsia"/>
                <w:color w:val="auto"/>
                <w:kern w:val="0"/>
                <w:szCs w:val="21"/>
                <w:highlight w:val="none"/>
              </w:rPr>
              <w:t xml:space="preserve">  </w:t>
            </w:r>
            <w:r>
              <w:rPr>
                <w:color w:val="auto"/>
                <w:kern w:val="0"/>
                <w:szCs w:val="21"/>
                <w:highlight w:val="none"/>
              </w:rPr>
              <w:t> 月 </w:t>
            </w:r>
            <w:r>
              <w:rPr>
                <w:rFonts w:hint="eastAsia"/>
                <w:color w:val="auto"/>
                <w:kern w:val="0"/>
                <w:szCs w:val="21"/>
                <w:highlight w:val="none"/>
              </w:rPr>
              <w:t xml:space="preserve">  </w:t>
            </w:r>
            <w:r>
              <w:rPr>
                <w:color w:val="auto"/>
                <w:kern w:val="0"/>
                <w:szCs w:val="21"/>
                <w:highlight w:val="none"/>
              </w:rPr>
              <w:t>日</w:t>
            </w:r>
          </w:p>
        </w:tc>
        <w:tc>
          <w:tcPr>
            <w:tcW w:w="4860" w:type="dxa"/>
            <w:gridSpan w:val="4"/>
            <w:tcBorders>
              <w:top w:val="single" w:color="auto" w:sz="8" w:space="0"/>
              <w:left w:val="nil"/>
              <w:bottom w:val="single" w:color="auto" w:sz="8" w:space="0"/>
              <w:right w:val="single" w:color="auto" w:sz="8" w:space="0"/>
            </w:tcBorders>
            <w:noWrap w:val="0"/>
            <w:vAlign w:val="center"/>
          </w:tcPr>
          <w:p w14:paraId="017B4A8C">
            <w:pPr>
              <w:widowControl/>
              <w:spacing w:before="100" w:beforeAutospacing="1" w:after="100" w:afterAutospacing="1" w:line="320" w:lineRule="exact"/>
              <w:jc w:val="left"/>
              <w:rPr>
                <w:color w:val="auto"/>
                <w:kern w:val="0"/>
                <w:szCs w:val="21"/>
                <w:highlight w:val="none"/>
              </w:rPr>
            </w:pPr>
            <w:r>
              <w:rPr>
                <w:color w:val="auto"/>
                <w:kern w:val="0"/>
                <w:szCs w:val="21"/>
                <w:highlight w:val="none"/>
              </w:rPr>
              <w:t> 受托机构的意见（盖章）：</w:t>
            </w:r>
          </w:p>
          <w:p w14:paraId="4921A68D">
            <w:pPr>
              <w:widowControl/>
              <w:spacing w:before="100" w:beforeAutospacing="1" w:after="100" w:afterAutospacing="1" w:line="320" w:lineRule="exact"/>
              <w:jc w:val="left"/>
              <w:rPr>
                <w:color w:val="auto"/>
                <w:kern w:val="0"/>
                <w:szCs w:val="21"/>
                <w:highlight w:val="none"/>
              </w:rPr>
            </w:pPr>
            <w:r>
              <w:rPr>
                <w:color w:val="auto"/>
                <w:kern w:val="0"/>
                <w:szCs w:val="21"/>
                <w:highlight w:val="none"/>
              </w:rPr>
              <w:t xml:space="preserve">联系电话：                 </w:t>
            </w:r>
            <w:r>
              <w:rPr>
                <w:rFonts w:hint="eastAsia"/>
                <w:color w:val="auto"/>
                <w:kern w:val="0"/>
                <w:szCs w:val="21"/>
                <w:highlight w:val="none"/>
              </w:rPr>
              <w:t xml:space="preserve">    </w:t>
            </w:r>
            <w:r>
              <w:rPr>
                <w:color w:val="auto"/>
                <w:kern w:val="0"/>
                <w:szCs w:val="21"/>
                <w:highlight w:val="none"/>
              </w:rPr>
              <w:t>年   月   日</w:t>
            </w:r>
          </w:p>
          <w:p w14:paraId="11367E96">
            <w:pPr>
              <w:widowControl/>
              <w:spacing w:before="100" w:beforeAutospacing="1" w:after="100" w:afterAutospacing="1" w:line="320" w:lineRule="exact"/>
              <w:jc w:val="left"/>
              <w:rPr>
                <w:color w:val="auto"/>
                <w:kern w:val="0"/>
                <w:szCs w:val="21"/>
                <w:highlight w:val="none"/>
              </w:rPr>
            </w:pPr>
          </w:p>
          <w:p w14:paraId="5C458C1A">
            <w:pPr>
              <w:widowControl/>
              <w:spacing w:before="100" w:beforeAutospacing="1" w:after="100" w:afterAutospacing="1" w:line="320" w:lineRule="exact"/>
              <w:jc w:val="left"/>
              <w:rPr>
                <w:color w:val="auto"/>
                <w:kern w:val="0"/>
                <w:szCs w:val="21"/>
                <w:highlight w:val="none"/>
              </w:rPr>
            </w:pPr>
          </w:p>
          <w:p w14:paraId="4B40AFCC">
            <w:pPr>
              <w:widowControl/>
              <w:spacing w:before="100" w:beforeAutospacing="1" w:after="100" w:afterAutospacing="1" w:line="320" w:lineRule="exact"/>
              <w:jc w:val="left"/>
              <w:rPr>
                <w:color w:val="auto"/>
                <w:kern w:val="0"/>
                <w:szCs w:val="21"/>
                <w:highlight w:val="none"/>
              </w:rPr>
            </w:pPr>
          </w:p>
        </w:tc>
      </w:tr>
    </w:tbl>
    <w:p w14:paraId="35CEB4C8">
      <w:pPr>
        <w:widowControl/>
        <w:jc w:val="left"/>
        <w:rPr>
          <w:rFonts w:hint="eastAsia"/>
          <w:bCs/>
          <w:color w:val="auto"/>
          <w:sz w:val="24"/>
          <w:highlight w:val="none"/>
        </w:rPr>
      </w:pPr>
      <w:r>
        <w:rPr>
          <w:color w:val="auto"/>
          <w:spacing w:val="-10"/>
          <w:kern w:val="0"/>
          <w:szCs w:val="21"/>
          <w:highlight w:val="none"/>
        </w:rPr>
        <w:t>备注：本报告单一式4份（采购单位1份、供应商1份、采购监督部门备案1份、采购代理机构1份）</w:t>
      </w:r>
    </w:p>
    <w:p w14:paraId="50F44BEC">
      <w:pPr>
        <w:spacing w:before="120" w:line="320" w:lineRule="atLeast"/>
        <w:rPr>
          <w:rFonts w:hint="eastAsia"/>
          <w:color w:val="auto"/>
          <w:szCs w:val="21"/>
          <w:highlight w:val="none"/>
        </w:rPr>
        <w:sectPr>
          <w:headerReference r:id="rId19" w:type="default"/>
          <w:pgSz w:w="11906" w:h="16838"/>
          <w:pgMar w:top="1418" w:right="1418" w:bottom="1246" w:left="1418" w:header="851" w:footer="992" w:gutter="0"/>
          <w:pgNumType w:fmt="decimal"/>
          <w:cols w:space="720" w:num="1"/>
          <w:docGrid w:linePitch="312" w:charSpace="0"/>
        </w:sectPr>
      </w:pPr>
    </w:p>
    <w:bookmarkEnd w:id="0"/>
    <w:bookmarkEnd w:id="1"/>
    <w:bookmarkEnd w:id="70"/>
    <w:bookmarkEnd w:id="71"/>
    <w:p w14:paraId="704E9C98">
      <w:pPr>
        <w:widowControl/>
        <w:jc w:val="center"/>
        <w:outlineLvl w:val="0"/>
        <w:rPr>
          <w:color w:val="auto"/>
          <w:sz w:val="32"/>
          <w:szCs w:val="32"/>
          <w:highlight w:val="none"/>
        </w:rPr>
      </w:pPr>
      <w:bookmarkStart w:id="80" w:name="_Toc26903"/>
      <w:r>
        <w:rPr>
          <w:color w:val="auto"/>
          <w:sz w:val="32"/>
          <w:szCs w:val="32"/>
          <w:highlight w:val="none"/>
        </w:rPr>
        <w:t>第六章  响应文件格式</w:t>
      </w:r>
      <w:bookmarkEnd w:id="80"/>
    </w:p>
    <w:p w14:paraId="03E0394F">
      <w:pPr>
        <w:rPr>
          <w:rFonts w:hint="eastAsia"/>
          <w:color w:val="auto"/>
          <w:sz w:val="28"/>
          <w:szCs w:val="28"/>
          <w:highlight w:val="none"/>
        </w:rPr>
      </w:pPr>
      <w:bookmarkStart w:id="81" w:name="_Toc254970556"/>
      <w:bookmarkStart w:id="82" w:name="_Toc254970697"/>
    </w:p>
    <w:bookmarkEnd w:id="81"/>
    <w:bookmarkEnd w:id="82"/>
    <w:p w14:paraId="3EA5F5F4">
      <w:pPr>
        <w:rPr>
          <w:rFonts w:hint="eastAsia"/>
          <w:color w:val="auto"/>
          <w:sz w:val="28"/>
          <w:szCs w:val="28"/>
          <w:highlight w:val="none"/>
        </w:rPr>
      </w:pPr>
    </w:p>
    <w:p w14:paraId="33C4A301">
      <w:pPr>
        <w:spacing w:line="500" w:lineRule="exact"/>
        <w:ind w:firstLine="560" w:firstLineChars="200"/>
        <w:rPr>
          <w:rFonts w:ascii="宋体" w:hAnsi="宋体"/>
          <w:color w:val="auto"/>
          <w:sz w:val="24"/>
          <w:highlight w:val="none"/>
        </w:rPr>
      </w:pPr>
      <w:bookmarkStart w:id="83" w:name="_Hlk19199063"/>
      <w:r>
        <w:rPr>
          <w:rFonts w:hint="eastAsia"/>
          <w:color w:val="auto"/>
          <w:sz w:val="28"/>
          <w:szCs w:val="28"/>
          <w:highlight w:val="none"/>
        </w:rPr>
        <w:t>注：有签字、盖章要求的应按要求</w:t>
      </w:r>
      <w:bookmarkEnd w:id="83"/>
      <w:r>
        <w:rPr>
          <w:rFonts w:hint="eastAsia"/>
          <w:color w:val="auto"/>
          <w:sz w:val="28"/>
          <w:szCs w:val="28"/>
          <w:highlight w:val="none"/>
        </w:rPr>
        <w:t>签字（签章）、盖章（签章）。</w:t>
      </w:r>
      <w:r>
        <w:rPr>
          <w:bCs/>
          <w:color w:val="auto"/>
          <w:sz w:val="24"/>
          <w:highlight w:val="none"/>
        </w:rPr>
        <w:t xml:space="preserve"> </w:t>
      </w:r>
    </w:p>
    <w:p w14:paraId="51972CC0">
      <w:pPr>
        <w:snapToGrid w:val="0"/>
        <w:spacing w:before="120" w:beforeLines="50" w:after="50" w:line="440" w:lineRule="exact"/>
        <w:jc w:val="left"/>
        <w:outlineLvl w:val="1"/>
        <w:rPr>
          <w:rFonts w:ascii="Times New Roman" w:hAnsi="Times New Roman" w:eastAsia="宋体" w:cs="Times New Roman"/>
          <w:b/>
          <w:color w:val="auto"/>
          <w:sz w:val="24"/>
          <w:highlight w:val="none"/>
        </w:rPr>
      </w:pPr>
      <w:r>
        <w:rPr>
          <w:color w:val="auto"/>
          <w:sz w:val="24"/>
          <w:highlight w:val="none"/>
        </w:rPr>
        <w:br w:type="page"/>
      </w:r>
      <w:r>
        <w:rPr>
          <w:rFonts w:hint="eastAsia" w:ascii="Times New Roman" w:hAnsi="Times New Roman" w:eastAsia="宋体" w:cs="Times New Roman"/>
          <w:b w:val="0"/>
          <w:bCs w:val="0"/>
          <w:color w:val="auto"/>
          <w:sz w:val="24"/>
          <w:highlight w:val="none"/>
        </w:rPr>
        <w:t>1.</w:t>
      </w:r>
      <w:r>
        <w:rPr>
          <w:rFonts w:ascii="Times New Roman" w:hAnsi="Times New Roman" w:eastAsia="宋体" w:cs="Times New Roman"/>
          <w:b w:val="0"/>
          <w:bCs w:val="0"/>
          <w:color w:val="auto"/>
          <w:sz w:val="24"/>
          <w:highlight w:val="none"/>
        </w:rPr>
        <w:t>响应文件封面</w:t>
      </w:r>
      <w:r>
        <w:rPr>
          <w:rFonts w:hint="eastAsia" w:ascii="Times New Roman" w:hAnsi="Times New Roman" w:eastAsia="宋体" w:cs="Times New Roman"/>
          <w:b w:val="0"/>
          <w:bCs w:val="0"/>
          <w:color w:val="auto"/>
          <w:sz w:val="24"/>
          <w:highlight w:val="none"/>
          <w:lang w:val="en-US" w:eastAsia="zh-CN"/>
        </w:rPr>
        <w:t>参考</w:t>
      </w:r>
      <w:r>
        <w:rPr>
          <w:rFonts w:ascii="Times New Roman" w:hAnsi="Times New Roman" w:eastAsia="宋体" w:cs="Times New Roman"/>
          <w:b w:val="0"/>
          <w:bCs w:val="0"/>
          <w:color w:val="auto"/>
          <w:sz w:val="24"/>
          <w:highlight w:val="none"/>
        </w:rPr>
        <w:t>格式</w:t>
      </w:r>
      <w:bookmarkStart w:id="84" w:name="_Hlk92966991"/>
      <w:r>
        <w:rPr>
          <w:rFonts w:hint="eastAsia" w:ascii="Times New Roman" w:hAnsi="Times New Roman" w:eastAsia="宋体" w:cs="Times New Roman"/>
          <w:b w:val="0"/>
          <w:bCs w:val="0"/>
          <w:color w:val="auto"/>
          <w:sz w:val="24"/>
          <w:highlight w:val="none"/>
        </w:rPr>
        <w:t>（资格证明文件）</w:t>
      </w:r>
      <w:bookmarkEnd w:id="84"/>
      <w:r>
        <w:rPr>
          <w:rFonts w:ascii="Times New Roman" w:hAnsi="Times New Roman" w:eastAsia="宋体" w:cs="Times New Roman"/>
          <w:b w:val="0"/>
          <w:bCs w:val="0"/>
          <w:color w:val="auto"/>
          <w:sz w:val="24"/>
          <w:highlight w:val="none"/>
        </w:rPr>
        <w:t>：</w:t>
      </w:r>
      <w:r>
        <w:rPr>
          <w:rFonts w:ascii="Times New Roman" w:hAnsi="Times New Roman" w:eastAsia="宋体" w:cs="Times New Roman"/>
          <w:b/>
          <w:bCs/>
          <w:color w:val="auto"/>
          <w:sz w:val="24"/>
          <w:highlight w:val="none"/>
        </w:rPr>
        <w:t xml:space="preserve"> </w:t>
      </w:r>
    </w:p>
    <w:p w14:paraId="36BDD0EC">
      <w:pPr>
        <w:snapToGrid w:val="0"/>
        <w:spacing w:before="120" w:beforeLines="50" w:after="50" w:line="360" w:lineRule="exact"/>
        <w:rPr>
          <w:rFonts w:ascii="Times New Roman" w:hAnsi="Times New Roman" w:eastAsia="宋体" w:cs="Times New Roman"/>
          <w:color w:val="auto"/>
          <w:sz w:val="24"/>
          <w:highlight w:val="none"/>
        </w:rPr>
      </w:pPr>
    </w:p>
    <w:p w14:paraId="3BC35975">
      <w:pPr>
        <w:snapToGrid w:val="0"/>
        <w:spacing w:before="120" w:beforeLines="50" w:after="50" w:line="360" w:lineRule="exact"/>
        <w:jc w:val="right"/>
        <w:rPr>
          <w:rFonts w:hint="eastAsia" w:ascii="Times New Roman" w:hAnsi="Times New Roman" w:eastAsia="宋体" w:cs="Times New Roman"/>
          <w:bCs/>
          <w:color w:val="auto"/>
          <w:sz w:val="24"/>
          <w:highlight w:val="none"/>
        </w:rPr>
      </w:pPr>
    </w:p>
    <w:p w14:paraId="6CA7D02A">
      <w:pPr>
        <w:snapToGrid w:val="0"/>
        <w:spacing w:before="120" w:beforeLines="50" w:after="50" w:line="360" w:lineRule="exact"/>
        <w:jc w:val="center"/>
        <w:rPr>
          <w:rFonts w:ascii="Times New Roman" w:hAnsi="Times New Roman" w:eastAsia="宋体" w:cs="Times New Roman"/>
          <w:bCs/>
          <w:color w:val="auto"/>
          <w:sz w:val="24"/>
          <w:highlight w:val="none"/>
        </w:rPr>
      </w:pPr>
      <w:r>
        <w:rPr>
          <w:rFonts w:hint="eastAsia" w:ascii="宋体" w:hAnsi="宋体" w:eastAsia="宋体" w:cs="Times New Roman"/>
          <w:b/>
          <w:color w:val="auto"/>
          <w:sz w:val="44"/>
          <w:szCs w:val="24"/>
          <w:highlight w:val="none"/>
        </w:rPr>
        <w:t>电子响应文件</w:t>
      </w:r>
    </w:p>
    <w:p w14:paraId="55BA7CC8">
      <w:pPr>
        <w:snapToGrid w:val="0"/>
        <w:spacing w:before="120" w:beforeLines="50" w:after="50" w:line="360" w:lineRule="exact"/>
        <w:jc w:val="center"/>
        <w:rPr>
          <w:rFonts w:ascii="Times New Roman" w:hAnsi="Times New Roman" w:eastAsia="宋体" w:cs="Times New Roman"/>
          <w:b/>
          <w:bCs/>
          <w:color w:val="auto"/>
          <w:sz w:val="44"/>
          <w:szCs w:val="44"/>
          <w:highlight w:val="none"/>
        </w:rPr>
      </w:pPr>
    </w:p>
    <w:p w14:paraId="6E295314">
      <w:pPr>
        <w:snapToGrid w:val="0"/>
        <w:spacing w:before="120" w:beforeLines="50" w:after="50" w:line="360" w:lineRule="exact"/>
        <w:jc w:val="center"/>
        <w:rPr>
          <w:rFonts w:ascii="Times New Roman" w:hAnsi="Times New Roman" w:eastAsia="宋体" w:cs="Times New Roman"/>
          <w:b/>
          <w:bCs/>
          <w:color w:val="auto"/>
          <w:sz w:val="44"/>
          <w:szCs w:val="44"/>
          <w:highlight w:val="none"/>
        </w:rPr>
      </w:pPr>
    </w:p>
    <w:p w14:paraId="3D7D7442">
      <w:pPr>
        <w:snapToGrid w:val="0"/>
        <w:spacing w:before="120" w:beforeLines="50" w:after="50" w:line="360" w:lineRule="exact"/>
        <w:jc w:val="center"/>
        <w:rPr>
          <w:rFonts w:ascii="Times New Roman" w:hAnsi="Times New Roman" w:eastAsia="宋体" w:cs="Times New Roman"/>
          <w:b/>
          <w:bCs/>
          <w:color w:val="auto"/>
          <w:sz w:val="44"/>
          <w:szCs w:val="44"/>
          <w:highlight w:val="none"/>
        </w:rPr>
      </w:pPr>
      <w:bookmarkStart w:id="85" w:name="_Hlk92967018"/>
      <w:r>
        <w:rPr>
          <w:rFonts w:ascii="Times New Roman" w:hAnsi="Times New Roman" w:eastAsia="宋体" w:cs="Times New Roman"/>
          <w:b/>
          <w:bCs/>
          <w:color w:val="auto"/>
          <w:sz w:val="44"/>
          <w:szCs w:val="44"/>
          <w:highlight w:val="none"/>
        </w:rPr>
        <w:t>资格</w:t>
      </w:r>
      <w:r>
        <w:rPr>
          <w:rFonts w:hint="eastAsia" w:ascii="Times New Roman" w:hAnsi="Times New Roman" w:eastAsia="宋体" w:cs="Times New Roman"/>
          <w:b/>
          <w:bCs/>
          <w:color w:val="auto"/>
          <w:sz w:val="44"/>
          <w:szCs w:val="44"/>
          <w:highlight w:val="none"/>
        </w:rPr>
        <w:t>证明文件</w:t>
      </w:r>
    </w:p>
    <w:bookmarkEnd w:id="85"/>
    <w:p w14:paraId="0A960E96">
      <w:pPr>
        <w:snapToGrid w:val="0"/>
        <w:spacing w:before="120" w:beforeLines="50" w:after="50" w:line="360" w:lineRule="exact"/>
        <w:jc w:val="center"/>
        <w:rPr>
          <w:rFonts w:ascii="Times New Roman" w:hAnsi="Times New Roman" w:eastAsia="宋体" w:cs="Times New Roman"/>
          <w:b/>
          <w:bCs/>
          <w:color w:val="auto"/>
          <w:sz w:val="44"/>
          <w:szCs w:val="44"/>
          <w:highlight w:val="none"/>
        </w:rPr>
      </w:pPr>
    </w:p>
    <w:p w14:paraId="078C4E76">
      <w:pPr>
        <w:snapToGrid w:val="0"/>
        <w:spacing w:before="120" w:beforeLines="50" w:after="50" w:line="360" w:lineRule="exact"/>
        <w:rPr>
          <w:rFonts w:ascii="Times New Roman" w:hAnsi="Times New Roman" w:eastAsia="宋体" w:cs="Times New Roman"/>
          <w:bCs/>
          <w:color w:val="auto"/>
          <w:sz w:val="24"/>
          <w:highlight w:val="none"/>
        </w:rPr>
      </w:pPr>
    </w:p>
    <w:p w14:paraId="0B3678ED">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 xml:space="preserve">项目名称： </w:t>
      </w:r>
    </w:p>
    <w:p w14:paraId="18259D21">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项目编号：</w:t>
      </w:r>
    </w:p>
    <w:p w14:paraId="2C856B50">
      <w:pPr>
        <w:snapToGrid w:val="0"/>
        <w:spacing w:before="120" w:beforeLines="50" w:after="50" w:line="44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分标号：（若无</w:t>
      </w:r>
      <w:r>
        <w:rPr>
          <w:rFonts w:hint="eastAsia" w:ascii="Times New Roman" w:hAnsi="Times New Roman" w:eastAsia="宋体" w:cs="Times New Roman"/>
          <w:bCs/>
          <w:color w:val="auto"/>
          <w:sz w:val="24"/>
          <w:highlight w:val="none"/>
        </w:rPr>
        <w:t>留空或写</w:t>
      </w:r>
      <w:r>
        <w:rPr>
          <w:rFonts w:ascii="Times New Roman" w:hAnsi="Times New Roman" w:eastAsia="宋体" w:cs="Times New Roman"/>
          <w:bCs/>
          <w:color w:val="auto"/>
          <w:sz w:val="24"/>
          <w:highlight w:val="none"/>
        </w:rPr>
        <w:t>“/”）</w:t>
      </w:r>
    </w:p>
    <w:p w14:paraId="443C7985">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供应商名称：</w:t>
      </w:r>
    </w:p>
    <w:p w14:paraId="222D8F83">
      <w:pPr>
        <w:snapToGrid w:val="0"/>
        <w:spacing w:before="120" w:beforeLines="50" w:after="50" w:line="360" w:lineRule="exact"/>
        <w:ind w:firstLine="720" w:firstLineChars="300"/>
        <w:rPr>
          <w:rFonts w:ascii="Times New Roman" w:hAnsi="Times New Roman" w:eastAsia="宋体" w:cs="Times New Roman"/>
          <w:bCs/>
          <w:color w:val="auto"/>
          <w:sz w:val="24"/>
          <w:highlight w:val="none"/>
        </w:rPr>
      </w:pPr>
      <w:r>
        <w:rPr>
          <w:rFonts w:ascii="Times New Roman" w:hAnsi="Times New Roman" w:eastAsia="宋体" w:cs="Times New Roman"/>
          <w:bCs/>
          <w:color w:val="auto"/>
          <w:sz w:val="24"/>
          <w:highlight w:val="none"/>
        </w:rPr>
        <w:t>供应商地址：</w:t>
      </w:r>
    </w:p>
    <w:p w14:paraId="6AD686D7">
      <w:pPr>
        <w:pStyle w:val="7"/>
        <w:snapToGrid w:val="0"/>
        <w:spacing w:before="50" w:after="50" w:line="360" w:lineRule="exact"/>
        <w:ind w:firstLine="960" w:firstLineChars="400"/>
        <w:rPr>
          <w:rFonts w:ascii="Times New Roman" w:hAnsi="Times New Roman" w:eastAsia="宋体" w:cs="Times New Roman"/>
          <w:bCs/>
          <w:color w:val="auto"/>
          <w:sz w:val="24"/>
          <w:szCs w:val="24"/>
          <w:highlight w:val="none"/>
        </w:rPr>
      </w:pPr>
    </w:p>
    <w:p w14:paraId="2CBDC350">
      <w:pPr>
        <w:snapToGrid w:val="0"/>
        <w:spacing w:before="120" w:beforeLines="50" w:after="50" w:line="360" w:lineRule="exact"/>
        <w:jc w:val="center"/>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 xml:space="preserve">                        年  月  日</w:t>
      </w:r>
    </w:p>
    <w:p w14:paraId="74329B36">
      <w:pPr>
        <w:snapToGrid w:val="0"/>
        <w:spacing w:before="50" w:after="50" w:line="440" w:lineRule="exact"/>
        <w:rPr>
          <w:rFonts w:ascii="Times New Roman" w:hAnsi="Times New Roman" w:eastAsia="宋体" w:cs="Times New Roman"/>
          <w:b/>
          <w:color w:val="auto"/>
          <w:sz w:val="24"/>
          <w:highlight w:val="none"/>
        </w:rPr>
      </w:pPr>
      <w:r>
        <w:rPr>
          <w:rFonts w:ascii="Times New Roman" w:hAnsi="Times New Roman" w:eastAsia="宋体" w:cs="Times New Roman"/>
          <w:b/>
          <w:color w:val="auto"/>
          <w:sz w:val="24"/>
          <w:highlight w:val="none"/>
        </w:rPr>
        <w:t xml:space="preserve"> </w:t>
      </w:r>
    </w:p>
    <w:p w14:paraId="5C409F6A">
      <w:pPr>
        <w:snapToGrid w:val="0"/>
        <w:spacing w:before="120" w:beforeLines="50" w:after="50" w:line="360" w:lineRule="exact"/>
        <w:jc w:val="center"/>
        <w:rPr>
          <w:color w:val="auto"/>
          <w:sz w:val="24"/>
          <w:highlight w:val="none"/>
        </w:rPr>
      </w:pPr>
    </w:p>
    <w:p w14:paraId="39F370D8">
      <w:pPr>
        <w:snapToGrid w:val="0"/>
        <w:spacing w:before="120" w:beforeLines="50" w:after="50" w:line="440" w:lineRule="exact"/>
        <w:jc w:val="center"/>
        <w:outlineLvl w:val="9"/>
        <w:rPr>
          <w:b/>
          <w:bCs/>
          <w:color w:val="auto"/>
          <w:sz w:val="24"/>
          <w:highlight w:val="none"/>
        </w:rPr>
      </w:pPr>
      <w:bookmarkStart w:id="86" w:name="_Toc254970557"/>
      <w:bookmarkStart w:id="87" w:name="_Toc254970698"/>
      <w:r>
        <w:rPr>
          <w:color w:val="auto"/>
          <w:sz w:val="24"/>
          <w:highlight w:val="none"/>
        </w:rPr>
        <w:br w:type="page"/>
      </w:r>
      <w:bookmarkEnd w:id="86"/>
      <w:bookmarkEnd w:id="87"/>
    </w:p>
    <w:p w14:paraId="5179102E">
      <w:pPr>
        <w:snapToGrid w:val="0"/>
        <w:spacing w:before="120" w:beforeLines="50" w:after="50" w:line="440" w:lineRule="exact"/>
        <w:jc w:val="center"/>
        <w:rPr>
          <w:color w:val="auto"/>
          <w:sz w:val="24"/>
          <w:highlight w:val="none"/>
        </w:rPr>
      </w:pPr>
    </w:p>
    <w:p w14:paraId="3C305535">
      <w:pPr>
        <w:snapToGrid w:val="0"/>
        <w:spacing w:before="50" w:after="50" w:line="440" w:lineRule="exact"/>
        <w:ind w:firstLine="138" w:firstLineChars="49"/>
        <w:jc w:val="center"/>
        <w:rPr>
          <w:b/>
          <w:color w:val="auto"/>
          <w:sz w:val="28"/>
          <w:szCs w:val="28"/>
          <w:highlight w:val="none"/>
        </w:rPr>
      </w:pPr>
      <w:r>
        <w:rPr>
          <w:b/>
          <w:color w:val="auto"/>
          <w:sz w:val="28"/>
          <w:szCs w:val="28"/>
          <w:highlight w:val="none"/>
        </w:rPr>
        <w:t>目录</w:t>
      </w:r>
    </w:p>
    <w:p w14:paraId="72970461">
      <w:pPr>
        <w:jc w:val="center"/>
        <w:rPr>
          <w:b/>
          <w:color w:val="auto"/>
          <w:sz w:val="24"/>
          <w:highlight w:val="none"/>
        </w:rPr>
      </w:pPr>
      <w:r>
        <w:rPr>
          <w:b/>
          <w:color w:val="auto"/>
          <w:sz w:val="24"/>
          <w:highlight w:val="none"/>
        </w:rPr>
        <w:t>（需有页码）</w:t>
      </w:r>
    </w:p>
    <w:p w14:paraId="5D726730">
      <w:pPr>
        <w:jc w:val="center"/>
        <w:outlineLvl w:val="9"/>
        <w:rPr>
          <w:rFonts w:hint="eastAsia"/>
          <w:bCs/>
          <w:vanish/>
          <w:color w:val="auto"/>
          <w:sz w:val="24"/>
          <w:highlight w:val="none"/>
        </w:rPr>
      </w:pPr>
      <w:r>
        <w:rPr>
          <w:color w:val="auto"/>
          <w:highlight w:val="none"/>
        </w:rPr>
        <w:br w:type="page"/>
      </w:r>
      <w:r>
        <w:rPr>
          <w:bCs/>
          <w:color w:val="auto"/>
          <w:sz w:val="24"/>
          <w:highlight w:val="none"/>
        </w:rPr>
        <w:t>第一部分 资格</w:t>
      </w:r>
      <w:r>
        <w:rPr>
          <w:rFonts w:hint="eastAsia"/>
          <w:bCs/>
          <w:color w:val="auto"/>
          <w:sz w:val="24"/>
          <w:highlight w:val="none"/>
        </w:rPr>
        <w:t>证明</w:t>
      </w:r>
      <w:r>
        <w:rPr>
          <w:bCs/>
          <w:color w:val="auto"/>
          <w:sz w:val="24"/>
          <w:highlight w:val="none"/>
        </w:rPr>
        <w:t>文件</w:t>
      </w:r>
    </w:p>
    <w:p w14:paraId="5ADF1551">
      <w:pPr>
        <w:snapToGrid w:val="0"/>
        <w:spacing w:before="50" w:after="120" w:afterLines="50" w:line="400" w:lineRule="exact"/>
        <w:jc w:val="left"/>
        <w:rPr>
          <w:b/>
          <w:color w:val="auto"/>
          <w:szCs w:val="21"/>
          <w:highlight w:val="none"/>
        </w:rPr>
      </w:pPr>
      <w:bookmarkStart w:id="88" w:name="_Hlk19199154"/>
    </w:p>
    <w:p w14:paraId="70F32864">
      <w:pPr>
        <w:snapToGrid w:val="0"/>
        <w:spacing w:before="50" w:after="120" w:afterLines="50" w:line="400" w:lineRule="exact"/>
        <w:jc w:val="left"/>
        <w:rPr>
          <w:rFonts w:hint="eastAsia"/>
          <w:b/>
          <w:color w:val="auto"/>
          <w:szCs w:val="21"/>
          <w:highlight w:val="none"/>
        </w:rPr>
      </w:pPr>
      <w:r>
        <w:rPr>
          <w:b/>
          <w:color w:val="auto"/>
          <w:szCs w:val="21"/>
          <w:highlight w:val="none"/>
        </w:rPr>
        <w:t>1．响应声明书格式：</w:t>
      </w:r>
      <w:bookmarkEnd w:id="88"/>
    </w:p>
    <w:p w14:paraId="10E5ADEE">
      <w:pPr>
        <w:snapToGrid w:val="0"/>
        <w:spacing w:before="120" w:beforeLines="50" w:after="50" w:line="360" w:lineRule="exact"/>
        <w:jc w:val="center"/>
        <w:rPr>
          <w:b/>
          <w:color w:val="auto"/>
          <w:szCs w:val="21"/>
          <w:highlight w:val="none"/>
        </w:rPr>
      </w:pPr>
      <w:r>
        <w:rPr>
          <w:b/>
          <w:color w:val="auto"/>
          <w:szCs w:val="21"/>
          <w:highlight w:val="none"/>
        </w:rPr>
        <w:t>响应声明书</w:t>
      </w:r>
    </w:p>
    <w:p w14:paraId="32549CE0">
      <w:pPr>
        <w:snapToGrid w:val="0"/>
        <w:spacing w:before="120" w:beforeLines="50" w:after="50" w:line="360" w:lineRule="exact"/>
        <w:jc w:val="center"/>
        <w:rPr>
          <w:color w:val="auto"/>
          <w:szCs w:val="21"/>
          <w:highlight w:val="none"/>
        </w:rPr>
      </w:pPr>
    </w:p>
    <w:p w14:paraId="1FFA71DC">
      <w:pPr>
        <w:snapToGrid w:val="0"/>
        <w:spacing w:before="120" w:beforeLines="50" w:after="50" w:line="360" w:lineRule="exact"/>
        <w:rPr>
          <w:color w:val="auto"/>
          <w:szCs w:val="21"/>
          <w:highlight w:val="none"/>
        </w:rPr>
      </w:pPr>
      <w:bookmarkStart w:id="89" w:name="_Hlk19199166"/>
      <w:r>
        <w:rPr>
          <w:color w:val="auto"/>
          <w:szCs w:val="21"/>
          <w:highlight w:val="none"/>
        </w:rPr>
        <w:t>致：</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color w:val="auto"/>
          <w:szCs w:val="21"/>
          <w:highlight w:val="none"/>
        </w:rPr>
        <w:t>：</w:t>
      </w:r>
    </w:p>
    <w:p w14:paraId="650750DD">
      <w:pPr>
        <w:snapToGrid w:val="0"/>
        <w:spacing w:before="120" w:beforeLines="50" w:after="50" w:line="360" w:lineRule="exact"/>
        <w:ind w:firstLine="630" w:firstLineChars="300"/>
        <w:rPr>
          <w:color w:val="auto"/>
          <w:szCs w:val="21"/>
          <w:highlight w:val="none"/>
        </w:rPr>
      </w:pPr>
      <w:r>
        <w:rPr>
          <w:i/>
          <w:iCs/>
          <w:color w:val="auto"/>
          <w:szCs w:val="21"/>
          <w:highlight w:val="none"/>
          <w:u w:val="single"/>
        </w:rPr>
        <w:t>（供应商名称）</w:t>
      </w:r>
      <w:r>
        <w:rPr>
          <w:color w:val="auto"/>
          <w:szCs w:val="21"/>
          <w:highlight w:val="none"/>
        </w:rPr>
        <w:t>系中华人民共和国合法企业，</w:t>
      </w:r>
      <w:r>
        <w:rPr>
          <w:rFonts w:hint="eastAsia"/>
          <w:color w:val="auto"/>
          <w:szCs w:val="21"/>
          <w:highlight w:val="none"/>
          <w:u w:val="single"/>
        </w:rPr>
        <w:t xml:space="preserve"> </w:t>
      </w:r>
      <w:r>
        <w:rPr>
          <w:i/>
          <w:iCs/>
          <w:color w:val="auto"/>
          <w:szCs w:val="21"/>
          <w:highlight w:val="none"/>
          <w:u w:val="single"/>
        </w:rPr>
        <w:t xml:space="preserve"> </w:t>
      </w:r>
      <w:r>
        <w:rPr>
          <w:rFonts w:hint="eastAsia"/>
          <w:i/>
          <w:iCs/>
          <w:color w:val="auto"/>
          <w:szCs w:val="21"/>
          <w:highlight w:val="none"/>
          <w:u w:val="single"/>
        </w:rPr>
        <w:t>（</w:t>
      </w:r>
      <w:r>
        <w:rPr>
          <w:i/>
          <w:iCs/>
          <w:color w:val="auto"/>
          <w:szCs w:val="21"/>
          <w:highlight w:val="none"/>
          <w:u w:val="single"/>
        </w:rPr>
        <w:t>经营地址</w:t>
      </w:r>
      <w:r>
        <w:rPr>
          <w:rFonts w:hint="eastAsia"/>
          <w:i/>
          <w:iCs/>
          <w:color w:val="auto"/>
          <w:szCs w:val="21"/>
          <w:highlight w:val="none"/>
          <w:u w:val="single"/>
        </w:rPr>
        <w:t xml:space="preserve">） </w:t>
      </w:r>
      <w:r>
        <w:rPr>
          <w:i/>
          <w:iCs/>
          <w:color w:val="auto"/>
          <w:szCs w:val="21"/>
          <w:highlight w:val="none"/>
          <w:u w:val="single"/>
        </w:rPr>
        <w:t xml:space="preserve"> </w:t>
      </w:r>
      <w:r>
        <w:rPr>
          <w:color w:val="auto"/>
          <w:szCs w:val="21"/>
          <w:highlight w:val="none"/>
          <w:u w:val="single"/>
        </w:rPr>
        <w:t xml:space="preserve">  </w:t>
      </w:r>
      <w:r>
        <w:rPr>
          <w:color w:val="auto"/>
          <w:szCs w:val="21"/>
          <w:highlight w:val="none"/>
        </w:rPr>
        <w:t>。</w:t>
      </w:r>
    </w:p>
    <w:p w14:paraId="59ABF4D7">
      <w:pPr>
        <w:snapToGrid w:val="0"/>
        <w:spacing w:before="120" w:beforeLines="50" w:after="50" w:line="360" w:lineRule="exact"/>
        <w:ind w:firstLine="645"/>
        <w:rPr>
          <w:color w:val="auto"/>
          <w:szCs w:val="21"/>
          <w:highlight w:val="none"/>
        </w:rPr>
      </w:pPr>
      <w:r>
        <w:rPr>
          <w:color w:val="auto"/>
          <w:szCs w:val="21"/>
          <w:highlight w:val="none"/>
        </w:rPr>
        <w:t>我</w:t>
      </w:r>
      <w:r>
        <w:rPr>
          <w:i/>
          <w:iCs/>
          <w:color w:val="auto"/>
          <w:szCs w:val="21"/>
          <w:highlight w:val="none"/>
          <w:u w:val="single"/>
        </w:rPr>
        <w:t>（姓名）</w:t>
      </w:r>
      <w:r>
        <w:rPr>
          <w:rFonts w:hint="eastAsia"/>
          <w:i/>
          <w:iCs/>
          <w:color w:val="auto"/>
          <w:szCs w:val="21"/>
          <w:highlight w:val="none"/>
          <w:u w:val="single"/>
        </w:rPr>
        <w:t xml:space="preserve"> </w:t>
      </w:r>
      <w:r>
        <w:rPr>
          <w:color w:val="auto"/>
          <w:szCs w:val="21"/>
          <w:highlight w:val="none"/>
        </w:rPr>
        <w:t>系</w:t>
      </w:r>
      <w:r>
        <w:rPr>
          <w:i/>
          <w:iCs/>
          <w:color w:val="auto"/>
          <w:szCs w:val="21"/>
          <w:highlight w:val="none"/>
          <w:u w:val="single"/>
        </w:rPr>
        <w:t>（供应商名称）</w:t>
      </w:r>
      <w:r>
        <w:rPr>
          <w:color w:val="auto"/>
          <w:szCs w:val="21"/>
          <w:highlight w:val="none"/>
        </w:rPr>
        <w:t>的法定代表人，我方愿意参加贵方组织的</w:t>
      </w:r>
      <w:r>
        <w:rPr>
          <w:rFonts w:hint="eastAsia"/>
          <w:i/>
          <w:iCs/>
          <w:color w:val="auto"/>
          <w:szCs w:val="21"/>
          <w:highlight w:val="none"/>
          <w:u w:val="single"/>
        </w:rPr>
        <w:t>（项目名称）</w:t>
      </w:r>
      <w:r>
        <w:rPr>
          <w:color w:val="auto"/>
          <w:szCs w:val="21"/>
          <w:highlight w:val="none"/>
        </w:rPr>
        <w:t>项目的磋商，为便于贵方公正、择优地确定成交供应商及其响应产品和服务，我方就本次磋商有关事项郑重声明如下：</w:t>
      </w:r>
    </w:p>
    <w:p w14:paraId="3A98326C">
      <w:pPr>
        <w:snapToGrid w:val="0"/>
        <w:spacing w:before="120" w:beforeLines="50" w:line="360" w:lineRule="exact"/>
        <w:ind w:firstLine="420" w:firstLineChars="200"/>
        <w:rPr>
          <w:color w:val="auto"/>
          <w:szCs w:val="21"/>
          <w:highlight w:val="none"/>
        </w:rPr>
      </w:pPr>
      <w:r>
        <w:rPr>
          <w:color w:val="auto"/>
          <w:szCs w:val="21"/>
          <w:highlight w:val="none"/>
        </w:rPr>
        <w:t>（1）我方向贵方提交的所有响应文件、资料都是准确的和真实的。</w:t>
      </w:r>
    </w:p>
    <w:p w14:paraId="5B69046F">
      <w:pPr>
        <w:snapToGrid w:val="0"/>
        <w:spacing w:before="120" w:beforeLines="50" w:line="360" w:lineRule="exact"/>
        <w:ind w:firstLine="420" w:firstLineChars="200"/>
        <w:rPr>
          <w:color w:val="auto"/>
          <w:szCs w:val="21"/>
          <w:highlight w:val="none"/>
        </w:rPr>
      </w:pPr>
      <w:r>
        <w:rPr>
          <w:color w:val="auto"/>
          <w:szCs w:val="21"/>
          <w:highlight w:val="none"/>
        </w:rPr>
        <w:t>（2）我方不是采购人的附属机构；也不是为本项目提供整体设计、规范编制或者项目管理、监理、检测等服务的供应商或其附属机构。</w:t>
      </w:r>
    </w:p>
    <w:p w14:paraId="53AF589E">
      <w:pPr>
        <w:snapToGrid w:val="0"/>
        <w:spacing w:before="120" w:beforeLines="50" w:line="360" w:lineRule="exact"/>
        <w:ind w:firstLine="420" w:firstLineChars="200"/>
        <w:rPr>
          <w:color w:val="auto"/>
          <w:szCs w:val="21"/>
          <w:highlight w:val="none"/>
        </w:rPr>
      </w:pPr>
      <w:r>
        <w:rPr>
          <w:color w:val="auto"/>
          <w:szCs w:val="21"/>
          <w:highlight w:val="none"/>
        </w:rPr>
        <w:t>（3） 我方承诺在参加本政府采购项目活动前，没有被纳入政府部门或银行认定的失信名单，我方具有良好的商业信誉。</w:t>
      </w:r>
    </w:p>
    <w:p w14:paraId="1337E6BB">
      <w:pPr>
        <w:snapToGrid w:val="0"/>
        <w:spacing w:before="120" w:beforeLines="50" w:line="360" w:lineRule="exact"/>
        <w:ind w:firstLine="420" w:firstLineChars="200"/>
        <w:rPr>
          <w:rFonts w:hint="eastAsia"/>
          <w:color w:val="auto"/>
          <w:szCs w:val="21"/>
          <w:highlight w:val="none"/>
        </w:rPr>
      </w:pPr>
      <w:r>
        <w:rPr>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77DC021">
      <w:pPr>
        <w:snapToGrid w:val="0"/>
        <w:spacing w:before="120" w:beforeLines="50" w:line="360" w:lineRule="exact"/>
        <w:ind w:firstLine="420" w:firstLineChars="200"/>
        <w:rPr>
          <w:color w:val="auto"/>
          <w:szCs w:val="21"/>
          <w:highlight w:val="none"/>
          <w:lang w:val="zh-CN"/>
        </w:rPr>
      </w:pPr>
      <w:r>
        <w:rPr>
          <w:color w:val="auto"/>
          <w:szCs w:val="21"/>
          <w:highlight w:val="none"/>
        </w:rPr>
        <w:t>（5）</w:t>
      </w:r>
      <w:r>
        <w:rPr>
          <w:color w:val="auto"/>
          <w:szCs w:val="21"/>
          <w:highlight w:val="none"/>
          <w:lang w:val="zh-CN"/>
        </w:rPr>
        <w:t>我方</w:t>
      </w:r>
      <w:r>
        <w:rPr>
          <w:color w:val="auto"/>
          <w:szCs w:val="21"/>
          <w:highlight w:val="none"/>
        </w:rPr>
        <w:t>承诺</w:t>
      </w:r>
      <w:r>
        <w:rPr>
          <w:color w:val="auto"/>
          <w:szCs w:val="21"/>
          <w:highlight w:val="none"/>
          <w:lang w:val="zh-CN"/>
        </w:rPr>
        <w:t>具有履行本项目合同所必需的设备和专业技术能力。</w:t>
      </w:r>
    </w:p>
    <w:p w14:paraId="07FDF051">
      <w:pPr>
        <w:snapToGrid w:val="0"/>
        <w:spacing w:before="120" w:beforeLines="50" w:line="360" w:lineRule="exact"/>
        <w:ind w:firstLine="420" w:firstLineChars="200"/>
        <w:rPr>
          <w:color w:val="auto"/>
          <w:szCs w:val="21"/>
          <w:highlight w:val="none"/>
        </w:rPr>
      </w:pPr>
      <w:r>
        <w:rPr>
          <w:rFonts w:hint="eastAsia"/>
          <w:color w:val="auto"/>
          <w:szCs w:val="21"/>
          <w:highlight w:val="none"/>
        </w:rPr>
        <w:t>（6）我方承诺</w:t>
      </w:r>
      <w:r>
        <w:rPr>
          <w:color w:val="auto"/>
          <w:szCs w:val="21"/>
          <w:highlight w:val="none"/>
        </w:rPr>
        <w:t>未被列入失信被执行人、重大税收违法失信主体、政府采购严重违法失信行为记录名单</w:t>
      </w:r>
      <w:r>
        <w:rPr>
          <w:rFonts w:hint="eastAsia"/>
          <w:color w:val="auto"/>
          <w:szCs w:val="21"/>
          <w:highlight w:val="none"/>
        </w:rPr>
        <w:t>，如我方提供的声明不实，则接受本次响应作为响应无效的处理，</w:t>
      </w:r>
      <w:r>
        <w:rPr>
          <w:color w:val="auto"/>
          <w:szCs w:val="21"/>
          <w:highlight w:val="none"/>
        </w:rPr>
        <w:t>并根据财库〔2016〕125号《财政部关于在政府采购活动中查询及使用信用记录有关问题的通知》规定接受失信联合惩戒。</w:t>
      </w:r>
    </w:p>
    <w:p w14:paraId="7711D8CF">
      <w:pPr>
        <w:snapToGrid w:val="0"/>
        <w:spacing w:before="120" w:beforeLines="50" w:line="360" w:lineRule="exact"/>
        <w:ind w:firstLine="420" w:firstLineChars="200"/>
        <w:rPr>
          <w:color w:val="auto"/>
          <w:szCs w:val="21"/>
          <w:highlight w:val="none"/>
        </w:rPr>
      </w:pPr>
      <w:r>
        <w:rPr>
          <w:rFonts w:hint="eastAsia"/>
          <w:color w:val="auto"/>
          <w:szCs w:val="21"/>
          <w:highlight w:val="none"/>
        </w:rPr>
        <w:t>（7）我方承诺成交后按</w:t>
      </w:r>
      <w:r>
        <w:rPr>
          <w:color w:val="auto"/>
          <w:szCs w:val="21"/>
          <w:highlight w:val="none"/>
        </w:rPr>
        <w:t>规定缴纳代理服务费</w:t>
      </w:r>
      <w:r>
        <w:rPr>
          <w:rFonts w:hint="eastAsia"/>
          <w:color w:val="auto"/>
          <w:szCs w:val="21"/>
          <w:highlight w:val="none"/>
        </w:rPr>
        <w:t>。如未按时缴纳，</w:t>
      </w:r>
      <w:r>
        <w:rPr>
          <w:color w:val="auto"/>
          <w:szCs w:val="21"/>
          <w:highlight w:val="none"/>
        </w:rPr>
        <w:t>贵方可</w:t>
      </w:r>
      <w:r>
        <w:rPr>
          <w:rFonts w:hint="eastAsia"/>
          <w:color w:val="auto"/>
          <w:szCs w:val="21"/>
          <w:highlight w:val="none"/>
        </w:rPr>
        <w:t>不退还</w:t>
      </w:r>
      <w:r>
        <w:rPr>
          <w:color w:val="auto"/>
          <w:szCs w:val="21"/>
          <w:highlight w:val="none"/>
        </w:rPr>
        <w:t>我</w:t>
      </w:r>
      <w:r>
        <w:rPr>
          <w:rFonts w:hint="eastAsia"/>
          <w:color w:val="auto"/>
          <w:szCs w:val="21"/>
          <w:highlight w:val="none"/>
        </w:rPr>
        <w:t>方</w:t>
      </w:r>
      <w:r>
        <w:rPr>
          <w:color w:val="auto"/>
          <w:szCs w:val="21"/>
          <w:highlight w:val="none"/>
        </w:rPr>
        <w:t>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p>
    <w:p w14:paraId="3D4EBA3E">
      <w:pPr>
        <w:snapToGrid w:val="0"/>
        <w:spacing w:before="120" w:beforeLines="50" w:line="360" w:lineRule="exact"/>
        <w:ind w:firstLine="420" w:firstLineChars="200"/>
        <w:rPr>
          <w:color w:val="auto"/>
          <w:szCs w:val="21"/>
          <w:highlight w:val="none"/>
        </w:rPr>
      </w:pPr>
      <w:r>
        <w:rPr>
          <w:color w:val="auto"/>
          <w:szCs w:val="21"/>
          <w:highlight w:val="none"/>
        </w:rPr>
        <w:t>我方对以上声明负全部法律责任。如有虚假或隐瞒，我方愿意承担一切后果，并不再寻求任何旨在减轻或免除法律责任的辩解。</w:t>
      </w:r>
    </w:p>
    <w:bookmarkEnd w:id="89"/>
    <w:p w14:paraId="3EFF5593">
      <w:pPr>
        <w:snapToGrid w:val="0"/>
        <w:spacing w:before="120" w:beforeLines="50" w:line="360" w:lineRule="exact"/>
        <w:ind w:firstLine="420" w:firstLineChars="200"/>
        <w:rPr>
          <w:color w:val="auto"/>
          <w:szCs w:val="21"/>
          <w:highlight w:val="none"/>
        </w:rPr>
      </w:pPr>
    </w:p>
    <w:p w14:paraId="13DCF5B1">
      <w:pPr>
        <w:snapToGrid w:val="0"/>
        <w:spacing w:before="120" w:beforeLines="50" w:after="50" w:line="360" w:lineRule="exact"/>
        <w:ind w:firstLine="3570" w:firstLineChars="17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06F66BD8">
      <w:pPr>
        <w:snapToGrid w:val="0"/>
        <w:spacing w:before="120" w:beforeLines="50" w:after="50" w:line="360" w:lineRule="exact"/>
        <w:ind w:firstLine="210" w:firstLineChars="100"/>
        <w:rPr>
          <w:color w:val="auto"/>
          <w:szCs w:val="21"/>
          <w:highlight w:val="none"/>
        </w:rPr>
      </w:pPr>
      <w:r>
        <w:rPr>
          <w:color w:val="auto"/>
          <w:szCs w:val="21"/>
          <w:highlight w:val="none"/>
        </w:rPr>
        <w:t xml:space="preserve">                                          年    月    日</w:t>
      </w:r>
    </w:p>
    <w:p w14:paraId="2D58F6BB">
      <w:pPr>
        <w:snapToGrid w:val="0"/>
        <w:spacing w:before="120" w:beforeLines="50" w:after="50" w:line="360" w:lineRule="exact"/>
        <w:rPr>
          <w:color w:val="auto"/>
          <w:szCs w:val="21"/>
          <w:highlight w:val="none"/>
        </w:rPr>
      </w:pPr>
      <w:r>
        <w:rPr>
          <w:color w:val="auto"/>
          <w:szCs w:val="21"/>
          <w:highlight w:val="none"/>
        </w:rPr>
        <w:br w:type="page"/>
      </w:r>
      <w:r>
        <w:rPr>
          <w:rFonts w:hint="eastAsia"/>
          <w:color w:val="auto"/>
          <w:szCs w:val="21"/>
          <w:highlight w:val="none"/>
        </w:rPr>
        <w:t>2</w:t>
      </w:r>
      <w:r>
        <w:rPr>
          <w:color w:val="auto"/>
          <w:szCs w:val="21"/>
          <w:highlight w:val="none"/>
        </w:rPr>
        <w:t>．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p w14:paraId="55B2451B">
      <w:pPr>
        <w:snapToGrid w:val="0"/>
        <w:spacing w:before="120" w:beforeLines="50" w:after="50" w:line="440" w:lineRule="exact"/>
        <w:rPr>
          <w:color w:val="auto"/>
          <w:szCs w:val="21"/>
          <w:highlight w:val="none"/>
        </w:rPr>
      </w:pPr>
    </w:p>
    <w:p w14:paraId="08D0FBC5">
      <w:pPr>
        <w:snapToGrid w:val="0"/>
        <w:spacing w:before="120" w:beforeLines="50" w:after="50" w:line="440" w:lineRule="exact"/>
        <w:rPr>
          <w:color w:val="auto"/>
          <w:szCs w:val="21"/>
          <w:highlight w:val="none"/>
        </w:rPr>
      </w:pPr>
      <w:r>
        <w:rPr>
          <w:rFonts w:hint="eastAsia"/>
          <w:color w:val="auto"/>
          <w:szCs w:val="21"/>
          <w:highlight w:val="none"/>
        </w:rPr>
        <w:t>3</w:t>
      </w:r>
      <w:r>
        <w:rPr>
          <w:color w:val="auto"/>
          <w:szCs w:val="21"/>
          <w:highlight w:val="none"/>
        </w:rPr>
        <w:t>．财务状况报告（表）复印件或银行出具的资信证明复印件。</w:t>
      </w:r>
      <w:r>
        <w:rPr>
          <w:color w:val="auto"/>
          <w:highlight w:val="none"/>
        </w:rPr>
        <w:t>对于从取得营业执照时间起到截标时间为止不足1年的供应商，只需提交</w:t>
      </w:r>
      <w:r>
        <w:rPr>
          <w:color w:val="auto"/>
          <w:szCs w:val="21"/>
          <w:highlight w:val="none"/>
        </w:rPr>
        <w:t>截标时间前一个月的财务状况报告（表）复印件。（按“评审方法及标准” “资格审查表”规定提供）。（加盖供应商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p w14:paraId="4FB1115E">
      <w:pPr>
        <w:snapToGrid w:val="0"/>
        <w:spacing w:before="50" w:after="120" w:afterLines="50" w:line="440" w:lineRule="exact"/>
        <w:jc w:val="left"/>
        <w:rPr>
          <w:color w:val="auto"/>
          <w:szCs w:val="21"/>
          <w:highlight w:val="none"/>
        </w:rPr>
      </w:pPr>
    </w:p>
    <w:p w14:paraId="2F0A9E7C">
      <w:pPr>
        <w:snapToGrid w:val="0"/>
        <w:spacing w:before="50" w:after="120" w:afterLines="50" w:line="440" w:lineRule="exact"/>
        <w:jc w:val="left"/>
        <w:rPr>
          <w:rFonts w:hint="eastAsia"/>
          <w:b/>
          <w:color w:val="auto"/>
          <w:szCs w:val="21"/>
          <w:highlight w:val="none"/>
        </w:rPr>
      </w:pPr>
      <w:r>
        <w:rPr>
          <w:rFonts w:hint="eastAsia"/>
          <w:color w:val="auto"/>
          <w:szCs w:val="21"/>
          <w:highlight w:val="none"/>
        </w:rPr>
        <w:t>4</w:t>
      </w:r>
      <w:r>
        <w:rPr>
          <w:color w:val="auto"/>
          <w:szCs w:val="21"/>
          <w:highlight w:val="none"/>
        </w:rPr>
        <w:t>．</w:t>
      </w:r>
      <w:r>
        <w:rPr>
          <w:color w:val="auto"/>
          <w:highlight w:val="none"/>
        </w:rPr>
        <w:t>依法缴纳税费证明和社会保险缴纳证明材料</w:t>
      </w:r>
      <w:r>
        <w:rPr>
          <w:rFonts w:hint="eastAsia"/>
          <w:color w:val="auto"/>
          <w:highlight w:val="none"/>
        </w:rPr>
        <w:t>。</w:t>
      </w:r>
      <w:r>
        <w:rPr>
          <w:color w:val="auto"/>
          <w:highlight w:val="none"/>
        </w:rPr>
        <w:t>供应商成立不足</w:t>
      </w:r>
      <w:r>
        <w:rPr>
          <w:rFonts w:hint="eastAsia"/>
          <w:color w:val="auto"/>
          <w:highlight w:val="none"/>
        </w:rPr>
        <w:t>1个月的，无须提供</w:t>
      </w:r>
      <w:r>
        <w:rPr>
          <w:color w:val="auto"/>
          <w:highlight w:val="none"/>
        </w:rPr>
        <w:t>缴纳税费证明及社保缴费证明</w:t>
      </w:r>
      <w:r>
        <w:rPr>
          <w:rFonts w:hint="eastAsia"/>
          <w:color w:val="auto"/>
          <w:highlight w:val="none"/>
        </w:rPr>
        <w:t>。</w:t>
      </w:r>
      <w:r>
        <w:rPr>
          <w:color w:val="auto"/>
          <w:highlight w:val="none"/>
        </w:rPr>
        <w:t>依法免税或不需要缴纳社会保障资金的供应商，须提供相应文件证明其依法免税或不需要缴纳社会保障资金。</w:t>
      </w:r>
      <w:r>
        <w:rPr>
          <w:color w:val="auto"/>
          <w:szCs w:val="21"/>
          <w:highlight w:val="none"/>
        </w:rPr>
        <w:t>（按“评审方法及标准” “资格性检查表”规定提供）（加盖供应商</w:t>
      </w:r>
      <w:r>
        <w:rPr>
          <w:rFonts w:hint="eastAsia"/>
          <w:color w:val="auto"/>
          <w:szCs w:val="21"/>
          <w:highlight w:val="none"/>
        </w:rPr>
        <w:t>电子签章</w:t>
      </w:r>
      <w:r>
        <w:rPr>
          <w:color w:val="auto"/>
          <w:szCs w:val="21"/>
          <w:highlight w:val="none"/>
        </w:rPr>
        <w:t>）</w:t>
      </w:r>
      <w:r>
        <w:rPr>
          <w:rFonts w:hint="eastAsia"/>
          <w:color w:val="auto"/>
          <w:szCs w:val="21"/>
          <w:highlight w:val="none"/>
        </w:rPr>
        <w:t>。</w:t>
      </w:r>
    </w:p>
    <w:p w14:paraId="18FC0B84">
      <w:pPr>
        <w:snapToGrid w:val="0"/>
        <w:spacing w:before="50" w:after="120" w:afterLines="50" w:line="440" w:lineRule="exact"/>
        <w:jc w:val="left"/>
        <w:rPr>
          <w:color w:val="auto"/>
          <w:highlight w:val="none"/>
        </w:rPr>
      </w:pPr>
    </w:p>
    <w:p w14:paraId="057D5AB6">
      <w:pPr>
        <w:snapToGrid w:val="0"/>
        <w:spacing w:before="50" w:after="120" w:afterLines="50" w:line="440" w:lineRule="exact"/>
        <w:jc w:val="left"/>
        <w:rPr>
          <w:b/>
          <w:color w:val="auto"/>
          <w:szCs w:val="21"/>
          <w:highlight w:val="none"/>
        </w:rPr>
      </w:pPr>
      <w:r>
        <w:rPr>
          <w:rFonts w:hint="eastAsia"/>
          <w:color w:val="auto"/>
          <w:szCs w:val="21"/>
          <w:highlight w:val="none"/>
        </w:rPr>
        <w:t>5</w:t>
      </w:r>
      <w:r>
        <w:rPr>
          <w:color w:val="auto"/>
          <w:szCs w:val="21"/>
          <w:highlight w:val="none"/>
        </w:rPr>
        <w:t>．具备法律、行政法规规定的其他要求的证明材料</w:t>
      </w:r>
      <w:r>
        <w:rPr>
          <w:color w:val="auto"/>
          <w:highlight w:val="none"/>
        </w:rPr>
        <w:t>（</w:t>
      </w:r>
      <w:r>
        <w:rPr>
          <w:color w:val="auto"/>
          <w:szCs w:val="21"/>
          <w:highlight w:val="none"/>
        </w:rPr>
        <w:t>按“评审方法及标准” “资格性检查表”规定提供</w:t>
      </w:r>
      <w:r>
        <w:rPr>
          <w:color w:val="auto"/>
          <w:highlight w:val="none"/>
        </w:rPr>
        <w:t>）。</w:t>
      </w:r>
      <w:r>
        <w:rPr>
          <w:rFonts w:hint="eastAsia"/>
          <w:b/>
          <w:color w:val="auto"/>
          <w:szCs w:val="21"/>
          <w:highlight w:val="none"/>
        </w:rPr>
        <w:t>（如采购文件有要求时提供）</w:t>
      </w:r>
    </w:p>
    <w:p w14:paraId="37010772">
      <w:pPr>
        <w:snapToGrid w:val="0"/>
        <w:spacing w:before="50" w:after="120" w:afterLines="50" w:line="440" w:lineRule="exact"/>
        <w:jc w:val="left"/>
        <w:rPr>
          <w:color w:val="auto"/>
          <w:szCs w:val="21"/>
          <w:highlight w:val="none"/>
        </w:rPr>
      </w:pPr>
    </w:p>
    <w:p w14:paraId="6DDA3B53">
      <w:pPr>
        <w:snapToGrid w:val="0"/>
        <w:spacing w:before="50" w:after="120" w:afterLines="50" w:line="440" w:lineRule="exact"/>
        <w:jc w:val="left"/>
        <w:rPr>
          <w:b/>
          <w:color w:val="auto"/>
          <w:szCs w:val="21"/>
          <w:highlight w:val="none"/>
        </w:rPr>
      </w:pPr>
      <w:r>
        <w:rPr>
          <w:rFonts w:hint="eastAsia"/>
          <w:color w:val="auto"/>
          <w:szCs w:val="21"/>
          <w:highlight w:val="none"/>
        </w:rPr>
        <w:t>6</w:t>
      </w:r>
      <w:r>
        <w:rPr>
          <w:color w:val="auto"/>
          <w:szCs w:val="21"/>
          <w:highlight w:val="none"/>
        </w:rPr>
        <w:t>．</w:t>
      </w:r>
      <w:r>
        <w:rPr>
          <w:rFonts w:hint="eastAsia"/>
          <w:color w:val="auto"/>
          <w:highlight w:val="none"/>
        </w:rPr>
        <w:t>落实政府采购政策需满足的资格要求</w:t>
      </w:r>
      <w:r>
        <w:rPr>
          <w:color w:val="auto"/>
          <w:highlight w:val="none"/>
        </w:rPr>
        <w:t>（</w:t>
      </w:r>
      <w:r>
        <w:rPr>
          <w:color w:val="auto"/>
          <w:szCs w:val="21"/>
          <w:highlight w:val="none"/>
        </w:rPr>
        <w:t>按“评审方法及标准” “资格审查表”规定提供</w:t>
      </w:r>
      <w:r>
        <w:rPr>
          <w:color w:val="auto"/>
          <w:highlight w:val="none"/>
        </w:rPr>
        <w:t>）。</w:t>
      </w:r>
      <w:r>
        <w:rPr>
          <w:rFonts w:hint="eastAsia"/>
          <w:b/>
          <w:color w:val="auto"/>
          <w:szCs w:val="21"/>
          <w:highlight w:val="none"/>
        </w:rPr>
        <w:t>（如采购文件有要求时提供）</w:t>
      </w:r>
    </w:p>
    <w:p w14:paraId="36A55ECF">
      <w:pPr>
        <w:snapToGrid w:val="0"/>
        <w:spacing w:before="50" w:after="120" w:afterLines="50" w:line="440" w:lineRule="exact"/>
        <w:jc w:val="left"/>
        <w:rPr>
          <w:rFonts w:hint="eastAsia"/>
          <w:color w:val="auto"/>
          <w:highlight w:val="none"/>
        </w:rPr>
      </w:pPr>
    </w:p>
    <w:p w14:paraId="1A0CF8A0">
      <w:pPr>
        <w:rPr>
          <w:color w:val="auto"/>
          <w:szCs w:val="21"/>
          <w:highlight w:val="none"/>
        </w:rPr>
      </w:pPr>
      <w:r>
        <w:rPr>
          <w:color w:val="auto"/>
          <w:highlight w:val="none"/>
        </w:rPr>
        <w:br w:type="page"/>
      </w:r>
      <w:r>
        <w:rPr>
          <w:rFonts w:hint="eastAsia"/>
          <w:color w:val="auto"/>
          <w:szCs w:val="21"/>
          <w:highlight w:val="none"/>
        </w:rPr>
        <w:t>6</w:t>
      </w:r>
      <w:r>
        <w:rPr>
          <w:color w:val="auto"/>
          <w:szCs w:val="21"/>
          <w:highlight w:val="none"/>
        </w:rPr>
        <w:t>.1</w:t>
      </w:r>
      <w:r>
        <w:rPr>
          <w:rFonts w:hint="eastAsia"/>
          <w:bCs/>
          <w:color w:val="auto"/>
          <w:szCs w:val="21"/>
          <w:highlight w:val="none"/>
        </w:rPr>
        <w:t>中小企业声明函</w:t>
      </w:r>
      <w:r>
        <w:rPr>
          <w:color w:val="auto"/>
          <w:szCs w:val="21"/>
          <w:highlight w:val="none"/>
        </w:rPr>
        <w:t>。</w:t>
      </w:r>
    </w:p>
    <w:p w14:paraId="2274A370">
      <w:pPr>
        <w:spacing w:line="360" w:lineRule="auto"/>
        <w:ind w:firstLine="3584" w:firstLineChars="1700"/>
        <w:rPr>
          <w:b/>
          <w:color w:val="auto"/>
          <w:szCs w:val="21"/>
          <w:highlight w:val="none"/>
        </w:rPr>
      </w:pPr>
    </w:p>
    <w:p w14:paraId="56C6603B">
      <w:pPr>
        <w:spacing w:line="360" w:lineRule="auto"/>
        <w:ind w:firstLine="3584" w:firstLineChars="1700"/>
        <w:rPr>
          <w:b/>
          <w:color w:val="auto"/>
          <w:szCs w:val="21"/>
          <w:highlight w:val="none"/>
        </w:rPr>
      </w:pPr>
      <w:r>
        <w:rPr>
          <w:rFonts w:hint="eastAsia"/>
          <w:b/>
          <w:color w:val="auto"/>
          <w:szCs w:val="21"/>
          <w:highlight w:val="none"/>
        </w:rPr>
        <w:t>中小企业声明函（服务）</w:t>
      </w:r>
    </w:p>
    <w:p w14:paraId="101A2049">
      <w:pPr>
        <w:spacing w:line="360" w:lineRule="auto"/>
        <w:ind w:firstLine="420"/>
        <w:rPr>
          <w:bCs/>
          <w:color w:val="auto"/>
          <w:szCs w:val="21"/>
          <w:highlight w:val="none"/>
        </w:rPr>
      </w:pPr>
      <w:r>
        <w:rPr>
          <w:rFonts w:hint="eastAsia"/>
          <w:bCs/>
          <w:color w:val="auto"/>
          <w:szCs w:val="21"/>
          <w:highlight w:val="none"/>
        </w:rPr>
        <w:t>本公司（联合体）郑重声明，根据《政府采购促进中小企业发展管理办法》（财库﹝2020﹞46 号）的规定，本公司（联合体）参加</w:t>
      </w:r>
      <w:r>
        <w:rPr>
          <w:rFonts w:hint="eastAsia"/>
          <w:bCs/>
          <w:color w:val="auto"/>
          <w:szCs w:val="21"/>
          <w:highlight w:val="none"/>
          <w:u w:val="single"/>
        </w:rPr>
        <w:t>（单位名称）</w:t>
      </w:r>
      <w:r>
        <w:rPr>
          <w:rFonts w:hint="eastAsia"/>
          <w:bCs/>
          <w:color w:val="auto"/>
          <w:szCs w:val="21"/>
          <w:highlight w:val="none"/>
        </w:rPr>
        <w:t>的</w:t>
      </w:r>
      <w:r>
        <w:rPr>
          <w:rFonts w:hint="eastAsia"/>
          <w:bCs/>
          <w:color w:val="auto"/>
          <w:szCs w:val="21"/>
          <w:highlight w:val="none"/>
          <w:u w:val="single"/>
        </w:rPr>
        <w:t>（项目名称）</w:t>
      </w:r>
      <w:r>
        <w:rPr>
          <w:rFonts w:hint="eastAsia"/>
          <w:bCs/>
          <w:color w:val="auto"/>
          <w:szCs w:val="21"/>
          <w:highlight w:val="none"/>
        </w:rPr>
        <w:t>采购活动，服务全部由符合政策要求的中小企业承接。相关企业（含联合体中的中小企业、签订分包意向协议的中小企业） 的具体情况如下：</w:t>
      </w:r>
    </w:p>
    <w:p w14:paraId="2C139254">
      <w:pPr>
        <w:spacing w:line="360" w:lineRule="auto"/>
        <w:ind w:firstLine="420"/>
        <w:rPr>
          <w:bCs/>
          <w:color w:val="auto"/>
          <w:szCs w:val="21"/>
          <w:highlight w:val="none"/>
        </w:rPr>
      </w:pPr>
      <w:r>
        <w:rPr>
          <w:bCs/>
          <w:color w:val="auto"/>
          <w:szCs w:val="21"/>
          <w:highlight w:val="none"/>
        </w:rPr>
        <w:t>1.</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50658197">
      <w:pPr>
        <w:spacing w:line="360" w:lineRule="auto"/>
        <w:ind w:firstLine="420"/>
        <w:rPr>
          <w:bCs/>
          <w:color w:val="auto"/>
          <w:szCs w:val="21"/>
          <w:highlight w:val="none"/>
        </w:rPr>
      </w:pPr>
      <w:r>
        <w:rPr>
          <w:bCs/>
          <w:color w:val="auto"/>
          <w:szCs w:val="21"/>
          <w:highlight w:val="none"/>
        </w:rPr>
        <w:t>2.</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rFonts w:hint="eastAsia"/>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4391B5D5">
      <w:pPr>
        <w:spacing w:line="360" w:lineRule="auto"/>
        <w:ind w:firstLine="420"/>
        <w:rPr>
          <w:bCs/>
          <w:color w:val="auto"/>
          <w:szCs w:val="21"/>
          <w:highlight w:val="none"/>
        </w:rPr>
      </w:pPr>
      <w:r>
        <w:rPr>
          <w:rFonts w:hint="eastAsia"/>
          <w:bCs/>
          <w:color w:val="auto"/>
          <w:szCs w:val="21"/>
          <w:highlight w:val="none"/>
        </w:rPr>
        <w:t>……</w:t>
      </w:r>
    </w:p>
    <w:p w14:paraId="7DC1C36D">
      <w:pPr>
        <w:spacing w:line="360" w:lineRule="auto"/>
        <w:ind w:firstLine="420"/>
        <w:rPr>
          <w:bCs/>
          <w:color w:val="auto"/>
          <w:szCs w:val="21"/>
          <w:highlight w:val="none"/>
        </w:rPr>
      </w:pPr>
      <w:r>
        <w:rPr>
          <w:rFonts w:hint="eastAsia"/>
          <w:bCs/>
          <w:color w:val="auto"/>
          <w:szCs w:val="21"/>
          <w:highlight w:val="none"/>
        </w:rPr>
        <w:t>以上企业，不属于大企业的分支机构，不存在控股股东为大企业的情形，也不存在与大企业的负责人为同一人的情形。</w:t>
      </w:r>
    </w:p>
    <w:p w14:paraId="5C44C1A9">
      <w:pPr>
        <w:spacing w:line="360" w:lineRule="auto"/>
        <w:ind w:firstLine="420"/>
        <w:rPr>
          <w:bCs/>
          <w:color w:val="auto"/>
          <w:szCs w:val="21"/>
          <w:highlight w:val="none"/>
        </w:rPr>
      </w:pPr>
      <w:r>
        <w:rPr>
          <w:rFonts w:hint="eastAsia"/>
          <w:bCs/>
          <w:color w:val="auto"/>
          <w:szCs w:val="21"/>
          <w:highlight w:val="none"/>
        </w:rPr>
        <w:t>本企业对上述声明内容的真实性负责。如有虚假，将依法承担相应责任。</w:t>
      </w:r>
    </w:p>
    <w:p w14:paraId="7BE5423C">
      <w:pPr>
        <w:spacing w:line="360" w:lineRule="auto"/>
        <w:ind w:firstLine="3150" w:firstLineChars="1500"/>
        <w:rPr>
          <w:bCs/>
          <w:color w:val="auto"/>
          <w:szCs w:val="21"/>
          <w:highlight w:val="none"/>
        </w:rPr>
      </w:pPr>
      <w:r>
        <w:rPr>
          <w:rFonts w:hint="eastAsia"/>
          <w:bCs/>
          <w:color w:val="auto"/>
          <w:szCs w:val="21"/>
          <w:highlight w:val="none"/>
        </w:rPr>
        <w:t xml:space="preserve">企业名称（电子签章）： </w:t>
      </w:r>
      <w:r>
        <w:rPr>
          <w:bCs/>
          <w:color w:val="auto"/>
          <w:szCs w:val="21"/>
          <w:highlight w:val="none"/>
        </w:rPr>
        <w:t xml:space="preserve"> </w:t>
      </w:r>
      <w:r>
        <w:rPr>
          <w:rFonts w:hint="eastAsia"/>
          <w:bCs/>
          <w:color w:val="auto"/>
          <w:szCs w:val="21"/>
          <w:highlight w:val="none"/>
        </w:rPr>
        <w:t>日期：</w:t>
      </w:r>
    </w:p>
    <w:p w14:paraId="696F1499">
      <w:pPr>
        <w:spacing w:line="360" w:lineRule="auto"/>
        <w:jc w:val="left"/>
        <w:rPr>
          <w:bCs/>
          <w:color w:val="auto"/>
          <w:szCs w:val="21"/>
          <w:highlight w:val="none"/>
        </w:rPr>
      </w:pPr>
      <w:r>
        <w:rPr>
          <w:rFonts w:hint="eastAsia"/>
          <w:bCs/>
          <w:color w:val="auto"/>
          <w:szCs w:val="21"/>
          <w:highlight w:val="none"/>
        </w:rPr>
        <w:t>注：</w:t>
      </w:r>
    </w:p>
    <w:p w14:paraId="357ECB25">
      <w:pPr>
        <w:spacing w:line="360" w:lineRule="auto"/>
        <w:jc w:val="left"/>
        <w:rPr>
          <w:bCs/>
          <w:color w:val="auto"/>
          <w:szCs w:val="21"/>
          <w:highlight w:val="none"/>
        </w:rPr>
      </w:pPr>
      <w:r>
        <w:rPr>
          <w:rFonts w:hint="eastAsia"/>
          <w:bCs/>
          <w:color w:val="auto"/>
          <w:szCs w:val="21"/>
          <w:highlight w:val="none"/>
        </w:rPr>
        <w:t>（1）标的名称按照第二章采购需求一览表中的名称填写，</w:t>
      </w:r>
      <w:r>
        <w:rPr>
          <w:color w:val="auto"/>
          <w:szCs w:val="21"/>
          <w:highlight w:val="none"/>
        </w:rPr>
        <w:t>所属行业标明“/”的</w:t>
      </w:r>
      <w:r>
        <w:rPr>
          <w:rFonts w:hint="eastAsia"/>
          <w:bCs/>
          <w:color w:val="auto"/>
          <w:szCs w:val="21"/>
          <w:highlight w:val="none"/>
        </w:rPr>
        <w:t>，无需在上表填写。</w:t>
      </w:r>
    </w:p>
    <w:p w14:paraId="6CD5EEBB">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2</w:t>
      </w:r>
      <w:r>
        <w:rPr>
          <w:rFonts w:hint="eastAsia"/>
          <w:bCs/>
          <w:color w:val="auto"/>
          <w:szCs w:val="21"/>
          <w:highlight w:val="none"/>
        </w:rPr>
        <w:t>）如供应商为联合体或分包的，声明函中“项目名称”应填写联合体中小微企业承担的具体内容或者小微企业具体分包内容。</w:t>
      </w:r>
    </w:p>
    <w:p w14:paraId="1143B552">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3</w:t>
      </w:r>
      <w:r>
        <w:rPr>
          <w:rFonts w:hint="eastAsia"/>
          <w:bCs/>
          <w:color w:val="auto"/>
          <w:szCs w:val="21"/>
          <w:highlight w:val="none"/>
        </w:rPr>
        <w:t>）从业人员、营业收入、资产总额填报上一年度数据，无上一年度数据的新成立企业参照国务院批准的中小企业划分标准，根据企业自身情况如实判断。</w:t>
      </w:r>
    </w:p>
    <w:p w14:paraId="41753725">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4</w:t>
      </w:r>
      <w:r>
        <w:rPr>
          <w:rFonts w:hint="eastAsia"/>
          <w:bCs/>
          <w:color w:val="auto"/>
          <w:szCs w:val="21"/>
          <w:highlight w:val="none"/>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09DC66D6">
      <w:pPr>
        <w:spacing w:line="360" w:lineRule="auto"/>
        <w:jc w:val="left"/>
        <w:rPr>
          <w:rFonts w:hint="eastAsia"/>
          <w:bCs/>
          <w:color w:val="auto"/>
          <w:szCs w:val="21"/>
          <w:highlight w:val="none"/>
        </w:rPr>
      </w:pPr>
      <w:r>
        <w:rPr>
          <w:rFonts w:hint="eastAsia"/>
          <w:bCs/>
          <w:color w:val="auto"/>
          <w:szCs w:val="21"/>
          <w:highlight w:val="none"/>
        </w:rPr>
        <w:t>（5）根据</w:t>
      </w:r>
      <w:r>
        <w:rPr>
          <w:rFonts w:hint="eastAsia"/>
          <w:bCs/>
          <w:color w:val="auto"/>
          <w:szCs w:val="21"/>
          <w:highlight w:val="none"/>
          <w:lang w:eastAsia="zh-CN"/>
        </w:rPr>
        <w:t>国家统计局</w:t>
      </w:r>
      <w:r>
        <w:rPr>
          <w:rFonts w:hint="eastAsia"/>
          <w:bCs/>
          <w:color w:val="auto"/>
          <w:szCs w:val="21"/>
          <w:highlight w:val="none"/>
        </w:rPr>
        <w:t>《劳动工资统计报表制度》，从业人员数是指本单位工作，并取得工资或其他形式劳动报酬的人员数，是在岗职工、劳务派遣人员及其他从业人员之和。</w:t>
      </w:r>
    </w:p>
    <w:p w14:paraId="5C240736">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6</w:t>
      </w:r>
      <w:r>
        <w:rPr>
          <w:rFonts w:hint="eastAsia"/>
          <w:bCs/>
          <w:color w:val="auto"/>
          <w:szCs w:val="21"/>
          <w:highlight w:val="none"/>
        </w:rPr>
        <w:t>）本声明函由供应商填写，供应商应按中小企业划分标准《关于印发中小企业划型标准规定的通知》（工信部联企业〔2011〕300号</w:t>
      </w:r>
      <w:r>
        <w:rPr>
          <w:rFonts w:hint="eastAsia"/>
          <w:color w:val="auto"/>
          <w:szCs w:val="21"/>
          <w:highlight w:val="none"/>
        </w:rPr>
        <w:t>以及《金融业企业划型标准规定》（银发〔2015〕309号）</w:t>
      </w:r>
      <w:r>
        <w:rPr>
          <w:rFonts w:hint="eastAsia"/>
          <w:bCs/>
          <w:color w:val="auto"/>
          <w:szCs w:val="21"/>
          <w:highlight w:val="none"/>
        </w:rPr>
        <w:t>）判断是否为中小企业。</w:t>
      </w:r>
    </w:p>
    <w:p w14:paraId="6E92B042">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7</w:t>
      </w:r>
      <w:r>
        <w:rPr>
          <w:rFonts w:hint="eastAsia"/>
          <w:bCs/>
          <w:color w:val="auto"/>
          <w:szCs w:val="21"/>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04DEE408">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8</w:t>
      </w:r>
      <w:r>
        <w:rPr>
          <w:rFonts w:hint="eastAsia"/>
          <w:bCs/>
          <w:color w:val="auto"/>
          <w:szCs w:val="21"/>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5B3FF9B3">
      <w:pPr>
        <w:snapToGrid w:val="0"/>
        <w:spacing w:before="50" w:after="120" w:afterLines="50"/>
        <w:jc w:val="left"/>
        <w:rPr>
          <w:color w:val="auto"/>
          <w:szCs w:val="21"/>
          <w:highlight w:val="none"/>
        </w:rPr>
      </w:pPr>
    </w:p>
    <w:p w14:paraId="5DB8EFF8">
      <w:pPr>
        <w:snapToGrid w:val="0"/>
        <w:spacing w:before="50" w:after="120" w:afterLines="50"/>
        <w:jc w:val="left"/>
        <w:rPr>
          <w:color w:val="auto"/>
          <w:szCs w:val="21"/>
          <w:highlight w:val="none"/>
        </w:rPr>
      </w:pPr>
      <w:r>
        <w:rPr>
          <w:rFonts w:hint="eastAsia"/>
          <w:color w:val="auto"/>
          <w:szCs w:val="21"/>
          <w:highlight w:val="none"/>
        </w:rPr>
        <w:t>6</w:t>
      </w:r>
      <w:r>
        <w:rPr>
          <w:color w:val="auto"/>
          <w:szCs w:val="21"/>
          <w:highlight w:val="none"/>
        </w:rPr>
        <w:t>.2监狱企业须提供最新一期《XX省监狱企业产品目录》或其他监狱企业证明材料。（非监狱企业无需提供）</w:t>
      </w:r>
    </w:p>
    <w:p w14:paraId="78565C31">
      <w:pPr>
        <w:snapToGrid w:val="0"/>
        <w:spacing w:before="50" w:after="120" w:afterLines="50"/>
        <w:jc w:val="left"/>
        <w:rPr>
          <w:color w:val="auto"/>
          <w:szCs w:val="21"/>
          <w:highlight w:val="none"/>
        </w:rPr>
      </w:pPr>
    </w:p>
    <w:p w14:paraId="407C0975">
      <w:pPr>
        <w:widowControl/>
        <w:jc w:val="left"/>
        <w:rPr>
          <w:color w:val="auto"/>
          <w:szCs w:val="21"/>
          <w:highlight w:val="none"/>
        </w:rPr>
      </w:pPr>
      <w:r>
        <w:rPr>
          <w:rFonts w:hint="eastAsia"/>
          <w:color w:val="auto"/>
          <w:szCs w:val="21"/>
          <w:highlight w:val="none"/>
        </w:rPr>
        <w:t>6</w:t>
      </w:r>
      <w:r>
        <w:rPr>
          <w:color w:val="auto"/>
          <w:szCs w:val="21"/>
          <w:highlight w:val="none"/>
        </w:rPr>
        <w:t>.3</w:t>
      </w:r>
      <w:r>
        <w:rPr>
          <w:color w:val="auto"/>
          <w:highlight w:val="none"/>
        </w:rPr>
        <w:t>残疾人福利性单位须提供《残疾人福利性单位声明函》，格式如下。</w:t>
      </w:r>
      <w:r>
        <w:rPr>
          <w:color w:val="auto"/>
          <w:szCs w:val="21"/>
          <w:highlight w:val="none"/>
        </w:rPr>
        <w:t>（非残疾人福利性单位无需提供）</w:t>
      </w:r>
    </w:p>
    <w:p w14:paraId="204FE048">
      <w:pPr>
        <w:spacing w:line="360" w:lineRule="auto"/>
        <w:jc w:val="center"/>
        <w:rPr>
          <w:b/>
          <w:color w:val="auto"/>
          <w:szCs w:val="21"/>
          <w:highlight w:val="none"/>
        </w:rPr>
      </w:pPr>
    </w:p>
    <w:p w14:paraId="5D1B08F6">
      <w:pPr>
        <w:spacing w:line="360" w:lineRule="auto"/>
        <w:jc w:val="center"/>
        <w:rPr>
          <w:b/>
          <w:color w:val="auto"/>
          <w:szCs w:val="21"/>
          <w:highlight w:val="none"/>
        </w:rPr>
      </w:pPr>
      <w:r>
        <w:rPr>
          <w:b/>
          <w:color w:val="auto"/>
          <w:szCs w:val="21"/>
          <w:highlight w:val="none"/>
        </w:rPr>
        <w:t>残疾人福利性单位声明函</w:t>
      </w:r>
    </w:p>
    <w:p w14:paraId="173AC6EB">
      <w:pPr>
        <w:spacing w:line="360" w:lineRule="auto"/>
        <w:ind w:firstLine="420"/>
        <w:jc w:val="left"/>
        <w:rPr>
          <w:color w:val="auto"/>
          <w:szCs w:val="21"/>
          <w:highlight w:val="none"/>
        </w:rPr>
      </w:pPr>
      <w:r>
        <w:rPr>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color w:val="auto"/>
          <w:szCs w:val="21"/>
          <w:highlight w:val="none"/>
          <w:u w:val="single"/>
        </w:rPr>
        <w:t xml:space="preserve">        </w:t>
      </w:r>
      <w:r>
        <w:rPr>
          <w:color w:val="auto"/>
          <w:szCs w:val="21"/>
          <w:highlight w:val="none"/>
        </w:rPr>
        <w:t>单位的</w:t>
      </w:r>
      <w:r>
        <w:rPr>
          <w:color w:val="auto"/>
          <w:szCs w:val="21"/>
          <w:highlight w:val="none"/>
          <w:u w:val="single"/>
        </w:rPr>
        <w:t xml:space="preserve">           </w:t>
      </w:r>
      <w:r>
        <w:rPr>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74956814">
      <w:pPr>
        <w:spacing w:line="360" w:lineRule="auto"/>
        <w:ind w:firstLine="420"/>
        <w:rPr>
          <w:color w:val="auto"/>
          <w:szCs w:val="21"/>
          <w:highlight w:val="none"/>
        </w:rPr>
      </w:pPr>
      <w:r>
        <w:rPr>
          <w:color w:val="auto"/>
          <w:szCs w:val="21"/>
          <w:highlight w:val="none"/>
        </w:rPr>
        <w:t>本单位对上述声明的真实性负责。如有虚假，将依法承担相应责任。</w:t>
      </w:r>
    </w:p>
    <w:p w14:paraId="5B69CC78">
      <w:pPr>
        <w:spacing w:line="360" w:lineRule="auto"/>
        <w:ind w:firstLine="420"/>
        <w:jc w:val="right"/>
        <w:rPr>
          <w:color w:val="auto"/>
          <w:spacing w:val="6"/>
          <w:szCs w:val="21"/>
          <w:highlight w:val="none"/>
        </w:rPr>
      </w:pPr>
      <w:r>
        <w:rPr>
          <w:color w:val="auto"/>
          <w:spacing w:val="6"/>
          <w:sz w:val="30"/>
          <w:szCs w:val="30"/>
          <w:highlight w:val="none"/>
        </w:rPr>
        <w:t xml:space="preserve"> </w:t>
      </w:r>
      <w:r>
        <w:rPr>
          <w:color w:val="auto"/>
          <w:spacing w:val="6"/>
          <w:szCs w:val="21"/>
          <w:highlight w:val="none"/>
        </w:rPr>
        <w:t xml:space="preserve"> </w:t>
      </w:r>
      <w:r>
        <w:rPr>
          <w:rFonts w:hint="eastAsia"/>
          <w:color w:val="auto"/>
          <w:spacing w:val="6"/>
          <w:szCs w:val="21"/>
          <w:highlight w:val="none"/>
        </w:rPr>
        <w:t xml:space="preserve">                                            </w:t>
      </w:r>
      <w:r>
        <w:rPr>
          <w:color w:val="auto"/>
          <w:spacing w:val="6"/>
          <w:szCs w:val="21"/>
          <w:highlight w:val="none"/>
        </w:rPr>
        <w:t>单位名称</w:t>
      </w:r>
      <w:r>
        <w:rPr>
          <w:rFonts w:hint="eastAsia"/>
          <w:color w:val="auto"/>
          <w:szCs w:val="21"/>
          <w:highlight w:val="none"/>
        </w:rPr>
        <w:t>(电子签章</w:t>
      </w:r>
      <w:r>
        <w:rPr>
          <w:color w:val="auto"/>
          <w:szCs w:val="21"/>
          <w:highlight w:val="none"/>
        </w:rPr>
        <w:t>)</w:t>
      </w:r>
      <w:r>
        <w:rPr>
          <w:color w:val="auto"/>
          <w:spacing w:val="6"/>
          <w:szCs w:val="21"/>
          <w:highlight w:val="none"/>
        </w:rPr>
        <w:t xml:space="preserve">：          </w:t>
      </w:r>
    </w:p>
    <w:p w14:paraId="74EC26CD">
      <w:pPr>
        <w:spacing w:line="360" w:lineRule="auto"/>
        <w:ind w:firstLine="420"/>
        <w:jc w:val="right"/>
        <w:rPr>
          <w:color w:val="auto"/>
          <w:spacing w:val="6"/>
          <w:szCs w:val="21"/>
          <w:highlight w:val="none"/>
        </w:rPr>
      </w:pPr>
      <w:r>
        <w:rPr>
          <w:color w:val="auto"/>
          <w:spacing w:val="6"/>
          <w:szCs w:val="21"/>
          <w:highlight w:val="none"/>
        </w:rPr>
        <w:t xml:space="preserve"> </w:t>
      </w:r>
      <w:r>
        <w:rPr>
          <w:rFonts w:hint="eastAsia"/>
          <w:color w:val="auto"/>
          <w:spacing w:val="6"/>
          <w:szCs w:val="21"/>
          <w:highlight w:val="none"/>
        </w:rPr>
        <w:t xml:space="preserve">                                                      </w:t>
      </w:r>
      <w:r>
        <w:rPr>
          <w:color w:val="auto"/>
          <w:spacing w:val="6"/>
          <w:szCs w:val="21"/>
          <w:highlight w:val="none"/>
        </w:rPr>
        <w:t>日  期：</w:t>
      </w:r>
    </w:p>
    <w:p w14:paraId="70A176FF">
      <w:pPr>
        <w:spacing w:line="360" w:lineRule="auto"/>
        <w:rPr>
          <w:color w:val="auto"/>
          <w:szCs w:val="21"/>
          <w:highlight w:val="none"/>
        </w:rPr>
      </w:pPr>
    </w:p>
    <w:p w14:paraId="49C2CA3F">
      <w:pPr>
        <w:snapToGrid w:val="0"/>
        <w:spacing w:before="50" w:after="120" w:afterLines="50" w:line="440" w:lineRule="exact"/>
        <w:jc w:val="left"/>
        <w:rPr>
          <w:color w:val="auto"/>
          <w:highlight w:val="none"/>
        </w:rPr>
      </w:pPr>
      <w:r>
        <w:rPr>
          <w:color w:val="auto"/>
          <w:szCs w:val="21"/>
          <w:highlight w:val="none"/>
        </w:rPr>
        <w:br w:type="page"/>
      </w:r>
      <w:r>
        <w:rPr>
          <w:rFonts w:hint="eastAsia"/>
          <w:color w:val="auto"/>
          <w:szCs w:val="21"/>
          <w:highlight w:val="none"/>
        </w:rPr>
        <w:t>7</w:t>
      </w:r>
      <w:r>
        <w:rPr>
          <w:color w:val="auto"/>
          <w:szCs w:val="21"/>
          <w:highlight w:val="none"/>
        </w:rPr>
        <w:t>．</w:t>
      </w:r>
      <w:r>
        <w:rPr>
          <w:color w:val="auto"/>
          <w:highlight w:val="none"/>
        </w:rPr>
        <w:t>满足供应商特定资格条件的其他证明材料</w:t>
      </w:r>
      <w:r>
        <w:rPr>
          <w:color w:val="auto"/>
          <w:szCs w:val="21"/>
          <w:highlight w:val="none"/>
        </w:rPr>
        <w:t>加盖供应商</w:t>
      </w:r>
      <w:r>
        <w:rPr>
          <w:rFonts w:hint="eastAsia"/>
          <w:color w:val="auto"/>
          <w:szCs w:val="21"/>
          <w:highlight w:val="none"/>
        </w:rPr>
        <w:t>电子签章</w:t>
      </w:r>
      <w:r>
        <w:rPr>
          <w:color w:val="auto"/>
          <w:highlight w:val="none"/>
        </w:rPr>
        <w:t>（</w:t>
      </w:r>
      <w:r>
        <w:rPr>
          <w:color w:val="auto"/>
          <w:szCs w:val="21"/>
          <w:highlight w:val="none"/>
        </w:rPr>
        <w:t>按“评审方法及标准” “资格性检查表”“</w:t>
      </w:r>
      <w:r>
        <w:rPr>
          <w:color w:val="auto"/>
          <w:szCs w:val="21"/>
          <w:highlight w:val="none"/>
          <w:lang w:val="zh-CN"/>
        </w:rPr>
        <w:t xml:space="preserve"> 供应商应符合的</w:t>
      </w:r>
      <w:r>
        <w:rPr>
          <w:color w:val="auto"/>
          <w:szCs w:val="21"/>
          <w:highlight w:val="none"/>
        </w:rPr>
        <w:t>特定资格条件”规定提供</w:t>
      </w:r>
      <w:r>
        <w:rPr>
          <w:color w:val="auto"/>
          <w:highlight w:val="none"/>
        </w:rPr>
        <w:t>）。</w:t>
      </w:r>
      <w:r>
        <w:rPr>
          <w:rFonts w:hint="eastAsia"/>
          <w:b/>
          <w:color w:val="auto"/>
          <w:szCs w:val="21"/>
          <w:highlight w:val="none"/>
        </w:rPr>
        <w:t>（如采购文件有要求时提供）</w:t>
      </w:r>
    </w:p>
    <w:p w14:paraId="316E244F">
      <w:pPr>
        <w:snapToGrid w:val="0"/>
        <w:spacing w:before="50" w:after="120" w:afterLines="50" w:line="360" w:lineRule="auto"/>
        <w:jc w:val="left"/>
        <w:rPr>
          <w:color w:val="auto"/>
          <w:szCs w:val="21"/>
          <w:highlight w:val="none"/>
        </w:rPr>
      </w:pPr>
      <w:r>
        <w:rPr>
          <w:b/>
          <w:color w:val="auto"/>
          <w:szCs w:val="21"/>
          <w:highlight w:val="none"/>
        </w:rPr>
        <w:br w:type="page"/>
      </w:r>
      <w:r>
        <w:rPr>
          <w:rFonts w:hint="eastAsia"/>
          <w:color w:val="auto"/>
          <w:szCs w:val="21"/>
          <w:highlight w:val="none"/>
        </w:rPr>
        <w:t>7</w:t>
      </w:r>
      <w:r>
        <w:rPr>
          <w:color w:val="auto"/>
          <w:szCs w:val="21"/>
          <w:highlight w:val="none"/>
        </w:rPr>
        <w:t>.1</w:t>
      </w:r>
      <w:r>
        <w:rPr>
          <w:rFonts w:hint="eastAsia"/>
          <w:color w:val="auto"/>
          <w:szCs w:val="21"/>
          <w:highlight w:val="none"/>
        </w:rPr>
        <w:t>供应商直接控股股东信息表</w:t>
      </w:r>
    </w:p>
    <w:tbl>
      <w:tblPr>
        <w:tblStyle w:val="51"/>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2B0CE933">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16023D7">
            <w:pPr>
              <w:spacing w:line="360" w:lineRule="auto"/>
              <w:jc w:val="center"/>
              <w:rPr>
                <w:color w:val="auto"/>
                <w:szCs w:val="21"/>
                <w:highlight w:val="none"/>
              </w:rPr>
            </w:pPr>
            <w:r>
              <w:rPr>
                <w:rFonts w:hint="eastAsia"/>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EA9430">
            <w:pPr>
              <w:spacing w:line="360" w:lineRule="auto"/>
              <w:jc w:val="center"/>
              <w:rPr>
                <w:color w:val="auto"/>
                <w:szCs w:val="21"/>
                <w:highlight w:val="none"/>
              </w:rPr>
            </w:pPr>
            <w:r>
              <w:rPr>
                <w:rFonts w:hint="eastAsia"/>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9E67362">
            <w:pPr>
              <w:spacing w:line="360" w:lineRule="auto"/>
              <w:jc w:val="center"/>
              <w:rPr>
                <w:color w:val="auto"/>
                <w:szCs w:val="21"/>
                <w:highlight w:val="none"/>
              </w:rPr>
            </w:pPr>
            <w:r>
              <w:rPr>
                <w:rFonts w:hint="eastAsia"/>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59BA504">
            <w:pPr>
              <w:spacing w:line="360" w:lineRule="auto"/>
              <w:jc w:val="center"/>
              <w:rPr>
                <w:color w:val="auto"/>
                <w:szCs w:val="21"/>
                <w:highlight w:val="none"/>
              </w:rPr>
            </w:pPr>
            <w:r>
              <w:rPr>
                <w:rFonts w:hint="eastAsia"/>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73F6506">
            <w:pPr>
              <w:spacing w:line="360" w:lineRule="auto"/>
              <w:jc w:val="center"/>
              <w:rPr>
                <w:color w:val="auto"/>
                <w:szCs w:val="21"/>
                <w:highlight w:val="none"/>
              </w:rPr>
            </w:pPr>
            <w:r>
              <w:rPr>
                <w:rFonts w:hint="eastAsia"/>
                <w:color w:val="auto"/>
                <w:szCs w:val="21"/>
                <w:highlight w:val="none"/>
              </w:rPr>
              <w:t>备注</w:t>
            </w:r>
          </w:p>
        </w:tc>
      </w:tr>
      <w:tr w14:paraId="43D4C90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24E57D3">
            <w:pPr>
              <w:spacing w:line="360" w:lineRule="auto"/>
              <w:jc w:val="center"/>
              <w:rPr>
                <w:color w:val="auto"/>
                <w:szCs w:val="21"/>
                <w:highlight w:val="none"/>
              </w:rPr>
            </w:pPr>
            <w:r>
              <w:rPr>
                <w:rFonts w:hint="eastAsia"/>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8132508">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90F852A">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6F3CC47">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FD71190">
            <w:pPr>
              <w:spacing w:line="360" w:lineRule="auto"/>
              <w:jc w:val="center"/>
              <w:rPr>
                <w:color w:val="auto"/>
                <w:szCs w:val="21"/>
                <w:highlight w:val="none"/>
              </w:rPr>
            </w:pPr>
          </w:p>
        </w:tc>
      </w:tr>
      <w:tr w14:paraId="73F143F2">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C56ADA6">
            <w:pPr>
              <w:spacing w:line="360" w:lineRule="auto"/>
              <w:jc w:val="center"/>
              <w:rPr>
                <w:color w:val="auto"/>
                <w:szCs w:val="21"/>
                <w:highlight w:val="none"/>
              </w:rPr>
            </w:pPr>
            <w:r>
              <w:rPr>
                <w:rFonts w:hint="eastAsia"/>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D5BC643">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B2868C0">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EEF2160">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BE3DB2">
            <w:pPr>
              <w:spacing w:line="360" w:lineRule="auto"/>
              <w:jc w:val="center"/>
              <w:rPr>
                <w:color w:val="auto"/>
                <w:szCs w:val="21"/>
                <w:highlight w:val="none"/>
              </w:rPr>
            </w:pPr>
          </w:p>
        </w:tc>
      </w:tr>
      <w:tr w14:paraId="125BF1BD">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0BD5E6D">
            <w:pPr>
              <w:spacing w:line="360" w:lineRule="auto"/>
              <w:jc w:val="center"/>
              <w:rPr>
                <w:color w:val="auto"/>
                <w:szCs w:val="21"/>
                <w:highlight w:val="none"/>
              </w:rPr>
            </w:pPr>
            <w:r>
              <w:rPr>
                <w:rFonts w:hint="eastAsia"/>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004464A">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A6E05F1">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D2C5BEC">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013D025">
            <w:pPr>
              <w:spacing w:line="360" w:lineRule="auto"/>
              <w:jc w:val="center"/>
              <w:rPr>
                <w:color w:val="auto"/>
                <w:szCs w:val="21"/>
                <w:highlight w:val="none"/>
              </w:rPr>
            </w:pPr>
          </w:p>
        </w:tc>
      </w:tr>
      <w:tr w14:paraId="150635A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8D3D8B9">
            <w:pPr>
              <w:spacing w:line="360" w:lineRule="auto"/>
              <w:jc w:val="center"/>
              <w:rPr>
                <w:color w:val="auto"/>
                <w:szCs w:val="21"/>
                <w:highlight w:val="none"/>
              </w:rPr>
            </w:pPr>
            <w:r>
              <w:rPr>
                <w:rFonts w:hint="eastAsia"/>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95DC473">
            <w:pPr>
              <w:spacing w:line="360" w:lineRule="auto"/>
              <w:jc w:val="center"/>
              <w:rPr>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3EEB2C5">
            <w:pPr>
              <w:spacing w:line="360" w:lineRule="auto"/>
              <w:jc w:val="center"/>
              <w:rPr>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66D6B00">
            <w:pPr>
              <w:spacing w:line="360" w:lineRule="auto"/>
              <w:jc w:val="center"/>
              <w:rPr>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44754ED">
            <w:pPr>
              <w:spacing w:line="360" w:lineRule="auto"/>
              <w:jc w:val="center"/>
              <w:rPr>
                <w:color w:val="auto"/>
                <w:szCs w:val="21"/>
                <w:highlight w:val="none"/>
              </w:rPr>
            </w:pPr>
          </w:p>
        </w:tc>
      </w:tr>
    </w:tbl>
    <w:p w14:paraId="37DD68CD">
      <w:pPr>
        <w:snapToGrid w:val="0"/>
        <w:spacing w:line="360" w:lineRule="auto"/>
        <w:jc w:val="left"/>
        <w:rPr>
          <w:color w:val="auto"/>
          <w:szCs w:val="21"/>
          <w:highlight w:val="none"/>
        </w:rPr>
      </w:pPr>
      <w:r>
        <w:rPr>
          <w:rFonts w:hint="eastAsia"/>
          <w:color w:val="auto"/>
          <w:szCs w:val="21"/>
          <w:highlight w:val="none"/>
        </w:rPr>
        <w:t>注：</w:t>
      </w:r>
    </w:p>
    <w:p w14:paraId="7E6F41D9">
      <w:pPr>
        <w:snapToGrid w:val="0"/>
        <w:spacing w:line="360" w:lineRule="auto"/>
        <w:jc w:val="left"/>
        <w:rPr>
          <w:color w:val="auto"/>
          <w:szCs w:val="21"/>
          <w:highlight w:val="none"/>
        </w:rPr>
      </w:pPr>
      <w:r>
        <w:rPr>
          <w:rFonts w:hint="eastAsia"/>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72B3C61">
      <w:pPr>
        <w:snapToGrid w:val="0"/>
        <w:spacing w:line="360" w:lineRule="auto"/>
        <w:jc w:val="left"/>
        <w:rPr>
          <w:color w:val="auto"/>
          <w:szCs w:val="21"/>
          <w:highlight w:val="none"/>
        </w:rPr>
      </w:pPr>
      <w:r>
        <w:rPr>
          <w:rFonts w:hint="eastAsia"/>
          <w:color w:val="auto"/>
          <w:szCs w:val="21"/>
          <w:highlight w:val="none"/>
        </w:rPr>
        <w:t>2.本表所指的控股关系仅限于直接控股关系，不包括间接的控股关系。公司实际控制人与公司之间的关系不属于本表所指的直接控股关系。</w:t>
      </w:r>
    </w:p>
    <w:p w14:paraId="45E0BADE">
      <w:pPr>
        <w:snapToGrid w:val="0"/>
        <w:spacing w:line="360" w:lineRule="auto"/>
        <w:jc w:val="left"/>
        <w:rPr>
          <w:color w:val="auto"/>
          <w:szCs w:val="21"/>
          <w:highlight w:val="none"/>
        </w:rPr>
      </w:pPr>
      <w:r>
        <w:rPr>
          <w:rFonts w:hint="eastAsia"/>
          <w:color w:val="auto"/>
          <w:szCs w:val="21"/>
          <w:highlight w:val="none"/>
        </w:rPr>
        <w:t>3.供应商不存在直接控股股东的，则填“无”。</w:t>
      </w:r>
    </w:p>
    <w:p w14:paraId="43A5FC57">
      <w:pPr>
        <w:snapToGrid w:val="0"/>
        <w:spacing w:line="360" w:lineRule="auto"/>
        <w:jc w:val="left"/>
        <w:rPr>
          <w:color w:val="auto"/>
          <w:szCs w:val="21"/>
          <w:highlight w:val="none"/>
        </w:rPr>
      </w:pPr>
    </w:p>
    <w:p w14:paraId="3F584E1A">
      <w:pPr>
        <w:snapToGrid w:val="0"/>
        <w:spacing w:line="360" w:lineRule="auto"/>
        <w:jc w:val="left"/>
        <w:rPr>
          <w:color w:val="auto"/>
          <w:szCs w:val="21"/>
          <w:highlight w:val="none"/>
        </w:rPr>
      </w:pPr>
    </w:p>
    <w:p w14:paraId="4186C8A4">
      <w:pPr>
        <w:snapToGrid w:val="0"/>
        <w:spacing w:line="360" w:lineRule="auto"/>
        <w:jc w:val="left"/>
        <w:rPr>
          <w:color w:val="auto"/>
          <w:szCs w:val="21"/>
          <w:highlight w:val="none"/>
        </w:rPr>
      </w:pPr>
    </w:p>
    <w:p w14:paraId="0E3E3239">
      <w:pPr>
        <w:snapToGrid w:val="0"/>
        <w:spacing w:line="360" w:lineRule="auto"/>
        <w:jc w:val="left"/>
        <w:rPr>
          <w:color w:val="auto"/>
          <w:szCs w:val="21"/>
          <w:highlight w:val="none"/>
        </w:rPr>
      </w:pPr>
    </w:p>
    <w:p w14:paraId="1EE07C33">
      <w:pPr>
        <w:snapToGrid w:val="0"/>
        <w:spacing w:line="360" w:lineRule="auto"/>
        <w:jc w:val="left"/>
        <w:rPr>
          <w:color w:val="auto"/>
          <w:szCs w:val="21"/>
          <w:highlight w:val="none"/>
        </w:rPr>
      </w:pPr>
    </w:p>
    <w:p w14:paraId="3653D45E">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31522633">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290367F0">
      <w:pPr>
        <w:snapToGrid w:val="0"/>
        <w:jc w:val="left"/>
        <w:rPr>
          <w:color w:val="auto"/>
          <w:szCs w:val="21"/>
          <w:highlight w:val="none"/>
        </w:rPr>
      </w:pPr>
      <w:r>
        <w:rPr>
          <w:rFonts w:ascii="宋体" w:hAnsi="宋体"/>
          <w:b/>
          <w:color w:val="auto"/>
          <w:sz w:val="28"/>
          <w:szCs w:val="28"/>
          <w:highlight w:val="none"/>
        </w:rPr>
        <w:br w:type="page"/>
      </w:r>
      <w:r>
        <w:rPr>
          <w:rFonts w:hint="eastAsia"/>
          <w:color w:val="auto"/>
          <w:szCs w:val="21"/>
          <w:highlight w:val="none"/>
        </w:rPr>
        <w:t>7</w:t>
      </w:r>
      <w:r>
        <w:rPr>
          <w:color w:val="auto"/>
          <w:szCs w:val="21"/>
          <w:highlight w:val="none"/>
        </w:rPr>
        <w:t>.2</w:t>
      </w:r>
      <w:r>
        <w:rPr>
          <w:rFonts w:hint="eastAsia"/>
          <w:color w:val="auto"/>
          <w:szCs w:val="21"/>
          <w:highlight w:val="none"/>
        </w:rPr>
        <w:t>供应商直接管理关系信息表</w:t>
      </w:r>
    </w:p>
    <w:tbl>
      <w:tblPr>
        <w:tblStyle w:val="51"/>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19BE5C46">
        <w:tblPrEx>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28B1ED8">
            <w:pPr>
              <w:spacing w:line="360" w:lineRule="auto"/>
              <w:jc w:val="center"/>
              <w:rPr>
                <w:color w:val="auto"/>
                <w:szCs w:val="21"/>
                <w:highlight w:val="none"/>
              </w:rPr>
            </w:pPr>
            <w:r>
              <w:rPr>
                <w:rFonts w:hint="eastAsia"/>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C0449F1">
            <w:pPr>
              <w:spacing w:line="360" w:lineRule="auto"/>
              <w:jc w:val="center"/>
              <w:rPr>
                <w:color w:val="auto"/>
                <w:szCs w:val="21"/>
                <w:highlight w:val="none"/>
              </w:rPr>
            </w:pPr>
            <w:r>
              <w:rPr>
                <w:rFonts w:hint="eastAsia"/>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DC4AA0">
            <w:pPr>
              <w:spacing w:line="360" w:lineRule="auto"/>
              <w:jc w:val="center"/>
              <w:rPr>
                <w:color w:val="auto"/>
                <w:szCs w:val="21"/>
                <w:highlight w:val="none"/>
              </w:rPr>
            </w:pPr>
            <w:r>
              <w:rPr>
                <w:rFonts w:hint="eastAsia"/>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9C9F78">
            <w:pPr>
              <w:spacing w:line="360" w:lineRule="auto"/>
              <w:jc w:val="center"/>
              <w:rPr>
                <w:color w:val="auto"/>
                <w:szCs w:val="21"/>
                <w:highlight w:val="none"/>
              </w:rPr>
            </w:pPr>
            <w:r>
              <w:rPr>
                <w:rFonts w:hint="eastAsia"/>
                <w:color w:val="auto"/>
                <w:szCs w:val="21"/>
                <w:highlight w:val="none"/>
              </w:rPr>
              <w:t>备注</w:t>
            </w:r>
          </w:p>
        </w:tc>
      </w:tr>
      <w:tr w14:paraId="226D2BD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D93E58">
            <w:pPr>
              <w:spacing w:line="360" w:lineRule="auto"/>
              <w:jc w:val="center"/>
              <w:rPr>
                <w:color w:val="auto"/>
                <w:szCs w:val="21"/>
                <w:highlight w:val="none"/>
              </w:rPr>
            </w:pPr>
            <w:r>
              <w:rPr>
                <w:rFonts w:hint="eastAsia"/>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8AC695">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A93B96">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ABB45AD">
            <w:pPr>
              <w:spacing w:line="360" w:lineRule="auto"/>
              <w:jc w:val="center"/>
              <w:rPr>
                <w:color w:val="auto"/>
                <w:szCs w:val="21"/>
                <w:highlight w:val="none"/>
              </w:rPr>
            </w:pPr>
          </w:p>
        </w:tc>
      </w:tr>
      <w:tr w14:paraId="3D6713BB">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0C65C4">
            <w:pPr>
              <w:spacing w:line="360" w:lineRule="auto"/>
              <w:jc w:val="center"/>
              <w:rPr>
                <w:color w:val="auto"/>
                <w:szCs w:val="21"/>
                <w:highlight w:val="none"/>
              </w:rPr>
            </w:pPr>
            <w:r>
              <w:rPr>
                <w:rFonts w:hint="eastAsia"/>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B062820">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CC061C">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BEE5DF5">
            <w:pPr>
              <w:spacing w:line="360" w:lineRule="auto"/>
              <w:jc w:val="center"/>
              <w:rPr>
                <w:color w:val="auto"/>
                <w:szCs w:val="21"/>
                <w:highlight w:val="none"/>
              </w:rPr>
            </w:pPr>
          </w:p>
        </w:tc>
      </w:tr>
      <w:tr w14:paraId="10378FF1">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D07F18">
            <w:pPr>
              <w:spacing w:line="360" w:lineRule="auto"/>
              <w:jc w:val="center"/>
              <w:rPr>
                <w:color w:val="auto"/>
                <w:szCs w:val="21"/>
                <w:highlight w:val="none"/>
              </w:rPr>
            </w:pPr>
            <w:r>
              <w:rPr>
                <w:rFonts w:hint="eastAsia"/>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2D95713">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F2DA45">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8F2EE97">
            <w:pPr>
              <w:spacing w:line="360" w:lineRule="auto"/>
              <w:jc w:val="center"/>
              <w:rPr>
                <w:color w:val="auto"/>
                <w:szCs w:val="21"/>
                <w:highlight w:val="none"/>
              </w:rPr>
            </w:pPr>
          </w:p>
        </w:tc>
      </w:tr>
      <w:tr w14:paraId="202736D8">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9E2DF37">
            <w:pPr>
              <w:spacing w:line="360" w:lineRule="auto"/>
              <w:jc w:val="center"/>
              <w:rPr>
                <w:color w:val="auto"/>
                <w:szCs w:val="21"/>
                <w:highlight w:val="none"/>
              </w:rPr>
            </w:pPr>
            <w:r>
              <w:rPr>
                <w:rFonts w:hint="eastAsia"/>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9693293">
            <w:pPr>
              <w:spacing w:line="360" w:lineRule="auto"/>
              <w:jc w:val="center"/>
              <w:rPr>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DAD814">
            <w:pPr>
              <w:spacing w:line="360" w:lineRule="auto"/>
              <w:jc w:val="center"/>
              <w:rPr>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F4A1339">
            <w:pPr>
              <w:spacing w:line="360" w:lineRule="auto"/>
              <w:jc w:val="center"/>
              <w:rPr>
                <w:color w:val="auto"/>
                <w:szCs w:val="21"/>
                <w:highlight w:val="none"/>
              </w:rPr>
            </w:pPr>
          </w:p>
        </w:tc>
      </w:tr>
    </w:tbl>
    <w:p w14:paraId="74402AB0">
      <w:pPr>
        <w:snapToGrid w:val="0"/>
        <w:spacing w:line="360" w:lineRule="auto"/>
        <w:jc w:val="left"/>
        <w:rPr>
          <w:color w:val="auto"/>
          <w:szCs w:val="21"/>
          <w:highlight w:val="none"/>
        </w:rPr>
      </w:pPr>
      <w:r>
        <w:rPr>
          <w:rFonts w:hint="eastAsia"/>
          <w:color w:val="auto"/>
          <w:szCs w:val="21"/>
          <w:highlight w:val="none"/>
        </w:rPr>
        <w:t>注：</w:t>
      </w:r>
    </w:p>
    <w:p w14:paraId="27F4473C">
      <w:pPr>
        <w:snapToGrid w:val="0"/>
        <w:spacing w:line="360" w:lineRule="auto"/>
        <w:ind w:firstLine="420" w:firstLineChars="200"/>
        <w:jc w:val="left"/>
        <w:rPr>
          <w:color w:val="auto"/>
          <w:szCs w:val="21"/>
          <w:highlight w:val="none"/>
        </w:rPr>
      </w:pPr>
      <w:r>
        <w:rPr>
          <w:rFonts w:hint="eastAsia"/>
          <w:color w:val="auto"/>
          <w:szCs w:val="21"/>
          <w:highlight w:val="none"/>
        </w:rPr>
        <w:t>1.管理关系：是指不具有出资持股关系的其他单位之间存在的管理与被管理关系，如一些上下级关系的事业单位和团体组织。</w:t>
      </w:r>
    </w:p>
    <w:p w14:paraId="0FF06A3F">
      <w:pPr>
        <w:snapToGrid w:val="0"/>
        <w:spacing w:line="360" w:lineRule="auto"/>
        <w:ind w:firstLine="420" w:firstLineChars="200"/>
        <w:jc w:val="left"/>
        <w:rPr>
          <w:color w:val="auto"/>
          <w:szCs w:val="21"/>
          <w:highlight w:val="none"/>
        </w:rPr>
      </w:pPr>
      <w:r>
        <w:rPr>
          <w:rFonts w:hint="eastAsia"/>
          <w:color w:val="auto"/>
          <w:szCs w:val="21"/>
          <w:highlight w:val="none"/>
        </w:rPr>
        <w:t>2.本表所指的管理关系仅限于直接管理关系，不包括间接的管理关系。</w:t>
      </w:r>
    </w:p>
    <w:p w14:paraId="0C74CA28">
      <w:pPr>
        <w:snapToGrid w:val="0"/>
        <w:spacing w:line="360" w:lineRule="auto"/>
        <w:ind w:firstLine="420" w:firstLineChars="200"/>
        <w:jc w:val="left"/>
        <w:rPr>
          <w:color w:val="auto"/>
          <w:szCs w:val="21"/>
          <w:highlight w:val="none"/>
        </w:rPr>
      </w:pPr>
      <w:r>
        <w:rPr>
          <w:rFonts w:hint="eastAsia"/>
          <w:color w:val="auto"/>
          <w:szCs w:val="21"/>
          <w:highlight w:val="none"/>
        </w:rPr>
        <w:t>3.供应商不存在直接管理关系的，则填“无”。</w:t>
      </w:r>
    </w:p>
    <w:p w14:paraId="40E472A2">
      <w:pPr>
        <w:snapToGrid w:val="0"/>
        <w:spacing w:line="360" w:lineRule="auto"/>
        <w:jc w:val="left"/>
        <w:rPr>
          <w:color w:val="auto"/>
          <w:szCs w:val="21"/>
          <w:highlight w:val="none"/>
        </w:rPr>
      </w:pPr>
    </w:p>
    <w:p w14:paraId="2E1B9E67">
      <w:pPr>
        <w:snapToGrid w:val="0"/>
        <w:spacing w:line="360" w:lineRule="auto"/>
        <w:jc w:val="left"/>
        <w:rPr>
          <w:color w:val="auto"/>
          <w:szCs w:val="21"/>
          <w:highlight w:val="none"/>
        </w:rPr>
      </w:pPr>
    </w:p>
    <w:p w14:paraId="673A9489">
      <w:pPr>
        <w:snapToGrid w:val="0"/>
        <w:spacing w:line="360" w:lineRule="auto"/>
        <w:jc w:val="left"/>
        <w:rPr>
          <w:color w:val="auto"/>
          <w:szCs w:val="21"/>
          <w:highlight w:val="none"/>
        </w:rPr>
      </w:pPr>
    </w:p>
    <w:p w14:paraId="586D9144">
      <w:pPr>
        <w:snapToGrid w:val="0"/>
        <w:spacing w:line="360" w:lineRule="auto"/>
        <w:jc w:val="left"/>
        <w:rPr>
          <w:color w:val="auto"/>
          <w:szCs w:val="21"/>
          <w:highlight w:val="none"/>
        </w:rPr>
      </w:pPr>
    </w:p>
    <w:p w14:paraId="5FFD5D2B">
      <w:pPr>
        <w:snapToGrid w:val="0"/>
        <w:spacing w:line="360" w:lineRule="auto"/>
        <w:jc w:val="left"/>
        <w:rPr>
          <w:color w:val="auto"/>
          <w:szCs w:val="21"/>
          <w:highlight w:val="none"/>
        </w:rPr>
      </w:pPr>
    </w:p>
    <w:p w14:paraId="64639B9C">
      <w:pPr>
        <w:snapToGrid w:val="0"/>
        <w:spacing w:line="360" w:lineRule="auto"/>
        <w:jc w:val="left"/>
        <w:rPr>
          <w:color w:val="auto"/>
          <w:szCs w:val="21"/>
          <w:highlight w:val="none"/>
        </w:rPr>
      </w:pPr>
    </w:p>
    <w:p w14:paraId="1D5070A6">
      <w:pPr>
        <w:snapToGrid w:val="0"/>
        <w:spacing w:line="360" w:lineRule="auto"/>
        <w:jc w:val="left"/>
        <w:rPr>
          <w:color w:val="auto"/>
          <w:szCs w:val="21"/>
          <w:highlight w:val="none"/>
        </w:rPr>
      </w:pPr>
    </w:p>
    <w:p w14:paraId="520E4C5A">
      <w:pPr>
        <w:snapToGrid w:val="0"/>
        <w:spacing w:line="360" w:lineRule="auto"/>
        <w:jc w:val="left"/>
        <w:rPr>
          <w:color w:val="auto"/>
          <w:szCs w:val="21"/>
          <w:highlight w:val="none"/>
        </w:rPr>
      </w:pPr>
    </w:p>
    <w:p w14:paraId="067D0D05">
      <w:pPr>
        <w:snapToGrid w:val="0"/>
        <w:spacing w:line="360" w:lineRule="auto"/>
        <w:ind w:firstLine="4410" w:firstLineChars="2100"/>
        <w:rPr>
          <w:color w:val="auto"/>
          <w:szCs w:val="21"/>
          <w:highlight w:val="none"/>
        </w:rPr>
      </w:pPr>
      <w:r>
        <w:rPr>
          <w:rFonts w:hint="eastAsia"/>
          <w:color w:val="auto"/>
          <w:szCs w:val="21"/>
          <w:highlight w:val="none"/>
        </w:rPr>
        <w:t>供应商名称(电子签章)：</w:t>
      </w:r>
    </w:p>
    <w:p w14:paraId="3B593D61">
      <w:pPr>
        <w:snapToGrid w:val="0"/>
        <w:spacing w:line="360" w:lineRule="auto"/>
        <w:ind w:firstLine="4515" w:firstLineChars="2150"/>
        <w:rPr>
          <w:color w:val="auto"/>
          <w:szCs w:val="21"/>
          <w:highlight w:val="none"/>
        </w:rPr>
      </w:pPr>
      <w:r>
        <w:rPr>
          <w:rFonts w:hint="eastAsia"/>
          <w:color w:val="auto"/>
          <w:szCs w:val="21"/>
          <w:highlight w:val="none"/>
        </w:rPr>
        <w:t>日期：  年  月   日</w:t>
      </w:r>
    </w:p>
    <w:p w14:paraId="36245213">
      <w:pPr>
        <w:pStyle w:val="26"/>
        <w:tabs>
          <w:tab w:val="left" w:pos="2127"/>
        </w:tabs>
        <w:spacing w:line="340" w:lineRule="exact"/>
        <w:rPr>
          <w:rFonts w:ascii="Times New Roman" w:hAnsi="Times New Roman" w:cs="Times New Roman"/>
          <w:color w:val="auto"/>
          <w:highlight w:val="none"/>
        </w:rPr>
      </w:pPr>
    </w:p>
    <w:p w14:paraId="05477D17">
      <w:pPr>
        <w:snapToGrid w:val="0"/>
        <w:spacing w:before="50" w:after="120" w:afterLines="50" w:line="440" w:lineRule="exact"/>
        <w:jc w:val="left"/>
        <w:rPr>
          <w:rFonts w:hint="eastAsia"/>
          <w:b/>
          <w:color w:val="auto"/>
          <w:szCs w:val="21"/>
          <w:highlight w:val="none"/>
        </w:rPr>
      </w:pPr>
      <w:r>
        <w:rPr>
          <w:color w:val="auto"/>
          <w:highlight w:val="none"/>
        </w:rPr>
        <w:br w:type="page"/>
      </w:r>
      <w:r>
        <w:rPr>
          <w:rFonts w:hint="eastAsia"/>
          <w:color w:val="auto"/>
          <w:szCs w:val="21"/>
          <w:highlight w:val="none"/>
        </w:rPr>
        <w:t>8</w:t>
      </w:r>
      <w:r>
        <w:rPr>
          <w:color w:val="auto"/>
          <w:szCs w:val="21"/>
          <w:highlight w:val="none"/>
        </w:rPr>
        <w:t>．</w:t>
      </w:r>
      <w:r>
        <w:rPr>
          <w:rFonts w:hint="eastAsia"/>
          <w:color w:val="auto"/>
          <w:szCs w:val="21"/>
          <w:highlight w:val="none"/>
        </w:rPr>
        <w:t>磋商</w:t>
      </w:r>
      <w:r>
        <w:rPr>
          <w:color w:val="auto"/>
          <w:szCs w:val="21"/>
          <w:highlight w:val="none"/>
        </w:rPr>
        <w:t>保证金缴纳证明</w:t>
      </w:r>
      <w:r>
        <w:rPr>
          <w:rFonts w:hint="eastAsia"/>
          <w:color w:val="auto"/>
          <w:szCs w:val="21"/>
          <w:highlight w:val="none"/>
        </w:rPr>
        <w:t>。</w:t>
      </w:r>
      <w:r>
        <w:rPr>
          <w:rFonts w:hint="eastAsia"/>
          <w:b/>
          <w:color w:val="auto"/>
          <w:szCs w:val="21"/>
          <w:highlight w:val="none"/>
        </w:rPr>
        <w:t>（如采购文件有要求时提供）</w:t>
      </w:r>
    </w:p>
    <w:p w14:paraId="1DE0F45F">
      <w:pPr>
        <w:snapToGrid w:val="0"/>
        <w:spacing w:before="50" w:after="120" w:afterLines="50" w:line="440" w:lineRule="exact"/>
        <w:jc w:val="left"/>
        <w:rPr>
          <w:color w:val="auto"/>
          <w:highlight w:val="none"/>
        </w:rPr>
      </w:pPr>
      <w:r>
        <w:rPr>
          <w:rFonts w:hint="eastAsia"/>
          <w:color w:val="auto"/>
          <w:highlight w:val="none"/>
        </w:rPr>
        <w:t>（1）以转账、电汇形式缴纳的，提供转账、电汇凭证扫描件或复印件（网银可提供截图）</w:t>
      </w:r>
      <w:r>
        <w:rPr>
          <w:color w:val="auto"/>
          <w:highlight w:val="none"/>
        </w:rPr>
        <w:t>加盖</w:t>
      </w:r>
      <w:r>
        <w:rPr>
          <w:color w:val="auto"/>
          <w:szCs w:val="21"/>
          <w:highlight w:val="none"/>
        </w:rPr>
        <w:t>供应商</w:t>
      </w:r>
      <w:r>
        <w:rPr>
          <w:rFonts w:hint="eastAsia"/>
          <w:color w:val="auto"/>
          <w:szCs w:val="21"/>
          <w:highlight w:val="none"/>
        </w:rPr>
        <w:t>电子签章</w:t>
      </w:r>
      <w:r>
        <w:rPr>
          <w:rFonts w:hint="eastAsia"/>
          <w:color w:val="auto"/>
          <w:highlight w:val="none"/>
        </w:rPr>
        <w:t>；</w:t>
      </w:r>
    </w:p>
    <w:p w14:paraId="03C15ED1">
      <w:pPr>
        <w:snapToGrid w:val="0"/>
        <w:spacing w:before="50" w:after="120" w:afterLines="50" w:line="440" w:lineRule="exact"/>
        <w:jc w:val="left"/>
        <w:rPr>
          <w:color w:val="auto"/>
          <w:highlight w:val="none"/>
        </w:rPr>
      </w:pPr>
      <w:r>
        <w:rPr>
          <w:rFonts w:hint="eastAsia"/>
          <w:color w:val="auto"/>
          <w:highlight w:val="none"/>
        </w:rPr>
        <w:t>（2）以支票、汇票、本票或金融机构、担保机构出具的保函等非现金形式缴纳的，提供原件扫描件或复印件并加盖供应商电子签章。响应保函参考如下格式开具：</w:t>
      </w:r>
    </w:p>
    <w:p w14:paraId="3098E448">
      <w:pPr>
        <w:spacing w:line="360" w:lineRule="auto"/>
        <w:jc w:val="center"/>
        <w:rPr>
          <w:b/>
          <w:bCs/>
          <w:color w:val="auto"/>
          <w:sz w:val="28"/>
          <w:szCs w:val="36"/>
          <w:highlight w:val="none"/>
        </w:rPr>
      </w:pPr>
    </w:p>
    <w:p w14:paraId="135880F9">
      <w:pPr>
        <w:spacing w:line="360" w:lineRule="auto"/>
        <w:jc w:val="center"/>
        <w:rPr>
          <w:b/>
          <w:bCs/>
          <w:color w:val="auto"/>
          <w:sz w:val="28"/>
          <w:szCs w:val="36"/>
          <w:highlight w:val="none"/>
        </w:rPr>
      </w:pPr>
      <w:r>
        <w:rPr>
          <w:rFonts w:hint="eastAsia"/>
          <w:b/>
          <w:bCs/>
          <w:color w:val="auto"/>
          <w:sz w:val="28"/>
          <w:szCs w:val="36"/>
          <w:highlight w:val="none"/>
        </w:rPr>
        <w:t>响应保函格式</w:t>
      </w:r>
    </w:p>
    <w:p w14:paraId="1346243D">
      <w:pPr>
        <w:snapToGrid w:val="0"/>
        <w:spacing w:before="50" w:after="120" w:afterLines="50"/>
        <w:jc w:val="left"/>
        <w:rPr>
          <w:color w:val="auto"/>
          <w:highlight w:val="none"/>
        </w:rPr>
      </w:pPr>
      <w:r>
        <w:rPr>
          <w:rFonts w:hint="eastAsia"/>
          <w:color w:val="auto"/>
          <w:highlight w:val="none"/>
        </w:rPr>
        <w:t xml:space="preserve">编号：           </w:t>
      </w:r>
    </w:p>
    <w:p w14:paraId="44DED798">
      <w:pPr>
        <w:snapToGrid w:val="0"/>
        <w:spacing w:before="50" w:after="120" w:afterLines="50"/>
        <w:jc w:val="left"/>
        <w:rPr>
          <w:color w:val="auto"/>
          <w:highlight w:val="none"/>
        </w:rPr>
      </w:pPr>
      <w:r>
        <w:rPr>
          <w:rFonts w:hint="eastAsia"/>
          <w:color w:val="auto"/>
          <w:highlight w:val="none"/>
        </w:rPr>
        <w:t>申请人：</w:t>
      </w:r>
    </w:p>
    <w:p w14:paraId="1E98BF0C">
      <w:pPr>
        <w:snapToGrid w:val="0"/>
        <w:spacing w:before="50" w:after="120" w:afterLines="50"/>
        <w:jc w:val="left"/>
        <w:rPr>
          <w:color w:val="auto"/>
          <w:highlight w:val="none"/>
        </w:rPr>
      </w:pPr>
      <w:r>
        <w:rPr>
          <w:rFonts w:hint="eastAsia"/>
          <w:color w:val="auto"/>
          <w:highlight w:val="none"/>
        </w:rPr>
        <w:t>地址：</w:t>
      </w:r>
    </w:p>
    <w:p w14:paraId="14AF2AD8">
      <w:pPr>
        <w:snapToGrid w:val="0"/>
        <w:spacing w:before="50" w:after="120" w:afterLines="50"/>
        <w:jc w:val="left"/>
        <w:rPr>
          <w:color w:val="auto"/>
          <w:highlight w:val="none"/>
        </w:rPr>
      </w:pPr>
      <w:r>
        <w:rPr>
          <w:rFonts w:hint="eastAsia"/>
          <w:color w:val="auto"/>
          <w:highlight w:val="none"/>
        </w:rPr>
        <w:t xml:space="preserve">受益人：广西机电设备招标有限公司 </w:t>
      </w:r>
    </w:p>
    <w:p w14:paraId="23877E97">
      <w:pPr>
        <w:snapToGrid w:val="0"/>
        <w:spacing w:before="50" w:after="120" w:afterLines="50"/>
        <w:jc w:val="left"/>
        <w:rPr>
          <w:color w:val="auto"/>
          <w:highlight w:val="none"/>
        </w:rPr>
      </w:pPr>
      <w:r>
        <w:rPr>
          <w:rFonts w:hint="eastAsia"/>
          <w:color w:val="auto"/>
          <w:highlight w:val="none"/>
        </w:rPr>
        <w:t>地址：</w:t>
      </w:r>
    </w:p>
    <w:p w14:paraId="4D3FFF29">
      <w:pPr>
        <w:snapToGrid w:val="0"/>
        <w:spacing w:before="50" w:after="120" w:afterLines="50"/>
        <w:jc w:val="left"/>
        <w:rPr>
          <w:color w:val="auto"/>
          <w:highlight w:val="none"/>
        </w:rPr>
      </w:pPr>
      <w:r>
        <w:rPr>
          <w:rFonts w:hint="eastAsia"/>
          <w:color w:val="auto"/>
          <w:highlight w:val="none"/>
        </w:rPr>
        <w:t>开立人：</w:t>
      </w:r>
    </w:p>
    <w:p w14:paraId="257CE96E">
      <w:pPr>
        <w:snapToGrid w:val="0"/>
        <w:spacing w:before="50" w:after="120" w:afterLines="50"/>
        <w:jc w:val="left"/>
        <w:rPr>
          <w:color w:val="auto"/>
          <w:highlight w:val="none"/>
        </w:rPr>
      </w:pPr>
      <w:r>
        <w:rPr>
          <w:rFonts w:hint="eastAsia"/>
          <w:color w:val="auto"/>
          <w:highlight w:val="none"/>
        </w:rPr>
        <w:t>地址：</w:t>
      </w:r>
    </w:p>
    <w:p w14:paraId="5A69B341">
      <w:pPr>
        <w:snapToGrid w:val="0"/>
        <w:spacing w:before="50" w:after="120" w:afterLines="50" w:line="440" w:lineRule="exact"/>
        <w:jc w:val="left"/>
        <w:rPr>
          <w:color w:val="auto"/>
          <w:highlight w:val="none"/>
        </w:rPr>
      </w:pPr>
    </w:p>
    <w:p w14:paraId="690335DC">
      <w:pPr>
        <w:snapToGrid w:val="0"/>
        <w:spacing w:before="50" w:after="120" w:afterLines="50" w:line="276" w:lineRule="auto"/>
        <w:jc w:val="left"/>
        <w:rPr>
          <w:color w:val="auto"/>
          <w:highlight w:val="none"/>
        </w:rPr>
      </w:pPr>
      <w:r>
        <w:rPr>
          <w:rFonts w:hint="eastAsia"/>
          <w:color w:val="auto"/>
          <w:highlight w:val="none"/>
        </w:rPr>
        <w:t>致：广西机电设备招标有限公司</w:t>
      </w:r>
    </w:p>
    <w:p w14:paraId="1C2BB0D1">
      <w:pPr>
        <w:snapToGrid w:val="0"/>
        <w:spacing w:before="50" w:after="120" w:afterLines="50" w:line="276" w:lineRule="auto"/>
        <w:ind w:firstLine="420" w:firstLineChars="200"/>
        <w:jc w:val="left"/>
        <w:rPr>
          <w:color w:val="auto"/>
          <w:highlight w:val="none"/>
        </w:rPr>
      </w:pPr>
      <w:r>
        <w:rPr>
          <w:rFonts w:hint="eastAsia"/>
          <w:color w:val="auto"/>
          <w:highlight w:val="none"/>
        </w:rPr>
        <w:t>我方（即“开立人”）已获得通知，本保函申请人（即“供应商”）已响应贵方于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 xml:space="preserve"> 日就 </w:t>
      </w:r>
      <w:r>
        <w:rPr>
          <w:rFonts w:hint="eastAsia"/>
          <w:color w:val="auto"/>
          <w:highlight w:val="none"/>
          <w:u w:val="single"/>
        </w:rPr>
        <w:t xml:space="preserve">                                          </w:t>
      </w:r>
      <w:r>
        <w:rPr>
          <w:rFonts w:hint="eastAsia"/>
          <w:color w:val="auto"/>
          <w:highlight w:val="none"/>
        </w:rPr>
        <w:t>（以下简称“本项目”）发出的招标文件，并已向采购代理机构（即“受益人”）提交了投标文件。</w:t>
      </w:r>
    </w:p>
    <w:p w14:paraId="2D7316AD">
      <w:pPr>
        <w:snapToGrid w:val="0"/>
        <w:spacing w:before="50" w:after="120" w:afterLines="50" w:line="276" w:lineRule="auto"/>
        <w:ind w:firstLine="420" w:firstLineChars="200"/>
        <w:jc w:val="left"/>
        <w:rPr>
          <w:color w:val="auto"/>
          <w:highlight w:val="none"/>
        </w:rPr>
      </w:pPr>
      <w:r>
        <w:rPr>
          <w:rFonts w:hint="eastAsia"/>
          <w:color w:val="auto"/>
          <w:highlight w:val="none"/>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color w:val="auto"/>
          <w:highlight w:val="none"/>
          <w:u w:val="single"/>
        </w:rPr>
        <w:t xml:space="preserve">                            </w:t>
      </w:r>
      <w:r>
        <w:rPr>
          <w:rFonts w:hint="eastAsia"/>
          <w:color w:val="auto"/>
          <w:highlight w:val="none"/>
        </w:rPr>
        <w:t>元（¥</w:t>
      </w:r>
      <w:r>
        <w:rPr>
          <w:rFonts w:hint="eastAsia"/>
          <w:color w:val="auto"/>
          <w:highlight w:val="none"/>
          <w:u w:val="single"/>
        </w:rPr>
        <w:t xml:space="preserve">                         </w:t>
      </w:r>
      <w:r>
        <w:rPr>
          <w:rFonts w:hint="eastAsia"/>
          <w:color w:val="auto"/>
          <w:highlight w:val="none"/>
        </w:rPr>
        <w:t>）。</w:t>
      </w:r>
    </w:p>
    <w:p w14:paraId="2FE7BAF4">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二、我方在供应商发生以下情形时承担保证担保责任： </w:t>
      </w:r>
    </w:p>
    <w:p w14:paraId="1259AF26">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（1）投标人在开标后和投标有效期满之前撤销投标文件的； </w:t>
      </w:r>
    </w:p>
    <w:p w14:paraId="6E0BF155">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（2）投标人在收到中标通知书后，不能或拒绝按招标文件规定的时间内与采购人签订合同； </w:t>
      </w:r>
    </w:p>
    <w:p w14:paraId="03879F4E">
      <w:pPr>
        <w:snapToGrid w:val="0"/>
        <w:spacing w:before="50" w:after="120" w:afterLines="50" w:line="276" w:lineRule="auto"/>
        <w:ind w:firstLine="420" w:firstLineChars="200"/>
        <w:jc w:val="left"/>
        <w:rPr>
          <w:color w:val="auto"/>
          <w:highlight w:val="none"/>
        </w:rPr>
      </w:pPr>
      <w:r>
        <w:rPr>
          <w:rFonts w:hint="eastAsia"/>
          <w:color w:val="auto"/>
          <w:highlight w:val="none"/>
        </w:rPr>
        <w:t>（3）投标人在与采购人签订合同后，未在规定的时间内提交符合招标文件要求的履约担保；</w:t>
      </w:r>
    </w:p>
    <w:p w14:paraId="39F1FE17">
      <w:pPr>
        <w:snapToGrid w:val="0"/>
        <w:spacing w:before="50" w:after="120" w:afterLines="50" w:line="276" w:lineRule="auto"/>
        <w:ind w:firstLine="420" w:firstLineChars="200"/>
        <w:jc w:val="left"/>
        <w:rPr>
          <w:color w:val="auto"/>
          <w:highlight w:val="none"/>
        </w:rPr>
      </w:pPr>
      <w:r>
        <w:rPr>
          <w:rFonts w:hint="eastAsia"/>
          <w:color w:val="auto"/>
          <w:highlight w:val="none"/>
        </w:rPr>
        <w:t>（4）投标人在中标通知书发出之日起5个工作日内，未缴纳本项目代理服务费的；</w:t>
      </w:r>
    </w:p>
    <w:p w14:paraId="0EBA2882">
      <w:pPr>
        <w:snapToGrid w:val="0"/>
        <w:spacing w:before="50" w:after="120" w:afterLines="50" w:line="276" w:lineRule="auto"/>
        <w:ind w:firstLine="420" w:firstLineChars="200"/>
        <w:jc w:val="left"/>
        <w:rPr>
          <w:color w:val="auto"/>
          <w:highlight w:val="none"/>
        </w:rPr>
      </w:pPr>
      <w:r>
        <w:rPr>
          <w:rFonts w:hint="eastAsia"/>
          <w:color w:val="auto"/>
          <w:highlight w:val="none"/>
        </w:rPr>
        <w:t>（5）投标人违反招标文件规定的其他情形。</w:t>
      </w:r>
    </w:p>
    <w:p w14:paraId="70F0832D">
      <w:pPr>
        <w:snapToGrid w:val="0"/>
        <w:spacing w:before="50" w:after="120" w:afterLines="50" w:line="276" w:lineRule="auto"/>
        <w:ind w:firstLine="210" w:firstLineChars="100"/>
        <w:jc w:val="left"/>
        <w:rPr>
          <w:color w:val="auto"/>
          <w:highlight w:val="none"/>
        </w:rPr>
      </w:pPr>
      <w:r>
        <w:rPr>
          <w:rFonts w:hint="eastAsia"/>
          <w:color w:val="auto"/>
          <w:highlight w:val="none"/>
        </w:rPr>
        <w:t xml:space="preserve">    三、本保函为不可撤销、不可转让的见索即付独立保函。本保函有效期自开立之日起至投标有效期届满之日后的</w:t>
      </w:r>
      <w:r>
        <w:rPr>
          <w:rFonts w:hint="eastAsia"/>
          <w:color w:val="auto"/>
          <w:highlight w:val="none"/>
          <w:u w:val="single"/>
        </w:rPr>
        <w:t xml:space="preserve">  28  </w:t>
      </w:r>
      <w:r>
        <w:rPr>
          <w:rFonts w:hint="eastAsia"/>
          <w:color w:val="auto"/>
          <w:highlight w:val="none"/>
        </w:rPr>
        <w:t>日。投标有效期延长的，本保函有效期相应顺延。</w:t>
      </w:r>
    </w:p>
    <w:p w14:paraId="267D4E45">
      <w:pPr>
        <w:snapToGrid w:val="0"/>
        <w:spacing w:before="50" w:after="120" w:afterLines="50" w:line="276" w:lineRule="auto"/>
        <w:ind w:firstLine="420" w:firstLineChars="200"/>
        <w:jc w:val="left"/>
        <w:rPr>
          <w:color w:val="auto"/>
          <w:highlight w:val="none"/>
        </w:rPr>
      </w:pPr>
      <w:r>
        <w:rPr>
          <w:rFonts w:hint="eastAsia"/>
          <w:color w:val="auto"/>
          <w:highlight w:val="none"/>
        </w:rPr>
        <w:t>四、我方承诺，在收到受益人发来的书面付款通知后的</w:t>
      </w:r>
      <w:r>
        <w:rPr>
          <w:rFonts w:hint="eastAsia"/>
          <w:color w:val="auto"/>
          <w:highlight w:val="none"/>
          <w:u w:val="single"/>
        </w:rPr>
        <w:t xml:space="preserve">   5    </w:t>
      </w:r>
      <w:r>
        <w:rPr>
          <w:rFonts w:hint="eastAsia"/>
          <w:color w:val="auto"/>
          <w:highlight w:val="none"/>
        </w:rPr>
        <w:t>日内无条件支付，前述书面付款通知即为付款要求之单据，且应满足以下要求：</w:t>
      </w:r>
    </w:p>
    <w:p w14:paraId="103DA53D">
      <w:pPr>
        <w:snapToGrid w:val="0"/>
        <w:spacing w:before="50" w:after="120" w:afterLines="50" w:line="276" w:lineRule="auto"/>
        <w:ind w:firstLine="420" w:firstLineChars="200"/>
        <w:jc w:val="left"/>
        <w:rPr>
          <w:color w:val="auto"/>
          <w:highlight w:val="none"/>
        </w:rPr>
      </w:pPr>
      <w:r>
        <w:rPr>
          <w:rFonts w:hint="eastAsia"/>
          <w:color w:val="auto"/>
          <w:highlight w:val="none"/>
        </w:rPr>
        <w:t>（1）付款通知到达的日期在本保函的有效期内；</w:t>
      </w:r>
    </w:p>
    <w:p w14:paraId="7AC3F63A">
      <w:pPr>
        <w:snapToGrid w:val="0"/>
        <w:spacing w:before="50" w:after="120" w:afterLines="50" w:line="276" w:lineRule="auto"/>
        <w:ind w:firstLine="420" w:firstLineChars="200"/>
        <w:jc w:val="left"/>
        <w:rPr>
          <w:color w:val="auto"/>
          <w:highlight w:val="none"/>
        </w:rPr>
      </w:pPr>
      <w:r>
        <w:rPr>
          <w:rFonts w:hint="eastAsia"/>
          <w:color w:val="auto"/>
          <w:highlight w:val="none"/>
        </w:rPr>
        <w:t>（2）载明要求支付的金额；</w:t>
      </w:r>
    </w:p>
    <w:p w14:paraId="023CF206">
      <w:pPr>
        <w:snapToGrid w:val="0"/>
        <w:spacing w:before="50" w:after="120" w:afterLines="50" w:line="276" w:lineRule="auto"/>
        <w:ind w:firstLine="420" w:firstLineChars="200"/>
        <w:jc w:val="left"/>
        <w:rPr>
          <w:color w:val="auto"/>
          <w:highlight w:val="none"/>
        </w:rPr>
      </w:pPr>
      <w:r>
        <w:rPr>
          <w:rFonts w:hint="eastAsia"/>
          <w:color w:val="auto"/>
          <w:highlight w:val="none"/>
        </w:rPr>
        <w:t>（3）载明申请人违反采购文件规定的义务内容和具体条款；</w:t>
      </w:r>
    </w:p>
    <w:p w14:paraId="3BADDD3A">
      <w:pPr>
        <w:snapToGrid w:val="0"/>
        <w:spacing w:before="50" w:after="120" w:afterLines="50" w:line="276" w:lineRule="auto"/>
        <w:ind w:firstLine="420" w:firstLineChars="200"/>
        <w:jc w:val="left"/>
        <w:rPr>
          <w:color w:val="auto"/>
          <w:highlight w:val="none"/>
        </w:rPr>
      </w:pPr>
      <w:r>
        <w:rPr>
          <w:rFonts w:hint="eastAsia"/>
          <w:color w:val="auto"/>
          <w:highlight w:val="none"/>
        </w:rPr>
        <w:t>（4）声明不存在采购文件规定或我国法律规定免除申请人或我方支付责任的情形；</w:t>
      </w:r>
    </w:p>
    <w:p w14:paraId="4338B838">
      <w:pPr>
        <w:snapToGrid w:val="0"/>
        <w:spacing w:before="50" w:after="120" w:afterLines="50" w:line="276" w:lineRule="auto"/>
        <w:ind w:firstLine="420" w:firstLineChars="200"/>
        <w:jc w:val="left"/>
        <w:rPr>
          <w:color w:val="auto"/>
          <w:highlight w:val="none"/>
        </w:rPr>
      </w:pPr>
      <w:r>
        <w:rPr>
          <w:rFonts w:hint="eastAsia"/>
          <w:color w:val="auto"/>
          <w:highlight w:val="none"/>
        </w:rPr>
        <w:t>（5）书面付款通知应在本保函有效期内到达的地址是：</w:t>
      </w:r>
      <w:r>
        <w:rPr>
          <w:rFonts w:hint="eastAsia"/>
          <w:color w:val="auto"/>
          <w:highlight w:val="none"/>
          <w:u w:val="single"/>
        </w:rPr>
        <w:t xml:space="preserve">                                     </w:t>
      </w:r>
      <w:r>
        <w:rPr>
          <w:rFonts w:hint="eastAsia"/>
          <w:color w:val="auto"/>
          <w:highlight w:val="none"/>
        </w:rPr>
        <w:t>。</w:t>
      </w:r>
    </w:p>
    <w:p w14:paraId="296CCA45">
      <w:pPr>
        <w:snapToGrid w:val="0"/>
        <w:spacing w:before="50" w:after="120" w:afterLines="50" w:line="276" w:lineRule="auto"/>
        <w:jc w:val="left"/>
        <w:rPr>
          <w:color w:val="auto"/>
          <w:highlight w:val="none"/>
        </w:rPr>
      </w:pPr>
      <w:r>
        <w:rPr>
          <w:rFonts w:hint="eastAsia"/>
          <w:color w:val="auto"/>
          <w:highlight w:val="none"/>
        </w:rPr>
        <w:t xml:space="preserve">        受益人发出的书面付款通知应由其为鉴明受益人法定代表人（负责人）或授权代理人签字并加盖公章。</w:t>
      </w:r>
    </w:p>
    <w:p w14:paraId="7DCEAB1F">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五、本保函项下的权利不得转让，不得设定担保。贵方未经我方书面同意转让本保函或其项下任何权利，对我方不发生法律效力。 </w:t>
      </w:r>
    </w:p>
    <w:p w14:paraId="6B962A38">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六、本保函项下的基础交易不成立、不生效、无效、被撤销、被解除，不影响本保函的独立有效。 </w:t>
      </w:r>
    </w:p>
    <w:p w14:paraId="6EDA3889">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1283A037">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八、本保函适用的法律为中华人民共和国法律，争议裁判管辖地为中华人民共和国。 </w:t>
      </w:r>
    </w:p>
    <w:p w14:paraId="4FA439D1">
      <w:pPr>
        <w:snapToGrid w:val="0"/>
        <w:spacing w:before="50" w:after="120" w:afterLines="50" w:line="276" w:lineRule="auto"/>
        <w:ind w:firstLine="420" w:firstLineChars="200"/>
        <w:jc w:val="left"/>
        <w:rPr>
          <w:color w:val="auto"/>
          <w:highlight w:val="none"/>
        </w:rPr>
      </w:pPr>
      <w:r>
        <w:rPr>
          <w:rFonts w:hint="eastAsia"/>
          <w:color w:val="auto"/>
          <w:highlight w:val="none"/>
        </w:rPr>
        <w:t xml:space="preserve">九、本保函自我方法定代表人或授权代表签字并加盖公章之日起生效。 </w:t>
      </w:r>
    </w:p>
    <w:p w14:paraId="2C46C0D3">
      <w:pPr>
        <w:snapToGrid w:val="0"/>
        <w:spacing w:before="50" w:after="120" w:afterLines="50" w:line="276" w:lineRule="auto"/>
        <w:jc w:val="left"/>
        <w:rPr>
          <w:color w:val="auto"/>
          <w:highlight w:val="none"/>
        </w:rPr>
      </w:pPr>
    </w:p>
    <w:p w14:paraId="17AEC4EB">
      <w:pPr>
        <w:snapToGrid w:val="0"/>
        <w:spacing w:before="50" w:after="120" w:afterLines="50" w:line="276" w:lineRule="auto"/>
        <w:jc w:val="left"/>
        <w:rPr>
          <w:color w:val="auto"/>
          <w:highlight w:val="none"/>
        </w:rPr>
      </w:pPr>
      <w:r>
        <w:rPr>
          <w:rFonts w:hint="eastAsia"/>
          <w:color w:val="auto"/>
          <w:highlight w:val="none"/>
        </w:rPr>
        <w:t xml:space="preserve">开 立 人：                                                  （公章） </w:t>
      </w:r>
    </w:p>
    <w:p w14:paraId="6F5F3A53">
      <w:pPr>
        <w:snapToGrid w:val="0"/>
        <w:spacing w:before="50" w:after="120" w:afterLines="50" w:line="276" w:lineRule="auto"/>
        <w:jc w:val="left"/>
        <w:rPr>
          <w:color w:val="auto"/>
          <w:highlight w:val="none"/>
        </w:rPr>
      </w:pPr>
      <w:r>
        <w:rPr>
          <w:rFonts w:hint="eastAsia"/>
          <w:color w:val="auto"/>
          <w:highlight w:val="none"/>
        </w:rPr>
        <w:t xml:space="preserve">法定代表人（或授权代表） ：               （签字） </w:t>
      </w:r>
    </w:p>
    <w:p w14:paraId="6A8E0BDF">
      <w:pPr>
        <w:snapToGrid w:val="0"/>
        <w:spacing w:before="50" w:after="120" w:afterLines="50" w:line="276" w:lineRule="auto"/>
        <w:jc w:val="left"/>
        <w:rPr>
          <w:color w:val="auto"/>
          <w:highlight w:val="none"/>
        </w:rPr>
      </w:pPr>
      <w:r>
        <w:rPr>
          <w:rFonts w:hint="eastAsia"/>
          <w:color w:val="auto"/>
          <w:highlight w:val="none"/>
        </w:rPr>
        <w:t xml:space="preserve">地    址：                                       </w:t>
      </w:r>
    </w:p>
    <w:p w14:paraId="5BFF304A">
      <w:pPr>
        <w:snapToGrid w:val="0"/>
        <w:spacing w:before="50" w:after="120" w:afterLines="50" w:line="276" w:lineRule="auto"/>
        <w:jc w:val="left"/>
        <w:rPr>
          <w:color w:val="auto"/>
          <w:highlight w:val="none"/>
        </w:rPr>
      </w:pPr>
      <w:r>
        <w:rPr>
          <w:rFonts w:hint="eastAsia"/>
          <w:color w:val="auto"/>
          <w:highlight w:val="none"/>
        </w:rPr>
        <w:t xml:space="preserve">邮政编码：                 </w:t>
      </w:r>
    </w:p>
    <w:p w14:paraId="1120EEF8">
      <w:pPr>
        <w:snapToGrid w:val="0"/>
        <w:spacing w:before="50" w:after="120" w:afterLines="50" w:line="276" w:lineRule="auto"/>
        <w:jc w:val="left"/>
        <w:rPr>
          <w:color w:val="auto"/>
          <w:highlight w:val="none"/>
        </w:rPr>
      </w:pPr>
      <w:r>
        <w:rPr>
          <w:rFonts w:hint="eastAsia"/>
          <w:color w:val="auto"/>
          <w:highlight w:val="none"/>
        </w:rPr>
        <w:t xml:space="preserve">电    话：                 </w:t>
      </w:r>
    </w:p>
    <w:p w14:paraId="46A334A5">
      <w:pPr>
        <w:snapToGrid w:val="0"/>
        <w:spacing w:before="50" w:after="120" w:afterLines="50" w:line="276" w:lineRule="auto"/>
        <w:jc w:val="left"/>
        <w:rPr>
          <w:color w:val="auto"/>
          <w:highlight w:val="none"/>
        </w:rPr>
      </w:pPr>
      <w:r>
        <w:rPr>
          <w:rFonts w:hint="eastAsia"/>
          <w:color w:val="auto"/>
          <w:highlight w:val="none"/>
        </w:rPr>
        <w:t xml:space="preserve">传    真：                 </w:t>
      </w:r>
    </w:p>
    <w:p w14:paraId="3E1C7438">
      <w:pPr>
        <w:snapToGrid w:val="0"/>
        <w:spacing w:before="50" w:after="120" w:afterLines="50" w:line="276" w:lineRule="auto"/>
        <w:jc w:val="left"/>
        <w:rPr>
          <w:color w:val="auto"/>
          <w:highlight w:val="none"/>
        </w:rPr>
      </w:pPr>
      <w:r>
        <w:rPr>
          <w:rFonts w:hint="eastAsia"/>
          <w:color w:val="auto"/>
          <w:highlight w:val="none"/>
        </w:rPr>
        <w:t>开立时间：      年       月        日</w:t>
      </w:r>
    </w:p>
    <w:p w14:paraId="6396981A">
      <w:pPr>
        <w:snapToGrid w:val="0"/>
        <w:spacing w:before="50" w:after="120" w:afterLines="50" w:line="440" w:lineRule="exact"/>
        <w:jc w:val="left"/>
        <w:rPr>
          <w:color w:val="auto"/>
          <w:highlight w:val="none"/>
        </w:rPr>
      </w:pPr>
      <w:r>
        <w:rPr>
          <w:color w:val="auto"/>
          <w:highlight w:val="none"/>
        </w:rPr>
        <w:br w:type="page"/>
      </w:r>
      <w:r>
        <w:rPr>
          <w:rFonts w:hint="eastAsia"/>
          <w:color w:val="auto"/>
          <w:szCs w:val="21"/>
          <w:highlight w:val="none"/>
        </w:rPr>
        <w:t>9</w:t>
      </w:r>
      <w:r>
        <w:rPr>
          <w:color w:val="auto"/>
          <w:szCs w:val="21"/>
          <w:highlight w:val="none"/>
        </w:rPr>
        <w:t>．供应商认为应当要提交的资格证明材料。</w:t>
      </w:r>
    </w:p>
    <w:p w14:paraId="4C38954E">
      <w:pPr>
        <w:spacing w:line="276" w:lineRule="auto"/>
        <w:rPr>
          <w:color w:val="auto"/>
          <w:szCs w:val="21"/>
          <w:highlight w:val="none"/>
        </w:rPr>
      </w:pPr>
    </w:p>
    <w:p w14:paraId="4D1481B0">
      <w:pPr>
        <w:pStyle w:val="7"/>
        <w:overflowPunct w:val="0"/>
        <w:ind w:firstLine="0"/>
        <w:rPr>
          <w:rFonts w:hint="eastAsia"/>
          <w:color w:val="auto"/>
          <w:highlight w:val="none"/>
        </w:rPr>
      </w:pPr>
    </w:p>
    <w:p w14:paraId="496894C1">
      <w:pPr>
        <w:snapToGrid w:val="0"/>
        <w:spacing w:before="50" w:after="120" w:afterLines="50" w:line="400" w:lineRule="exact"/>
        <w:jc w:val="left"/>
        <w:rPr>
          <w:bCs/>
          <w:color w:val="auto"/>
          <w:sz w:val="24"/>
          <w:highlight w:val="none"/>
        </w:rPr>
      </w:pPr>
    </w:p>
    <w:p w14:paraId="404F6809">
      <w:pPr>
        <w:snapToGrid w:val="0"/>
        <w:spacing w:before="120" w:beforeLines="50" w:after="50" w:afterLines="0" w:line="440" w:lineRule="exact"/>
        <w:jc w:val="left"/>
        <w:outlineLvl w:val="1"/>
        <w:rPr>
          <w:rFonts w:hint="default" w:ascii="Times New Roman" w:hAnsi="Times New Roman" w:eastAsia="宋体" w:cs="Times New Roman"/>
          <w:b/>
          <w:color w:val="auto"/>
          <w:sz w:val="24"/>
          <w:szCs w:val="24"/>
          <w:highlight w:val="none"/>
        </w:rPr>
      </w:pPr>
      <w:r>
        <w:rPr>
          <w:color w:val="auto"/>
          <w:highlight w:val="none"/>
        </w:rPr>
        <w:br w:type="page"/>
      </w:r>
      <w:r>
        <w:rPr>
          <w:rFonts w:hint="eastAsia"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w:t>
      </w:r>
      <w:r>
        <w:rPr>
          <w:rFonts w:hint="eastAsia" w:ascii="宋体" w:hAnsi="宋体" w:eastAsia="宋体" w:cs="Times New Roman"/>
          <w:b w:val="0"/>
          <w:bCs w:val="0"/>
          <w:color w:val="auto"/>
          <w:sz w:val="24"/>
          <w:szCs w:val="24"/>
          <w:highlight w:val="none"/>
        </w:rPr>
        <w:t xml:space="preserve">响应文件封面参考格式（商务技术文件）： </w:t>
      </w:r>
    </w:p>
    <w:p w14:paraId="6C19594C">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2D750638">
      <w:pPr>
        <w:snapToGrid w:val="0"/>
        <w:spacing w:before="120" w:beforeLines="50" w:after="50" w:afterLines="0" w:line="360" w:lineRule="exact"/>
        <w:jc w:val="right"/>
        <w:rPr>
          <w:rFonts w:hint="default" w:ascii="Times New Roman" w:hAnsi="Times New Roman" w:eastAsia="宋体" w:cs="Times New Roman"/>
          <w:color w:val="auto"/>
          <w:sz w:val="24"/>
          <w:szCs w:val="24"/>
          <w:highlight w:val="none"/>
        </w:rPr>
      </w:pPr>
    </w:p>
    <w:p w14:paraId="6539B6A9">
      <w:pPr>
        <w:snapToGrid w:val="0"/>
        <w:spacing w:before="120" w:beforeLines="50" w:after="50" w:afterLines="0" w:line="360" w:lineRule="exact"/>
        <w:jc w:val="center"/>
        <w:rPr>
          <w:rFonts w:hint="default" w:ascii="Times New Roman" w:hAnsi="Times New Roman" w:eastAsia="宋体" w:cs="Times New Roman"/>
          <w:color w:val="auto"/>
          <w:sz w:val="24"/>
          <w:szCs w:val="24"/>
          <w:highlight w:val="none"/>
        </w:rPr>
      </w:pPr>
      <w:r>
        <w:rPr>
          <w:rFonts w:hint="eastAsia" w:ascii="宋体" w:hAnsi="宋体" w:eastAsia="宋体" w:cs="Times New Roman"/>
          <w:b/>
          <w:color w:val="auto"/>
          <w:sz w:val="44"/>
          <w:szCs w:val="24"/>
          <w:highlight w:val="none"/>
        </w:rPr>
        <w:t>电子响应文件</w:t>
      </w:r>
    </w:p>
    <w:p w14:paraId="707E0447">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p>
    <w:p w14:paraId="2DEF2148">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p>
    <w:p w14:paraId="790C4334">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r>
        <w:rPr>
          <w:rFonts w:hint="eastAsia" w:ascii="Times New Roman" w:hAnsi="Times New Roman" w:eastAsia="宋体" w:cs="Times New Roman"/>
          <w:b/>
          <w:color w:val="auto"/>
          <w:sz w:val="44"/>
          <w:szCs w:val="24"/>
          <w:highlight w:val="none"/>
          <w:lang w:val="en-US" w:eastAsia="zh-CN"/>
        </w:rPr>
        <w:t>商</w:t>
      </w:r>
      <w:r>
        <w:rPr>
          <w:rFonts w:hint="eastAsia" w:ascii="Times New Roman" w:hAnsi="Times New Roman" w:eastAsia="宋体" w:cs="Times New Roman"/>
          <w:b/>
          <w:color w:val="auto"/>
          <w:sz w:val="44"/>
          <w:szCs w:val="24"/>
          <w:highlight w:val="none"/>
        </w:rPr>
        <w:t>务技术文件</w:t>
      </w:r>
    </w:p>
    <w:p w14:paraId="210F5242">
      <w:pPr>
        <w:snapToGrid w:val="0"/>
        <w:spacing w:before="120" w:beforeLines="50" w:after="50" w:afterLines="0" w:line="360" w:lineRule="exact"/>
        <w:jc w:val="center"/>
        <w:rPr>
          <w:rFonts w:hint="default" w:ascii="Times New Roman" w:hAnsi="Times New Roman" w:eastAsia="宋体" w:cs="Times New Roman"/>
          <w:b/>
          <w:color w:val="auto"/>
          <w:sz w:val="44"/>
          <w:szCs w:val="24"/>
          <w:highlight w:val="none"/>
        </w:rPr>
      </w:pPr>
    </w:p>
    <w:p w14:paraId="18AF68D4">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557DE32F">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项目名称： </w:t>
      </w:r>
    </w:p>
    <w:p w14:paraId="5270FC94">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项目编号：</w:t>
      </w:r>
    </w:p>
    <w:p w14:paraId="3020C928">
      <w:pPr>
        <w:snapToGrid w:val="0"/>
        <w:spacing w:before="120" w:beforeLines="50" w:after="50" w:afterLines="0" w:line="44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分标号：（若无留空或写</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w:t>
      </w:r>
    </w:p>
    <w:p w14:paraId="76E9640C">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供应商名称：</w:t>
      </w:r>
    </w:p>
    <w:p w14:paraId="4BA5F4B8">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供应商地址：</w:t>
      </w:r>
    </w:p>
    <w:p w14:paraId="4DE938E5">
      <w:pPr>
        <w:pStyle w:val="7"/>
        <w:snapToGrid w:val="0"/>
        <w:spacing w:before="50" w:beforeLines="0" w:after="50" w:afterLines="0" w:line="360" w:lineRule="exact"/>
        <w:ind w:firstLine="960" w:firstLineChars="400"/>
        <w:rPr>
          <w:rFonts w:hint="default" w:ascii="Times New Roman" w:hAnsi="Times New Roman" w:eastAsia="宋体" w:cs="Times New Roman"/>
          <w:color w:val="auto"/>
          <w:sz w:val="24"/>
          <w:szCs w:val="24"/>
          <w:highlight w:val="none"/>
        </w:rPr>
      </w:pPr>
    </w:p>
    <w:p w14:paraId="4516899D">
      <w:pPr>
        <w:snapToGrid w:val="0"/>
        <w:spacing w:before="120" w:beforeLines="50" w:after="50" w:afterLines="0" w:line="360" w:lineRule="exact"/>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 xml:space="preserve">                        </w:t>
      </w:r>
      <w:r>
        <w:rPr>
          <w:rFonts w:hint="eastAsia" w:ascii="Times New Roman" w:hAnsi="Times New Roman" w:eastAsia="宋体" w:cs="Times New Roman"/>
          <w:color w:val="auto"/>
          <w:sz w:val="24"/>
          <w:szCs w:val="24"/>
          <w:highlight w:val="none"/>
        </w:rPr>
        <w:t>年  月  日</w:t>
      </w:r>
    </w:p>
    <w:p w14:paraId="15A57F1D">
      <w:pPr>
        <w:snapToGrid w:val="0"/>
        <w:spacing w:before="120" w:beforeLines="50" w:after="50" w:line="440" w:lineRule="exact"/>
        <w:jc w:val="center"/>
        <w:outlineLvl w:val="1"/>
        <w:rPr>
          <w:bCs/>
          <w:color w:val="auto"/>
          <w:sz w:val="24"/>
          <w:highlight w:val="none"/>
        </w:rPr>
        <w:sectPr>
          <w:headerReference r:id="rId20" w:type="default"/>
          <w:footerReference r:id="rId21" w:type="default"/>
          <w:pgSz w:w="11906" w:h="16838"/>
          <w:pgMar w:top="1418" w:right="1274" w:bottom="1418" w:left="1418" w:header="851" w:footer="992" w:gutter="0"/>
          <w:pgNumType w:fmt="decimal"/>
          <w:cols w:space="720" w:num="1"/>
          <w:docGrid w:linePitch="312" w:charSpace="0"/>
        </w:sectPr>
      </w:pPr>
    </w:p>
    <w:p w14:paraId="061A1718">
      <w:pPr>
        <w:snapToGrid w:val="0"/>
        <w:spacing w:before="120" w:beforeLines="50" w:after="50" w:line="440" w:lineRule="exact"/>
        <w:jc w:val="center"/>
        <w:outlineLvl w:val="9"/>
        <w:rPr>
          <w:rFonts w:ascii="Times New Roman" w:hAnsi="Times New Roman" w:eastAsia="宋体" w:cs="Times New Roman"/>
          <w:b/>
          <w:bCs/>
          <w:color w:val="auto"/>
          <w:sz w:val="24"/>
          <w:highlight w:val="none"/>
        </w:rPr>
      </w:pPr>
    </w:p>
    <w:p w14:paraId="7F690D62">
      <w:pPr>
        <w:snapToGrid w:val="0"/>
        <w:spacing w:before="120" w:beforeLines="50" w:after="50" w:line="440" w:lineRule="exact"/>
        <w:jc w:val="center"/>
        <w:rPr>
          <w:rFonts w:ascii="Times New Roman" w:hAnsi="Times New Roman" w:eastAsia="宋体" w:cs="Times New Roman"/>
          <w:color w:val="auto"/>
          <w:sz w:val="24"/>
          <w:highlight w:val="none"/>
        </w:rPr>
      </w:pPr>
    </w:p>
    <w:p w14:paraId="2B3CF09C">
      <w:pPr>
        <w:snapToGrid w:val="0"/>
        <w:spacing w:before="50" w:after="50" w:line="440" w:lineRule="exact"/>
        <w:ind w:firstLine="138" w:firstLineChars="49"/>
        <w:jc w:val="center"/>
        <w:rPr>
          <w:rFonts w:ascii="Times New Roman" w:hAnsi="Times New Roman" w:eastAsia="宋体" w:cs="Times New Roman"/>
          <w:b/>
          <w:color w:val="auto"/>
          <w:sz w:val="28"/>
          <w:szCs w:val="28"/>
          <w:highlight w:val="none"/>
        </w:rPr>
      </w:pPr>
      <w:r>
        <w:rPr>
          <w:rFonts w:ascii="Times New Roman" w:hAnsi="Times New Roman" w:eastAsia="宋体" w:cs="Times New Roman"/>
          <w:b/>
          <w:color w:val="auto"/>
          <w:sz w:val="28"/>
          <w:szCs w:val="28"/>
          <w:highlight w:val="none"/>
        </w:rPr>
        <w:t>目录</w:t>
      </w:r>
    </w:p>
    <w:p w14:paraId="02E17DCD">
      <w:pPr>
        <w:jc w:val="center"/>
        <w:rPr>
          <w:rFonts w:ascii="Times New Roman" w:hAnsi="Times New Roman" w:eastAsia="宋体" w:cs="Times New Roman"/>
          <w:b/>
          <w:color w:val="auto"/>
          <w:sz w:val="24"/>
          <w:highlight w:val="none"/>
        </w:rPr>
      </w:pPr>
      <w:r>
        <w:rPr>
          <w:rFonts w:ascii="Times New Roman" w:hAnsi="Times New Roman" w:eastAsia="宋体" w:cs="Times New Roman"/>
          <w:b/>
          <w:color w:val="auto"/>
          <w:sz w:val="24"/>
          <w:highlight w:val="none"/>
        </w:rPr>
        <w:t>（需有页码）</w:t>
      </w:r>
    </w:p>
    <w:p w14:paraId="2D0C1011">
      <w:pPr>
        <w:snapToGrid w:val="0"/>
        <w:spacing w:before="120" w:beforeLines="50" w:after="50" w:line="440" w:lineRule="exact"/>
        <w:jc w:val="center"/>
        <w:outlineLvl w:val="9"/>
        <w:rPr>
          <w:bCs/>
          <w:color w:val="auto"/>
          <w:sz w:val="24"/>
          <w:highlight w:val="none"/>
        </w:rPr>
        <w:sectPr>
          <w:headerReference r:id="rId22" w:type="default"/>
          <w:pgSz w:w="11906" w:h="16838"/>
          <w:pgMar w:top="1304" w:right="1418" w:bottom="1304" w:left="1418" w:header="851" w:footer="992" w:gutter="0"/>
          <w:pgNumType w:fmt="decimal"/>
          <w:cols w:space="720" w:num="1"/>
          <w:docGrid w:linePitch="312" w:charSpace="0"/>
        </w:sectPr>
      </w:pPr>
    </w:p>
    <w:p w14:paraId="7DBDC5DD">
      <w:pPr>
        <w:snapToGrid w:val="0"/>
        <w:spacing w:before="120" w:beforeLines="50" w:after="50" w:line="440" w:lineRule="exact"/>
        <w:jc w:val="center"/>
        <w:outlineLvl w:val="9"/>
        <w:rPr>
          <w:bCs/>
          <w:color w:val="auto"/>
          <w:sz w:val="24"/>
          <w:highlight w:val="none"/>
        </w:rPr>
      </w:pPr>
      <w:r>
        <w:rPr>
          <w:bCs/>
          <w:color w:val="auto"/>
          <w:sz w:val="24"/>
          <w:highlight w:val="none"/>
        </w:rPr>
        <w:t>第二部分 商务</w:t>
      </w:r>
      <w:r>
        <w:rPr>
          <w:rFonts w:hint="eastAsia"/>
          <w:bCs/>
          <w:color w:val="auto"/>
          <w:sz w:val="24"/>
          <w:highlight w:val="none"/>
        </w:rPr>
        <w:t>技术</w:t>
      </w:r>
      <w:r>
        <w:rPr>
          <w:bCs/>
          <w:color w:val="auto"/>
          <w:sz w:val="24"/>
          <w:highlight w:val="none"/>
        </w:rPr>
        <w:t>文件</w:t>
      </w:r>
    </w:p>
    <w:p w14:paraId="3BC085FA">
      <w:pPr>
        <w:snapToGrid w:val="0"/>
        <w:spacing w:before="120" w:beforeLines="50" w:after="50" w:line="360" w:lineRule="exact"/>
        <w:rPr>
          <w:b/>
          <w:color w:val="auto"/>
          <w:szCs w:val="21"/>
          <w:highlight w:val="none"/>
        </w:rPr>
      </w:pPr>
      <w:bookmarkStart w:id="90" w:name="_Hlk19199735"/>
      <w:r>
        <w:rPr>
          <w:rFonts w:hint="eastAsia"/>
          <w:b/>
          <w:color w:val="auto"/>
          <w:szCs w:val="21"/>
          <w:highlight w:val="none"/>
        </w:rPr>
        <w:t>1</w:t>
      </w:r>
      <w:r>
        <w:rPr>
          <w:b/>
          <w:color w:val="auto"/>
          <w:szCs w:val="21"/>
          <w:highlight w:val="none"/>
        </w:rPr>
        <w:t>．</w:t>
      </w:r>
      <w:r>
        <w:rPr>
          <w:color w:val="auto"/>
          <w:szCs w:val="21"/>
          <w:highlight w:val="none"/>
        </w:rPr>
        <w:t>法定代表人身份证明</w:t>
      </w:r>
      <w:r>
        <w:rPr>
          <w:rFonts w:hint="eastAsia"/>
          <w:b/>
          <w:color w:val="auto"/>
          <w:szCs w:val="21"/>
          <w:highlight w:val="none"/>
        </w:rPr>
        <w:t>（无授权</w:t>
      </w:r>
      <w:r>
        <w:rPr>
          <w:b/>
          <w:color w:val="auto"/>
          <w:szCs w:val="21"/>
          <w:highlight w:val="none"/>
        </w:rPr>
        <w:t>代表</w:t>
      </w:r>
      <w:r>
        <w:rPr>
          <w:rFonts w:hint="eastAsia"/>
          <w:b/>
          <w:color w:val="auto"/>
          <w:szCs w:val="21"/>
          <w:highlight w:val="none"/>
        </w:rPr>
        <w:t>时提供）</w:t>
      </w:r>
      <w:r>
        <w:rPr>
          <w:b/>
          <w:color w:val="auto"/>
          <w:szCs w:val="21"/>
          <w:highlight w:val="none"/>
        </w:rPr>
        <w:t>：</w:t>
      </w:r>
    </w:p>
    <w:bookmarkEnd w:id="90"/>
    <w:p w14:paraId="5CB92896">
      <w:pPr>
        <w:jc w:val="center"/>
        <w:rPr>
          <w:color w:val="auto"/>
          <w:highlight w:val="none"/>
        </w:rPr>
      </w:pPr>
      <w:bookmarkStart w:id="91" w:name="_Toc462223472"/>
      <w:bookmarkStart w:id="92" w:name="_Toc462320613"/>
      <w:bookmarkStart w:id="93" w:name="_Toc455309222"/>
    </w:p>
    <w:bookmarkEnd w:id="91"/>
    <w:bookmarkEnd w:id="92"/>
    <w:bookmarkEnd w:id="93"/>
    <w:p w14:paraId="1A0ECC0E">
      <w:pPr>
        <w:snapToGrid w:val="0"/>
        <w:spacing w:before="120" w:beforeLines="50" w:after="50" w:line="440" w:lineRule="exact"/>
        <w:jc w:val="center"/>
        <w:rPr>
          <w:b/>
          <w:color w:val="auto"/>
          <w:szCs w:val="21"/>
          <w:highlight w:val="none"/>
        </w:rPr>
      </w:pPr>
      <w:r>
        <w:rPr>
          <w:b/>
          <w:color w:val="auto"/>
          <w:szCs w:val="21"/>
          <w:highlight w:val="none"/>
        </w:rPr>
        <w:t>法定代表人身份证明</w:t>
      </w:r>
    </w:p>
    <w:p w14:paraId="795AB26B">
      <w:pPr>
        <w:spacing w:line="360" w:lineRule="auto"/>
        <w:rPr>
          <w:color w:val="auto"/>
          <w:highlight w:val="none"/>
        </w:rPr>
      </w:pPr>
    </w:p>
    <w:p w14:paraId="2E2F76CC">
      <w:pPr>
        <w:spacing w:line="360" w:lineRule="auto"/>
        <w:rPr>
          <w:color w:val="auto"/>
          <w:highlight w:val="none"/>
        </w:rPr>
      </w:pPr>
    </w:p>
    <w:p w14:paraId="1B5B7312">
      <w:pPr>
        <w:spacing w:line="540" w:lineRule="exact"/>
        <w:rPr>
          <w:color w:val="auto"/>
          <w:szCs w:val="21"/>
          <w:highlight w:val="none"/>
        </w:rPr>
      </w:pPr>
      <w:r>
        <w:rPr>
          <w:color w:val="auto"/>
          <w:szCs w:val="21"/>
          <w:highlight w:val="none"/>
        </w:rPr>
        <w:t>供应商名称：</w:t>
      </w:r>
      <w:r>
        <w:rPr>
          <w:color w:val="auto"/>
          <w:szCs w:val="21"/>
          <w:highlight w:val="none"/>
          <w:u w:val="single"/>
        </w:rPr>
        <w:t xml:space="preserve">                                         </w:t>
      </w:r>
    </w:p>
    <w:p w14:paraId="262A5DD1">
      <w:pPr>
        <w:spacing w:line="540" w:lineRule="exact"/>
        <w:rPr>
          <w:color w:val="auto"/>
          <w:szCs w:val="21"/>
          <w:highlight w:val="none"/>
        </w:rPr>
      </w:pPr>
      <w:r>
        <w:rPr>
          <w:color w:val="auto"/>
          <w:szCs w:val="21"/>
          <w:highlight w:val="none"/>
        </w:rPr>
        <w:t>单位性质：</w:t>
      </w:r>
      <w:r>
        <w:rPr>
          <w:color w:val="auto"/>
          <w:szCs w:val="21"/>
          <w:highlight w:val="none"/>
          <w:u w:val="single"/>
        </w:rPr>
        <w:t xml:space="preserve">                                           </w:t>
      </w:r>
    </w:p>
    <w:p w14:paraId="3471FA1D">
      <w:pPr>
        <w:spacing w:line="540" w:lineRule="exact"/>
        <w:rPr>
          <w:color w:val="auto"/>
          <w:szCs w:val="21"/>
          <w:highlight w:val="none"/>
        </w:rPr>
      </w:pPr>
      <w:r>
        <w:rPr>
          <w:color w:val="auto"/>
          <w:szCs w:val="21"/>
          <w:highlight w:val="none"/>
        </w:rPr>
        <w:t>地址：</w:t>
      </w:r>
      <w:r>
        <w:rPr>
          <w:color w:val="auto"/>
          <w:szCs w:val="21"/>
          <w:highlight w:val="none"/>
          <w:u w:val="single"/>
        </w:rPr>
        <w:t xml:space="preserve">                                               </w:t>
      </w:r>
    </w:p>
    <w:p w14:paraId="7922D437">
      <w:pPr>
        <w:spacing w:line="540" w:lineRule="exact"/>
        <w:rPr>
          <w:color w:val="auto"/>
          <w:szCs w:val="21"/>
          <w:highlight w:val="none"/>
          <w:u w:val="single"/>
        </w:rPr>
      </w:pPr>
      <w:r>
        <w:rPr>
          <w:color w:val="auto"/>
          <w:szCs w:val="21"/>
          <w:highlight w:val="none"/>
        </w:rPr>
        <w:t>成立时间：</w:t>
      </w:r>
      <w:r>
        <w:rPr>
          <w:color w:val="auto"/>
          <w:szCs w:val="21"/>
          <w:highlight w:val="none"/>
          <w:u w:val="single"/>
        </w:rPr>
        <w:t xml:space="preserve">          年        月        日</w:t>
      </w:r>
    </w:p>
    <w:p w14:paraId="1FD809D8">
      <w:pPr>
        <w:spacing w:line="540" w:lineRule="exact"/>
        <w:rPr>
          <w:color w:val="auto"/>
          <w:szCs w:val="21"/>
          <w:highlight w:val="none"/>
        </w:rPr>
      </w:pPr>
      <w:r>
        <w:rPr>
          <w:color w:val="auto"/>
          <w:szCs w:val="21"/>
          <w:highlight w:val="none"/>
        </w:rPr>
        <w:t>经营期限：</w:t>
      </w:r>
      <w:r>
        <w:rPr>
          <w:color w:val="auto"/>
          <w:szCs w:val="21"/>
          <w:highlight w:val="none"/>
          <w:u w:val="single"/>
        </w:rPr>
        <w:t xml:space="preserve">                                           </w:t>
      </w:r>
    </w:p>
    <w:p w14:paraId="6B438F63">
      <w:pPr>
        <w:spacing w:line="540" w:lineRule="exact"/>
        <w:rPr>
          <w:color w:val="auto"/>
          <w:szCs w:val="21"/>
          <w:highlight w:val="none"/>
        </w:rPr>
      </w:pPr>
      <w:r>
        <w:rPr>
          <w:color w:val="auto"/>
          <w:szCs w:val="21"/>
          <w:highlight w:val="none"/>
        </w:rPr>
        <w:t>姓名：</w:t>
      </w:r>
      <w:r>
        <w:rPr>
          <w:color w:val="auto"/>
          <w:szCs w:val="21"/>
          <w:highlight w:val="none"/>
          <w:u w:val="single"/>
        </w:rPr>
        <w:t xml:space="preserve">                   </w:t>
      </w:r>
      <w:r>
        <w:rPr>
          <w:color w:val="auto"/>
          <w:szCs w:val="21"/>
          <w:highlight w:val="none"/>
        </w:rPr>
        <w:t>；性别：</w:t>
      </w:r>
      <w:r>
        <w:rPr>
          <w:color w:val="auto"/>
          <w:szCs w:val="21"/>
          <w:highlight w:val="none"/>
          <w:u w:val="single"/>
        </w:rPr>
        <w:t xml:space="preserve">              </w:t>
      </w:r>
      <w:r>
        <w:rPr>
          <w:color w:val="auto"/>
          <w:szCs w:val="21"/>
          <w:highlight w:val="none"/>
        </w:rPr>
        <w:t xml:space="preserve">        </w:t>
      </w:r>
    </w:p>
    <w:p w14:paraId="1053F1A0">
      <w:pPr>
        <w:spacing w:line="540" w:lineRule="exact"/>
        <w:rPr>
          <w:color w:val="auto"/>
          <w:szCs w:val="21"/>
          <w:highlight w:val="none"/>
        </w:rPr>
      </w:pPr>
      <w:r>
        <w:rPr>
          <w:color w:val="auto"/>
          <w:szCs w:val="21"/>
          <w:highlight w:val="none"/>
        </w:rPr>
        <w:t>年龄：</w:t>
      </w:r>
      <w:r>
        <w:rPr>
          <w:color w:val="auto"/>
          <w:szCs w:val="21"/>
          <w:highlight w:val="none"/>
          <w:u w:val="single"/>
        </w:rPr>
        <w:t xml:space="preserve">         </w:t>
      </w:r>
      <w:r>
        <w:rPr>
          <w:color w:val="auto"/>
          <w:szCs w:val="21"/>
          <w:highlight w:val="none"/>
        </w:rPr>
        <w:t>；职务：</w:t>
      </w:r>
      <w:r>
        <w:rPr>
          <w:color w:val="auto"/>
          <w:szCs w:val="21"/>
          <w:highlight w:val="none"/>
          <w:u w:val="single"/>
        </w:rPr>
        <w:t xml:space="preserve">              </w:t>
      </w:r>
      <w:r>
        <w:rPr>
          <w:color w:val="auto"/>
          <w:szCs w:val="21"/>
          <w:highlight w:val="none"/>
        </w:rPr>
        <w:t>；身份证：</w:t>
      </w:r>
      <w:r>
        <w:rPr>
          <w:color w:val="auto"/>
          <w:szCs w:val="21"/>
          <w:highlight w:val="none"/>
          <w:u w:val="single"/>
        </w:rPr>
        <w:t xml:space="preserve">                                      </w:t>
      </w:r>
    </w:p>
    <w:p w14:paraId="53C52EF0">
      <w:pPr>
        <w:spacing w:line="540" w:lineRule="exact"/>
        <w:rPr>
          <w:color w:val="auto"/>
          <w:szCs w:val="21"/>
          <w:highlight w:val="none"/>
        </w:rPr>
      </w:pPr>
      <w:r>
        <w:rPr>
          <w:color w:val="auto"/>
          <w:szCs w:val="21"/>
          <w:highlight w:val="none"/>
        </w:rPr>
        <w:t>系</w:t>
      </w:r>
      <w:r>
        <w:rPr>
          <w:color w:val="auto"/>
          <w:szCs w:val="21"/>
          <w:highlight w:val="none"/>
          <w:u w:val="single"/>
        </w:rPr>
        <w:t xml:space="preserve">                                      （ 供应商名称）</w:t>
      </w:r>
      <w:r>
        <w:rPr>
          <w:color w:val="auto"/>
          <w:szCs w:val="21"/>
          <w:highlight w:val="none"/>
        </w:rPr>
        <w:t>的法定代表人。</w:t>
      </w:r>
    </w:p>
    <w:p w14:paraId="47A16BB2">
      <w:pPr>
        <w:spacing w:line="540" w:lineRule="exact"/>
        <w:rPr>
          <w:rFonts w:hint="eastAsia"/>
          <w:color w:val="auto"/>
          <w:szCs w:val="21"/>
          <w:highlight w:val="none"/>
        </w:rPr>
      </w:pPr>
    </w:p>
    <w:p w14:paraId="25B0CB35">
      <w:pPr>
        <w:spacing w:line="540" w:lineRule="exact"/>
        <w:ind w:firstLine="420" w:firstLineChars="200"/>
        <w:rPr>
          <w:color w:val="auto"/>
          <w:szCs w:val="21"/>
          <w:highlight w:val="none"/>
        </w:rPr>
      </w:pPr>
      <w:r>
        <w:rPr>
          <w:color w:val="auto"/>
          <w:szCs w:val="21"/>
          <w:highlight w:val="none"/>
        </w:rPr>
        <w:t>特此证明。</w:t>
      </w:r>
    </w:p>
    <w:p w14:paraId="3DA27344">
      <w:pPr>
        <w:spacing w:line="540" w:lineRule="exact"/>
        <w:rPr>
          <w:rFonts w:hint="eastAsia"/>
          <w:color w:val="auto"/>
          <w:szCs w:val="21"/>
          <w:highlight w:val="none"/>
        </w:rPr>
      </w:pPr>
    </w:p>
    <w:p w14:paraId="3D7FAD46">
      <w:pPr>
        <w:spacing w:line="360" w:lineRule="auto"/>
        <w:ind w:firstLine="4830" w:firstLineChars="23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3F0791BF">
      <w:pPr>
        <w:spacing w:line="360" w:lineRule="auto"/>
        <w:rPr>
          <w:color w:val="auto"/>
          <w:szCs w:val="21"/>
          <w:highlight w:val="none"/>
        </w:rPr>
      </w:pPr>
      <w:r>
        <w:rPr>
          <w:color w:val="auto"/>
          <w:szCs w:val="21"/>
          <w:highlight w:val="none"/>
        </w:rPr>
        <w:t xml:space="preserve">                                                   年       月       日 </w:t>
      </w:r>
    </w:p>
    <w:p w14:paraId="5E29D2F0">
      <w:pPr>
        <w:spacing w:line="540" w:lineRule="exact"/>
        <w:rPr>
          <w:rFonts w:hint="eastAsia"/>
          <w:color w:val="auto"/>
          <w:szCs w:val="21"/>
          <w:highlight w:val="none"/>
        </w:rPr>
      </w:pPr>
    </w:p>
    <w:p w14:paraId="3D66AB6C">
      <w:pPr>
        <w:spacing w:line="360" w:lineRule="auto"/>
        <w:rPr>
          <w:color w:val="auto"/>
          <w:szCs w:val="21"/>
          <w:highlight w:val="none"/>
        </w:rPr>
      </w:pPr>
      <w:bookmarkStart w:id="94" w:name="_Hlk19199756"/>
      <w:r>
        <w:rPr>
          <w:color w:val="auto"/>
          <w:szCs w:val="21"/>
          <w:highlight w:val="none"/>
        </w:rPr>
        <w:t>附件：法定代表人身份证复印件</w:t>
      </w:r>
    </w:p>
    <w:p w14:paraId="0074B6F9">
      <w:pPr>
        <w:spacing w:line="360" w:lineRule="auto"/>
        <w:rPr>
          <w:color w:val="auto"/>
          <w:szCs w:val="21"/>
          <w:highlight w:val="none"/>
        </w:rPr>
      </w:pPr>
    </w:p>
    <w:bookmarkEnd w:id="94"/>
    <w:p w14:paraId="74CE5CA3">
      <w:pPr>
        <w:snapToGrid w:val="0"/>
        <w:spacing w:before="120" w:beforeLines="50" w:after="50" w:line="360" w:lineRule="exact"/>
        <w:jc w:val="left"/>
        <w:rPr>
          <w:rFonts w:hint="eastAsia"/>
          <w:color w:val="auto"/>
          <w:highlight w:val="none"/>
        </w:rPr>
      </w:pPr>
      <w:r>
        <w:rPr>
          <w:b/>
          <w:color w:val="auto"/>
          <w:szCs w:val="21"/>
          <w:highlight w:val="none"/>
        </w:rPr>
        <w:br w:type="page"/>
      </w:r>
      <w:bookmarkStart w:id="95" w:name="_Hlk19199766"/>
      <w:r>
        <w:rPr>
          <w:rFonts w:hint="eastAsia"/>
          <w:b/>
          <w:color w:val="auto"/>
          <w:szCs w:val="21"/>
          <w:highlight w:val="none"/>
        </w:rPr>
        <w:t>1</w:t>
      </w:r>
      <w:r>
        <w:rPr>
          <w:b/>
          <w:color w:val="auto"/>
          <w:szCs w:val="21"/>
          <w:highlight w:val="none"/>
        </w:rPr>
        <w:t>．</w:t>
      </w:r>
      <w:r>
        <w:rPr>
          <w:rFonts w:hint="eastAsia"/>
          <w:b/>
          <w:color w:val="auto"/>
          <w:szCs w:val="21"/>
          <w:highlight w:val="none"/>
        </w:rPr>
        <w:t>授权</w:t>
      </w:r>
      <w:r>
        <w:rPr>
          <w:b/>
          <w:color w:val="auto"/>
          <w:szCs w:val="21"/>
          <w:highlight w:val="none"/>
        </w:rPr>
        <w:t>委托书</w:t>
      </w:r>
      <w:r>
        <w:rPr>
          <w:rFonts w:hint="eastAsia"/>
          <w:b/>
          <w:color w:val="auto"/>
          <w:szCs w:val="21"/>
          <w:highlight w:val="none"/>
        </w:rPr>
        <w:t>（有授权</w:t>
      </w:r>
      <w:r>
        <w:rPr>
          <w:b/>
          <w:color w:val="auto"/>
          <w:szCs w:val="21"/>
          <w:highlight w:val="none"/>
        </w:rPr>
        <w:t>代表</w:t>
      </w:r>
      <w:r>
        <w:rPr>
          <w:rFonts w:hint="eastAsia"/>
          <w:b/>
          <w:color w:val="auto"/>
          <w:szCs w:val="21"/>
          <w:highlight w:val="none"/>
        </w:rPr>
        <w:t>时提供）</w:t>
      </w:r>
      <w:r>
        <w:rPr>
          <w:b/>
          <w:color w:val="auto"/>
          <w:szCs w:val="21"/>
          <w:highlight w:val="none"/>
        </w:rPr>
        <w:t>：</w:t>
      </w:r>
    </w:p>
    <w:bookmarkEnd w:id="95"/>
    <w:p w14:paraId="02F03B4F">
      <w:pPr>
        <w:snapToGrid w:val="0"/>
        <w:spacing w:before="120" w:beforeLines="50" w:after="50" w:line="360" w:lineRule="exact"/>
        <w:jc w:val="center"/>
        <w:rPr>
          <w:b/>
          <w:color w:val="auto"/>
          <w:szCs w:val="21"/>
          <w:highlight w:val="none"/>
        </w:rPr>
      </w:pPr>
      <w:r>
        <w:rPr>
          <w:b/>
          <w:color w:val="auto"/>
          <w:szCs w:val="21"/>
          <w:highlight w:val="none"/>
        </w:rPr>
        <w:t>法定代表人授权委托书</w:t>
      </w:r>
    </w:p>
    <w:p w14:paraId="4C8FA754">
      <w:pPr>
        <w:snapToGrid w:val="0"/>
        <w:spacing w:before="120" w:beforeLines="50" w:after="50" w:line="440" w:lineRule="exact"/>
        <w:rPr>
          <w:rFonts w:hint="eastAsia"/>
          <w:b/>
          <w:bCs/>
          <w:color w:val="auto"/>
          <w:szCs w:val="21"/>
          <w:highlight w:val="none"/>
        </w:rPr>
      </w:pPr>
      <w:r>
        <w:rPr>
          <w:bCs/>
          <w:color w:val="auto"/>
          <w:szCs w:val="21"/>
          <w:highlight w:val="none"/>
        </w:rPr>
        <w:t>致：</w:t>
      </w:r>
      <w:r>
        <w:rPr>
          <w:i/>
          <w:iCs/>
          <w:color w:val="auto"/>
          <w:szCs w:val="21"/>
          <w:highlight w:val="none"/>
          <w:u w:val="single"/>
        </w:rPr>
        <w:t>（采购人名称）</w:t>
      </w:r>
    </w:p>
    <w:p w14:paraId="57BC895C">
      <w:pPr>
        <w:snapToGrid w:val="0"/>
        <w:spacing w:before="120" w:beforeLines="50" w:after="50" w:line="440" w:lineRule="exact"/>
        <w:ind w:firstLine="420" w:firstLineChars="200"/>
        <w:rPr>
          <w:color w:val="auto"/>
          <w:szCs w:val="21"/>
          <w:highlight w:val="none"/>
        </w:rPr>
      </w:pPr>
      <w:r>
        <w:rPr>
          <w:color w:val="auto"/>
          <w:szCs w:val="21"/>
          <w:highlight w:val="none"/>
        </w:rPr>
        <w:t>我</w:t>
      </w:r>
      <w:r>
        <w:rPr>
          <w:rFonts w:hint="eastAsia"/>
          <w:color w:val="auto"/>
          <w:szCs w:val="21"/>
          <w:highlight w:val="none"/>
        </w:rPr>
        <w:t xml:space="preserve"> </w:t>
      </w:r>
      <w:r>
        <w:rPr>
          <w:i/>
          <w:iCs/>
          <w:color w:val="auto"/>
          <w:szCs w:val="21"/>
          <w:highlight w:val="none"/>
          <w:u w:val="single"/>
        </w:rPr>
        <w:t>（姓名）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系</w:t>
      </w:r>
      <w:r>
        <w:rPr>
          <w:i/>
          <w:iCs/>
          <w:color w:val="auto"/>
          <w:szCs w:val="21"/>
          <w:highlight w:val="none"/>
          <w:u w:val="single"/>
        </w:rPr>
        <w:t>（供应商名称）</w:t>
      </w:r>
      <w:r>
        <w:rPr>
          <w:color w:val="auto"/>
          <w:szCs w:val="21"/>
          <w:highlight w:val="none"/>
        </w:rPr>
        <w:t>的法定代表人，现授权委托本单位在职职工</w:t>
      </w:r>
      <w:r>
        <w:rPr>
          <w:i/>
          <w:iCs/>
          <w:color w:val="auto"/>
          <w:szCs w:val="21"/>
          <w:highlight w:val="none"/>
          <w:u w:val="single"/>
        </w:rPr>
        <w:t>（姓名）</w:t>
      </w:r>
      <w:r>
        <w:rPr>
          <w:color w:val="auto"/>
          <w:szCs w:val="21"/>
          <w:highlight w:val="none"/>
        </w:rPr>
        <w:t>以我方的名义参加</w:t>
      </w:r>
      <w:r>
        <w:rPr>
          <w:rFonts w:hint="eastAsia"/>
          <w:i/>
          <w:iCs/>
          <w:color w:val="auto"/>
          <w:szCs w:val="21"/>
          <w:highlight w:val="none"/>
          <w:u w:val="single"/>
        </w:rPr>
        <w:t>（项目名称 ）</w:t>
      </w:r>
      <w:r>
        <w:rPr>
          <w:color w:val="auto"/>
          <w:szCs w:val="21"/>
          <w:highlight w:val="none"/>
        </w:rPr>
        <w:t>项目的磋商活动，并代表我方全权办理针对上述项目的磋商、截标、评审、签约等具体事务和签署相关文件。</w:t>
      </w:r>
    </w:p>
    <w:p w14:paraId="5F8237AC">
      <w:pPr>
        <w:snapToGrid w:val="0"/>
        <w:spacing w:before="120" w:beforeLines="50" w:after="50" w:line="440" w:lineRule="exact"/>
        <w:rPr>
          <w:color w:val="auto"/>
          <w:szCs w:val="21"/>
          <w:highlight w:val="none"/>
        </w:rPr>
      </w:pPr>
      <w:r>
        <w:rPr>
          <w:color w:val="auto"/>
          <w:szCs w:val="21"/>
          <w:highlight w:val="none"/>
        </w:rPr>
        <w:t xml:space="preserve">    我方对被授权人的签名事项负全部责任。</w:t>
      </w:r>
    </w:p>
    <w:p w14:paraId="51745CBA">
      <w:pPr>
        <w:snapToGrid w:val="0"/>
        <w:spacing w:before="120" w:beforeLines="50" w:after="50" w:line="440" w:lineRule="exact"/>
        <w:ind w:firstLine="480"/>
        <w:rPr>
          <w:color w:val="auto"/>
          <w:szCs w:val="21"/>
          <w:highlight w:val="none"/>
        </w:rPr>
      </w:pPr>
      <w:r>
        <w:rPr>
          <w:color w:val="auto"/>
          <w:szCs w:val="21"/>
          <w:highlight w:val="none"/>
        </w:rPr>
        <w:t>在撤销授权的书面通知以前，本授权书一直有效。被授权人在授权书有效期内签署的所有文件不因授权的撤销而失效。</w:t>
      </w:r>
    </w:p>
    <w:p w14:paraId="16319412">
      <w:pPr>
        <w:snapToGrid w:val="0"/>
        <w:spacing w:before="120" w:beforeLines="50" w:after="50" w:line="440" w:lineRule="exact"/>
        <w:ind w:firstLine="480"/>
        <w:rPr>
          <w:color w:val="auto"/>
          <w:szCs w:val="21"/>
          <w:highlight w:val="none"/>
        </w:rPr>
      </w:pPr>
      <w:r>
        <w:rPr>
          <w:color w:val="auto"/>
          <w:szCs w:val="21"/>
          <w:highlight w:val="none"/>
        </w:rPr>
        <w:t>被授权人无转委托权，特此委托。</w:t>
      </w:r>
    </w:p>
    <w:p w14:paraId="4126CDD4">
      <w:pPr>
        <w:snapToGrid w:val="0"/>
        <w:spacing w:before="120" w:beforeLines="50" w:after="50" w:line="440" w:lineRule="exact"/>
        <w:rPr>
          <w:color w:val="auto"/>
          <w:szCs w:val="21"/>
          <w:highlight w:val="none"/>
          <w:u w:val="single"/>
        </w:rPr>
      </w:pPr>
      <w:r>
        <w:rPr>
          <w:color w:val="auto"/>
          <w:szCs w:val="21"/>
          <w:highlight w:val="none"/>
        </w:rPr>
        <w:t>被授权人签名或</w:t>
      </w:r>
      <w:r>
        <w:rPr>
          <w:rFonts w:hint="eastAsia"/>
          <w:color w:val="auto"/>
          <w:szCs w:val="21"/>
          <w:highlight w:val="none"/>
        </w:rPr>
        <w:t>签章</w:t>
      </w:r>
      <w:r>
        <w:rPr>
          <w:color w:val="auto"/>
          <w:szCs w:val="21"/>
          <w:highlight w:val="none"/>
        </w:rPr>
        <w:t>：</w:t>
      </w:r>
      <w:r>
        <w:rPr>
          <w:color w:val="auto"/>
          <w:szCs w:val="21"/>
          <w:highlight w:val="none"/>
          <w:u w:val="single"/>
        </w:rPr>
        <w:t xml:space="preserve">          </w:t>
      </w:r>
      <w:r>
        <w:rPr>
          <w:color w:val="auto"/>
          <w:szCs w:val="21"/>
          <w:highlight w:val="none"/>
        </w:rPr>
        <w:t xml:space="preserve">                     法定代表人签名或</w:t>
      </w:r>
      <w:r>
        <w:rPr>
          <w:rFonts w:hint="eastAsia"/>
          <w:color w:val="auto"/>
          <w:szCs w:val="21"/>
          <w:highlight w:val="none"/>
        </w:rPr>
        <w:t>签章</w:t>
      </w:r>
      <w:r>
        <w:rPr>
          <w:color w:val="auto"/>
          <w:szCs w:val="21"/>
          <w:highlight w:val="none"/>
        </w:rPr>
        <w:t>：</w:t>
      </w:r>
      <w:r>
        <w:rPr>
          <w:color w:val="auto"/>
          <w:szCs w:val="21"/>
          <w:highlight w:val="none"/>
          <w:u w:val="single"/>
        </w:rPr>
        <w:t xml:space="preserve">          </w:t>
      </w:r>
    </w:p>
    <w:p w14:paraId="68AE8007">
      <w:pPr>
        <w:snapToGrid w:val="0"/>
        <w:spacing w:before="120" w:beforeLines="50" w:after="50" w:line="440" w:lineRule="exact"/>
        <w:rPr>
          <w:color w:val="auto"/>
          <w:szCs w:val="21"/>
          <w:highlight w:val="none"/>
        </w:rPr>
      </w:pPr>
      <w:r>
        <w:rPr>
          <w:color w:val="auto"/>
          <w:szCs w:val="21"/>
          <w:highlight w:val="none"/>
        </w:rPr>
        <w:t>职务：</w:t>
      </w:r>
      <w:r>
        <w:rPr>
          <w:color w:val="auto"/>
          <w:szCs w:val="21"/>
          <w:highlight w:val="none"/>
          <w:u w:val="single"/>
        </w:rPr>
        <w:t xml:space="preserve">           </w:t>
      </w:r>
      <w:r>
        <w:rPr>
          <w:color w:val="auto"/>
          <w:szCs w:val="21"/>
          <w:highlight w:val="none"/>
        </w:rPr>
        <w:t xml:space="preserve"> </w:t>
      </w:r>
    </w:p>
    <w:p w14:paraId="572DE69F">
      <w:pPr>
        <w:snapToGrid w:val="0"/>
        <w:spacing w:before="120" w:beforeLines="50" w:after="50" w:line="440" w:lineRule="exact"/>
        <w:rPr>
          <w:color w:val="auto"/>
          <w:szCs w:val="21"/>
          <w:highlight w:val="none"/>
        </w:rPr>
      </w:pPr>
      <w:r>
        <w:rPr>
          <w:color w:val="auto"/>
          <w:szCs w:val="21"/>
          <w:highlight w:val="none"/>
        </w:rPr>
        <w:t>被授权人身份证号码：</w:t>
      </w:r>
      <w:r>
        <w:rPr>
          <w:color w:val="auto"/>
          <w:szCs w:val="21"/>
          <w:highlight w:val="none"/>
          <w:u w:val="single"/>
        </w:rPr>
        <w:t xml:space="preserve">                   </w:t>
      </w:r>
      <w:r>
        <w:rPr>
          <w:color w:val="auto"/>
          <w:szCs w:val="21"/>
          <w:highlight w:val="none"/>
        </w:rPr>
        <w:t xml:space="preserve">                                   职务：</w:t>
      </w:r>
      <w:r>
        <w:rPr>
          <w:color w:val="auto"/>
          <w:szCs w:val="21"/>
          <w:highlight w:val="none"/>
          <w:u w:val="single"/>
        </w:rPr>
        <w:t xml:space="preserve">           </w:t>
      </w:r>
    </w:p>
    <w:p w14:paraId="28A3006B">
      <w:pPr>
        <w:snapToGrid w:val="0"/>
        <w:spacing w:before="120" w:beforeLines="50" w:after="50" w:line="440" w:lineRule="exact"/>
        <w:rPr>
          <w:color w:val="auto"/>
          <w:szCs w:val="21"/>
          <w:highlight w:val="none"/>
        </w:rPr>
      </w:pPr>
      <w:r>
        <w:rPr>
          <w:rFonts w:hint="eastAsia"/>
          <w:color w:val="auto"/>
          <w:szCs w:val="21"/>
          <w:highlight w:val="none"/>
        </w:rPr>
        <w:t>被授权人手机号码及邮箱</w:t>
      </w:r>
      <w:r>
        <w:rPr>
          <w:color w:val="auto"/>
          <w:szCs w:val="21"/>
          <w:highlight w:val="none"/>
        </w:rPr>
        <w:t>：</w:t>
      </w:r>
      <w:r>
        <w:rPr>
          <w:color w:val="auto"/>
          <w:szCs w:val="21"/>
          <w:highlight w:val="none"/>
          <w:u w:val="single"/>
        </w:rPr>
        <w:t xml:space="preserve">                   </w:t>
      </w:r>
      <w:r>
        <w:rPr>
          <w:color w:val="auto"/>
          <w:szCs w:val="21"/>
          <w:highlight w:val="none"/>
        </w:rPr>
        <w:t xml:space="preserve">            授权人身份证号码：</w:t>
      </w:r>
      <w:r>
        <w:rPr>
          <w:color w:val="auto"/>
          <w:szCs w:val="21"/>
          <w:highlight w:val="none"/>
          <w:u w:val="single"/>
        </w:rPr>
        <w:t xml:space="preserve">                 </w:t>
      </w:r>
    </w:p>
    <w:p w14:paraId="19050039">
      <w:pPr>
        <w:snapToGrid w:val="0"/>
        <w:spacing w:before="120" w:beforeLines="50" w:after="50" w:line="440" w:lineRule="exact"/>
        <w:rPr>
          <w:rFonts w:hint="eastAsia"/>
          <w:color w:val="auto"/>
          <w:szCs w:val="21"/>
          <w:highlight w:val="none"/>
        </w:rPr>
      </w:pPr>
      <w:r>
        <w:rPr>
          <w:color w:val="auto"/>
          <w:szCs w:val="21"/>
          <w:highlight w:val="none"/>
        </w:rPr>
        <w:t xml:space="preserve">                                </w:t>
      </w:r>
    </w:p>
    <w:p w14:paraId="05203639">
      <w:pPr>
        <w:snapToGrid w:val="0"/>
        <w:spacing w:before="120" w:beforeLines="50" w:after="50" w:line="440" w:lineRule="exact"/>
        <w:ind w:firstLine="5670" w:firstLineChars="2700"/>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2ABB8F46">
      <w:pPr>
        <w:snapToGrid w:val="0"/>
        <w:spacing w:before="120" w:beforeLines="50" w:after="50" w:line="440" w:lineRule="exact"/>
        <w:jc w:val="center"/>
        <w:rPr>
          <w:color w:val="auto"/>
          <w:szCs w:val="21"/>
          <w:highlight w:val="none"/>
        </w:rPr>
      </w:pPr>
      <w:r>
        <w:rPr>
          <w:color w:val="auto"/>
          <w:szCs w:val="21"/>
          <w:highlight w:val="none"/>
        </w:rPr>
        <w:t xml:space="preserve">                                        年    月    日</w:t>
      </w:r>
    </w:p>
    <w:p w14:paraId="27BB5820">
      <w:pPr>
        <w:spacing w:line="360" w:lineRule="auto"/>
        <w:rPr>
          <w:color w:val="auto"/>
          <w:szCs w:val="21"/>
          <w:highlight w:val="none"/>
        </w:rPr>
      </w:pPr>
      <w:r>
        <w:rPr>
          <w:color w:val="auto"/>
          <w:szCs w:val="21"/>
          <w:highlight w:val="none"/>
        </w:rPr>
        <w:t>附件：法定代表人身份证复印件及授权代表身份证复印件</w:t>
      </w:r>
    </w:p>
    <w:p w14:paraId="78AFEAE4">
      <w:pPr>
        <w:jc w:val="center"/>
        <w:rPr>
          <w:bCs/>
          <w:color w:val="auto"/>
          <w:sz w:val="24"/>
          <w:highlight w:val="none"/>
        </w:rPr>
      </w:pPr>
      <w:r>
        <w:rPr>
          <w:color w:val="auto"/>
          <w:highlight w:val="none"/>
        </w:rPr>
        <w:br w:type="page"/>
      </w:r>
      <w:r>
        <w:rPr>
          <w:color w:val="auto"/>
          <w:highlight w:val="none"/>
        </w:rPr>
        <w:t>（本商务文件供应商可自行编写，也可参照下述提纲编写）</w:t>
      </w:r>
    </w:p>
    <w:p w14:paraId="2DA05656">
      <w:pPr>
        <w:snapToGrid w:val="0"/>
        <w:spacing w:before="50" w:after="120" w:afterLines="50"/>
        <w:jc w:val="left"/>
        <w:rPr>
          <w:rFonts w:hint="eastAsia"/>
          <w:color w:val="auto"/>
          <w:szCs w:val="21"/>
          <w:highlight w:val="none"/>
        </w:rPr>
      </w:pPr>
    </w:p>
    <w:p w14:paraId="503C8697">
      <w:pPr>
        <w:rPr>
          <w:color w:val="auto"/>
          <w:szCs w:val="21"/>
          <w:highlight w:val="none"/>
        </w:rPr>
      </w:pPr>
      <w:r>
        <w:rPr>
          <w:rFonts w:hint="eastAsia"/>
          <w:color w:val="auto"/>
          <w:szCs w:val="21"/>
          <w:highlight w:val="none"/>
        </w:rPr>
        <w:t>1</w:t>
      </w:r>
      <w:r>
        <w:rPr>
          <w:color w:val="auto"/>
          <w:szCs w:val="21"/>
          <w:highlight w:val="none"/>
        </w:rPr>
        <w:t>．</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》技术</w:t>
      </w:r>
      <w:r>
        <w:rPr>
          <w:color w:val="auto"/>
          <w:szCs w:val="21"/>
          <w:highlight w:val="none"/>
        </w:rPr>
        <w:t>要求的</w:t>
      </w:r>
      <w:r>
        <w:rPr>
          <w:rFonts w:hint="eastAsia"/>
          <w:color w:val="auto"/>
          <w:szCs w:val="21"/>
          <w:highlight w:val="none"/>
        </w:rPr>
        <w:t>响应表</w:t>
      </w:r>
      <w:r>
        <w:rPr>
          <w:color w:val="auto"/>
          <w:szCs w:val="21"/>
          <w:highlight w:val="none"/>
        </w:rPr>
        <w:t>：</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2D103E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37D8011">
            <w:pPr>
              <w:snapToGrid w:val="0"/>
              <w:spacing w:before="120" w:beforeLines="50"/>
              <w:jc w:val="center"/>
              <w:rPr>
                <w:color w:val="auto"/>
                <w:szCs w:val="21"/>
                <w:highlight w:val="none"/>
              </w:rPr>
            </w:pPr>
            <w:r>
              <w:rPr>
                <w:color w:val="auto"/>
                <w:szCs w:val="21"/>
                <w:highlight w:val="none"/>
              </w:rPr>
              <w:t>序号</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7E37745B">
            <w:pPr>
              <w:snapToGrid w:val="0"/>
              <w:spacing w:before="120" w:beforeLines="50"/>
              <w:jc w:val="center"/>
              <w:rPr>
                <w:color w:val="auto"/>
                <w:szCs w:val="21"/>
                <w:highlight w:val="none"/>
              </w:rPr>
            </w:pPr>
            <w:r>
              <w:rPr>
                <w:rFonts w:hint="eastAsia"/>
                <w:color w:val="auto"/>
                <w:szCs w:val="21"/>
                <w:highlight w:val="none"/>
              </w:rPr>
              <w:t>采购文件</w:t>
            </w:r>
            <w:r>
              <w:rPr>
                <w:color w:val="auto"/>
                <w:szCs w:val="21"/>
                <w:highlight w:val="none"/>
              </w:rPr>
              <w:t>要求（注明章节及条款号）</w:t>
            </w:r>
          </w:p>
        </w:tc>
        <w:tc>
          <w:tcPr>
            <w:tcW w:w="3405" w:type="dxa"/>
            <w:tcBorders>
              <w:top w:val="single" w:color="auto" w:sz="4" w:space="0"/>
              <w:left w:val="single" w:color="auto" w:sz="4" w:space="0"/>
              <w:bottom w:val="single" w:color="auto" w:sz="4" w:space="0"/>
              <w:right w:val="single" w:color="auto" w:sz="4" w:space="0"/>
            </w:tcBorders>
            <w:noWrap w:val="0"/>
            <w:vAlign w:val="center"/>
          </w:tcPr>
          <w:p w14:paraId="2957C9E5">
            <w:pPr>
              <w:snapToGrid w:val="0"/>
              <w:spacing w:before="120" w:beforeLines="50"/>
              <w:jc w:val="center"/>
              <w:rPr>
                <w:color w:val="auto"/>
                <w:szCs w:val="21"/>
                <w:highlight w:val="none"/>
              </w:rPr>
            </w:pPr>
            <w:r>
              <w:rPr>
                <w:rFonts w:hint="eastAsia"/>
                <w:color w:val="auto"/>
                <w:szCs w:val="21"/>
                <w:highlight w:val="none"/>
              </w:rPr>
              <w:t>响应</w:t>
            </w:r>
            <w:r>
              <w:rPr>
                <w:color w:val="auto"/>
                <w:szCs w:val="21"/>
                <w:highlight w:val="none"/>
              </w:rPr>
              <w:t>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47D55066">
            <w:pPr>
              <w:snapToGrid w:val="0"/>
              <w:spacing w:before="120" w:beforeLines="50"/>
              <w:jc w:val="center"/>
              <w:rPr>
                <w:color w:val="auto"/>
                <w:szCs w:val="21"/>
                <w:highlight w:val="none"/>
              </w:rPr>
            </w:pPr>
            <w:r>
              <w:rPr>
                <w:color w:val="auto"/>
                <w:highlight w:val="none"/>
              </w:rPr>
              <w:t>偏离</w:t>
            </w:r>
            <w:r>
              <w:rPr>
                <w:color w:val="auto"/>
                <w:szCs w:val="21"/>
                <w:highlight w:val="none"/>
              </w:rPr>
              <w:t>说明</w:t>
            </w:r>
          </w:p>
        </w:tc>
      </w:tr>
      <w:tr w14:paraId="68458D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713EB245">
            <w:pP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33CAAEA8">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4E4339C4">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6668E50">
            <w:pPr>
              <w:snapToGrid w:val="0"/>
              <w:spacing w:before="120" w:beforeLines="50"/>
              <w:jc w:val="center"/>
              <w:rPr>
                <w:color w:val="auto"/>
                <w:szCs w:val="21"/>
                <w:highlight w:val="none"/>
              </w:rPr>
            </w:pPr>
          </w:p>
        </w:tc>
      </w:tr>
      <w:tr w14:paraId="6D360B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9DD3882">
            <w:pP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060BF484">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26AC7783">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46A23C4F">
            <w:pPr>
              <w:snapToGrid w:val="0"/>
              <w:spacing w:before="120" w:beforeLines="50"/>
              <w:jc w:val="center"/>
              <w:rPr>
                <w:color w:val="auto"/>
                <w:szCs w:val="21"/>
                <w:highlight w:val="none"/>
              </w:rPr>
            </w:pPr>
          </w:p>
        </w:tc>
      </w:tr>
      <w:tr w14:paraId="008D08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D17C258">
            <w:pP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0733CE80">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374A1FA1">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63BCB69B">
            <w:pPr>
              <w:snapToGrid w:val="0"/>
              <w:spacing w:before="120" w:beforeLines="50"/>
              <w:jc w:val="center"/>
              <w:rPr>
                <w:color w:val="auto"/>
                <w:szCs w:val="21"/>
                <w:highlight w:val="none"/>
              </w:rPr>
            </w:pPr>
          </w:p>
        </w:tc>
      </w:tr>
      <w:tr w14:paraId="26090E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F685EBC">
            <w:pP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5B792379">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66EF4E6E">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3C759818">
            <w:pPr>
              <w:snapToGrid w:val="0"/>
              <w:spacing w:before="120" w:beforeLines="50"/>
              <w:jc w:val="center"/>
              <w:rPr>
                <w:color w:val="auto"/>
                <w:szCs w:val="21"/>
                <w:highlight w:val="none"/>
              </w:rPr>
            </w:pPr>
          </w:p>
        </w:tc>
      </w:tr>
    </w:tbl>
    <w:p w14:paraId="156BFC8E">
      <w:pPr>
        <w:rPr>
          <w:color w:val="auto"/>
          <w:szCs w:val="21"/>
          <w:highlight w:val="none"/>
        </w:rPr>
      </w:pPr>
    </w:p>
    <w:p w14:paraId="769CD6FD">
      <w:pPr>
        <w:pStyle w:val="26"/>
        <w:tabs>
          <w:tab w:val="left" w:pos="2127"/>
        </w:tabs>
        <w:spacing w:line="340" w:lineRule="exact"/>
        <w:jc w:val="left"/>
        <w:rPr>
          <w:rFonts w:ascii="Times New Roman" w:hAnsi="Times New Roman" w:cs="Times New Roman"/>
          <w:color w:val="auto"/>
          <w:highlight w:val="none"/>
        </w:rPr>
      </w:pPr>
      <w:r>
        <w:rPr>
          <w:color w:val="auto"/>
          <w:highlight w:val="none"/>
        </w:rPr>
        <w:t>注：（1）</w:t>
      </w:r>
      <w:r>
        <w:rPr>
          <w:rFonts w:ascii="Times New Roman" w:hAnsi="Times New Roman" w:cs="Times New Roman"/>
          <w:color w:val="auto"/>
          <w:highlight w:val="none"/>
        </w:rPr>
        <w:t>本表应对采购文件</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ascii="Times New Roman" w:hAnsi="Times New Roman" w:cs="Times New Roman"/>
          <w:color w:val="auto"/>
          <w:highlight w:val="none"/>
        </w:rPr>
        <w:t>中所列</w:t>
      </w:r>
      <w:r>
        <w:rPr>
          <w:rFonts w:hint="eastAsia" w:ascii="Times New Roman" w:hAnsi="Times New Roman" w:cs="Times New Roman"/>
          <w:color w:val="auto"/>
          <w:highlight w:val="none"/>
        </w:rPr>
        <w:t>技术</w:t>
      </w:r>
      <w:r>
        <w:rPr>
          <w:rFonts w:ascii="Times New Roman" w:hAnsi="Times New Roman" w:cs="Times New Roman"/>
          <w:color w:val="auto"/>
          <w:highlight w:val="none"/>
        </w:rPr>
        <w:t>要求进行响应，并根据响应情况在“偏离说明”栏填写正偏离或负偏离及原因，完全符合的填写</w:t>
      </w:r>
      <w:r>
        <w:rPr>
          <w:rFonts w:hint="eastAsia" w:ascii="Times New Roman" w:hAnsi="Times New Roman" w:cs="Times New Roman"/>
          <w:color w:val="auto"/>
          <w:highlight w:val="none"/>
        </w:rPr>
        <w:t>“</w:t>
      </w:r>
      <w:r>
        <w:rPr>
          <w:rFonts w:ascii="Times New Roman" w:hAnsi="Times New Roman" w:cs="Times New Roman"/>
          <w:color w:val="auto"/>
          <w:highlight w:val="none"/>
        </w:rPr>
        <w:t>无偏离</w:t>
      </w:r>
      <w:r>
        <w:rPr>
          <w:rFonts w:hint="eastAsia" w:ascii="Times New Roman" w:hAnsi="Times New Roman" w:cs="Times New Roman"/>
          <w:color w:val="auto"/>
          <w:highlight w:val="none"/>
        </w:rPr>
        <w:t>”</w:t>
      </w:r>
      <w:r>
        <w:rPr>
          <w:rFonts w:ascii="Times New Roman" w:hAnsi="Times New Roman" w:cs="Times New Roman"/>
          <w:color w:val="auto"/>
          <w:highlight w:val="none"/>
        </w:rPr>
        <w:t>。</w:t>
      </w:r>
    </w:p>
    <w:p w14:paraId="180D274D">
      <w:pPr>
        <w:rPr>
          <w:color w:val="auto"/>
          <w:highlight w:val="none"/>
        </w:rPr>
      </w:pPr>
      <w:r>
        <w:rPr>
          <w:rFonts w:hint="eastAsia"/>
          <w:color w:val="auto"/>
          <w:highlight w:val="none"/>
        </w:rPr>
        <w:t>（2）</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《采购需求》中的总体要求无需响应。</w:t>
      </w:r>
    </w:p>
    <w:p w14:paraId="707C2A61">
      <w:pPr>
        <w:rPr>
          <w:color w:val="auto"/>
          <w:highlight w:val="none"/>
        </w:rPr>
      </w:pPr>
      <w:r>
        <w:rPr>
          <w:rFonts w:hint="eastAsia"/>
          <w:color w:val="auto"/>
          <w:highlight w:val="none"/>
        </w:rPr>
        <w:t>（</w:t>
      </w:r>
      <w:r>
        <w:rPr>
          <w:color w:val="auto"/>
          <w:highlight w:val="none"/>
        </w:rPr>
        <w:t>3</w:t>
      </w:r>
      <w:r>
        <w:rPr>
          <w:rFonts w:hint="eastAsia"/>
          <w:color w:val="auto"/>
          <w:highlight w:val="none"/>
        </w:rPr>
        <w:t>）偏离认定说明详见评审方法及标准。</w:t>
      </w:r>
    </w:p>
    <w:p w14:paraId="64BF5188">
      <w:pPr>
        <w:rPr>
          <w:color w:val="auto"/>
          <w:highlight w:val="none"/>
        </w:rPr>
      </w:pPr>
      <w:r>
        <w:rPr>
          <w:color w:val="auto"/>
          <w:highlight w:val="none"/>
        </w:rPr>
        <w:t>（4）本表可扩展。</w:t>
      </w:r>
    </w:p>
    <w:p w14:paraId="37D637D3">
      <w:pPr>
        <w:rPr>
          <w:color w:val="auto"/>
          <w:szCs w:val="21"/>
          <w:highlight w:val="none"/>
        </w:rPr>
      </w:pPr>
    </w:p>
    <w:p w14:paraId="1D8A2120">
      <w:pPr>
        <w:rPr>
          <w:color w:val="auto"/>
          <w:spacing w:val="20"/>
          <w:szCs w:val="21"/>
          <w:highlight w:val="none"/>
          <w:u w:val="single"/>
        </w:rPr>
      </w:pPr>
    </w:p>
    <w:p w14:paraId="3D57FD88">
      <w:pP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79E9C8BD">
      <w:pPr>
        <w:rPr>
          <w:color w:val="auto"/>
          <w:spacing w:val="20"/>
          <w:szCs w:val="21"/>
          <w:highlight w:val="none"/>
          <w:u w:val="single"/>
        </w:rPr>
      </w:pPr>
    </w:p>
    <w:p w14:paraId="426C7A68">
      <w:pPr>
        <w:rPr>
          <w:color w:val="auto"/>
          <w:spacing w:val="20"/>
          <w:szCs w:val="21"/>
          <w:highlight w:val="none"/>
          <w:u w:val="single"/>
        </w:rPr>
      </w:pPr>
    </w:p>
    <w:p w14:paraId="782315DD">
      <w:pPr>
        <w:rPr>
          <w:rFonts w:hint="eastAsia"/>
          <w:color w:val="auto"/>
          <w:szCs w:val="21"/>
          <w:highlight w:val="none"/>
        </w:rPr>
      </w:pPr>
    </w:p>
    <w:p w14:paraId="65F345CC">
      <w:pPr>
        <w:snapToGrid w:val="0"/>
        <w:spacing w:before="50" w:after="120" w:afterLines="50"/>
        <w:jc w:val="left"/>
        <w:rPr>
          <w:rFonts w:hint="eastAsia"/>
          <w:color w:val="auto"/>
          <w:szCs w:val="21"/>
          <w:highlight w:val="none"/>
        </w:rPr>
      </w:pPr>
    </w:p>
    <w:p w14:paraId="53462471">
      <w:pPr>
        <w:snapToGrid w:val="0"/>
        <w:spacing w:before="50" w:after="120" w:afterLines="50"/>
        <w:jc w:val="left"/>
        <w:rPr>
          <w:rFonts w:hint="eastAsia"/>
          <w:color w:val="auto"/>
          <w:szCs w:val="21"/>
          <w:highlight w:val="none"/>
        </w:rPr>
      </w:pPr>
      <w:r>
        <w:rPr>
          <w:color w:val="auto"/>
          <w:szCs w:val="21"/>
          <w:highlight w:val="none"/>
        </w:rPr>
        <w:t>2．对本项目总体要求的理解。包括：服务目标、服务质量等的认识）</w:t>
      </w:r>
    </w:p>
    <w:p w14:paraId="19E2988B">
      <w:pPr>
        <w:snapToGrid w:val="0"/>
        <w:spacing w:before="50" w:after="120" w:afterLines="50"/>
        <w:jc w:val="left"/>
        <w:rPr>
          <w:rFonts w:hint="eastAsia"/>
          <w:color w:val="auto"/>
          <w:szCs w:val="21"/>
          <w:highlight w:val="none"/>
        </w:rPr>
      </w:pPr>
    </w:p>
    <w:p w14:paraId="5AE9CB5E">
      <w:pPr>
        <w:snapToGrid w:val="0"/>
        <w:spacing w:before="50" w:after="120" w:afterLines="50"/>
        <w:jc w:val="left"/>
        <w:rPr>
          <w:rFonts w:hint="eastAsia"/>
          <w:color w:val="auto"/>
          <w:szCs w:val="21"/>
          <w:highlight w:val="none"/>
        </w:rPr>
      </w:pPr>
      <w:r>
        <w:rPr>
          <w:color w:val="auto"/>
          <w:szCs w:val="21"/>
          <w:highlight w:val="none"/>
        </w:rPr>
        <w:t>3．服务方案及进度措施（针对本项目的服务要求提供详细的服务方案，含服务响应时间、日常服务工作的内容、增值服务、进度计划等）</w:t>
      </w:r>
    </w:p>
    <w:p w14:paraId="7183B898">
      <w:pPr>
        <w:snapToGrid w:val="0"/>
        <w:spacing w:before="50" w:after="120" w:afterLines="50"/>
        <w:jc w:val="left"/>
        <w:rPr>
          <w:color w:val="auto"/>
          <w:szCs w:val="21"/>
          <w:highlight w:val="none"/>
        </w:rPr>
      </w:pPr>
    </w:p>
    <w:p w14:paraId="692011DB">
      <w:pPr>
        <w:snapToGrid w:val="0"/>
        <w:spacing w:before="50" w:after="120" w:afterLines="50"/>
        <w:jc w:val="left"/>
        <w:rPr>
          <w:color w:val="auto"/>
          <w:szCs w:val="21"/>
          <w:highlight w:val="none"/>
        </w:rPr>
      </w:pPr>
    </w:p>
    <w:p w14:paraId="2059F50A">
      <w:pPr>
        <w:snapToGrid w:val="0"/>
        <w:spacing w:before="50" w:after="120" w:afterLines="50"/>
        <w:jc w:val="left"/>
        <w:rPr>
          <w:color w:val="auto"/>
          <w:szCs w:val="21"/>
          <w:highlight w:val="none"/>
        </w:rPr>
      </w:pPr>
      <w:r>
        <w:rPr>
          <w:color w:val="auto"/>
          <w:szCs w:val="21"/>
          <w:highlight w:val="none"/>
        </w:rPr>
        <w:t>4．项目拟投入服务团队人员结构表（包括但不限于学历、证书情况、职称、年龄等）</w:t>
      </w:r>
    </w:p>
    <w:p w14:paraId="11AA49E4">
      <w:pPr>
        <w:snapToGrid w:val="0"/>
        <w:spacing w:before="120" w:beforeLines="50" w:after="50" w:line="400" w:lineRule="exact"/>
        <w:jc w:val="center"/>
        <w:rPr>
          <w:color w:val="auto"/>
          <w:szCs w:val="21"/>
          <w:highlight w:val="none"/>
        </w:rPr>
      </w:pPr>
      <w:r>
        <w:rPr>
          <w:color w:val="auto"/>
          <w:szCs w:val="21"/>
          <w:highlight w:val="none"/>
        </w:rPr>
        <w:t>项目拟投入服务团队人员（含项目负责人）一览表</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0A1AF1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center"/>
          </w:tcPr>
          <w:p w14:paraId="46272D5F">
            <w:pPr>
              <w:snapToGrid w:val="0"/>
              <w:spacing w:before="120" w:beforeLines="50" w:after="50"/>
              <w:jc w:val="center"/>
              <w:rPr>
                <w:color w:val="auto"/>
                <w:szCs w:val="21"/>
                <w:highlight w:val="none"/>
              </w:rPr>
            </w:pPr>
            <w:r>
              <w:rPr>
                <w:color w:val="auto"/>
                <w:szCs w:val="21"/>
                <w:highlight w:val="none"/>
              </w:rPr>
              <w:t>姓名</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3E18794">
            <w:pPr>
              <w:snapToGrid w:val="0"/>
              <w:spacing w:before="120" w:beforeLines="50" w:after="50"/>
              <w:jc w:val="center"/>
              <w:rPr>
                <w:color w:val="auto"/>
                <w:szCs w:val="21"/>
                <w:highlight w:val="none"/>
              </w:rPr>
            </w:pPr>
            <w:r>
              <w:rPr>
                <w:color w:val="auto"/>
                <w:szCs w:val="21"/>
                <w:highlight w:val="none"/>
              </w:rPr>
              <w:t>职务</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D6479D2">
            <w:pPr>
              <w:snapToGrid w:val="0"/>
              <w:spacing w:before="120" w:beforeLines="50" w:after="50"/>
              <w:jc w:val="center"/>
              <w:rPr>
                <w:color w:val="auto"/>
                <w:szCs w:val="21"/>
                <w:highlight w:val="none"/>
              </w:rPr>
            </w:pPr>
            <w:r>
              <w:rPr>
                <w:color w:val="auto"/>
                <w:szCs w:val="21"/>
                <w:highlight w:val="none"/>
              </w:rPr>
              <w:t>分配岗位</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4BF455A8">
            <w:pPr>
              <w:snapToGrid w:val="0"/>
              <w:spacing w:before="120" w:beforeLines="50" w:after="50"/>
              <w:jc w:val="center"/>
              <w:rPr>
                <w:color w:val="auto"/>
                <w:szCs w:val="21"/>
                <w:highlight w:val="none"/>
              </w:rPr>
            </w:pPr>
            <w:r>
              <w:rPr>
                <w:color w:val="auto"/>
                <w:szCs w:val="21"/>
                <w:highlight w:val="none"/>
              </w:rPr>
              <w:t>持证情况</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029515A">
            <w:pPr>
              <w:snapToGrid w:val="0"/>
              <w:spacing w:before="120" w:beforeLines="50" w:after="50"/>
              <w:jc w:val="center"/>
              <w:rPr>
                <w:color w:val="auto"/>
                <w:szCs w:val="21"/>
                <w:highlight w:val="none"/>
              </w:rPr>
            </w:pPr>
            <w:r>
              <w:rPr>
                <w:color w:val="auto"/>
                <w:szCs w:val="21"/>
                <w:highlight w:val="none"/>
              </w:rPr>
              <w:t>年龄</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2CCBF703">
            <w:pPr>
              <w:snapToGrid w:val="0"/>
              <w:spacing w:before="120" w:beforeLines="50" w:after="50"/>
              <w:jc w:val="center"/>
              <w:rPr>
                <w:bCs/>
                <w:color w:val="auto"/>
                <w:szCs w:val="21"/>
                <w:highlight w:val="none"/>
              </w:rPr>
            </w:pPr>
            <w:r>
              <w:rPr>
                <w:bCs/>
                <w:color w:val="auto"/>
                <w:szCs w:val="21"/>
                <w:highlight w:val="none"/>
              </w:rPr>
              <w:t>劳动合同编号</w:t>
            </w:r>
          </w:p>
        </w:tc>
      </w:tr>
      <w:tr w14:paraId="01F65B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7CC9B29E">
            <w:pPr>
              <w:snapToGrid w:val="0"/>
              <w:spacing w:before="120" w:beforeLines="50" w:after="50"/>
              <w:rPr>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E927586">
            <w:pPr>
              <w:snapToGrid w:val="0"/>
              <w:spacing w:before="120" w:beforeLines="50" w:after="50"/>
              <w:rPr>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06FE94E8">
            <w:pPr>
              <w:snapToGrid w:val="0"/>
              <w:spacing w:before="120" w:beforeLines="50" w:after="50"/>
              <w:rPr>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57B22E4A">
            <w:pPr>
              <w:snapToGrid w:val="0"/>
              <w:spacing w:before="120" w:beforeLines="50" w:after="50"/>
              <w:rPr>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12BF1DF">
            <w:pPr>
              <w:snapToGrid w:val="0"/>
              <w:spacing w:before="120" w:beforeLines="50" w:after="50"/>
              <w:rPr>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3F88A960">
            <w:pPr>
              <w:snapToGrid w:val="0"/>
              <w:spacing w:before="120" w:beforeLines="50" w:after="50"/>
              <w:rPr>
                <w:color w:val="auto"/>
                <w:szCs w:val="21"/>
                <w:highlight w:val="none"/>
              </w:rPr>
            </w:pPr>
          </w:p>
        </w:tc>
      </w:tr>
      <w:tr w14:paraId="102400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6CB550FE">
            <w:pPr>
              <w:snapToGrid w:val="0"/>
              <w:spacing w:before="120" w:beforeLines="50" w:after="50"/>
              <w:rPr>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DC69FF3">
            <w:pPr>
              <w:snapToGrid w:val="0"/>
              <w:spacing w:before="120" w:beforeLines="50" w:after="50"/>
              <w:rPr>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38770453">
            <w:pPr>
              <w:snapToGrid w:val="0"/>
              <w:spacing w:before="120" w:beforeLines="50" w:after="50"/>
              <w:rPr>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0D6CAB54">
            <w:pPr>
              <w:snapToGrid w:val="0"/>
              <w:spacing w:before="120" w:beforeLines="50" w:after="50"/>
              <w:rPr>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50A2680">
            <w:pPr>
              <w:snapToGrid w:val="0"/>
              <w:spacing w:before="120" w:beforeLines="50" w:after="50"/>
              <w:rPr>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1A578834">
            <w:pPr>
              <w:snapToGrid w:val="0"/>
              <w:spacing w:before="120" w:beforeLines="50" w:after="50"/>
              <w:rPr>
                <w:color w:val="auto"/>
                <w:szCs w:val="21"/>
                <w:highlight w:val="none"/>
              </w:rPr>
            </w:pPr>
          </w:p>
        </w:tc>
      </w:tr>
    </w:tbl>
    <w:p w14:paraId="6E56F615">
      <w:pPr>
        <w:snapToGrid w:val="0"/>
        <w:spacing w:before="50" w:after="120" w:afterLines="50" w:line="440" w:lineRule="exact"/>
        <w:jc w:val="left"/>
        <w:rPr>
          <w:color w:val="auto"/>
          <w:szCs w:val="21"/>
          <w:highlight w:val="none"/>
        </w:rPr>
      </w:pPr>
      <w:r>
        <w:rPr>
          <w:color w:val="auto"/>
          <w:szCs w:val="21"/>
          <w:highlight w:val="none"/>
        </w:rPr>
        <w:t>注：在填写时，如本表格不适合供应商的实际情况，可根据本表格式自行划表填写。</w:t>
      </w:r>
    </w:p>
    <w:p w14:paraId="6093573F">
      <w:pPr>
        <w:snapToGrid w:val="0"/>
        <w:spacing w:before="50" w:after="50" w:line="440" w:lineRule="exact"/>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3F589538">
      <w:pPr>
        <w:rPr>
          <w:rFonts w:hint="eastAsia"/>
          <w:color w:val="auto"/>
          <w:spacing w:val="20"/>
          <w:szCs w:val="21"/>
          <w:highlight w:val="none"/>
          <w:u w:val="single"/>
        </w:rPr>
      </w:pPr>
    </w:p>
    <w:p w14:paraId="0D845BF0">
      <w:pPr>
        <w:rPr>
          <w:rFonts w:hint="eastAsia"/>
          <w:color w:val="auto"/>
          <w:szCs w:val="21"/>
          <w:highlight w:val="none"/>
        </w:rPr>
      </w:pPr>
    </w:p>
    <w:p w14:paraId="7018BCF3">
      <w:pPr>
        <w:rPr>
          <w:rFonts w:hint="eastAsia"/>
          <w:color w:val="auto"/>
          <w:szCs w:val="21"/>
          <w:highlight w:val="none"/>
        </w:rPr>
      </w:pPr>
    </w:p>
    <w:p w14:paraId="73427821">
      <w:pPr>
        <w:snapToGrid w:val="0"/>
        <w:spacing w:before="50" w:after="120" w:afterLines="50"/>
        <w:jc w:val="left"/>
        <w:rPr>
          <w:color w:val="auto"/>
          <w:szCs w:val="21"/>
          <w:highlight w:val="none"/>
        </w:rPr>
      </w:pPr>
      <w:r>
        <w:rPr>
          <w:color w:val="auto"/>
          <w:szCs w:val="21"/>
          <w:highlight w:val="none"/>
        </w:rPr>
        <w:t>5．企业管理体系认证或资质证明材料。</w:t>
      </w:r>
    </w:p>
    <w:p w14:paraId="465EFA83">
      <w:pPr>
        <w:snapToGrid w:val="0"/>
        <w:spacing w:before="50" w:after="120" w:afterLines="50"/>
        <w:jc w:val="left"/>
        <w:rPr>
          <w:rFonts w:hint="eastAsia"/>
          <w:color w:val="auto"/>
          <w:szCs w:val="21"/>
          <w:highlight w:val="none"/>
        </w:rPr>
      </w:pPr>
    </w:p>
    <w:p w14:paraId="251BA30B">
      <w:pPr>
        <w:snapToGrid w:val="0"/>
        <w:spacing w:before="50" w:after="120" w:afterLines="50"/>
        <w:jc w:val="left"/>
        <w:rPr>
          <w:color w:val="auto"/>
          <w:szCs w:val="21"/>
          <w:highlight w:val="none"/>
        </w:rPr>
      </w:pPr>
      <w:r>
        <w:rPr>
          <w:color w:val="auto"/>
          <w:szCs w:val="21"/>
          <w:highlight w:val="none"/>
        </w:rPr>
        <w:t>6．技术服务、技术培训、售后服务的内容和措施。</w:t>
      </w:r>
    </w:p>
    <w:p w14:paraId="4E7D1F20">
      <w:pPr>
        <w:snapToGrid w:val="0"/>
        <w:spacing w:before="50" w:after="120" w:afterLines="50"/>
        <w:jc w:val="left"/>
        <w:rPr>
          <w:rFonts w:hint="eastAsia"/>
          <w:color w:val="auto"/>
          <w:szCs w:val="21"/>
          <w:highlight w:val="none"/>
        </w:rPr>
      </w:pPr>
    </w:p>
    <w:p w14:paraId="641B7810">
      <w:pPr>
        <w:snapToGrid w:val="0"/>
        <w:spacing w:before="50" w:after="120" w:afterLines="50"/>
        <w:jc w:val="left"/>
        <w:rPr>
          <w:rFonts w:hint="eastAsia"/>
          <w:color w:val="auto"/>
          <w:szCs w:val="21"/>
          <w:highlight w:val="none"/>
        </w:rPr>
      </w:pPr>
    </w:p>
    <w:p w14:paraId="5FF4611A">
      <w:pPr>
        <w:rPr>
          <w:color w:val="auto"/>
          <w:szCs w:val="21"/>
          <w:highlight w:val="none"/>
        </w:rPr>
      </w:pPr>
      <w:r>
        <w:rPr>
          <w:rFonts w:hint="eastAsia"/>
          <w:color w:val="auto"/>
          <w:szCs w:val="21"/>
          <w:highlight w:val="none"/>
          <w:lang w:val="en-US" w:eastAsia="zh-CN"/>
        </w:rPr>
        <w:t>7</w:t>
      </w:r>
      <w:r>
        <w:rPr>
          <w:color w:val="auto"/>
          <w:szCs w:val="21"/>
          <w:highlight w:val="none"/>
        </w:rPr>
        <w:t>．供应商需要说明的其他文件和说明。</w:t>
      </w:r>
    </w:p>
    <w:p w14:paraId="686832E0">
      <w:pPr>
        <w:snapToGrid w:val="0"/>
        <w:spacing w:before="50" w:after="120" w:afterLines="50" w:line="440" w:lineRule="exact"/>
        <w:rPr>
          <w:color w:val="auto"/>
          <w:highlight w:val="none"/>
        </w:rPr>
      </w:pPr>
      <w:r>
        <w:rPr>
          <w:color w:val="auto"/>
          <w:highlight w:val="none"/>
        </w:rPr>
        <w:br w:type="page"/>
      </w:r>
      <w:r>
        <w:rPr>
          <w:rFonts w:hint="eastAsia"/>
          <w:color w:val="auto"/>
          <w:szCs w:val="21"/>
          <w:highlight w:val="none"/>
          <w:lang w:val="en-US" w:eastAsia="zh-CN"/>
        </w:rPr>
        <w:t>8</w:t>
      </w:r>
      <w:r>
        <w:rPr>
          <w:color w:val="auto"/>
          <w:szCs w:val="21"/>
          <w:highlight w:val="none"/>
        </w:rPr>
        <w:t>．</w:t>
      </w:r>
      <w:r>
        <w:rPr>
          <w:rFonts w:hint="eastAsia"/>
          <w:color w:val="auto"/>
          <w:szCs w:val="21"/>
          <w:highlight w:val="none"/>
        </w:rPr>
        <w:t>对</w:t>
      </w:r>
      <w:r>
        <w:rPr>
          <w:color w:val="auto"/>
          <w:szCs w:val="21"/>
          <w:highlight w:val="none"/>
        </w:rPr>
        <w:t>本项目第</w:t>
      </w:r>
      <w:r>
        <w:rPr>
          <w:rFonts w:hint="eastAsia"/>
          <w:color w:val="auto"/>
          <w:szCs w:val="21"/>
          <w:highlight w:val="none"/>
        </w:rPr>
        <w:t>二</w:t>
      </w:r>
      <w:r>
        <w:rPr>
          <w:color w:val="auto"/>
          <w:szCs w:val="21"/>
          <w:highlight w:val="none"/>
        </w:rPr>
        <w:t>章</w:t>
      </w:r>
      <w:r>
        <w:rPr>
          <w:rFonts w:hint="eastAsia"/>
          <w:color w:val="auto"/>
          <w:szCs w:val="21"/>
          <w:highlight w:val="none"/>
        </w:rPr>
        <w:t>《</w:t>
      </w:r>
      <w:r>
        <w:rPr>
          <w:color w:val="auto"/>
          <w:szCs w:val="21"/>
          <w:highlight w:val="none"/>
        </w:rPr>
        <w:t>采购需求</w:t>
      </w:r>
      <w:r>
        <w:rPr>
          <w:rFonts w:hint="eastAsia"/>
          <w:color w:val="auto"/>
          <w:szCs w:val="21"/>
          <w:highlight w:val="none"/>
        </w:rPr>
        <w:t>》</w:t>
      </w:r>
      <w:r>
        <w:rPr>
          <w:color w:val="auto"/>
          <w:szCs w:val="21"/>
          <w:highlight w:val="none"/>
        </w:rPr>
        <w:t>商务要求的</w:t>
      </w:r>
      <w:r>
        <w:rPr>
          <w:rFonts w:hint="eastAsia"/>
          <w:color w:val="auto"/>
          <w:szCs w:val="21"/>
          <w:highlight w:val="none"/>
        </w:rPr>
        <w:t>响应表</w:t>
      </w:r>
      <w:r>
        <w:rPr>
          <w:color w:val="auto"/>
          <w:szCs w:val="21"/>
          <w:highlight w:val="none"/>
        </w:rPr>
        <w:t>：</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24FE85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5D594E5A">
            <w:pPr>
              <w:snapToGrid w:val="0"/>
              <w:spacing w:before="120" w:beforeLines="50"/>
              <w:jc w:val="center"/>
              <w:rPr>
                <w:color w:val="auto"/>
                <w:szCs w:val="21"/>
                <w:highlight w:val="none"/>
              </w:rPr>
            </w:pPr>
            <w:r>
              <w:rPr>
                <w:color w:val="auto"/>
                <w:szCs w:val="21"/>
                <w:highlight w:val="none"/>
              </w:rPr>
              <w:t>序号</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33905A3F">
            <w:pPr>
              <w:snapToGrid w:val="0"/>
              <w:spacing w:before="120" w:beforeLines="50"/>
              <w:jc w:val="center"/>
              <w:rPr>
                <w:color w:val="auto"/>
                <w:szCs w:val="21"/>
                <w:highlight w:val="none"/>
              </w:rPr>
            </w:pPr>
            <w:r>
              <w:rPr>
                <w:color w:val="auto"/>
                <w:szCs w:val="21"/>
                <w:highlight w:val="none"/>
              </w:rPr>
              <w:t>采购文件要求（注明章节及条款号）</w:t>
            </w:r>
          </w:p>
        </w:tc>
        <w:tc>
          <w:tcPr>
            <w:tcW w:w="3405" w:type="dxa"/>
            <w:tcBorders>
              <w:top w:val="single" w:color="auto" w:sz="4" w:space="0"/>
              <w:left w:val="single" w:color="auto" w:sz="4" w:space="0"/>
              <w:bottom w:val="single" w:color="auto" w:sz="4" w:space="0"/>
              <w:right w:val="single" w:color="auto" w:sz="4" w:space="0"/>
            </w:tcBorders>
            <w:noWrap w:val="0"/>
            <w:vAlign w:val="center"/>
          </w:tcPr>
          <w:p w14:paraId="599F49C4">
            <w:pPr>
              <w:snapToGrid w:val="0"/>
              <w:spacing w:before="120" w:beforeLines="50"/>
              <w:jc w:val="center"/>
              <w:rPr>
                <w:color w:val="auto"/>
                <w:szCs w:val="21"/>
                <w:highlight w:val="none"/>
              </w:rPr>
            </w:pPr>
            <w:r>
              <w:rPr>
                <w:color w:val="auto"/>
                <w:szCs w:val="21"/>
                <w:highlight w:val="none"/>
              </w:rPr>
              <w:t>响应文件响应内容（</w:t>
            </w:r>
            <w:r>
              <w:rPr>
                <w:rFonts w:hint="eastAsia"/>
                <w:color w:val="auto"/>
                <w:szCs w:val="21"/>
                <w:highlight w:val="none"/>
              </w:rPr>
              <w:t>可</w:t>
            </w:r>
            <w:r>
              <w:rPr>
                <w:color w:val="auto"/>
                <w:szCs w:val="21"/>
                <w:highlight w:val="none"/>
              </w:rPr>
              <w:t>注明所在页码）</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15589EF8">
            <w:pPr>
              <w:snapToGrid w:val="0"/>
              <w:spacing w:before="120" w:beforeLines="50"/>
              <w:jc w:val="center"/>
              <w:rPr>
                <w:color w:val="auto"/>
                <w:szCs w:val="21"/>
                <w:highlight w:val="none"/>
              </w:rPr>
            </w:pPr>
            <w:r>
              <w:rPr>
                <w:color w:val="auto"/>
                <w:highlight w:val="none"/>
              </w:rPr>
              <w:t>偏离</w:t>
            </w:r>
            <w:r>
              <w:rPr>
                <w:color w:val="auto"/>
                <w:szCs w:val="21"/>
                <w:highlight w:val="none"/>
              </w:rPr>
              <w:t>说明</w:t>
            </w:r>
          </w:p>
        </w:tc>
      </w:tr>
      <w:tr w14:paraId="22411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EABCD96">
            <w:pPr>
              <w:snapToGrid w:val="0"/>
              <w:spacing w:before="120" w:beforeLines="50"/>
              <w:jc w:val="center"/>
              <w:rPr>
                <w:color w:val="auto"/>
                <w:szCs w:val="21"/>
                <w:highlight w:val="none"/>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28D79214">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4344A445">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79FC2E3E">
            <w:pPr>
              <w:snapToGrid w:val="0"/>
              <w:spacing w:before="120" w:beforeLines="50"/>
              <w:jc w:val="center"/>
              <w:rPr>
                <w:color w:val="auto"/>
                <w:szCs w:val="21"/>
                <w:highlight w:val="none"/>
              </w:rPr>
            </w:pPr>
          </w:p>
        </w:tc>
      </w:tr>
      <w:tr w14:paraId="2ED77D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3B6C2F5">
            <w:pPr>
              <w:snapToGrid w:val="0"/>
              <w:spacing w:before="120" w:beforeLines="50"/>
              <w:jc w:val="center"/>
              <w:rPr>
                <w:color w:val="auto"/>
                <w:szCs w:val="21"/>
                <w:highlight w:val="none"/>
              </w:rPr>
            </w:pPr>
            <w:r>
              <w:rPr>
                <w:color w:val="auto"/>
                <w:szCs w:val="21"/>
                <w:highlight w:val="none"/>
              </w:rPr>
              <w:t>……</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2FC6333D">
            <w:pPr>
              <w:snapToGrid w:val="0"/>
              <w:spacing w:before="120" w:beforeLines="50"/>
              <w:jc w:val="center"/>
              <w:rPr>
                <w:color w:val="auto"/>
                <w:szCs w:val="21"/>
                <w:highlight w:val="none"/>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7D223959">
            <w:pPr>
              <w:snapToGrid w:val="0"/>
              <w:spacing w:before="120" w:beforeLines="50"/>
              <w:jc w:val="center"/>
              <w:rPr>
                <w:color w:val="auto"/>
                <w:szCs w:val="21"/>
                <w:highlight w:val="none"/>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17699185">
            <w:pPr>
              <w:snapToGrid w:val="0"/>
              <w:spacing w:before="120" w:beforeLines="50"/>
              <w:jc w:val="center"/>
              <w:rPr>
                <w:color w:val="auto"/>
                <w:szCs w:val="21"/>
                <w:highlight w:val="none"/>
              </w:rPr>
            </w:pPr>
          </w:p>
        </w:tc>
      </w:tr>
    </w:tbl>
    <w:p w14:paraId="39AB3F42">
      <w:pPr>
        <w:pStyle w:val="26"/>
        <w:tabs>
          <w:tab w:val="left" w:pos="2127"/>
        </w:tabs>
        <w:spacing w:line="340" w:lineRule="exact"/>
        <w:ind w:firstLine="420" w:firstLineChars="200"/>
        <w:jc w:val="left"/>
        <w:rPr>
          <w:rFonts w:ascii="Times New Roman" w:hAnsi="Times New Roman" w:cs="Times New Roman"/>
          <w:color w:val="auto"/>
          <w:highlight w:val="none"/>
        </w:rPr>
      </w:pPr>
      <w:bookmarkStart w:id="96" w:name="_Hlk48144603"/>
      <w:r>
        <w:rPr>
          <w:rFonts w:ascii="Times New Roman" w:hAnsi="Times New Roman" w:cs="Times New Roman"/>
          <w:color w:val="auto"/>
          <w:highlight w:val="none"/>
        </w:rPr>
        <w:t>注：</w:t>
      </w:r>
      <w:bookmarkStart w:id="97" w:name="_Hlk19049081"/>
      <w:r>
        <w:rPr>
          <w:rFonts w:ascii="Times New Roman" w:hAnsi="Times New Roman" w:cs="Times New Roman"/>
          <w:color w:val="auto"/>
          <w:highlight w:val="none"/>
        </w:rPr>
        <w:t>（1）本表应对采购文件</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ascii="Times New Roman" w:hAnsi="Times New Roman" w:cs="Times New Roman"/>
          <w:color w:val="auto"/>
          <w:highlight w:val="none"/>
        </w:rPr>
        <w:t>中所列商务要求进行响应，并根据响应情况在“偏离说明”栏填写正偏离或负偏离及原因，完全符合的填写</w:t>
      </w:r>
      <w:r>
        <w:rPr>
          <w:rFonts w:hint="eastAsia" w:ascii="Times New Roman" w:hAnsi="Times New Roman" w:cs="Times New Roman"/>
          <w:color w:val="auto"/>
          <w:highlight w:val="none"/>
        </w:rPr>
        <w:t>“</w:t>
      </w:r>
      <w:r>
        <w:rPr>
          <w:rFonts w:ascii="Times New Roman" w:hAnsi="Times New Roman" w:cs="Times New Roman"/>
          <w:color w:val="auto"/>
          <w:highlight w:val="none"/>
        </w:rPr>
        <w:t>无偏离</w:t>
      </w:r>
      <w:r>
        <w:rPr>
          <w:rFonts w:hint="eastAsia" w:ascii="Times New Roman" w:hAnsi="Times New Roman" w:cs="Times New Roman"/>
          <w:color w:val="auto"/>
          <w:highlight w:val="none"/>
        </w:rPr>
        <w:t>”</w:t>
      </w:r>
      <w:r>
        <w:rPr>
          <w:rFonts w:ascii="Times New Roman" w:hAnsi="Times New Roman" w:cs="Times New Roman"/>
          <w:color w:val="auto"/>
          <w:highlight w:val="none"/>
        </w:rPr>
        <w:t>。</w:t>
      </w:r>
    </w:p>
    <w:p w14:paraId="5B40F4B2">
      <w:pPr>
        <w:pStyle w:val="26"/>
        <w:tabs>
          <w:tab w:val="left" w:pos="2127"/>
        </w:tabs>
        <w:spacing w:line="340" w:lineRule="exact"/>
        <w:ind w:firstLine="420" w:firstLineChars="200"/>
        <w:jc w:val="left"/>
        <w:rPr>
          <w:rFonts w:ascii="Times New Roman" w:hAnsi="Times New Roman" w:cs="Times New Roman"/>
          <w:color w:val="auto"/>
          <w:highlight w:val="none"/>
        </w:rPr>
      </w:pPr>
      <w:r>
        <w:rPr>
          <w:rFonts w:hint="eastAsia" w:ascii="Times New Roman" w:hAnsi="Times New Roman" w:cs="Times New Roman"/>
          <w:color w:val="auto"/>
          <w:highlight w:val="none"/>
        </w:rPr>
        <w:t>（2）</w:t>
      </w:r>
      <w:r>
        <w:rPr>
          <w:color w:val="auto"/>
          <w:highlight w:val="none"/>
        </w:rPr>
        <w:t>第</w:t>
      </w:r>
      <w:r>
        <w:rPr>
          <w:rFonts w:hint="eastAsia"/>
          <w:color w:val="auto"/>
          <w:highlight w:val="none"/>
        </w:rPr>
        <w:t>二</w:t>
      </w:r>
      <w:r>
        <w:rPr>
          <w:color w:val="auto"/>
          <w:highlight w:val="none"/>
        </w:rPr>
        <w:t>章</w:t>
      </w:r>
      <w:r>
        <w:rPr>
          <w:rFonts w:hint="eastAsia"/>
          <w:color w:val="auto"/>
          <w:highlight w:val="none"/>
        </w:rPr>
        <w:t>《采购需求》</w:t>
      </w:r>
      <w:r>
        <w:rPr>
          <w:rFonts w:hint="eastAsia" w:ascii="Times New Roman" w:hAnsi="Times New Roman" w:cs="Times New Roman"/>
          <w:color w:val="auto"/>
          <w:highlight w:val="none"/>
        </w:rPr>
        <w:t>中的总体要求无需响应。</w:t>
      </w:r>
    </w:p>
    <w:p w14:paraId="232B13B6">
      <w:pPr>
        <w:ind w:firstLine="42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）偏离认定说明详见评审方法及标准。</w:t>
      </w:r>
    </w:p>
    <w:bookmarkEnd w:id="97"/>
    <w:p w14:paraId="51D7D6C4">
      <w:pPr>
        <w:pStyle w:val="26"/>
        <w:tabs>
          <w:tab w:val="left" w:pos="2127"/>
        </w:tabs>
        <w:spacing w:line="340" w:lineRule="exact"/>
        <w:ind w:firstLine="420" w:firstLineChars="200"/>
        <w:jc w:val="left"/>
        <w:rPr>
          <w:rFonts w:ascii="Times New Roman" w:hAnsi="Times New Roman" w:cs="Times New Roman"/>
          <w:color w:val="auto"/>
          <w:highlight w:val="none"/>
        </w:rPr>
      </w:pPr>
      <w:r>
        <w:rPr>
          <w:rFonts w:ascii="Times New Roman" w:hAnsi="Times New Roman" w:cs="Times New Roman"/>
          <w:color w:val="auto"/>
          <w:highlight w:val="none"/>
        </w:rPr>
        <w:t>（4）本表可扩展。</w:t>
      </w:r>
    </w:p>
    <w:bookmarkEnd w:id="96"/>
    <w:p w14:paraId="5D2A99B6">
      <w:pPr>
        <w:snapToGrid w:val="0"/>
        <w:spacing w:before="50" w:after="120" w:afterLines="50" w:line="440" w:lineRule="exact"/>
        <w:jc w:val="left"/>
        <w:rPr>
          <w:color w:val="auto"/>
          <w:spacing w:val="20"/>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pacing w:val="20"/>
          <w:szCs w:val="21"/>
          <w:highlight w:val="none"/>
        </w:rPr>
        <w:t>：</w:t>
      </w:r>
      <w:r>
        <w:rPr>
          <w:color w:val="auto"/>
          <w:spacing w:val="20"/>
          <w:szCs w:val="21"/>
          <w:highlight w:val="none"/>
          <w:u w:val="single"/>
        </w:rPr>
        <w:t xml:space="preserve">            </w:t>
      </w:r>
      <w:r>
        <w:rPr>
          <w:color w:val="auto"/>
          <w:spacing w:val="20"/>
          <w:szCs w:val="21"/>
          <w:highlight w:val="none"/>
        </w:rPr>
        <w:t xml:space="preserve">             日  期：</w:t>
      </w:r>
      <w:r>
        <w:rPr>
          <w:color w:val="auto"/>
          <w:spacing w:val="20"/>
          <w:szCs w:val="21"/>
          <w:highlight w:val="none"/>
          <w:u w:val="single"/>
        </w:rPr>
        <w:t xml:space="preserve">        </w:t>
      </w:r>
    </w:p>
    <w:p w14:paraId="1530F1FD">
      <w:pPr>
        <w:snapToGrid w:val="0"/>
        <w:spacing w:before="50" w:after="120" w:afterLines="50" w:line="440" w:lineRule="exact"/>
        <w:jc w:val="left"/>
        <w:rPr>
          <w:rFonts w:hint="eastAsia"/>
          <w:color w:val="auto"/>
          <w:spacing w:val="20"/>
          <w:szCs w:val="21"/>
          <w:highlight w:val="none"/>
          <w:u w:val="single"/>
        </w:rPr>
      </w:pPr>
    </w:p>
    <w:p w14:paraId="65131F9F">
      <w:pPr>
        <w:pStyle w:val="26"/>
        <w:tabs>
          <w:tab w:val="left" w:pos="2127"/>
        </w:tabs>
        <w:spacing w:line="340" w:lineRule="exact"/>
        <w:ind w:firstLine="420" w:firstLineChars="200"/>
        <w:jc w:val="left"/>
        <w:rPr>
          <w:rFonts w:ascii="Times New Roman" w:hAnsi="Times New Roman" w:cs="Times New Roman"/>
          <w:color w:val="auto"/>
          <w:highlight w:val="none"/>
        </w:rPr>
      </w:pPr>
    </w:p>
    <w:p w14:paraId="77897FFA">
      <w:pPr>
        <w:snapToGrid w:val="0"/>
        <w:spacing w:before="50" w:after="120" w:afterLines="50" w:line="440" w:lineRule="exact"/>
        <w:jc w:val="left"/>
        <w:rPr>
          <w:rFonts w:hint="eastAsia"/>
          <w:color w:val="auto"/>
          <w:szCs w:val="21"/>
          <w:highlight w:val="none"/>
        </w:rPr>
      </w:pPr>
      <w:r>
        <w:rPr>
          <w:rFonts w:hint="eastAsia"/>
          <w:color w:val="auto"/>
          <w:szCs w:val="21"/>
          <w:highlight w:val="none"/>
          <w:lang w:val="en-US" w:eastAsia="zh-CN"/>
        </w:rPr>
        <w:t>9</w:t>
      </w:r>
      <w:r>
        <w:rPr>
          <w:color w:val="auto"/>
          <w:szCs w:val="21"/>
          <w:highlight w:val="none"/>
        </w:rPr>
        <w:t>．商务方案（供应商自行编写）</w:t>
      </w:r>
    </w:p>
    <w:p w14:paraId="0B5179E8">
      <w:pPr>
        <w:snapToGrid w:val="0"/>
        <w:spacing w:before="50" w:after="120" w:afterLines="50" w:line="440" w:lineRule="exact"/>
        <w:jc w:val="left"/>
        <w:rPr>
          <w:rFonts w:hint="eastAsia"/>
          <w:color w:val="auto"/>
          <w:szCs w:val="21"/>
          <w:highlight w:val="none"/>
        </w:rPr>
      </w:pPr>
    </w:p>
    <w:p w14:paraId="233E43BC">
      <w:pPr>
        <w:snapToGrid w:val="0"/>
        <w:spacing w:before="50" w:after="120" w:afterLines="50"/>
        <w:jc w:val="left"/>
        <w:rPr>
          <w:color w:val="auto"/>
          <w:szCs w:val="21"/>
          <w:highlight w:val="none"/>
        </w:rPr>
      </w:pPr>
      <w:r>
        <w:rPr>
          <w:color w:val="auto"/>
          <w:szCs w:val="21"/>
          <w:highlight w:val="none"/>
        </w:rPr>
        <w:t>1</w:t>
      </w:r>
      <w:r>
        <w:rPr>
          <w:rFonts w:hint="eastAsia"/>
          <w:color w:val="auto"/>
          <w:szCs w:val="21"/>
          <w:highlight w:val="none"/>
          <w:lang w:val="en-US" w:eastAsia="zh-CN"/>
        </w:rPr>
        <w:t>0</w:t>
      </w:r>
      <w:r>
        <w:rPr>
          <w:color w:val="auto"/>
          <w:szCs w:val="21"/>
          <w:highlight w:val="none"/>
        </w:rPr>
        <w:t>．供应商认为需提供的其他材料（根据采购文件编写）</w:t>
      </w:r>
    </w:p>
    <w:p w14:paraId="5BE84602">
      <w:pPr>
        <w:snapToGrid w:val="0"/>
        <w:spacing w:before="50"/>
        <w:jc w:val="left"/>
        <w:rPr>
          <w:rFonts w:hint="eastAsia"/>
          <w:color w:val="auto"/>
          <w:szCs w:val="21"/>
          <w:highlight w:val="none"/>
        </w:rPr>
        <w:sectPr>
          <w:pgSz w:w="11906" w:h="16838"/>
          <w:pgMar w:top="1304" w:right="1418" w:bottom="1304" w:left="1418" w:header="851" w:footer="992" w:gutter="0"/>
          <w:pgNumType w:fmt="decimal"/>
          <w:cols w:space="720" w:num="1"/>
          <w:docGrid w:linePitch="312" w:charSpace="0"/>
        </w:sectPr>
      </w:pPr>
      <w:bookmarkStart w:id="98" w:name="_Hlk33625589"/>
    </w:p>
    <w:bookmarkEnd w:id="98"/>
    <w:p w14:paraId="258EBB6E">
      <w:pPr>
        <w:snapToGrid w:val="0"/>
        <w:spacing w:before="50" w:after="120" w:afterLines="50"/>
        <w:jc w:val="left"/>
        <w:rPr>
          <w:rFonts w:hint="eastAsia"/>
          <w:b/>
          <w:color w:val="auto"/>
          <w:szCs w:val="21"/>
          <w:highlight w:val="none"/>
        </w:rPr>
      </w:pPr>
      <w:r>
        <w:rPr>
          <w:color w:val="auto"/>
          <w:szCs w:val="21"/>
          <w:highlight w:val="none"/>
        </w:rPr>
        <w:t>1</w:t>
      </w:r>
      <w:r>
        <w:rPr>
          <w:rFonts w:hint="eastAsia"/>
          <w:color w:val="auto"/>
          <w:szCs w:val="21"/>
          <w:highlight w:val="none"/>
          <w:lang w:val="en-US" w:eastAsia="zh-CN"/>
        </w:rPr>
        <w:t>1</w:t>
      </w:r>
      <w:r>
        <w:rPr>
          <w:color w:val="auto"/>
          <w:szCs w:val="21"/>
          <w:highlight w:val="none"/>
        </w:rPr>
        <w:t>．近年供应商类似成功案例的业绩证明</w:t>
      </w:r>
    </w:p>
    <w:p w14:paraId="76C83A83">
      <w:pPr>
        <w:snapToGrid w:val="0"/>
        <w:spacing w:before="50" w:after="120" w:afterLines="50"/>
        <w:jc w:val="center"/>
        <w:rPr>
          <w:color w:val="auto"/>
          <w:szCs w:val="21"/>
          <w:highlight w:val="none"/>
        </w:rPr>
      </w:pPr>
      <w:r>
        <w:rPr>
          <w:b/>
          <w:color w:val="auto"/>
          <w:szCs w:val="21"/>
          <w:highlight w:val="none"/>
        </w:rPr>
        <w:t>类似成功案例业绩一览表</w:t>
      </w:r>
    </w:p>
    <w:tbl>
      <w:tblPr>
        <w:tblStyle w:val="51"/>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61"/>
        <w:gridCol w:w="3862"/>
        <w:gridCol w:w="3269"/>
        <w:gridCol w:w="1031"/>
        <w:gridCol w:w="1031"/>
        <w:gridCol w:w="1376"/>
        <w:gridCol w:w="2063"/>
      </w:tblGrid>
      <w:tr w14:paraId="176F0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41" w:hRule="atLeast"/>
        </w:trPr>
        <w:tc>
          <w:tcPr>
            <w:tcW w:w="1161" w:type="dxa"/>
            <w:tcBorders>
              <w:top w:val="single" w:color="auto" w:sz="4" w:space="0"/>
              <w:left w:val="single" w:color="auto" w:sz="4" w:space="0"/>
              <w:right w:val="single" w:color="auto" w:sz="4" w:space="0"/>
            </w:tcBorders>
            <w:noWrap w:val="0"/>
            <w:vAlign w:val="top"/>
          </w:tcPr>
          <w:p w14:paraId="4863D252">
            <w:pPr>
              <w:snapToGrid w:val="0"/>
              <w:spacing w:line="240" w:lineRule="exact"/>
              <w:jc w:val="center"/>
              <w:rPr>
                <w:color w:val="auto"/>
                <w:szCs w:val="21"/>
                <w:highlight w:val="none"/>
              </w:rPr>
            </w:pPr>
          </w:p>
          <w:p w14:paraId="2F4B7542">
            <w:pPr>
              <w:snapToGrid w:val="0"/>
              <w:spacing w:line="240" w:lineRule="exact"/>
              <w:jc w:val="center"/>
              <w:rPr>
                <w:color w:val="auto"/>
                <w:szCs w:val="21"/>
                <w:highlight w:val="none"/>
              </w:rPr>
            </w:pPr>
          </w:p>
          <w:p w14:paraId="491E82A1">
            <w:pPr>
              <w:snapToGrid w:val="0"/>
              <w:spacing w:line="240" w:lineRule="exact"/>
              <w:jc w:val="center"/>
              <w:rPr>
                <w:color w:val="auto"/>
                <w:szCs w:val="21"/>
                <w:highlight w:val="none"/>
              </w:rPr>
            </w:pPr>
            <w:r>
              <w:rPr>
                <w:rFonts w:hint="eastAsia"/>
                <w:color w:val="auto"/>
                <w:szCs w:val="21"/>
                <w:highlight w:val="none"/>
              </w:rPr>
              <w:t>序号</w:t>
            </w:r>
          </w:p>
        </w:tc>
        <w:tc>
          <w:tcPr>
            <w:tcW w:w="3862" w:type="dxa"/>
            <w:tcBorders>
              <w:top w:val="single" w:color="auto" w:sz="4" w:space="0"/>
              <w:left w:val="single" w:color="auto" w:sz="4" w:space="0"/>
              <w:bottom w:val="single" w:color="auto" w:sz="4" w:space="0"/>
              <w:right w:val="single" w:color="auto" w:sz="4" w:space="0"/>
            </w:tcBorders>
            <w:noWrap w:val="0"/>
            <w:vAlign w:val="center"/>
          </w:tcPr>
          <w:p w14:paraId="14091231">
            <w:pPr>
              <w:snapToGrid w:val="0"/>
              <w:spacing w:line="240" w:lineRule="exact"/>
              <w:jc w:val="center"/>
              <w:rPr>
                <w:color w:val="auto"/>
                <w:szCs w:val="21"/>
                <w:highlight w:val="none"/>
              </w:rPr>
            </w:pPr>
            <w:r>
              <w:rPr>
                <w:color w:val="auto"/>
                <w:szCs w:val="21"/>
                <w:highlight w:val="none"/>
              </w:rPr>
              <w:t>采购单位名称</w:t>
            </w:r>
          </w:p>
        </w:tc>
        <w:tc>
          <w:tcPr>
            <w:tcW w:w="3269" w:type="dxa"/>
            <w:tcBorders>
              <w:top w:val="single" w:color="auto" w:sz="4" w:space="0"/>
              <w:left w:val="single" w:color="auto" w:sz="4" w:space="0"/>
              <w:bottom w:val="single" w:color="auto" w:sz="4" w:space="0"/>
              <w:right w:val="single" w:color="auto" w:sz="4" w:space="0"/>
            </w:tcBorders>
            <w:noWrap w:val="0"/>
            <w:vAlign w:val="center"/>
          </w:tcPr>
          <w:p w14:paraId="63109B3D">
            <w:pPr>
              <w:snapToGrid w:val="0"/>
              <w:spacing w:line="240" w:lineRule="exact"/>
              <w:jc w:val="center"/>
              <w:rPr>
                <w:color w:val="auto"/>
                <w:szCs w:val="21"/>
                <w:highlight w:val="none"/>
              </w:rPr>
            </w:pPr>
            <w:r>
              <w:rPr>
                <w:color w:val="auto"/>
                <w:szCs w:val="21"/>
                <w:highlight w:val="none"/>
              </w:rPr>
              <w:t>项目名称或服务内容</w:t>
            </w:r>
          </w:p>
        </w:tc>
        <w:tc>
          <w:tcPr>
            <w:tcW w:w="1031" w:type="dxa"/>
            <w:tcBorders>
              <w:top w:val="single" w:color="auto" w:sz="4" w:space="0"/>
              <w:left w:val="single" w:color="auto" w:sz="4" w:space="0"/>
              <w:bottom w:val="single" w:color="auto" w:sz="4" w:space="0"/>
              <w:right w:val="single" w:color="auto" w:sz="4" w:space="0"/>
            </w:tcBorders>
            <w:noWrap w:val="0"/>
            <w:vAlign w:val="center"/>
          </w:tcPr>
          <w:p w14:paraId="3074A007">
            <w:pPr>
              <w:snapToGrid w:val="0"/>
              <w:spacing w:line="240" w:lineRule="exact"/>
              <w:jc w:val="center"/>
              <w:rPr>
                <w:color w:val="auto"/>
                <w:szCs w:val="21"/>
                <w:highlight w:val="none"/>
              </w:rPr>
            </w:pPr>
            <w:r>
              <w:rPr>
                <w:color w:val="auto"/>
                <w:szCs w:val="21"/>
                <w:highlight w:val="none"/>
              </w:rPr>
              <w:t>服务</w:t>
            </w:r>
          </w:p>
          <w:p w14:paraId="707C9530">
            <w:pPr>
              <w:snapToGrid w:val="0"/>
              <w:spacing w:line="240" w:lineRule="exact"/>
              <w:jc w:val="center"/>
              <w:rPr>
                <w:color w:val="auto"/>
                <w:szCs w:val="21"/>
                <w:highlight w:val="none"/>
              </w:rPr>
            </w:pPr>
            <w:r>
              <w:rPr>
                <w:color w:val="auto"/>
                <w:szCs w:val="21"/>
                <w:highlight w:val="none"/>
              </w:rPr>
              <w:t>数量或年限</w:t>
            </w:r>
          </w:p>
        </w:tc>
        <w:tc>
          <w:tcPr>
            <w:tcW w:w="1031" w:type="dxa"/>
            <w:tcBorders>
              <w:top w:val="single" w:color="auto" w:sz="4" w:space="0"/>
              <w:left w:val="single" w:color="auto" w:sz="4" w:space="0"/>
              <w:bottom w:val="single" w:color="auto" w:sz="4" w:space="0"/>
              <w:right w:val="single" w:color="auto" w:sz="4" w:space="0"/>
            </w:tcBorders>
            <w:noWrap w:val="0"/>
            <w:vAlign w:val="center"/>
          </w:tcPr>
          <w:p w14:paraId="42A84248">
            <w:pPr>
              <w:snapToGrid w:val="0"/>
              <w:spacing w:line="240" w:lineRule="exact"/>
              <w:jc w:val="center"/>
              <w:rPr>
                <w:color w:val="auto"/>
                <w:szCs w:val="21"/>
                <w:highlight w:val="none"/>
              </w:rPr>
            </w:pPr>
            <w:r>
              <w:rPr>
                <w:color w:val="auto"/>
                <w:szCs w:val="21"/>
                <w:highlight w:val="none"/>
              </w:rPr>
              <w:t>单价</w:t>
            </w:r>
            <w:r>
              <w:rPr>
                <w:rFonts w:hint="eastAsia"/>
                <w:color w:val="auto"/>
                <w:szCs w:val="21"/>
                <w:highlight w:val="none"/>
              </w:rPr>
              <w:t>（元）</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63F7AC36">
            <w:pPr>
              <w:snapToGrid w:val="0"/>
              <w:spacing w:line="240" w:lineRule="exact"/>
              <w:jc w:val="center"/>
              <w:rPr>
                <w:color w:val="auto"/>
                <w:szCs w:val="21"/>
                <w:highlight w:val="none"/>
              </w:rPr>
            </w:pPr>
            <w:r>
              <w:rPr>
                <w:color w:val="auto"/>
                <w:szCs w:val="21"/>
                <w:highlight w:val="none"/>
              </w:rPr>
              <w:t>合同</w:t>
            </w:r>
            <w:r>
              <w:rPr>
                <w:rFonts w:hint="eastAsia"/>
                <w:color w:val="auto"/>
                <w:szCs w:val="21"/>
                <w:highlight w:val="none"/>
              </w:rPr>
              <w:t>总价</w:t>
            </w:r>
          </w:p>
          <w:p w14:paraId="0431DE24">
            <w:pPr>
              <w:snapToGrid w:val="0"/>
              <w:spacing w:line="240" w:lineRule="exact"/>
              <w:jc w:val="center"/>
              <w:rPr>
                <w:color w:val="auto"/>
                <w:szCs w:val="21"/>
                <w:highlight w:val="none"/>
              </w:rPr>
            </w:pPr>
            <w:r>
              <w:rPr>
                <w:color w:val="auto"/>
                <w:szCs w:val="21"/>
                <w:highlight w:val="none"/>
              </w:rPr>
              <w:t>（元）</w:t>
            </w:r>
          </w:p>
        </w:tc>
        <w:tc>
          <w:tcPr>
            <w:tcW w:w="2063" w:type="dxa"/>
            <w:tcBorders>
              <w:top w:val="single" w:color="auto" w:sz="4" w:space="0"/>
              <w:left w:val="single" w:color="auto" w:sz="4" w:space="0"/>
              <w:bottom w:val="single" w:color="auto" w:sz="4" w:space="0"/>
              <w:right w:val="single" w:color="auto" w:sz="4" w:space="0"/>
            </w:tcBorders>
            <w:noWrap w:val="0"/>
            <w:vAlign w:val="center"/>
          </w:tcPr>
          <w:p w14:paraId="0FCA756D">
            <w:pPr>
              <w:jc w:val="center"/>
              <w:rPr>
                <w:color w:val="auto"/>
                <w:szCs w:val="21"/>
                <w:highlight w:val="none"/>
              </w:rPr>
            </w:pPr>
            <w:r>
              <w:rPr>
                <w:color w:val="auto"/>
                <w:szCs w:val="21"/>
                <w:highlight w:val="none"/>
              </w:rPr>
              <w:t>采购单位联系人及联系电话</w:t>
            </w:r>
          </w:p>
        </w:tc>
      </w:tr>
      <w:tr w14:paraId="0272F8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1161" w:type="dxa"/>
            <w:tcBorders>
              <w:top w:val="single" w:color="auto" w:sz="4" w:space="0"/>
              <w:left w:val="single" w:color="auto" w:sz="4" w:space="0"/>
              <w:bottom w:val="single" w:color="auto" w:sz="4" w:space="0"/>
              <w:right w:val="single" w:color="auto" w:sz="4" w:space="0"/>
            </w:tcBorders>
            <w:noWrap w:val="0"/>
            <w:vAlign w:val="top"/>
          </w:tcPr>
          <w:p w14:paraId="604883AB">
            <w:pPr>
              <w:snapToGrid w:val="0"/>
              <w:spacing w:line="24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noWrap w:val="0"/>
            <w:vAlign w:val="top"/>
          </w:tcPr>
          <w:p w14:paraId="4F72DBDE">
            <w:pPr>
              <w:snapToGrid w:val="0"/>
              <w:spacing w:line="24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noWrap w:val="0"/>
            <w:vAlign w:val="top"/>
          </w:tcPr>
          <w:p w14:paraId="35A01142">
            <w:pPr>
              <w:snapToGrid w:val="0"/>
              <w:spacing w:line="24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26364F03">
            <w:pPr>
              <w:snapToGrid w:val="0"/>
              <w:spacing w:line="24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3DD63A3F">
            <w:pPr>
              <w:snapToGrid w:val="0"/>
              <w:spacing w:line="24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noWrap w:val="0"/>
            <w:vAlign w:val="top"/>
          </w:tcPr>
          <w:p w14:paraId="5200E01F">
            <w:pPr>
              <w:snapToGrid w:val="0"/>
              <w:spacing w:line="24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top"/>
          </w:tcPr>
          <w:p w14:paraId="1AD183C7">
            <w:pPr>
              <w:snapToGrid w:val="0"/>
              <w:spacing w:line="240" w:lineRule="exact"/>
              <w:jc w:val="left"/>
              <w:rPr>
                <w:color w:val="auto"/>
                <w:szCs w:val="21"/>
                <w:highlight w:val="none"/>
              </w:rPr>
            </w:pPr>
          </w:p>
        </w:tc>
      </w:tr>
      <w:tr w14:paraId="153642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161" w:type="dxa"/>
            <w:tcBorders>
              <w:top w:val="single" w:color="auto" w:sz="4" w:space="0"/>
              <w:left w:val="single" w:color="auto" w:sz="4" w:space="0"/>
              <w:bottom w:val="single" w:color="auto" w:sz="4" w:space="0"/>
              <w:right w:val="single" w:color="auto" w:sz="4" w:space="0"/>
            </w:tcBorders>
            <w:noWrap w:val="0"/>
            <w:vAlign w:val="top"/>
          </w:tcPr>
          <w:p w14:paraId="7C1761B6">
            <w:pP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noWrap w:val="0"/>
            <w:vAlign w:val="top"/>
          </w:tcPr>
          <w:p w14:paraId="65B2386C">
            <w:pP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noWrap w:val="0"/>
            <w:vAlign w:val="top"/>
          </w:tcPr>
          <w:p w14:paraId="38B9EDF2">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702A8251">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72578936">
            <w:pP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noWrap w:val="0"/>
            <w:vAlign w:val="top"/>
          </w:tcPr>
          <w:p w14:paraId="40C1B0C0">
            <w:pP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top"/>
          </w:tcPr>
          <w:p w14:paraId="360CE098">
            <w:pPr>
              <w:snapToGrid w:val="0"/>
              <w:spacing w:before="50" w:after="120" w:afterLines="50" w:line="400" w:lineRule="exact"/>
              <w:jc w:val="left"/>
              <w:rPr>
                <w:color w:val="auto"/>
                <w:szCs w:val="21"/>
                <w:highlight w:val="none"/>
              </w:rPr>
            </w:pPr>
          </w:p>
        </w:tc>
      </w:tr>
      <w:tr w14:paraId="5582D3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161" w:type="dxa"/>
            <w:tcBorders>
              <w:top w:val="single" w:color="auto" w:sz="4" w:space="0"/>
              <w:left w:val="single" w:color="auto" w:sz="4" w:space="0"/>
              <w:bottom w:val="single" w:color="auto" w:sz="4" w:space="0"/>
              <w:right w:val="single" w:color="auto" w:sz="4" w:space="0"/>
            </w:tcBorders>
            <w:noWrap w:val="0"/>
            <w:vAlign w:val="top"/>
          </w:tcPr>
          <w:p w14:paraId="5D8B1C5F">
            <w:pP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noWrap w:val="0"/>
            <w:vAlign w:val="top"/>
          </w:tcPr>
          <w:p w14:paraId="5E1463E9">
            <w:pP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noWrap w:val="0"/>
            <w:vAlign w:val="top"/>
          </w:tcPr>
          <w:p w14:paraId="2F12FDE7">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05E02445">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38F58B4B">
            <w:pP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noWrap w:val="0"/>
            <w:vAlign w:val="top"/>
          </w:tcPr>
          <w:p w14:paraId="43E8CD61">
            <w:pP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top"/>
          </w:tcPr>
          <w:p w14:paraId="5A4F0CCD">
            <w:pPr>
              <w:snapToGrid w:val="0"/>
              <w:spacing w:before="50" w:after="120" w:afterLines="50" w:line="400" w:lineRule="exact"/>
              <w:jc w:val="left"/>
              <w:rPr>
                <w:color w:val="auto"/>
                <w:szCs w:val="21"/>
                <w:highlight w:val="none"/>
              </w:rPr>
            </w:pPr>
          </w:p>
        </w:tc>
      </w:tr>
      <w:tr w14:paraId="750B77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161" w:type="dxa"/>
            <w:tcBorders>
              <w:top w:val="single" w:color="auto" w:sz="4" w:space="0"/>
              <w:left w:val="single" w:color="auto" w:sz="4" w:space="0"/>
              <w:bottom w:val="single" w:color="auto" w:sz="4" w:space="0"/>
              <w:right w:val="single" w:color="auto" w:sz="4" w:space="0"/>
            </w:tcBorders>
            <w:noWrap w:val="0"/>
            <w:vAlign w:val="top"/>
          </w:tcPr>
          <w:p w14:paraId="2B9C739A">
            <w:pP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noWrap w:val="0"/>
            <w:vAlign w:val="top"/>
          </w:tcPr>
          <w:p w14:paraId="4C0F5001">
            <w:pP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noWrap w:val="0"/>
            <w:vAlign w:val="top"/>
          </w:tcPr>
          <w:p w14:paraId="14FC852E">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3A5BCB85">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0B097F81">
            <w:pP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noWrap w:val="0"/>
            <w:vAlign w:val="top"/>
          </w:tcPr>
          <w:p w14:paraId="2B89F56D">
            <w:pP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top"/>
          </w:tcPr>
          <w:p w14:paraId="6F194001">
            <w:pPr>
              <w:snapToGrid w:val="0"/>
              <w:spacing w:before="50" w:after="120" w:afterLines="50" w:line="400" w:lineRule="exact"/>
              <w:jc w:val="left"/>
              <w:rPr>
                <w:color w:val="auto"/>
                <w:szCs w:val="21"/>
                <w:highlight w:val="none"/>
              </w:rPr>
            </w:pPr>
          </w:p>
        </w:tc>
      </w:tr>
      <w:tr w14:paraId="68CD07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1161" w:type="dxa"/>
            <w:tcBorders>
              <w:top w:val="single" w:color="auto" w:sz="4" w:space="0"/>
              <w:left w:val="single" w:color="auto" w:sz="4" w:space="0"/>
              <w:bottom w:val="single" w:color="auto" w:sz="4" w:space="0"/>
              <w:right w:val="single" w:color="auto" w:sz="4" w:space="0"/>
            </w:tcBorders>
            <w:noWrap w:val="0"/>
            <w:vAlign w:val="top"/>
          </w:tcPr>
          <w:p w14:paraId="010C29AD">
            <w:pPr>
              <w:snapToGrid w:val="0"/>
              <w:spacing w:before="50" w:after="120" w:afterLines="50" w:line="400" w:lineRule="exact"/>
              <w:jc w:val="left"/>
              <w:rPr>
                <w:color w:val="auto"/>
                <w:szCs w:val="21"/>
                <w:highlight w:val="none"/>
              </w:rPr>
            </w:pPr>
          </w:p>
        </w:tc>
        <w:tc>
          <w:tcPr>
            <w:tcW w:w="3862" w:type="dxa"/>
            <w:tcBorders>
              <w:top w:val="single" w:color="auto" w:sz="4" w:space="0"/>
              <w:left w:val="single" w:color="auto" w:sz="4" w:space="0"/>
              <w:bottom w:val="single" w:color="auto" w:sz="4" w:space="0"/>
              <w:right w:val="single" w:color="auto" w:sz="4" w:space="0"/>
            </w:tcBorders>
            <w:noWrap w:val="0"/>
            <w:vAlign w:val="top"/>
          </w:tcPr>
          <w:p w14:paraId="70B16CC3">
            <w:pPr>
              <w:snapToGrid w:val="0"/>
              <w:spacing w:before="50" w:after="120" w:afterLines="50" w:line="400" w:lineRule="exact"/>
              <w:jc w:val="left"/>
              <w:rPr>
                <w:color w:val="auto"/>
                <w:szCs w:val="21"/>
                <w:highlight w:val="none"/>
              </w:rPr>
            </w:pPr>
          </w:p>
        </w:tc>
        <w:tc>
          <w:tcPr>
            <w:tcW w:w="3269" w:type="dxa"/>
            <w:tcBorders>
              <w:top w:val="single" w:color="auto" w:sz="4" w:space="0"/>
              <w:left w:val="single" w:color="auto" w:sz="4" w:space="0"/>
              <w:bottom w:val="single" w:color="auto" w:sz="4" w:space="0"/>
              <w:right w:val="single" w:color="auto" w:sz="4" w:space="0"/>
            </w:tcBorders>
            <w:noWrap w:val="0"/>
            <w:vAlign w:val="top"/>
          </w:tcPr>
          <w:p w14:paraId="4D36C5EB">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4567612A">
            <w:pPr>
              <w:snapToGrid w:val="0"/>
              <w:spacing w:before="50" w:after="120" w:afterLines="50" w:line="400" w:lineRule="exact"/>
              <w:jc w:val="left"/>
              <w:rPr>
                <w:color w:val="auto"/>
                <w:szCs w:val="21"/>
                <w:highlight w:val="none"/>
              </w:rPr>
            </w:pPr>
          </w:p>
        </w:tc>
        <w:tc>
          <w:tcPr>
            <w:tcW w:w="1031" w:type="dxa"/>
            <w:tcBorders>
              <w:top w:val="single" w:color="auto" w:sz="4" w:space="0"/>
              <w:left w:val="single" w:color="auto" w:sz="4" w:space="0"/>
              <w:bottom w:val="single" w:color="auto" w:sz="4" w:space="0"/>
              <w:right w:val="single" w:color="auto" w:sz="4" w:space="0"/>
            </w:tcBorders>
            <w:noWrap w:val="0"/>
            <w:vAlign w:val="top"/>
          </w:tcPr>
          <w:p w14:paraId="497D4A99">
            <w:pPr>
              <w:snapToGrid w:val="0"/>
              <w:spacing w:before="50" w:after="120" w:afterLines="50" w:line="400" w:lineRule="exact"/>
              <w:jc w:val="left"/>
              <w:rPr>
                <w:color w:val="auto"/>
                <w:szCs w:val="21"/>
                <w:highlight w:val="none"/>
              </w:rPr>
            </w:pPr>
          </w:p>
        </w:tc>
        <w:tc>
          <w:tcPr>
            <w:tcW w:w="1376" w:type="dxa"/>
            <w:tcBorders>
              <w:top w:val="single" w:color="auto" w:sz="4" w:space="0"/>
              <w:left w:val="single" w:color="auto" w:sz="4" w:space="0"/>
              <w:bottom w:val="single" w:color="auto" w:sz="4" w:space="0"/>
              <w:right w:val="single" w:color="auto" w:sz="4" w:space="0"/>
            </w:tcBorders>
            <w:noWrap w:val="0"/>
            <w:vAlign w:val="top"/>
          </w:tcPr>
          <w:p w14:paraId="2F5C4FB3">
            <w:pPr>
              <w:snapToGrid w:val="0"/>
              <w:spacing w:before="50" w:after="120" w:afterLines="50" w:line="400" w:lineRule="exact"/>
              <w:jc w:val="left"/>
              <w:rPr>
                <w:color w:val="auto"/>
                <w:szCs w:val="21"/>
                <w:highlight w:val="none"/>
              </w:rPr>
            </w:pPr>
          </w:p>
        </w:tc>
        <w:tc>
          <w:tcPr>
            <w:tcW w:w="2063" w:type="dxa"/>
            <w:tcBorders>
              <w:top w:val="single" w:color="auto" w:sz="4" w:space="0"/>
              <w:left w:val="single" w:color="auto" w:sz="4" w:space="0"/>
              <w:bottom w:val="single" w:color="auto" w:sz="4" w:space="0"/>
              <w:right w:val="single" w:color="auto" w:sz="4" w:space="0"/>
            </w:tcBorders>
            <w:noWrap w:val="0"/>
            <w:vAlign w:val="top"/>
          </w:tcPr>
          <w:p w14:paraId="122C1919">
            <w:pPr>
              <w:snapToGrid w:val="0"/>
              <w:spacing w:before="50" w:after="120" w:afterLines="50" w:line="400" w:lineRule="exact"/>
              <w:jc w:val="left"/>
              <w:rPr>
                <w:color w:val="auto"/>
                <w:szCs w:val="21"/>
                <w:highlight w:val="none"/>
              </w:rPr>
            </w:pPr>
          </w:p>
        </w:tc>
      </w:tr>
    </w:tbl>
    <w:p w14:paraId="17ABDAA4">
      <w:pPr>
        <w:pStyle w:val="15"/>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注：</w:t>
      </w:r>
    </w:p>
    <w:p w14:paraId="7D88A271">
      <w:pPr>
        <w:pStyle w:val="15"/>
        <w:snapToGrid w:val="0"/>
        <w:rPr>
          <w:rFonts w:hint="eastAsia"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（1）</w:t>
      </w:r>
      <w:r>
        <w:rPr>
          <w:rFonts w:ascii="Times New Roman" w:hAnsi="Times New Roman" w:eastAsia="宋体" w:cs="Times New Roman"/>
          <w:color w:val="auto"/>
          <w:sz w:val="21"/>
          <w:szCs w:val="21"/>
          <w:highlight w:val="none"/>
        </w:rPr>
        <w:t>未附</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的业绩无效</w:t>
      </w:r>
      <w:r>
        <w:rPr>
          <w:rFonts w:hint="eastAsia" w:ascii="Times New Roman" w:hAnsi="Times New Roman" w:eastAsia="宋体" w:cs="Times New Roman"/>
          <w:color w:val="auto"/>
          <w:sz w:val="21"/>
          <w:szCs w:val="21"/>
          <w:highlight w:val="none"/>
        </w:rPr>
        <w:t>，证明材料</w:t>
      </w:r>
      <w:r>
        <w:rPr>
          <w:rFonts w:ascii="Times New Roman" w:hAnsi="Times New Roman" w:eastAsia="宋体" w:cs="Times New Roman"/>
          <w:color w:val="auto"/>
          <w:sz w:val="21"/>
          <w:szCs w:val="21"/>
          <w:highlight w:val="none"/>
        </w:rPr>
        <w:t>见第四章《评审方法及标准》规定</w:t>
      </w:r>
      <w:r>
        <w:rPr>
          <w:rFonts w:hint="eastAsia" w:ascii="Times New Roman" w:hAnsi="Times New Roman" w:eastAsia="宋体" w:cs="Times New Roman"/>
          <w:color w:val="auto"/>
          <w:sz w:val="21"/>
          <w:szCs w:val="21"/>
          <w:highlight w:val="none"/>
        </w:rPr>
        <w:t>。</w:t>
      </w:r>
    </w:p>
    <w:p w14:paraId="24BD45A7">
      <w:pPr>
        <w:pStyle w:val="15"/>
        <w:snapToGrid w:val="0"/>
        <w:rPr>
          <w:rFonts w:ascii="Times New Roman" w:hAnsi="Times New Roman" w:eastAsia="宋体" w:cs="Times New Roman"/>
          <w:color w:val="auto"/>
          <w:sz w:val="21"/>
          <w:szCs w:val="21"/>
          <w:highlight w:val="none"/>
        </w:rPr>
      </w:pPr>
      <w:r>
        <w:rPr>
          <w:rFonts w:ascii="Times New Roman" w:hAnsi="Times New Roman" w:eastAsia="宋体" w:cs="Times New Roman"/>
          <w:color w:val="auto"/>
          <w:szCs w:val="21"/>
          <w:highlight w:val="none"/>
        </w:rPr>
        <w:t>（2）</w:t>
      </w:r>
      <w:r>
        <w:rPr>
          <w:rFonts w:ascii="Times New Roman" w:hAnsi="Times New Roman" w:eastAsia="宋体" w:cs="Times New Roman"/>
          <w:color w:val="auto"/>
          <w:sz w:val="21"/>
          <w:szCs w:val="21"/>
          <w:highlight w:val="none"/>
        </w:rPr>
        <w:t>类似项目的定义见第四章《评审方法及标准》规定。</w:t>
      </w:r>
    </w:p>
    <w:p w14:paraId="77AC8251">
      <w:pPr>
        <w:rPr>
          <w:color w:val="auto"/>
          <w:highlight w:val="none"/>
        </w:rPr>
      </w:pPr>
      <w:r>
        <w:rPr>
          <w:color w:val="auto"/>
          <w:szCs w:val="21"/>
          <w:highlight w:val="none"/>
        </w:rPr>
        <w:t>（3）</w:t>
      </w:r>
      <w:r>
        <w:rPr>
          <w:color w:val="auto"/>
          <w:highlight w:val="none"/>
        </w:rPr>
        <w:t>本表可拓展</w:t>
      </w:r>
    </w:p>
    <w:p w14:paraId="05A428B9">
      <w:pPr>
        <w:snapToGrid w:val="0"/>
        <w:spacing w:before="50"/>
        <w:jc w:val="left"/>
        <w:rPr>
          <w:color w:val="auto"/>
          <w:szCs w:val="21"/>
          <w:highlight w:val="none"/>
        </w:rPr>
      </w:pPr>
    </w:p>
    <w:p w14:paraId="47996A5F">
      <w:pPr>
        <w:snapToGrid w:val="0"/>
        <w:spacing w:before="50"/>
        <w:jc w:val="left"/>
        <w:rPr>
          <w:rFonts w:hint="eastAsia"/>
          <w:color w:val="auto"/>
          <w:szCs w:val="21"/>
          <w:highlight w:val="none"/>
        </w:rPr>
        <w:sectPr>
          <w:headerReference r:id="rId23" w:type="default"/>
          <w:footerReference r:id="rId24" w:type="default"/>
          <w:pgSz w:w="16838" w:h="11906" w:orient="landscape"/>
          <w:pgMar w:top="1274" w:right="1418" w:bottom="1418" w:left="1418" w:header="851" w:footer="992" w:gutter="0"/>
          <w:pgNumType w:fmt="decimal"/>
          <w:cols w:space="720" w:num="1"/>
          <w:docGrid w:linePitch="312" w:charSpace="0"/>
        </w:sect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r>
        <w:rPr>
          <w:color w:val="auto"/>
          <w:szCs w:val="21"/>
          <w:highlight w:val="none"/>
        </w:rPr>
        <w:t xml:space="preserve">                                          年    月   </w:t>
      </w:r>
    </w:p>
    <w:p w14:paraId="2C8455B3">
      <w:pPr>
        <w:snapToGrid w:val="0"/>
        <w:spacing w:before="50" w:after="120" w:afterLines="50"/>
        <w:jc w:val="left"/>
        <w:rPr>
          <w:color w:val="auto"/>
          <w:szCs w:val="21"/>
          <w:highlight w:val="none"/>
        </w:rPr>
      </w:pPr>
      <w:bookmarkStart w:id="99" w:name="_Hlk93046716"/>
      <w:bookmarkStart w:id="100" w:name="_Hlk19110561"/>
      <w:r>
        <w:rPr>
          <w:bCs/>
          <w:color w:val="auto"/>
          <w:sz w:val="24"/>
          <w:highlight w:val="none"/>
        </w:rPr>
        <w:t>1</w:t>
      </w:r>
      <w:r>
        <w:rPr>
          <w:rFonts w:hint="eastAsia"/>
          <w:bCs/>
          <w:color w:val="auto"/>
          <w:sz w:val="24"/>
          <w:highlight w:val="none"/>
          <w:lang w:val="en-US" w:eastAsia="zh-CN"/>
        </w:rPr>
        <w:t>2</w:t>
      </w:r>
      <w:r>
        <w:rPr>
          <w:bCs/>
          <w:color w:val="auto"/>
          <w:sz w:val="24"/>
          <w:highlight w:val="none"/>
        </w:rPr>
        <w:t>．</w:t>
      </w:r>
      <w:r>
        <w:rPr>
          <w:rFonts w:hint="eastAsia"/>
          <w:bCs/>
          <w:color w:val="auto"/>
          <w:sz w:val="24"/>
          <w:highlight w:val="none"/>
        </w:rPr>
        <w:t>符合政府采购政策的证明材料。</w:t>
      </w:r>
      <w:r>
        <w:rPr>
          <w:rFonts w:hint="eastAsia"/>
          <w:color w:val="auto"/>
          <w:szCs w:val="21"/>
          <w:highlight w:val="none"/>
        </w:rPr>
        <w:t>【备注：</w:t>
      </w:r>
      <w:r>
        <w:rPr>
          <w:rFonts w:hint="eastAsia"/>
          <w:color w:val="auto"/>
          <w:kern w:val="0"/>
          <w:szCs w:val="21"/>
          <w:highlight w:val="none"/>
        </w:rPr>
        <w:t>非专门面向中小企业采购的项目、预留份额项目中的非预留部分采购包时提供</w:t>
      </w:r>
      <w:r>
        <w:rPr>
          <w:rFonts w:hint="eastAsia"/>
          <w:color w:val="auto"/>
          <w:szCs w:val="21"/>
          <w:highlight w:val="none"/>
        </w:rPr>
        <w:t>】</w:t>
      </w:r>
    </w:p>
    <w:p w14:paraId="3F947175">
      <w:pPr>
        <w:rPr>
          <w:color w:val="auto"/>
          <w:szCs w:val="21"/>
          <w:highlight w:val="none"/>
        </w:rPr>
      </w:pPr>
      <w:r>
        <w:rPr>
          <w:color w:val="auto"/>
          <w:szCs w:val="21"/>
          <w:highlight w:val="none"/>
        </w:rPr>
        <w:t>1</w:t>
      </w:r>
      <w:r>
        <w:rPr>
          <w:rFonts w:hint="eastAsia"/>
          <w:color w:val="auto"/>
          <w:szCs w:val="21"/>
          <w:highlight w:val="none"/>
          <w:lang w:val="en-US" w:eastAsia="zh-CN"/>
        </w:rPr>
        <w:t>2</w:t>
      </w:r>
      <w:r>
        <w:rPr>
          <w:color w:val="auto"/>
          <w:szCs w:val="21"/>
          <w:highlight w:val="none"/>
        </w:rPr>
        <w:t>.1</w:t>
      </w:r>
      <w:r>
        <w:rPr>
          <w:rFonts w:hint="eastAsia"/>
          <w:bCs/>
          <w:color w:val="auto"/>
          <w:szCs w:val="21"/>
          <w:highlight w:val="none"/>
        </w:rPr>
        <w:t>中小企业声明函</w:t>
      </w:r>
      <w:r>
        <w:rPr>
          <w:color w:val="auto"/>
          <w:szCs w:val="21"/>
          <w:highlight w:val="none"/>
        </w:rPr>
        <w:t>。</w:t>
      </w:r>
    </w:p>
    <w:p w14:paraId="5ADC0767">
      <w:pPr>
        <w:spacing w:line="360" w:lineRule="auto"/>
        <w:ind w:firstLine="3584" w:firstLineChars="1700"/>
        <w:rPr>
          <w:b/>
          <w:color w:val="auto"/>
          <w:szCs w:val="21"/>
          <w:highlight w:val="none"/>
        </w:rPr>
      </w:pPr>
      <w:bookmarkStart w:id="101" w:name="_Hlk60649458"/>
    </w:p>
    <w:bookmarkEnd w:id="101"/>
    <w:p w14:paraId="2C79A181">
      <w:pPr>
        <w:spacing w:line="360" w:lineRule="auto"/>
        <w:ind w:firstLine="3584" w:firstLineChars="1700"/>
        <w:rPr>
          <w:b/>
          <w:color w:val="auto"/>
          <w:szCs w:val="21"/>
          <w:highlight w:val="none"/>
        </w:rPr>
      </w:pPr>
      <w:r>
        <w:rPr>
          <w:rFonts w:hint="eastAsia"/>
          <w:b/>
          <w:color w:val="auto"/>
          <w:szCs w:val="21"/>
          <w:highlight w:val="none"/>
        </w:rPr>
        <w:t>中小企业声明函（服务）</w:t>
      </w:r>
    </w:p>
    <w:p w14:paraId="4B24EA0F">
      <w:pPr>
        <w:spacing w:line="360" w:lineRule="auto"/>
        <w:ind w:firstLine="420"/>
        <w:rPr>
          <w:bCs/>
          <w:color w:val="auto"/>
          <w:szCs w:val="21"/>
          <w:highlight w:val="none"/>
        </w:rPr>
      </w:pPr>
      <w:r>
        <w:rPr>
          <w:rFonts w:hint="eastAsia"/>
          <w:bCs/>
          <w:color w:val="auto"/>
          <w:szCs w:val="21"/>
          <w:highlight w:val="none"/>
        </w:rPr>
        <w:t>本公司（联合体）郑重声明，根据《政府采购促进中小企业发展管理办法》（财库﹝2020﹞46 号）的规定，本公司（联合体）参加</w:t>
      </w:r>
      <w:r>
        <w:rPr>
          <w:rFonts w:hint="eastAsia"/>
          <w:bCs/>
          <w:color w:val="auto"/>
          <w:szCs w:val="21"/>
          <w:highlight w:val="none"/>
          <w:u w:val="single"/>
        </w:rPr>
        <w:t>（单位名称）</w:t>
      </w:r>
      <w:r>
        <w:rPr>
          <w:rFonts w:hint="eastAsia"/>
          <w:bCs/>
          <w:color w:val="auto"/>
          <w:szCs w:val="21"/>
          <w:highlight w:val="none"/>
        </w:rPr>
        <w:t>的</w:t>
      </w:r>
      <w:r>
        <w:rPr>
          <w:rFonts w:hint="eastAsia"/>
          <w:bCs/>
          <w:color w:val="auto"/>
          <w:szCs w:val="21"/>
          <w:highlight w:val="none"/>
          <w:u w:val="single"/>
        </w:rPr>
        <w:t>（项目名称）</w:t>
      </w:r>
      <w:r>
        <w:rPr>
          <w:rFonts w:hint="eastAsia"/>
          <w:bCs/>
          <w:color w:val="auto"/>
          <w:szCs w:val="21"/>
          <w:highlight w:val="none"/>
        </w:rPr>
        <w:t>采购活动，服务全部由符合政策要求的中小企业承接。相关企业（含联合体中的中小企业、签订分包意向协议的中小企业） 的具体情况如下：</w:t>
      </w:r>
    </w:p>
    <w:p w14:paraId="2EC77A3B">
      <w:pPr>
        <w:spacing w:line="360" w:lineRule="auto"/>
        <w:ind w:firstLine="420"/>
        <w:rPr>
          <w:bCs/>
          <w:color w:val="auto"/>
          <w:szCs w:val="21"/>
          <w:highlight w:val="none"/>
        </w:rPr>
      </w:pPr>
      <w:r>
        <w:rPr>
          <w:bCs/>
          <w:color w:val="auto"/>
          <w:szCs w:val="21"/>
          <w:highlight w:val="none"/>
        </w:rPr>
        <w:t>1.</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695BFBEA">
      <w:pPr>
        <w:spacing w:line="360" w:lineRule="auto"/>
        <w:ind w:firstLine="420"/>
        <w:rPr>
          <w:bCs/>
          <w:color w:val="auto"/>
          <w:szCs w:val="21"/>
          <w:highlight w:val="none"/>
        </w:rPr>
      </w:pPr>
      <w:r>
        <w:rPr>
          <w:bCs/>
          <w:color w:val="auto"/>
          <w:szCs w:val="21"/>
          <w:highlight w:val="none"/>
        </w:rPr>
        <w:t>2.</w:t>
      </w:r>
      <w:r>
        <w:rPr>
          <w:rFonts w:hint="eastAsia"/>
          <w:bCs/>
          <w:color w:val="auto"/>
          <w:szCs w:val="21"/>
          <w:highlight w:val="none"/>
          <w:u w:val="single"/>
        </w:rPr>
        <w:t>（标的名称）</w:t>
      </w:r>
      <w:r>
        <w:rPr>
          <w:rFonts w:hint="eastAsia"/>
          <w:bCs/>
          <w:color w:val="auto"/>
          <w:szCs w:val="21"/>
          <w:highlight w:val="none"/>
        </w:rPr>
        <w:t>，属于</w:t>
      </w:r>
      <w:r>
        <w:rPr>
          <w:rFonts w:hint="eastAsia"/>
          <w:bCs/>
          <w:color w:val="auto"/>
          <w:szCs w:val="21"/>
          <w:highlight w:val="none"/>
          <w:u w:val="single"/>
        </w:rPr>
        <w:t>（采购文件中明确的所属行业）</w:t>
      </w:r>
      <w:r>
        <w:rPr>
          <w:rFonts w:hint="eastAsia"/>
          <w:bCs/>
          <w:color w:val="auto"/>
          <w:szCs w:val="21"/>
          <w:highlight w:val="none"/>
        </w:rPr>
        <w:t>行业；承接企业为</w:t>
      </w:r>
      <w:r>
        <w:rPr>
          <w:rFonts w:hint="eastAsia"/>
          <w:bCs/>
          <w:color w:val="auto"/>
          <w:szCs w:val="21"/>
          <w:highlight w:val="none"/>
          <w:u w:val="single"/>
        </w:rPr>
        <w:t>（企业名称）</w:t>
      </w:r>
      <w:r>
        <w:rPr>
          <w:rFonts w:hint="eastAsia"/>
          <w:bCs/>
          <w:color w:val="auto"/>
          <w:szCs w:val="21"/>
          <w:highlight w:val="none"/>
        </w:rPr>
        <w:t>，从业人员</w:t>
      </w:r>
      <w:r>
        <w:rPr>
          <w:rFonts w:hint="eastAsia"/>
          <w:bCs/>
          <w:color w:val="auto"/>
          <w:szCs w:val="21"/>
          <w:highlight w:val="none"/>
          <w:u w:val="single"/>
        </w:rPr>
        <w:t xml:space="preserve">       </w:t>
      </w:r>
      <w:r>
        <w:rPr>
          <w:rFonts w:hint="eastAsia"/>
          <w:bCs/>
          <w:color w:val="auto"/>
          <w:szCs w:val="21"/>
          <w:highlight w:val="none"/>
        </w:rPr>
        <w:t>人，营业收入为</w:t>
      </w:r>
      <w:r>
        <w:rPr>
          <w:rFonts w:hint="eastAsia"/>
          <w:bCs/>
          <w:color w:val="auto"/>
          <w:szCs w:val="21"/>
          <w:highlight w:val="none"/>
          <w:u w:val="single"/>
        </w:rPr>
        <w:t xml:space="preserve">     </w:t>
      </w:r>
      <w:r>
        <w:rPr>
          <w:rFonts w:hint="eastAsia"/>
          <w:bCs/>
          <w:color w:val="auto"/>
          <w:szCs w:val="21"/>
          <w:highlight w:val="none"/>
        </w:rPr>
        <w:t>万元，资产总额为</w:t>
      </w:r>
      <w:r>
        <w:rPr>
          <w:rFonts w:hint="eastAsia"/>
          <w:bCs/>
          <w:color w:val="auto"/>
          <w:szCs w:val="21"/>
          <w:highlight w:val="none"/>
          <w:u w:val="single"/>
        </w:rPr>
        <w:t xml:space="preserve"> </w:t>
      </w:r>
      <w:r>
        <w:rPr>
          <w:bCs/>
          <w:color w:val="auto"/>
          <w:szCs w:val="21"/>
          <w:highlight w:val="none"/>
          <w:u w:val="single"/>
        </w:rPr>
        <w:t xml:space="preserve">     </w:t>
      </w:r>
      <w:r>
        <w:rPr>
          <w:rFonts w:hint="eastAsia"/>
          <w:bCs/>
          <w:color w:val="auto"/>
          <w:szCs w:val="21"/>
          <w:highlight w:val="none"/>
          <w:u w:val="single"/>
        </w:rPr>
        <w:t xml:space="preserve"> </w:t>
      </w:r>
      <w:r>
        <w:rPr>
          <w:rFonts w:hint="eastAsia"/>
          <w:bCs/>
          <w:color w:val="auto"/>
          <w:szCs w:val="21"/>
          <w:highlight w:val="none"/>
        </w:rPr>
        <w:t>万元，属于</w:t>
      </w:r>
      <w:r>
        <w:rPr>
          <w:rFonts w:hint="eastAsia"/>
          <w:bCs/>
          <w:color w:val="auto"/>
          <w:szCs w:val="21"/>
          <w:highlight w:val="none"/>
          <w:u w:val="single"/>
        </w:rPr>
        <w:t>（中型企业、小型企业、微型企业）</w:t>
      </w:r>
      <w:r>
        <w:rPr>
          <w:rFonts w:hint="eastAsia"/>
          <w:bCs/>
          <w:color w:val="auto"/>
          <w:szCs w:val="21"/>
          <w:highlight w:val="none"/>
        </w:rPr>
        <w:t>；</w:t>
      </w:r>
    </w:p>
    <w:p w14:paraId="7DF58885">
      <w:pPr>
        <w:spacing w:line="360" w:lineRule="auto"/>
        <w:ind w:firstLine="420"/>
        <w:rPr>
          <w:bCs/>
          <w:color w:val="auto"/>
          <w:szCs w:val="21"/>
          <w:highlight w:val="none"/>
        </w:rPr>
      </w:pPr>
      <w:r>
        <w:rPr>
          <w:rFonts w:hint="eastAsia"/>
          <w:bCs/>
          <w:color w:val="auto"/>
          <w:szCs w:val="21"/>
          <w:highlight w:val="none"/>
        </w:rPr>
        <w:t>……</w:t>
      </w:r>
    </w:p>
    <w:p w14:paraId="3FDA553D">
      <w:pPr>
        <w:spacing w:line="360" w:lineRule="auto"/>
        <w:ind w:firstLine="420"/>
        <w:rPr>
          <w:bCs/>
          <w:color w:val="auto"/>
          <w:szCs w:val="21"/>
          <w:highlight w:val="none"/>
        </w:rPr>
      </w:pPr>
      <w:r>
        <w:rPr>
          <w:rFonts w:hint="eastAsia"/>
          <w:bCs/>
          <w:color w:val="auto"/>
          <w:szCs w:val="21"/>
          <w:highlight w:val="none"/>
        </w:rPr>
        <w:t>以上企业，不属于大企业的分支机构，不存在控股股东为大企业的情形，也不存在与大企业的负责人为同一人的情形。</w:t>
      </w:r>
    </w:p>
    <w:p w14:paraId="7D245FC6">
      <w:pPr>
        <w:spacing w:line="360" w:lineRule="auto"/>
        <w:ind w:firstLine="420"/>
        <w:rPr>
          <w:bCs/>
          <w:color w:val="auto"/>
          <w:szCs w:val="21"/>
          <w:highlight w:val="none"/>
        </w:rPr>
      </w:pPr>
      <w:r>
        <w:rPr>
          <w:rFonts w:hint="eastAsia"/>
          <w:bCs/>
          <w:color w:val="auto"/>
          <w:szCs w:val="21"/>
          <w:highlight w:val="none"/>
        </w:rPr>
        <w:t>本企业对上述声明内容的真实性负责。如有虚假，将依法承担相应责任。</w:t>
      </w:r>
    </w:p>
    <w:p w14:paraId="3690C1C8">
      <w:pPr>
        <w:spacing w:line="360" w:lineRule="auto"/>
        <w:ind w:firstLine="3150" w:firstLineChars="1500"/>
        <w:rPr>
          <w:bCs/>
          <w:color w:val="auto"/>
          <w:szCs w:val="21"/>
          <w:highlight w:val="none"/>
        </w:rPr>
      </w:pPr>
      <w:r>
        <w:rPr>
          <w:rFonts w:hint="eastAsia"/>
          <w:bCs/>
          <w:color w:val="auto"/>
          <w:szCs w:val="21"/>
          <w:highlight w:val="none"/>
        </w:rPr>
        <w:t xml:space="preserve">企业名称（电子签章）： </w:t>
      </w:r>
      <w:r>
        <w:rPr>
          <w:bCs/>
          <w:color w:val="auto"/>
          <w:szCs w:val="21"/>
          <w:highlight w:val="none"/>
        </w:rPr>
        <w:t xml:space="preserve"> </w:t>
      </w:r>
      <w:r>
        <w:rPr>
          <w:rFonts w:hint="eastAsia"/>
          <w:bCs/>
          <w:color w:val="auto"/>
          <w:szCs w:val="21"/>
          <w:highlight w:val="none"/>
        </w:rPr>
        <w:t>日期：</w:t>
      </w:r>
    </w:p>
    <w:p w14:paraId="3397786E">
      <w:pPr>
        <w:spacing w:line="360" w:lineRule="auto"/>
        <w:jc w:val="left"/>
        <w:rPr>
          <w:bCs/>
          <w:color w:val="auto"/>
          <w:szCs w:val="21"/>
          <w:highlight w:val="none"/>
        </w:rPr>
      </w:pPr>
      <w:r>
        <w:rPr>
          <w:rFonts w:hint="eastAsia"/>
          <w:bCs/>
          <w:color w:val="auto"/>
          <w:szCs w:val="21"/>
          <w:highlight w:val="none"/>
        </w:rPr>
        <w:t>（1）标的名称按照第二章采购需求一览表中的名称填写，</w:t>
      </w:r>
      <w:r>
        <w:rPr>
          <w:color w:val="auto"/>
          <w:szCs w:val="21"/>
          <w:highlight w:val="none"/>
        </w:rPr>
        <w:t>所属行业标明“/”的</w:t>
      </w:r>
      <w:r>
        <w:rPr>
          <w:rFonts w:hint="eastAsia"/>
          <w:bCs/>
          <w:color w:val="auto"/>
          <w:szCs w:val="21"/>
          <w:highlight w:val="none"/>
        </w:rPr>
        <w:t>，无需在上表填写。</w:t>
      </w:r>
    </w:p>
    <w:p w14:paraId="58B335AA">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2</w:t>
      </w:r>
      <w:r>
        <w:rPr>
          <w:rFonts w:hint="eastAsia"/>
          <w:bCs/>
          <w:color w:val="auto"/>
          <w:szCs w:val="21"/>
          <w:highlight w:val="none"/>
        </w:rPr>
        <w:t>）如供应商为联合体或分包的，声明函中“项目名称”应填写联合体中小微企业承担的具体内容或者小微企业具体分包内容。</w:t>
      </w:r>
    </w:p>
    <w:p w14:paraId="210B65EC">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3</w:t>
      </w:r>
      <w:r>
        <w:rPr>
          <w:rFonts w:hint="eastAsia"/>
          <w:bCs/>
          <w:color w:val="auto"/>
          <w:szCs w:val="21"/>
          <w:highlight w:val="none"/>
        </w:rPr>
        <w:t>）从业人员、营业收入、资产总额填报上一年度数据，无上一年度数据的新成立企业参照国务院批准的中小企业划分标准，根据企业自身情况如实判断。</w:t>
      </w:r>
    </w:p>
    <w:p w14:paraId="51E4A806">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4</w:t>
      </w:r>
      <w:r>
        <w:rPr>
          <w:rFonts w:hint="eastAsia"/>
          <w:bCs/>
          <w:color w:val="auto"/>
          <w:szCs w:val="21"/>
          <w:highlight w:val="none"/>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2E35B8F7">
      <w:pPr>
        <w:spacing w:line="360" w:lineRule="auto"/>
        <w:jc w:val="left"/>
        <w:rPr>
          <w:rFonts w:hint="eastAsia"/>
          <w:bCs/>
          <w:color w:val="auto"/>
          <w:szCs w:val="21"/>
          <w:highlight w:val="none"/>
        </w:rPr>
      </w:pPr>
      <w:r>
        <w:rPr>
          <w:rFonts w:hint="eastAsia"/>
          <w:bCs/>
          <w:color w:val="auto"/>
          <w:szCs w:val="21"/>
          <w:highlight w:val="none"/>
        </w:rPr>
        <w:t>（5）根据</w:t>
      </w:r>
      <w:r>
        <w:rPr>
          <w:rFonts w:hint="eastAsia"/>
          <w:bCs/>
          <w:color w:val="auto"/>
          <w:szCs w:val="21"/>
          <w:highlight w:val="none"/>
          <w:lang w:eastAsia="zh-CN"/>
        </w:rPr>
        <w:t>国家统计局</w:t>
      </w:r>
      <w:r>
        <w:rPr>
          <w:rFonts w:hint="eastAsia"/>
          <w:bCs/>
          <w:color w:val="auto"/>
          <w:szCs w:val="21"/>
          <w:highlight w:val="none"/>
        </w:rPr>
        <w:t>《劳动工资统计报表制度》，从业人员数是指本单位工作，并取得工资或其他形式劳动报酬的人员数，是在岗职工、劳务派遣人员及其他从业人员之和。</w:t>
      </w:r>
    </w:p>
    <w:p w14:paraId="1434EEC5">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6</w:t>
      </w:r>
      <w:r>
        <w:rPr>
          <w:rFonts w:hint="eastAsia"/>
          <w:bCs/>
          <w:color w:val="auto"/>
          <w:szCs w:val="21"/>
          <w:highlight w:val="none"/>
        </w:rPr>
        <w:t>）本声明函由供应商填写，供应商应按中小企业划分标准《关于印发中小企业划型标准规定的通知》（工信部联企业〔2011〕300号</w:t>
      </w:r>
      <w:r>
        <w:rPr>
          <w:rFonts w:hint="eastAsia"/>
          <w:color w:val="auto"/>
          <w:szCs w:val="21"/>
          <w:highlight w:val="none"/>
        </w:rPr>
        <w:t>以及《金融业企业划型标准规定》（银发〔2015〕309号）</w:t>
      </w:r>
      <w:r>
        <w:rPr>
          <w:rFonts w:hint="eastAsia"/>
          <w:bCs/>
          <w:color w:val="auto"/>
          <w:szCs w:val="21"/>
          <w:highlight w:val="none"/>
        </w:rPr>
        <w:t>）判断是否为中小企业。</w:t>
      </w:r>
    </w:p>
    <w:p w14:paraId="69B49DC3">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7</w:t>
      </w:r>
      <w:r>
        <w:rPr>
          <w:rFonts w:hint="eastAsia"/>
          <w:bCs/>
          <w:color w:val="auto"/>
          <w:szCs w:val="21"/>
          <w:highlight w:val="none"/>
        </w:rPr>
        <w:t>）供应商对《中小企业声明函》的真实性负责，如有虚假则需承担不利后果。依法享受中小企业优惠政策的，采购人或采购代理机构在公告成交结果时，同时公告其《中小企业声明函》，接受社会监督。</w:t>
      </w:r>
    </w:p>
    <w:p w14:paraId="34AAEA6B">
      <w:pPr>
        <w:spacing w:line="360" w:lineRule="auto"/>
        <w:jc w:val="left"/>
        <w:rPr>
          <w:bCs/>
          <w:color w:val="auto"/>
          <w:szCs w:val="21"/>
          <w:highlight w:val="none"/>
        </w:rPr>
      </w:pPr>
      <w:r>
        <w:rPr>
          <w:rFonts w:hint="eastAsia"/>
          <w:bCs/>
          <w:color w:val="auto"/>
          <w:szCs w:val="21"/>
          <w:highlight w:val="none"/>
        </w:rPr>
        <w:t>（</w:t>
      </w:r>
      <w:r>
        <w:rPr>
          <w:bCs/>
          <w:color w:val="auto"/>
          <w:szCs w:val="21"/>
          <w:highlight w:val="none"/>
        </w:rPr>
        <w:t>8</w:t>
      </w:r>
      <w:r>
        <w:rPr>
          <w:rFonts w:hint="eastAsia"/>
          <w:bCs/>
          <w:color w:val="auto"/>
          <w:szCs w:val="21"/>
          <w:highlight w:val="none"/>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21FC504E">
      <w:pPr>
        <w:snapToGrid w:val="0"/>
        <w:spacing w:before="50" w:after="120" w:afterLines="50"/>
        <w:jc w:val="left"/>
        <w:rPr>
          <w:rFonts w:hint="eastAsia"/>
          <w:color w:val="auto"/>
          <w:szCs w:val="21"/>
          <w:highlight w:val="none"/>
        </w:rPr>
      </w:pPr>
    </w:p>
    <w:p w14:paraId="13D45061">
      <w:pPr>
        <w:snapToGrid w:val="0"/>
        <w:spacing w:before="50" w:after="120" w:afterLines="50"/>
        <w:jc w:val="left"/>
        <w:rPr>
          <w:color w:val="auto"/>
          <w:szCs w:val="21"/>
          <w:highlight w:val="none"/>
        </w:rPr>
      </w:pPr>
      <w:r>
        <w:rPr>
          <w:color w:val="auto"/>
          <w:szCs w:val="21"/>
          <w:highlight w:val="none"/>
        </w:rPr>
        <w:t>1</w:t>
      </w:r>
      <w:r>
        <w:rPr>
          <w:rFonts w:hint="eastAsia"/>
          <w:color w:val="auto"/>
          <w:szCs w:val="21"/>
          <w:highlight w:val="none"/>
          <w:lang w:val="en-US" w:eastAsia="zh-CN"/>
        </w:rPr>
        <w:t>2</w:t>
      </w:r>
      <w:r>
        <w:rPr>
          <w:color w:val="auto"/>
          <w:szCs w:val="21"/>
          <w:highlight w:val="none"/>
        </w:rPr>
        <w:t>.2监狱企业须提供最新一期《XX省监狱企业产品目录》或其他监狱企业证明材料。（非监狱企业无需提供）</w:t>
      </w:r>
    </w:p>
    <w:p w14:paraId="6D2E2A31">
      <w:pPr>
        <w:snapToGrid w:val="0"/>
        <w:spacing w:before="50" w:after="120" w:afterLines="50"/>
        <w:jc w:val="left"/>
        <w:rPr>
          <w:color w:val="auto"/>
          <w:szCs w:val="21"/>
          <w:highlight w:val="none"/>
        </w:rPr>
      </w:pPr>
    </w:p>
    <w:p w14:paraId="76FFF041">
      <w:pPr>
        <w:snapToGrid w:val="0"/>
        <w:spacing w:before="50" w:after="120" w:afterLines="50"/>
        <w:jc w:val="left"/>
        <w:rPr>
          <w:color w:val="auto"/>
          <w:highlight w:val="none"/>
        </w:rPr>
      </w:pPr>
      <w:r>
        <w:rPr>
          <w:color w:val="auto"/>
          <w:szCs w:val="21"/>
          <w:highlight w:val="none"/>
        </w:rPr>
        <w:t>1</w:t>
      </w:r>
      <w:r>
        <w:rPr>
          <w:rFonts w:hint="eastAsia"/>
          <w:color w:val="auto"/>
          <w:szCs w:val="21"/>
          <w:highlight w:val="none"/>
          <w:lang w:val="en-US" w:eastAsia="zh-CN"/>
        </w:rPr>
        <w:t>2</w:t>
      </w:r>
      <w:r>
        <w:rPr>
          <w:color w:val="auto"/>
          <w:szCs w:val="21"/>
          <w:highlight w:val="none"/>
        </w:rPr>
        <w:t>.3</w:t>
      </w:r>
      <w:bookmarkStart w:id="102" w:name="_Hlk19051624"/>
      <w:r>
        <w:rPr>
          <w:color w:val="auto"/>
          <w:highlight w:val="none"/>
        </w:rPr>
        <w:t>残疾人福利性单位须提供《残疾人福利性单位声明函》，格式如下。</w:t>
      </w:r>
      <w:r>
        <w:rPr>
          <w:color w:val="auto"/>
          <w:szCs w:val="21"/>
          <w:highlight w:val="none"/>
        </w:rPr>
        <w:t>（非残疾人福利性单位无需提供）</w:t>
      </w:r>
    </w:p>
    <w:bookmarkEnd w:id="102"/>
    <w:p w14:paraId="162BEDF9">
      <w:pPr>
        <w:spacing w:line="360" w:lineRule="auto"/>
        <w:jc w:val="center"/>
        <w:rPr>
          <w:b/>
          <w:color w:val="auto"/>
          <w:szCs w:val="21"/>
          <w:highlight w:val="none"/>
        </w:rPr>
      </w:pPr>
      <w:bookmarkStart w:id="103" w:name="OLE_LINK13"/>
      <w:bookmarkStart w:id="104" w:name="OLE_LINK14"/>
      <w:r>
        <w:rPr>
          <w:b/>
          <w:color w:val="auto"/>
          <w:szCs w:val="21"/>
          <w:highlight w:val="none"/>
        </w:rPr>
        <w:t>残疾人福利性单位声明函</w:t>
      </w:r>
      <w:bookmarkEnd w:id="103"/>
      <w:bookmarkEnd w:id="104"/>
    </w:p>
    <w:p w14:paraId="78D22D37">
      <w:pPr>
        <w:spacing w:line="360" w:lineRule="auto"/>
        <w:ind w:firstLine="420"/>
        <w:jc w:val="left"/>
        <w:rPr>
          <w:color w:val="auto"/>
          <w:szCs w:val="21"/>
          <w:highlight w:val="none"/>
        </w:rPr>
      </w:pPr>
      <w:r>
        <w:rPr>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color w:val="auto"/>
          <w:szCs w:val="21"/>
          <w:highlight w:val="none"/>
          <w:u w:val="single"/>
        </w:rPr>
        <w:t xml:space="preserve">        </w:t>
      </w:r>
      <w:r>
        <w:rPr>
          <w:color w:val="auto"/>
          <w:szCs w:val="21"/>
          <w:highlight w:val="none"/>
        </w:rPr>
        <w:t>单位的</w:t>
      </w:r>
      <w:r>
        <w:rPr>
          <w:color w:val="auto"/>
          <w:szCs w:val="21"/>
          <w:highlight w:val="none"/>
          <w:u w:val="single"/>
        </w:rPr>
        <w:t xml:space="preserve">           </w:t>
      </w:r>
      <w:r>
        <w:rPr>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457B25A">
      <w:pPr>
        <w:spacing w:line="360" w:lineRule="auto"/>
        <w:ind w:firstLine="420"/>
        <w:rPr>
          <w:rFonts w:hint="eastAsia"/>
          <w:color w:val="auto"/>
          <w:szCs w:val="21"/>
          <w:highlight w:val="none"/>
        </w:rPr>
      </w:pPr>
      <w:r>
        <w:rPr>
          <w:color w:val="auto"/>
          <w:szCs w:val="21"/>
          <w:highlight w:val="none"/>
        </w:rPr>
        <w:t>本单位对上述声明的真实性负责。如有虚假，将依法承担相应责任。</w:t>
      </w:r>
    </w:p>
    <w:p w14:paraId="6A500044">
      <w:pPr>
        <w:spacing w:line="360" w:lineRule="auto"/>
        <w:ind w:firstLine="420"/>
        <w:rPr>
          <w:color w:val="auto"/>
          <w:spacing w:val="6"/>
          <w:szCs w:val="21"/>
          <w:highlight w:val="none"/>
        </w:rPr>
      </w:pPr>
      <w:r>
        <w:rPr>
          <w:color w:val="auto"/>
          <w:spacing w:val="6"/>
          <w:sz w:val="30"/>
          <w:szCs w:val="30"/>
          <w:highlight w:val="none"/>
        </w:rPr>
        <w:t xml:space="preserve"> </w:t>
      </w:r>
      <w:r>
        <w:rPr>
          <w:color w:val="auto"/>
          <w:spacing w:val="6"/>
          <w:szCs w:val="21"/>
          <w:highlight w:val="none"/>
        </w:rPr>
        <w:t xml:space="preserve"> </w:t>
      </w:r>
      <w:r>
        <w:rPr>
          <w:rFonts w:hint="eastAsia"/>
          <w:color w:val="auto"/>
          <w:spacing w:val="6"/>
          <w:szCs w:val="21"/>
          <w:highlight w:val="none"/>
        </w:rPr>
        <w:t xml:space="preserve">                                            </w:t>
      </w:r>
    </w:p>
    <w:p w14:paraId="04AE0404">
      <w:pPr>
        <w:spacing w:line="360" w:lineRule="auto"/>
        <w:ind w:firstLine="420"/>
        <w:jc w:val="right"/>
        <w:rPr>
          <w:rFonts w:hint="eastAsia"/>
          <w:color w:val="auto"/>
          <w:spacing w:val="6"/>
          <w:szCs w:val="21"/>
          <w:highlight w:val="none"/>
        </w:rPr>
      </w:pPr>
      <w:r>
        <w:rPr>
          <w:color w:val="auto"/>
          <w:spacing w:val="6"/>
          <w:szCs w:val="21"/>
          <w:highlight w:val="none"/>
        </w:rPr>
        <w:t>单位名称（</w:t>
      </w:r>
      <w:r>
        <w:rPr>
          <w:rFonts w:hint="eastAsia"/>
          <w:color w:val="auto"/>
          <w:spacing w:val="6"/>
          <w:szCs w:val="21"/>
          <w:highlight w:val="none"/>
        </w:rPr>
        <w:t>电子签章</w:t>
      </w:r>
      <w:r>
        <w:rPr>
          <w:color w:val="auto"/>
          <w:spacing w:val="6"/>
          <w:szCs w:val="21"/>
          <w:highlight w:val="none"/>
        </w:rPr>
        <w:t xml:space="preserve">）：          </w:t>
      </w:r>
    </w:p>
    <w:p w14:paraId="3A890FC0">
      <w:pPr>
        <w:spacing w:line="360" w:lineRule="auto"/>
        <w:ind w:firstLine="420"/>
        <w:rPr>
          <w:color w:val="auto"/>
          <w:szCs w:val="21"/>
          <w:highlight w:val="none"/>
        </w:rPr>
      </w:pPr>
      <w:r>
        <w:rPr>
          <w:color w:val="auto"/>
          <w:spacing w:val="6"/>
          <w:szCs w:val="21"/>
          <w:highlight w:val="none"/>
        </w:rPr>
        <w:t xml:space="preserve"> </w:t>
      </w:r>
      <w:r>
        <w:rPr>
          <w:rFonts w:hint="eastAsia"/>
          <w:color w:val="auto"/>
          <w:spacing w:val="6"/>
          <w:szCs w:val="21"/>
          <w:highlight w:val="none"/>
        </w:rPr>
        <w:t xml:space="preserve">                                                      </w:t>
      </w:r>
      <w:r>
        <w:rPr>
          <w:color w:val="auto"/>
          <w:spacing w:val="6"/>
          <w:szCs w:val="21"/>
          <w:highlight w:val="none"/>
        </w:rPr>
        <w:t>日  期：</w:t>
      </w:r>
    </w:p>
    <w:p w14:paraId="5C89B333">
      <w:pPr>
        <w:rPr>
          <w:color w:val="auto"/>
          <w:highlight w:val="none"/>
        </w:rPr>
      </w:pPr>
    </w:p>
    <w:p w14:paraId="140D5E89">
      <w:pPr>
        <w:pStyle w:val="19"/>
        <w:rPr>
          <w:color w:val="auto"/>
          <w:highlight w:val="none"/>
        </w:rPr>
        <w:sectPr>
          <w:headerReference r:id="rId25" w:type="default"/>
          <w:pgSz w:w="11906" w:h="16838"/>
          <w:pgMar w:top="1418" w:right="1274" w:bottom="1418" w:left="1418" w:header="851" w:footer="992" w:gutter="0"/>
          <w:pgNumType w:fmt="decimal"/>
          <w:cols w:space="720" w:num="1"/>
          <w:docGrid w:linePitch="312" w:charSpace="0"/>
        </w:sectPr>
      </w:pPr>
    </w:p>
    <w:p w14:paraId="57487D08">
      <w:pPr>
        <w:snapToGrid w:val="0"/>
        <w:spacing w:before="50" w:after="120" w:afterLines="50"/>
        <w:jc w:val="left"/>
        <w:rPr>
          <w:color w:val="auto"/>
          <w:szCs w:val="21"/>
          <w:highlight w:val="none"/>
        </w:rPr>
      </w:pPr>
      <w:r>
        <w:rPr>
          <w:color w:val="auto"/>
          <w:szCs w:val="21"/>
          <w:highlight w:val="none"/>
        </w:rPr>
        <w:t>1</w:t>
      </w:r>
      <w:r>
        <w:rPr>
          <w:rFonts w:hint="eastAsia"/>
          <w:color w:val="auto"/>
          <w:szCs w:val="21"/>
          <w:highlight w:val="none"/>
          <w:lang w:val="en-US" w:eastAsia="zh-CN"/>
        </w:rPr>
        <w:t>3</w:t>
      </w:r>
      <w:r>
        <w:rPr>
          <w:color w:val="auto"/>
          <w:szCs w:val="21"/>
          <w:highlight w:val="none"/>
        </w:rPr>
        <w:t>.</w:t>
      </w:r>
      <w:r>
        <w:rPr>
          <w:rFonts w:hint="eastAsia"/>
          <w:color w:val="auto"/>
          <w:highlight w:val="none"/>
        </w:rPr>
        <w:t xml:space="preserve"> </w:t>
      </w:r>
      <w:r>
        <w:rPr>
          <w:rFonts w:hint="eastAsia"/>
          <w:color w:val="auto"/>
          <w:szCs w:val="21"/>
          <w:highlight w:val="none"/>
        </w:rPr>
        <w:t>无串标行为承诺函</w:t>
      </w:r>
    </w:p>
    <w:p w14:paraId="0ED589AD">
      <w:pPr>
        <w:snapToGrid w:val="0"/>
        <w:spacing w:before="50" w:after="120" w:afterLines="50"/>
        <w:jc w:val="center"/>
        <w:rPr>
          <w:color w:val="auto"/>
          <w:szCs w:val="21"/>
          <w:highlight w:val="none"/>
        </w:rPr>
      </w:pPr>
    </w:p>
    <w:p w14:paraId="29830D0C">
      <w:pPr>
        <w:snapToGrid w:val="0"/>
        <w:spacing w:before="50" w:after="120" w:afterLines="50"/>
        <w:jc w:val="center"/>
        <w:rPr>
          <w:color w:val="auto"/>
          <w:szCs w:val="21"/>
          <w:highlight w:val="none"/>
        </w:rPr>
      </w:pPr>
      <w:r>
        <w:rPr>
          <w:rFonts w:hint="eastAsia"/>
          <w:color w:val="auto"/>
          <w:szCs w:val="21"/>
          <w:highlight w:val="none"/>
        </w:rPr>
        <w:t>供应商参加本项目无围标串标行为的承诺函</w:t>
      </w:r>
    </w:p>
    <w:p w14:paraId="265FCB1C">
      <w:pPr>
        <w:snapToGrid w:val="0"/>
        <w:spacing w:before="50" w:after="120" w:afterLines="50"/>
        <w:jc w:val="left"/>
        <w:rPr>
          <w:color w:val="auto"/>
          <w:szCs w:val="21"/>
          <w:highlight w:val="none"/>
        </w:rPr>
      </w:pPr>
    </w:p>
    <w:p w14:paraId="7A68515B">
      <w:pPr>
        <w:snapToGrid w:val="0"/>
        <w:spacing w:before="50" w:after="120" w:afterLines="50"/>
        <w:jc w:val="left"/>
        <w:rPr>
          <w:color w:val="auto"/>
          <w:szCs w:val="21"/>
          <w:highlight w:val="none"/>
        </w:rPr>
      </w:pPr>
      <w:r>
        <w:rPr>
          <w:rFonts w:hint="eastAsia"/>
          <w:color w:val="auto"/>
          <w:szCs w:val="21"/>
          <w:highlight w:val="none"/>
        </w:rPr>
        <w:t>一、我方承诺无下列相互串通投标的情形：</w:t>
      </w:r>
    </w:p>
    <w:p w14:paraId="1A753683">
      <w:pPr>
        <w:snapToGrid w:val="0"/>
        <w:spacing w:before="50" w:after="120" w:afterLines="50"/>
        <w:jc w:val="left"/>
        <w:rPr>
          <w:color w:val="auto"/>
          <w:szCs w:val="21"/>
          <w:highlight w:val="none"/>
        </w:rPr>
      </w:pPr>
      <w:r>
        <w:rPr>
          <w:rFonts w:hint="eastAsia"/>
          <w:color w:val="auto"/>
          <w:szCs w:val="21"/>
          <w:highlight w:val="none"/>
        </w:rPr>
        <w:t>1.不同供应商的响应文件由同一单位或者个人编制；或者不同供应商报名的IP地址一致的；</w:t>
      </w:r>
    </w:p>
    <w:p w14:paraId="2395F5F6">
      <w:pPr>
        <w:snapToGrid w:val="0"/>
        <w:spacing w:before="50" w:after="120" w:afterLines="50"/>
        <w:jc w:val="left"/>
        <w:rPr>
          <w:color w:val="auto"/>
          <w:szCs w:val="21"/>
          <w:highlight w:val="none"/>
        </w:rPr>
      </w:pPr>
      <w:r>
        <w:rPr>
          <w:rFonts w:hint="eastAsia"/>
          <w:color w:val="auto"/>
          <w:szCs w:val="21"/>
          <w:highlight w:val="none"/>
        </w:rPr>
        <w:t>2.不同供应商委托同一单位或者个人办理投标事宜；</w:t>
      </w:r>
    </w:p>
    <w:p w14:paraId="7D867A53">
      <w:pPr>
        <w:snapToGrid w:val="0"/>
        <w:spacing w:before="50" w:after="120" w:afterLines="50"/>
        <w:jc w:val="left"/>
        <w:rPr>
          <w:color w:val="auto"/>
          <w:szCs w:val="21"/>
          <w:highlight w:val="none"/>
        </w:rPr>
      </w:pPr>
      <w:r>
        <w:rPr>
          <w:rFonts w:hint="eastAsia"/>
          <w:color w:val="auto"/>
          <w:szCs w:val="21"/>
          <w:highlight w:val="none"/>
        </w:rPr>
        <w:t>3.不同的供应商的响应文件载明的项目管理员为同一个人；</w:t>
      </w:r>
    </w:p>
    <w:p w14:paraId="1C78F9C6">
      <w:pPr>
        <w:snapToGrid w:val="0"/>
        <w:spacing w:before="50" w:after="120" w:afterLines="50"/>
        <w:jc w:val="left"/>
        <w:rPr>
          <w:color w:val="auto"/>
          <w:szCs w:val="21"/>
          <w:highlight w:val="none"/>
        </w:rPr>
      </w:pPr>
      <w:r>
        <w:rPr>
          <w:rFonts w:hint="eastAsia"/>
          <w:color w:val="auto"/>
          <w:szCs w:val="21"/>
          <w:highlight w:val="none"/>
        </w:rPr>
        <w:t>4.不同供应商的响应文件异常一致或者投标报价呈规律性差异；</w:t>
      </w:r>
    </w:p>
    <w:p w14:paraId="34BB1A1F">
      <w:pPr>
        <w:snapToGrid w:val="0"/>
        <w:spacing w:before="50" w:after="120" w:afterLines="50"/>
        <w:jc w:val="left"/>
        <w:rPr>
          <w:color w:val="auto"/>
          <w:szCs w:val="21"/>
          <w:highlight w:val="none"/>
        </w:rPr>
      </w:pPr>
      <w:r>
        <w:rPr>
          <w:rFonts w:hint="eastAsia"/>
          <w:color w:val="auto"/>
          <w:szCs w:val="21"/>
          <w:highlight w:val="none"/>
        </w:rPr>
        <w:t>5.不同供应商的响应文件相互混装；</w:t>
      </w:r>
    </w:p>
    <w:p w14:paraId="3C710605">
      <w:pPr>
        <w:snapToGrid w:val="0"/>
        <w:spacing w:before="50" w:after="120" w:afterLines="50"/>
        <w:jc w:val="left"/>
        <w:rPr>
          <w:color w:val="auto"/>
          <w:szCs w:val="21"/>
          <w:highlight w:val="none"/>
        </w:rPr>
      </w:pPr>
      <w:r>
        <w:rPr>
          <w:rFonts w:hint="eastAsia"/>
          <w:color w:val="auto"/>
          <w:szCs w:val="21"/>
          <w:highlight w:val="none"/>
        </w:rPr>
        <w:t>6.不同供应商的磋商保证金从同一单位或者个人账户转出。</w:t>
      </w:r>
    </w:p>
    <w:p w14:paraId="398499AE">
      <w:pPr>
        <w:snapToGrid w:val="0"/>
        <w:spacing w:before="50" w:after="120" w:afterLines="50"/>
        <w:jc w:val="left"/>
        <w:rPr>
          <w:color w:val="auto"/>
          <w:szCs w:val="21"/>
          <w:highlight w:val="none"/>
        </w:rPr>
      </w:pPr>
      <w:r>
        <w:rPr>
          <w:rFonts w:hint="eastAsia"/>
          <w:color w:val="auto"/>
          <w:szCs w:val="21"/>
          <w:highlight w:val="none"/>
        </w:rPr>
        <w:t>二、我方承诺无下列恶意串通的情形：</w:t>
      </w:r>
    </w:p>
    <w:p w14:paraId="5F39EFB9">
      <w:pPr>
        <w:snapToGrid w:val="0"/>
        <w:spacing w:before="50" w:after="120" w:afterLines="50"/>
        <w:jc w:val="left"/>
        <w:rPr>
          <w:color w:val="auto"/>
          <w:szCs w:val="21"/>
          <w:highlight w:val="none"/>
        </w:rPr>
      </w:pPr>
      <w:r>
        <w:rPr>
          <w:rFonts w:hint="eastAsia"/>
          <w:color w:val="auto"/>
          <w:szCs w:val="21"/>
          <w:highlight w:val="none"/>
        </w:rPr>
        <w:t>1.供应商直接或者间接从采购人或者采购代理机构处获得其他供应商的相关信息并修改其响应文件或者响应文件；</w:t>
      </w:r>
    </w:p>
    <w:p w14:paraId="1E1FB3A5">
      <w:pPr>
        <w:snapToGrid w:val="0"/>
        <w:spacing w:before="50" w:after="120" w:afterLines="50"/>
        <w:jc w:val="left"/>
        <w:rPr>
          <w:color w:val="auto"/>
          <w:szCs w:val="21"/>
          <w:highlight w:val="none"/>
        </w:rPr>
      </w:pPr>
      <w:r>
        <w:rPr>
          <w:rFonts w:hint="eastAsia"/>
          <w:color w:val="auto"/>
          <w:szCs w:val="21"/>
          <w:highlight w:val="none"/>
        </w:rPr>
        <w:t>2.供应商按照采购人或者采购代理机构的授意撤换、修改响应文件或者响应文件；</w:t>
      </w:r>
    </w:p>
    <w:p w14:paraId="3CF70824">
      <w:pPr>
        <w:snapToGrid w:val="0"/>
        <w:spacing w:before="50" w:after="120" w:afterLines="50"/>
        <w:jc w:val="left"/>
        <w:rPr>
          <w:color w:val="auto"/>
          <w:szCs w:val="21"/>
          <w:highlight w:val="none"/>
        </w:rPr>
      </w:pPr>
      <w:r>
        <w:rPr>
          <w:rFonts w:hint="eastAsia"/>
          <w:color w:val="auto"/>
          <w:szCs w:val="21"/>
          <w:highlight w:val="none"/>
        </w:rPr>
        <w:t>3.供应商之间协商报价、技术方案等响应文件或者响应文件的实质性内容；</w:t>
      </w:r>
    </w:p>
    <w:p w14:paraId="0B6B50A6">
      <w:pPr>
        <w:snapToGrid w:val="0"/>
        <w:spacing w:before="50" w:after="120" w:afterLines="50"/>
        <w:jc w:val="left"/>
        <w:rPr>
          <w:color w:val="auto"/>
          <w:szCs w:val="21"/>
          <w:highlight w:val="none"/>
        </w:rPr>
      </w:pPr>
      <w:r>
        <w:rPr>
          <w:rFonts w:hint="eastAsia"/>
          <w:color w:val="auto"/>
          <w:szCs w:val="21"/>
          <w:highlight w:val="none"/>
        </w:rPr>
        <w:t>4.属于同一集团、协会、商会等组织成员的供应商按照该组织要求协同参加政府采购活动；</w:t>
      </w:r>
    </w:p>
    <w:p w14:paraId="27B35FFA">
      <w:pPr>
        <w:snapToGrid w:val="0"/>
        <w:spacing w:before="50" w:after="120" w:afterLines="50"/>
        <w:jc w:val="left"/>
        <w:rPr>
          <w:color w:val="auto"/>
          <w:szCs w:val="21"/>
          <w:highlight w:val="none"/>
        </w:rPr>
      </w:pPr>
      <w:r>
        <w:rPr>
          <w:rFonts w:hint="eastAsia"/>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2B81C63B">
      <w:pPr>
        <w:snapToGrid w:val="0"/>
        <w:spacing w:before="50" w:after="120" w:afterLines="50"/>
        <w:jc w:val="left"/>
        <w:rPr>
          <w:color w:val="auto"/>
          <w:szCs w:val="21"/>
          <w:highlight w:val="none"/>
        </w:rPr>
      </w:pPr>
      <w:r>
        <w:rPr>
          <w:rFonts w:hint="eastAsia"/>
          <w:color w:val="auto"/>
          <w:szCs w:val="21"/>
          <w:highlight w:val="none"/>
        </w:rPr>
        <w:t>6.供应商之间商定部分供应商放弃参加政府采购活动或者放弃中标；</w:t>
      </w:r>
    </w:p>
    <w:p w14:paraId="4318A4D3">
      <w:pPr>
        <w:snapToGrid w:val="0"/>
        <w:spacing w:before="50" w:after="120" w:afterLines="50"/>
        <w:jc w:val="left"/>
        <w:rPr>
          <w:color w:val="auto"/>
          <w:szCs w:val="21"/>
          <w:highlight w:val="none"/>
        </w:rPr>
      </w:pPr>
      <w:r>
        <w:rPr>
          <w:rFonts w:hint="eastAsia"/>
          <w:color w:val="auto"/>
          <w:szCs w:val="21"/>
          <w:highlight w:val="none"/>
        </w:rPr>
        <w:t>7.供应商与采购人或者采购代理机构之间、供应商相互之间，为谋求特定供应商中标或者排斥其他供应商的其他串通行为。</w:t>
      </w:r>
    </w:p>
    <w:p w14:paraId="3A3C2C68">
      <w:pPr>
        <w:snapToGrid w:val="0"/>
        <w:spacing w:before="50" w:after="120" w:afterLines="50"/>
        <w:jc w:val="left"/>
        <w:rPr>
          <w:color w:val="auto"/>
          <w:szCs w:val="21"/>
          <w:highlight w:val="none"/>
        </w:rPr>
      </w:pPr>
      <w:r>
        <w:rPr>
          <w:rFonts w:hint="eastAsia"/>
          <w:color w:val="auto"/>
          <w:szCs w:val="21"/>
          <w:highlight w:val="none"/>
        </w:rPr>
        <w:t>以上情形一经核查属实，我方愿意承担一切后果，并不再寻求任何旨在减轻或者免除法律责任的辩解。</w:t>
      </w:r>
    </w:p>
    <w:p w14:paraId="0711017F">
      <w:pPr>
        <w:snapToGrid w:val="0"/>
        <w:spacing w:before="50" w:after="120" w:afterLines="50"/>
        <w:jc w:val="center"/>
        <w:rPr>
          <w:color w:val="auto"/>
          <w:szCs w:val="21"/>
          <w:highlight w:val="none"/>
        </w:rPr>
      </w:pPr>
      <w:r>
        <w:rPr>
          <w:rFonts w:hint="eastAsia"/>
          <w:color w:val="auto"/>
          <w:szCs w:val="21"/>
          <w:highlight w:val="none"/>
        </w:rPr>
        <w:t xml:space="preserve"> </w:t>
      </w:r>
      <w:r>
        <w:rPr>
          <w:color w:val="auto"/>
          <w:szCs w:val="21"/>
          <w:highlight w:val="none"/>
        </w:rPr>
        <w:t xml:space="preserve"> </w:t>
      </w:r>
    </w:p>
    <w:p w14:paraId="42DDEC44">
      <w:pPr>
        <w:snapToGrid w:val="0"/>
        <w:spacing w:before="50" w:after="120" w:afterLines="50"/>
        <w:jc w:val="center"/>
        <w:rPr>
          <w:color w:val="auto"/>
          <w:szCs w:val="21"/>
          <w:highlight w:val="none"/>
        </w:rPr>
      </w:pPr>
    </w:p>
    <w:p w14:paraId="3767B3A9">
      <w:pPr>
        <w:snapToGrid w:val="0"/>
        <w:spacing w:before="50" w:after="120" w:afterLines="50"/>
        <w:jc w:val="center"/>
        <w:rPr>
          <w:color w:val="auto"/>
          <w:szCs w:val="21"/>
          <w:highlight w:val="none"/>
        </w:rPr>
      </w:pPr>
    </w:p>
    <w:p w14:paraId="35A22139">
      <w:pPr>
        <w:snapToGrid w:val="0"/>
        <w:spacing w:before="50" w:after="120" w:afterLines="50"/>
        <w:jc w:val="center"/>
        <w:rPr>
          <w:color w:val="auto"/>
          <w:szCs w:val="21"/>
          <w:highlight w:val="non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rPr>
        <w:t>：</w:t>
      </w:r>
    </w:p>
    <w:p w14:paraId="3C758940">
      <w:pPr>
        <w:snapToGrid w:val="0"/>
        <w:spacing w:before="50" w:after="120" w:afterLines="50"/>
        <w:jc w:val="center"/>
        <w:rPr>
          <w:color w:val="auto"/>
          <w:szCs w:val="21"/>
          <w:highlight w:val="none"/>
        </w:rPr>
      </w:pPr>
      <w:r>
        <w:rPr>
          <w:rFonts w:hint="eastAsia"/>
          <w:color w:val="auto"/>
          <w:szCs w:val="21"/>
          <w:highlight w:val="none"/>
        </w:rPr>
        <w:t>日期：  年  月   日</w:t>
      </w:r>
    </w:p>
    <w:p w14:paraId="0C7BCE10">
      <w:pPr>
        <w:snapToGrid w:val="0"/>
        <w:spacing w:before="50" w:after="120" w:afterLines="50"/>
        <w:jc w:val="left"/>
        <w:rPr>
          <w:color w:val="auto"/>
          <w:szCs w:val="21"/>
          <w:highlight w:val="none"/>
        </w:rPr>
        <w:sectPr>
          <w:pgSz w:w="11906" w:h="16838"/>
          <w:pgMar w:top="1418" w:right="1274" w:bottom="1418" w:left="1418" w:header="851" w:footer="992" w:gutter="0"/>
          <w:pgNumType w:fmt="decimal"/>
          <w:cols w:space="720" w:num="1"/>
          <w:docGrid w:linePitch="312" w:charSpace="0"/>
        </w:sectPr>
      </w:pPr>
    </w:p>
    <w:bookmarkEnd w:id="99"/>
    <w:p w14:paraId="5606DBE3">
      <w:pPr>
        <w:snapToGrid w:val="0"/>
        <w:spacing w:before="50" w:after="120" w:afterLines="50"/>
        <w:jc w:val="left"/>
        <w:rPr>
          <w:color w:val="auto"/>
          <w:szCs w:val="21"/>
          <w:highlight w:val="none"/>
        </w:rPr>
      </w:pPr>
      <w:r>
        <w:rPr>
          <w:color w:val="auto"/>
          <w:szCs w:val="21"/>
          <w:highlight w:val="none"/>
        </w:rPr>
        <w:t>1</w:t>
      </w:r>
      <w:r>
        <w:rPr>
          <w:rFonts w:hint="eastAsia"/>
          <w:color w:val="auto"/>
          <w:szCs w:val="21"/>
          <w:highlight w:val="none"/>
          <w:lang w:val="en-US" w:eastAsia="zh-CN"/>
        </w:rPr>
        <w:t>4</w:t>
      </w:r>
      <w:r>
        <w:rPr>
          <w:color w:val="auto"/>
          <w:szCs w:val="21"/>
          <w:highlight w:val="none"/>
        </w:rPr>
        <w:t>．代理服务费承诺书</w:t>
      </w:r>
      <w:bookmarkEnd w:id="100"/>
    </w:p>
    <w:p w14:paraId="1FC46117">
      <w:pPr>
        <w:spacing w:line="360" w:lineRule="exact"/>
        <w:rPr>
          <w:color w:val="auto"/>
          <w:szCs w:val="21"/>
          <w:highlight w:val="none"/>
        </w:rPr>
      </w:pPr>
      <w:bookmarkStart w:id="105" w:name="_Hlk19110490"/>
      <w:r>
        <w:rPr>
          <w:color w:val="auto"/>
          <w:szCs w:val="21"/>
          <w:highlight w:val="none"/>
        </w:rPr>
        <w:t>致：广西机电设备招标有限公司</w:t>
      </w:r>
    </w:p>
    <w:p w14:paraId="2024AE83">
      <w:pPr>
        <w:spacing w:line="360" w:lineRule="exact"/>
        <w:ind w:firstLine="420" w:firstLineChars="200"/>
        <w:rPr>
          <w:color w:val="auto"/>
          <w:szCs w:val="21"/>
          <w:highlight w:val="none"/>
        </w:rPr>
      </w:pPr>
      <w:r>
        <w:rPr>
          <w:color w:val="auto"/>
          <w:szCs w:val="21"/>
          <w:highlight w:val="none"/>
        </w:rPr>
        <w:t>我单位参加了贵方组织的磋商项目编号为</w:t>
      </w:r>
      <w:r>
        <w:rPr>
          <w:b/>
          <w:color w:val="auto"/>
          <w:szCs w:val="21"/>
          <w:highlight w:val="none"/>
        </w:rPr>
        <w:t>（</w:t>
      </w:r>
      <w:r>
        <w:rPr>
          <w:color w:val="auto"/>
          <w:szCs w:val="21"/>
          <w:highlight w:val="none"/>
          <w:u w:val="single"/>
        </w:rPr>
        <w:t xml:space="preserve">                    )</w:t>
      </w:r>
      <w:r>
        <w:rPr>
          <w:color w:val="auto"/>
          <w:szCs w:val="21"/>
          <w:highlight w:val="none"/>
        </w:rPr>
        <w:t>的响应，并递交了磋商保证金</w:t>
      </w:r>
      <w:r>
        <w:rPr>
          <w:color w:val="auto"/>
          <w:szCs w:val="21"/>
          <w:highlight w:val="none"/>
          <w:u w:val="single"/>
        </w:rPr>
        <w:t xml:space="preserve">                  </w:t>
      </w:r>
      <w:r>
        <w:rPr>
          <w:color w:val="auto"/>
          <w:szCs w:val="21"/>
          <w:highlight w:val="none"/>
        </w:rPr>
        <w:t>（</w:t>
      </w:r>
      <w:r>
        <w:rPr>
          <w:color w:val="auto"/>
          <w:kern w:val="0"/>
          <w:szCs w:val="21"/>
          <w:highlight w:val="none"/>
        </w:rPr>
        <w:t>¥</w:t>
      </w:r>
      <w:r>
        <w:rPr>
          <w:color w:val="auto"/>
          <w:szCs w:val="21"/>
          <w:highlight w:val="none"/>
          <w:u w:val="single"/>
        </w:rPr>
        <w:t xml:space="preserve">       </w:t>
      </w:r>
      <w:r>
        <w:rPr>
          <w:color w:val="auto"/>
          <w:szCs w:val="21"/>
          <w:highlight w:val="none"/>
        </w:rPr>
        <w:t>），在此我方说明如下：</w:t>
      </w:r>
    </w:p>
    <w:p w14:paraId="2CD61C0A">
      <w:pPr>
        <w:spacing w:line="360" w:lineRule="exact"/>
        <w:ind w:firstLine="420" w:firstLineChars="200"/>
        <w:rPr>
          <w:color w:val="auto"/>
          <w:szCs w:val="21"/>
          <w:highlight w:val="none"/>
        </w:rPr>
      </w:pPr>
      <w:r>
        <w:rPr>
          <w:color w:val="auto"/>
          <w:szCs w:val="21"/>
          <w:highlight w:val="none"/>
        </w:rPr>
        <w:t>1．我方承诺，若我单位</w:t>
      </w:r>
      <w:r>
        <w:rPr>
          <w:rFonts w:hint="eastAsia"/>
          <w:color w:val="auto"/>
          <w:szCs w:val="21"/>
          <w:highlight w:val="none"/>
        </w:rPr>
        <w:t>成交</w:t>
      </w:r>
      <w:r>
        <w:rPr>
          <w:color w:val="auto"/>
          <w:szCs w:val="21"/>
          <w:highlight w:val="none"/>
        </w:rPr>
        <w:t>，保证在领取</w:t>
      </w:r>
      <w:r>
        <w:rPr>
          <w:rFonts w:hint="eastAsia"/>
          <w:color w:val="auto"/>
          <w:szCs w:val="21"/>
          <w:highlight w:val="none"/>
        </w:rPr>
        <w:t>成交</w:t>
      </w:r>
      <w:r>
        <w:rPr>
          <w:color w:val="auto"/>
          <w:szCs w:val="21"/>
          <w:highlight w:val="none"/>
        </w:rPr>
        <w:t>通知书之前，按本项目</w:t>
      </w:r>
      <w:r>
        <w:rPr>
          <w:rFonts w:hint="eastAsia"/>
          <w:color w:val="auto"/>
          <w:szCs w:val="21"/>
          <w:highlight w:val="none"/>
        </w:rPr>
        <w:t>采购文件</w:t>
      </w:r>
      <w:r>
        <w:rPr>
          <w:color w:val="auto"/>
          <w:szCs w:val="21"/>
          <w:highlight w:val="none"/>
        </w:rPr>
        <w:t>的规定标准向贵单位支付代理服务费。如我单位未按规定缴纳代理服务费，贵方可</w:t>
      </w:r>
      <w:r>
        <w:rPr>
          <w:rFonts w:hint="eastAsia"/>
          <w:color w:val="auto"/>
          <w:szCs w:val="21"/>
          <w:highlight w:val="none"/>
        </w:rPr>
        <w:t>不退还</w:t>
      </w:r>
      <w:r>
        <w:rPr>
          <w:color w:val="auto"/>
          <w:szCs w:val="21"/>
          <w:highlight w:val="none"/>
        </w:rPr>
        <w:t>我单位提交的</w:t>
      </w:r>
      <w:r>
        <w:rPr>
          <w:rFonts w:hint="eastAsia"/>
          <w:color w:val="auto"/>
          <w:szCs w:val="21"/>
          <w:highlight w:val="none"/>
        </w:rPr>
        <w:t>磋商</w:t>
      </w:r>
      <w:r>
        <w:rPr>
          <w:color w:val="auto"/>
          <w:szCs w:val="21"/>
          <w:highlight w:val="none"/>
        </w:rPr>
        <w:t>保证金</w:t>
      </w:r>
      <w:r>
        <w:rPr>
          <w:rFonts w:hint="eastAsia"/>
          <w:color w:val="auto"/>
          <w:szCs w:val="21"/>
          <w:highlight w:val="none"/>
        </w:rPr>
        <w:t>，并从中</w:t>
      </w:r>
      <w:r>
        <w:rPr>
          <w:color w:val="auto"/>
          <w:szCs w:val="21"/>
          <w:highlight w:val="none"/>
        </w:rPr>
        <w:t>扣除</w:t>
      </w:r>
      <w:r>
        <w:rPr>
          <w:rFonts w:hint="eastAsia"/>
          <w:color w:val="auto"/>
          <w:szCs w:val="21"/>
          <w:highlight w:val="none"/>
        </w:rPr>
        <w:t>代理服务费</w:t>
      </w:r>
      <w:r>
        <w:rPr>
          <w:color w:val="auto"/>
          <w:szCs w:val="21"/>
          <w:highlight w:val="none"/>
        </w:rPr>
        <w:t>，余款按下列账户退回。</w:t>
      </w:r>
    </w:p>
    <w:bookmarkEnd w:id="105"/>
    <w:p w14:paraId="09099167">
      <w:pPr>
        <w:spacing w:line="360" w:lineRule="exact"/>
        <w:ind w:firstLine="420" w:firstLineChars="200"/>
        <w:rPr>
          <w:color w:val="auto"/>
          <w:szCs w:val="21"/>
          <w:highlight w:val="none"/>
        </w:rPr>
      </w:pPr>
      <w:r>
        <w:rPr>
          <w:color w:val="auto"/>
          <w:szCs w:val="21"/>
          <w:highlight w:val="none"/>
        </w:rPr>
        <w:t>我公司选择第</w:t>
      </w:r>
      <w:r>
        <w:rPr>
          <w:color w:val="auto"/>
          <w:szCs w:val="21"/>
          <w:highlight w:val="none"/>
          <w:u w:val="single"/>
        </w:rPr>
        <w:t xml:space="preserve">     </w:t>
      </w:r>
      <w:r>
        <w:rPr>
          <w:color w:val="auto"/>
          <w:szCs w:val="21"/>
          <w:highlight w:val="none"/>
        </w:rPr>
        <w:t>种方式缴纳代理服务费。</w:t>
      </w:r>
    </w:p>
    <w:p w14:paraId="618E8BC1">
      <w:pPr>
        <w:spacing w:line="360" w:lineRule="exact"/>
        <w:ind w:firstLine="420" w:firstLineChars="200"/>
        <w:rPr>
          <w:color w:val="auto"/>
          <w:szCs w:val="21"/>
          <w:highlight w:val="none"/>
        </w:rPr>
      </w:pPr>
      <w:r>
        <w:rPr>
          <w:color w:val="auto"/>
          <w:szCs w:val="21"/>
          <w:highlight w:val="none"/>
        </w:rPr>
        <w:t>第一种方式：一次性足额缴纳代理服务费。</w:t>
      </w:r>
    </w:p>
    <w:p w14:paraId="40565E79">
      <w:pPr>
        <w:spacing w:line="360" w:lineRule="exact"/>
        <w:ind w:firstLine="420" w:firstLineChars="200"/>
        <w:rPr>
          <w:rFonts w:hint="eastAsia"/>
          <w:color w:val="auto"/>
          <w:szCs w:val="21"/>
          <w:highlight w:val="none"/>
        </w:rPr>
      </w:pPr>
      <w:r>
        <w:rPr>
          <w:color w:val="auto"/>
          <w:szCs w:val="21"/>
          <w:highlight w:val="none"/>
        </w:rPr>
        <w:t>第二种方式：从</w:t>
      </w:r>
      <w:r>
        <w:rPr>
          <w:rFonts w:hint="eastAsia"/>
          <w:color w:val="auto"/>
          <w:szCs w:val="21"/>
          <w:highlight w:val="none"/>
        </w:rPr>
        <w:t>磋商</w:t>
      </w:r>
      <w:r>
        <w:rPr>
          <w:color w:val="auto"/>
          <w:szCs w:val="21"/>
          <w:highlight w:val="none"/>
        </w:rPr>
        <w:t>保证金中抵扣代理服务费，不足部分补交。</w:t>
      </w:r>
    </w:p>
    <w:p w14:paraId="74A785AC">
      <w:pPr>
        <w:spacing w:line="360" w:lineRule="exact"/>
        <w:ind w:firstLine="420" w:firstLineChars="200"/>
        <w:rPr>
          <w:color w:val="auto"/>
          <w:szCs w:val="21"/>
          <w:highlight w:val="none"/>
        </w:rPr>
      </w:pPr>
      <w:r>
        <w:rPr>
          <w:color w:val="auto"/>
          <w:szCs w:val="21"/>
          <w:highlight w:val="none"/>
        </w:rPr>
        <w:t>2．如我单位磋商保证金无法原路返回，请按下表账户信息无息退还。</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0845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1C1B122C">
            <w:pPr>
              <w:spacing w:line="360" w:lineRule="exact"/>
              <w:jc w:val="center"/>
              <w:rPr>
                <w:color w:val="auto"/>
                <w:szCs w:val="21"/>
                <w:highlight w:val="none"/>
              </w:rPr>
            </w:pPr>
            <w:r>
              <w:rPr>
                <w:color w:val="auto"/>
                <w:szCs w:val="21"/>
                <w:highlight w:val="none"/>
              </w:rPr>
              <w:t>收款户名</w:t>
            </w:r>
          </w:p>
        </w:tc>
        <w:tc>
          <w:tcPr>
            <w:tcW w:w="5431" w:type="dxa"/>
            <w:noWrap w:val="0"/>
            <w:vAlign w:val="center"/>
          </w:tcPr>
          <w:p w14:paraId="648B473C">
            <w:pPr>
              <w:spacing w:line="360" w:lineRule="exact"/>
              <w:jc w:val="center"/>
              <w:rPr>
                <w:color w:val="auto"/>
                <w:szCs w:val="21"/>
                <w:highlight w:val="none"/>
              </w:rPr>
            </w:pPr>
          </w:p>
        </w:tc>
      </w:tr>
      <w:tr w14:paraId="0D80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53F3E750">
            <w:pPr>
              <w:spacing w:line="360" w:lineRule="exact"/>
              <w:jc w:val="center"/>
              <w:rPr>
                <w:color w:val="auto"/>
                <w:szCs w:val="21"/>
                <w:highlight w:val="none"/>
              </w:rPr>
            </w:pPr>
            <w:r>
              <w:rPr>
                <w:color w:val="auto"/>
                <w:szCs w:val="21"/>
                <w:highlight w:val="none"/>
              </w:rPr>
              <w:t>账    号</w:t>
            </w:r>
          </w:p>
        </w:tc>
        <w:tc>
          <w:tcPr>
            <w:tcW w:w="5431" w:type="dxa"/>
            <w:noWrap w:val="0"/>
            <w:vAlign w:val="center"/>
          </w:tcPr>
          <w:p w14:paraId="0DB80863">
            <w:pPr>
              <w:spacing w:line="360" w:lineRule="exact"/>
              <w:jc w:val="center"/>
              <w:rPr>
                <w:color w:val="auto"/>
                <w:szCs w:val="21"/>
                <w:highlight w:val="none"/>
              </w:rPr>
            </w:pPr>
          </w:p>
        </w:tc>
      </w:tr>
      <w:tr w14:paraId="7A62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22F923E1">
            <w:pPr>
              <w:spacing w:line="360" w:lineRule="exact"/>
              <w:jc w:val="center"/>
              <w:rPr>
                <w:color w:val="auto"/>
                <w:szCs w:val="21"/>
                <w:highlight w:val="none"/>
              </w:rPr>
            </w:pPr>
            <w:r>
              <w:rPr>
                <w:color w:val="auto"/>
                <w:szCs w:val="21"/>
                <w:highlight w:val="none"/>
              </w:rPr>
              <w:t>开户银行</w:t>
            </w:r>
          </w:p>
        </w:tc>
        <w:tc>
          <w:tcPr>
            <w:tcW w:w="5431" w:type="dxa"/>
            <w:noWrap w:val="0"/>
            <w:vAlign w:val="center"/>
          </w:tcPr>
          <w:p w14:paraId="5C6BFD0A">
            <w:pPr>
              <w:spacing w:line="360" w:lineRule="exact"/>
              <w:jc w:val="center"/>
              <w:rPr>
                <w:color w:val="auto"/>
                <w:szCs w:val="21"/>
                <w:highlight w:val="none"/>
              </w:rPr>
            </w:pPr>
          </w:p>
        </w:tc>
      </w:tr>
      <w:tr w14:paraId="72FA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25CAC2EE">
            <w:pPr>
              <w:spacing w:line="360" w:lineRule="exact"/>
              <w:jc w:val="center"/>
              <w:rPr>
                <w:color w:val="auto"/>
                <w:szCs w:val="21"/>
                <w:highlight w:val="none"/>
              </w:rPr>
            </w:pPr>
            <w:r>
              <w:rPr>
                <w:color w:val="auto"/>
                <w:szCs w:val="21"/>
                <w:highlight w:val="none"/>
              </w:rPr>
              <w:t>银行行号</w:t>
            </w:r>
          </w:p>
        </w:tc>
        <w:tc>
          <w:tcPr>
            <w:tcW w:w="5431" w:type="dxa"/>
            <w:noWrap w:val="0"/>
            <w:vAlign w:val="center"/>
          </w:tcPr>
          <w:p w14:paraId="73E023A9">
            <w:pPr>
              <w:spacing w:line="360" w:lineRule="exact"/>
              <w:jc w:val="center"/>
              <w:rPr>
                <w:color w:val="auto"/>
                <w:szCs w:val="21"/>
                <w:highlight w:val="none"/>
              </w:rPr>
            </w:pPr>
          </w:p>
        </w:tc>
      </w:tr>
    </w:tbl>
    <w:p w14:paraId="06BF3344">
      <w:pPr>
        <w:spacing w:line="360" w:lineRule="exact"/>
        <w:ind w:firstLine="420" w:firstLineChars="200"/>
        <w:rPr>
          <w:color w:val="auto"/>
          <w:szCs w:val="21"/>
          <w:highlight w:val="none"/>
        </w:rPr>
      </w:pPr>
      <w:r>
        <w:rPr>
          <w:color w:val="auto"/>
          <w:szCs w:val="21"/>
          <w:highlight w:val="none"/>
        </w:rPr>
        <w:t>3．如果我单位未遵守有关采购文件关于磋商保证金的规定，贵方可以没收我单位磋商保证金。</w:t>
      </w:r>
    </w:p>
    <w:p w14:paraId="2204FD78">
      <w:pPr>
        <w:spacing w:line="360" w:lineRule="exact"/>
        <w:ind w:firstLine="420" w:firstLineChars="200"/>
        <w:rPr>
          <w:color w:val="auto"/>
          <w:szCs w:val="21"/>
          <w:highlight w:val="none"/>
        </w:rPr>
      </w:pPr>
      <w:r>
        <w:rPr>
          <w:color w:val="auto"/>
          <w:szCs w:val="21"/>
          <w:highlight w:val="none"/>
        </w:rPr>
        <w:t>4. 我单位选择第</w:t>
      </w:r>
      <w:r>
        <w:rPr>
          <w:color w:val="auto"/>
          <w:szCs w:val="21"/>
          <w:highlight w:val="none"/>
          <w:u w:val="single"/>
        </w:rPr>
        <w:t xml:space="preserve">     </w:t>
      </w:r>
      <w:r>
        <w:rPr>
          <w:color w:val="auto"/>
          <w:szCs w:val="21"/>
          <w:highlight w:val="none"/>
        </w:rPr>
        <w:t>种方式作为代理服务费开票类型：</w:t>
      </w:r>
    </w:p>
    <w:p w14:paraId="5CF24E54">
      <w:pPr>
        <w:spacing w:line="360" w:lineRule="exact"/>
        <w:ind w:firstLine="420" w:firstLineChars="200"/>
        <w:rPr>
          <w:color w:val="auto"/>
          <w:szCs w:val="21"/>
          <w:highlight w:val="none"/>
        </w:rPr>
      </w:pPr>
      <w:r>
        <w:rPr>
          <w:color w:val="auto"/>
          <w:szCs w:val="21"/>
          <w:highlight w:val="none"/>
        </w:rPr>
        <w:t>第一种方式：开具收据。</w:t>
      </w:r>
    </w:p>
    <w:p w14:paraId="493FFD33">
      <w:pPr>
        <w:spacing w:line="360" w:lineRule="exact"/>
        <w:ind w:firstLine="420" w:firstLineChars="200"/>
        <w:rPr>
          <w:color w:val="auto"/>
          <w:szCs w:val="21"/>
          <w:highlight w:val="none"/>
        </w:rPr>
      </w:pPr>
      <w:r>
        <w:rPr>
          <w:color w:val="auto"/>
          <w:szCs w:val="21"/>
          <w:highlight w:val="none"/>
        </w:rPr>
        <w:t>第二种方式：开具增值税普通发票。 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w:t>
      </w:r>
    </w:p>
    <w:p w14:paraId="3B19E0CB">
      <w:pPr>
        <w:spacing w:line="360" w:lineRule="exact"/>
        <w:ind w:firstLine="420" w:firstLineChars="200"/>
        <w:rPr>
          <w:color w:val="auto"/>
          <w:szCs w:val="21"/>
          <w:highlight w:val="none"/>
        </w:rPr>
      </w:pPr>
      <w:r>
        <w:rPr>
          <w:color w:val="auto"/>
          <w:szCs w:val="21"/>
          <w:highlight w:val="none"/>
        </w:rPr>
        <w:t>第三种方式：开具增值税专用发票，开票信息如下：1.公司名称</w:t>
      </w:r>
      <w:r>
        <w:rPr>
          <w:color w:val="auto"/>
          <w:szCs w:val="21"/>
          <w:highlight w:val="none"/>
          <w:u w:val="single"/>
        </w:rPr>
        <w:t xml:space="preserve">                      </w:t>
      </w:r>
      <w:r>
        <w:rPr>
          <w:color w:val="auto"/>
          <w:szCs w:val="21"/>
          <w:highlight w:val="none"/>
        </w:rPr>
        <w:t>；2.纳税人识别号</w:t>
      </w:r>
      <w:r>
        <w:rPr>
          <w:color w:val="auto"/>
          <w:szCs w:val="21"/>
          <w:highlight w:val="none"/>
          <w:u w:val="single"/>
        </w:rPr>
        <w:t xml:space="preserve">                     </w:t>
      </w:r>
      <w:r>
        <w:rPr>
          <w:color w:val="auto"/>
          <w:szCs w:val="21"/>
          <w:highlight w:val="none"/>
        </w:rPr>
        <w:t>；3.税局登记地址</w:t>
      </w:r>
      <w:r>
        <w:rPr>
          <w:color w:val="auto"/>
          <w:szCs w:val="21"/>
          <w:highlight w:val="none"/>
          <w:u w:val="single"/>
        </w:rPr>
        <w:t xml:space="preserve">                     </w:t>
      </w:r>
      <w:r>
        <w:rPr>
          <w:color w:val="auto"/>
          <w:szCs w:val="21"/>
          <w:highlight w:val="none"/>
        </w:rPr>
        <w:t>；4.税局登记电话</w:t>
      </w:r>
      <w:r>
        <w:rPr>
          <w:color w:val="auto"/>
          <w:szCs w:val="21"/>
          <w:highlight w:val="none"/>
          <w:u w:val="single"/>
        </w:rPr>
        <w:t xml:space="preserve">             </w:t>
      </w:r>
      <w:r>
        <w:rPr>
          <w:color w:val="auto"/>
          <w:szCs w:val="21"/>
          <w:highlight w:val="none"/>
        </w:rPr>
        <w:t>；5.开户银行</w:t>
      </w:r>
      <w:r>
        <w:rPr>
          <w:color w:val="auto"/>
          <w:szCs w:val="21"/>
          <w:highlight w:val="none"/>
          <w:u w:val="single"/>
        </w:rPr>
        <w:t xml:space="preserve">                 </w:t>
      </w:r>
      <w:r>
        <w:rPr>
          <w:color w:val="auto"/>
          <w:szCs w:val="21"/>
          <w:highlight w:val="none"/>
        </w:rPr>
        <w:t>；6.银行账户</w:t>
      </w:r>
      <w:r>
        <w:rPr>
          <w:color w:val="auto"/>
          <w:szCs w:val="21"/>
          <w:highlight w:val="none"/>
          <w:u w:val="single"/>
        </w:rPr>
        <w:t xml:space="preserve">                         </w:t>
      </w:r>
      <w:r>
        <w:rPr>
          <w:color w:val="auto"/>
          <w:szCs w:val="21"/>
          <w:highlight w:val="none"/>
        </w:rPr>
        <w:t>。</w:t>
      </w:r>
    </w:p>
    <w:p w14:paraId="6D8D5668">
      <w:pPr>
        <w:spacing w:before="120" w:beforeLines="50" w:line="360" w:lineRule="auto"/>
        <w:jc w:val="left"/>
        <w:rPr>
          <w:color w:val="auto"/>
          <w:szCs w:val="21"/>
          <w:highlight w:val="none"/>
        </w:rPr>
      </w:pPr>
    </w:p>
    <w:p w14:paraId="3BF77A12">
      <w:pPr>
        <w:spacing w:before="120" w:beforeLines="50" w:line="360" w:lineRule="auto"/>
        <w:jc w:val="left"/>
        <w:rPr>
          <w:color w:val="auto"/>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color w:val="auto"/>
          <w:szCs w:val="21"/>
          <w:highlight w:val="none"/>
          <w:u w:val="single"/>
        </w:rPr>
        <w:t xml:space="preserve">                              </w:t>
      </w:r>
    </w:p>
    <w:p w14:paraId="112DD98E">
      <w:pPr>
        <w:spacing w:before="120" w:beforeLines="50" w:line="360" w:lineRule="auto"/>
        <w:jc w:val="left"/>
        <w:rPr>
          <w:color w:val="auto"/>
          <w:szCs w:val="21"/>
          <w:highlight w:val="none"/>
        </w:rPr>
      </w:pPr>
      <w:r>
        <w:rPr>
          <w:color w:val="auto"/>
          <w:szCs w:val="21"/>
          <w:highlight w:val="none"/>
        </w:rPr>
        <w:t>供应商地址：</w:t>
      </w:r>
      <w:r>
        <w:rPr>
          <w:color w:val="auto"/>
          <w:szCs w:val="21"/>
          <w:highlight w:val="none"/>
          <w:u w:val="single"/>
        </w:rPr>
        <w:t xml:space="preserve">                                     </w:t>
      </w:r>
    </w:p>
    <w:p w14:paraId="066A23F0">
      <w:pPr>
        <w:spacing w:before="120" w:beforeLines="50" w:line="360" w:lineRule="auto"/>
        <w:jc w:val="left"/>
        <w:rPr>
          <w:color w:val="auto"/>
          <w:szCs w:val="21"/>
          <w:highlight w:val="none"/>
          <w:u w:val="single"/>
        </w:rPr>
      </w:pPr>
    </w:p>
    <w:p w14:paraId="7074AE3E">
      <w:pPr>
        <w:wordWrap w:val="0"/>
        <w:spacing w:before="120" w:beforeLines="50" w:line="360" w:lineRule="auto"/>
        <w:jc w:val="right"/>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6DBA2D96">
      <w:pPr>
        <w:spacing w:before="120" w:beforeLines="50"/>
        <w:rPr>
          <w:color w:val="auto"/>
          <w:szCs w:val="21"/>
          <w:highlight w:val="none"/>
        </w:rPr>
      </w:pPr>
      <w:r>
        <w:rPr>
          <w:color w:val="auto"/>
          <w:szCs w:val="21"/>
          <w:highlight w:val="none"/>
        </w:rPr>
        <w:t>说明：</w:t>
      </w:r>
    </w:p>
    <w:p w14:paraId="6DF04F7A">
      <w:pPr>
        <w:spacing w:line="340" w:lineRule="exact"/>
        <w:ind w:firstLine="420" w:firstLineChars="200"/>
        <w:rPr>
          <w:color w:val="auto"/>
          <w:szCs w:val="21"/>
          <w:highlight w:val="none"/>
        </w:rPr>
      </w:pPr>
      <w:r>
        <w:rPr>
          <w:color w:val="auto"/>
          <w:szCs w:val="21"/>
          <w:highlight w:val="none"/>
        </w:rPr>
        <w:t>（1）为保障资金安全，上述账户不能为私人账户。</w:t>
      </w:r>
    </w:p>
    <w:p w14:paraId="4CC5E177">
      <w:pPr>
        <w:spacing w:line="340" w:lineRule="exact"/>
        <w:ind w:firstLine="420" w:firstLineChars="200"/>
        <w:rPr>
          <w:color w:val="auto"/>
          <w:szCs w:val="21"/>
          <w:highlight w:val="none"/>
        </w:rPr>
      </w:pPr>
      <w:r>
        <w:rPr>
          <w:color w:val="auto"/>
          <w:szCs w:val="21"/>
          <w:highlight w:val="none"/>
        </w:rPr>
        <w:t>（2）如因未按要求缴纳磋商保证金，导致磋商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482E0C71">
      <w:pPr>
        <w:spacing w:line="340" w:lineRule="exact"/>
        <w:ind w:firstLine="420" w:firstLineChars="200"/>
        <w:rPr>
          <w:color w:val="auto"/>
          <w:szCs w:val="21"/>
          <w:highlight w:val="none"/>
        </w:rPr>
      </w:pPr>
      <w:r>
        <w:rPr>
          <w:color w:val="auto"/>
          <w:szCs w:val="21"/>
          <w:highlight w:val="none"/>
        </w:rPr>
        <w:t>（3）如供应商未及时收到退回款项，请与广西机电设备招标有限公司财务部联系。广西机电设备招标有限公司财务部联系方式：联系人：吴茜；电话：0771-2821398；传真：0771-2843545。</w:t>
      </w:r>
    </w:p>
    <w:p w14:paraId="0FDB34E6">
      <w:pPr>
        <w:snapToGrid w:val="0"/>
        <w:spacing w:before="120" w:beforeLines="50" w:after="50" w:afterLines="0" w:line="440" w:lineRule="exact"/>
        <w:jc w:val="left"/>
        <w:outlineLvl w:val="1"/>
        <w:rPr>
          <w:rFonts w:hint="default" w:ascii="Times New Roman" w:hAnsi="Times New Roman" w:eastAsia="宋体" w:cs="Times New Roman"/>
          <w:color w:val="auto"/>
          <w:sz w:val="24"/>
          <w:szCs w:val="24"/>
          <w:highlight w:val="none"/>
        </w:rPr>
      </w:pPr>
      <w:r>
        <w:rPr>
          <w:color w:val="auto"/>
          <w:szCs w:val="21"/>
          <w:highlight w:val="none"/>
        </w:rPr>
        <w:br w:type="page"/>
      </w:r>
      <w:r>
        <w:rPr>
          <w:rFonts w:hint="default" w:ascii="Times New Roman" w:hAnsi="Times New Roman" w:eastAsia="宋体" w:cs="Times New Roman"/>
          <w:color w:val="auto"/>
          <w:sz w:val="24"/>
          <w:szCs w:val="24"/>
          <w:highlight w:val="none"/>
        </w:rPr>
        <w:t>3</w:t>
      </w:r>
      <w:r>
        <w:rPr>
          <w:rFonts w:hint="eastAsia" w:ascii="Times New Roman" w:hAnsi="Times New Roman" w:eastAsia="宋体" w:cs="Times New Roman"/>
          <w:color w:val="auto"/>
          <w:sz w:val="24"/>
          <w:szCs w:val="24"/>
          <w:highlight w:val="none"/>
          <w:lang w:val="en-US" w:eastAsia="zh-CN"/>
        </w:rPr>
        <w:t>.响应</w:t>
      </w:r>
      <w:r>
        <w:rPr>
          <w:rFonts w:hint="eastAsia" w:ascii="Times New Roman" w:hAnsi="Times New Roman" w:eastAsia="宋体" w:cs="Times New Roman"/>
          <w:color w:val="auto"/>
          <w:sz w:val="24"/>
          <w:szCs w:val="24"/>
          <w:highlight w:val="none"/>
        </w:rPr>
        <w:t xml:space="preserve">文件封面参考格式（报价文件）： </w:t>
      </w:r>
    </w:p>
    <w:p w14:paraId="6BB2BE5F">
      <w:pPr>
        <w:snapToGrid w:val="0"/>
        <w:spacing w:before="50" w:beforeLines="0" w:after="120" w:afterLines="50" w:line="400" w:lineRule="exact"/>
        <w:jc w:val="left"/>
        <w:rPr>
          <w:rFonts w:hint="default" w:ascii="Times New Roman" w:hAnsi="Times New Roman" w:eastAsia="宋体" w:cs="Times New Roman"/>
          <w:color w:val="auto"/>
          <w:sz w:val="24"/>
          <w:szCs w:val="24"/>
          <w:highlight w:val="none"/>
        </w:rPr>
      </w:pPr>
    </w:p>
    <w:p w14:paraId="284B6ECA">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7985033B">
      <w:pPr>
        <w:snapToGrid w:val="0"/>
        <w:spacing w:before="120" w:beforeLines="50" w:after="50" w:afterLines="0" w:line="360" w:lineRule="exact"/>
        <w:jc w:val="center"/>
        <w:rPr>
          <w:rFonts w:hint="default" w:ascii="Times New Roman" w:hAnsi="Times New Roman" w:eastAsia="宋体" w:cs="Times New Roman"/>
          <w:color w:val="auto"/>
          <w:sz w:val="24"/>
          <w:szCs w:val="24"/>
          <w:highlight w:val="none"/>
        </w:rPr>
      </w:pPr>
    </w:p>
    <w:p w14:paraId="1CE51B3F">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r>
        <w:rPr>
          <w:rFonts w:hint="eastAsia" w:ascii="Times New Roman" w:hAnsi="Times New Roman" w:eastAsia="宋体" w:cs="Times New Roman"/>
          <w:b/>
          <w:color w:val="auto"/>
          <w:sz w:val="44"/>
          <w:szCs w:val="44"/>
          <w:highlight w:val="none"/>
        </w:rPr>
        <w:t>电子</w:t>
      </w:r>
      <w:r>
        <w:rPr>
          <w:rFonts w:hint="eastAsia" w:ascii="Times New Roman" w:hAnsi="Times New Roman" w:eastAsia="宋体" w:cs="Times New Roman"/>
          <w:b/>
          <w:color w:val="auto"/>
          <w:sz w:val="44"/>
          <w:szCs w:val="44"/>
          <w:highlight w:val="none"/>
          <w:lang w:val="en-US" w:eastAsia="zh-CN"/>
        </w:rPr>
        <w:t>响应</w:t>
      </w:r>
      <w:r>
        <w:rPr>
          <w:rFonts w:hint="eastAsia" w:ascii="Times New Roman" w:hAnsi="Times New Roman" w:eastAsia="宋体" w:cs="Times New Roman"/>
          <w:b/>
          <w:color w:val="auto"/>
          <w:sz w:val="44"/>
          <w:szCs w:val="44"/>
          <w:highlight w:val="none"/>
        </w:rPr>
        <w:t>文件</w:t>
      </w:r>
    </w:p>
    <w:p w14:paraId="620EB4D2">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p>
    <w:p w14:paraId="42C12306">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p>
    <w:p w14:paraId="2BB97394">
      <w:pPr>
        <w:snapToGrid w:val="0"/>
        <w:spacing w:before="120" w:beforeLines="50" w:after="50" w:afterLines="0" w:line="360" w:lineRule="exact"/>
        <w:jc w:val="center"/>
        <w:rPr>
          <w:rFonts w:hint="default" w:ascii="Times New Roman" w:hAnsi="Times New Roman" w:eastAsia="宋体" w:cs="Times New Roman"/>
          <w:b/>
          <w:color w:val="auto"/>
          <w:sz w:val="44"/>
          <w:szCs w:val="44"/>
          <w:highlight w:val="none"/>
        </w:rPr>
      </w:pPr>
      <w:r>
        <w:rPr>
          <w:rFonts w:hint="eastAsia" w:ascii="Times New Roman" w:hAnsi="Times New Roman" w:eastAsia="宋体" w:cs="Times New Roman"/>
          <w:b/>
          <w:color w:val="auto"/>
          <w:sz w:val="44"/>
          <w:szCs w:val="44"/>
          <w:highlight w:val="none"/>
        </w:rPr>
        <w:t>报价文件</w:t>
      </w:r>
    </w:p>
    <w:p w14:paraId="1DAEAFD9">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027A2454">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366AE13A">
      <w:pPr>
        <w:snapToGrid w:val="0"/>
        <w:spacing w:before="120" w:beforeLines="50" w:after="50" w:afterLines="0" w:line="360" w:lineRule="exact"/>
        <w:rPr>
          <w:rFonts w:hint="default" w:ascii="Times New Roman" w:hAnsi="Times New Roman" w:eastAsia="宋体" w:cs="Times New Roman"/>
          <w:color w:val="auto"/>
          <w:sz w:val="24"/>
          <w:szCs w:val="24"/>
          <w:highlight w:val="none"/>
        </w:rPr>
      </w:pPr>
    </w:p>
    <w:p w14:paraId="0F914890">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项目名称： </w:t>
      </w:r>
    </w:p>
    <w:p w14:paraId="053D9E5B">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项目编号：</w:t>
      </w:r>
    </w:p>
    <w:p w14:paraId="67782904">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分标号：（若无留空或写</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w:t>
      </w:r>
    </w:p>
    <w:p w14:paraId="5EE28DE5">
      <w:pPr>
        <w:snapToGrid w:val="0"/>
        <w:spacing w:before="120" w:beforeLines="50" w:after="50" w:afterLines="0" w:line="360" w:lineRule="exact"/>
        <w:ind w:firstLine="720" w:firstLineChars="3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供应商名称：</w:t>
      </w:r>
    </w:p>
    <w:p w14:paraId="4892D5B9">
      <w:pPr>
        <w:snapToGrid w:val="0"/>
        <w:spacing w:before="120" w:beforeLines="50" w:after="50" w:afterLines="0" w:line="360" w:lineRule="exact"/>
        <w:ind w:firstLine="720" w:firstLineChars="3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供应商地址：</w:t>
      </w:r>
    </w:p>
    <w:p w14:paraId="20C983DC">
      <w:pPr>
        <w:snapToGrid w:val="0"/>
        <w:spacing w:before="120" w:beforeLines="50" w:after="50" w:afterLines="0" w:line="360" w:lineRule="exact"/>
        <w:ind w:firstLine="720" w:firstLineChars="300"/>
        <w:rPr>
          <w:rFonts w:hint="eastAsia" w:ascii="Times New Roman" w:hAnsi="Times New Roman" w:eastAsia="宋体" w:cs="Times New Roman"/>
          <w:color w:val="auto"/>
          <w:sz w:val="24"/>
          <w:szCs w:val="24"/>
          <w:highlight w:val="none"/>
        </w:rPr>
      </w:pPr>
    </w:p>
    <w:p w14:paraId="56E630FC">
      <w:pPr>
        <w:snapToGrid w:val="0"/>
        <w:spacing w:before="120" w:beforeLines="50" w:after="50" w:afterLines="0" w:line="360" w:lineRule="exact"/>
        <w:ind w:firstLine="3600" w:firstLineChars="15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 xml:space="preserve">                        年  月  日</w:t>
      </w:r>
    </w:p>
    <w:p w14:paraId="1CA9D741">
      <w:pPr>
        <w:snapToGrid w:val="0"/>
        <w:spacing w:before="120" w:beforeLines="50" w:after="50" w:afterLines="0" w:line="360" w:lineRule="exact"/>
        <w:ind w:firstLine="720" w:firstLineChars="300"/>
        <w:rPr>
          <w:rFonts w:hint="eastAsia" w:ascii="Times New Roman" w:hAnsi="Times New Roman" w:eastAsia="宋体" w:cs="Times New Roman"/>
          <w:color w:val="auto"/>
          <w:sz w:val="24"/>
          <w:szCs w:val="24"/>
          <w:highlight w:val="none"/>
        </w:rPr>
        <w:sectPr>
          <w:pgSz w:w="11906" w:h="16838"/>
          <w:pgMar w:top="1418" w:right="1274" w:bottom="1418" w:left="1418" w:header="851" w:footer="992" w:gutter="0"/>
          <w:pgNumType w:fmt="decimal"/>
          <w:cols w:space="720" w:num="1"/>
          <w:docGrid w:linePitch="312" w:charSpace="0"/>
        </w:sectPr>
      </w:pPr>
    </w:p>
    <w:p w14:paraId="6FB82C28">
      <w:pPr>
        <w:snapToGrid w:val="0"/>
        <w:spacing w:before="120" w:beforeLines="50" w:after="50" w:line="440" w:lineRule="exact"/>
        <w:jc w:val="center"/>
        <w:outlineLvl w:val="9"/>
        <w:rPr>
          <w:bCs/>
          <w:color w:val="auto"/>
          <w:sz w:val="24"/>
          <w:highlight w:val="none"/>
        </w:rPr>
      </w:pPr>
      <w:r>
        <w:rPr>
          <w:bCs/>
          <w:color w:val="auto"/>
          <w:sz w:val="24"/>
          <w:highlight w:val="none"/>
        </w:rPr>
        <w:t>第</w:t>
      </w:r>
      <w:r>
        <w:rPr>
          <w:rFonts w:hint="eastAsia"/>
          <w:bCs/>
          <w:color w:val="auto"/>
          <w:sz w:val="24"/>
          <w:highlight w:val="none"/>
        </w:rPr>
        <w:t>三</w:t>
      </w:r>
      <w:r>
        <w:rPr>
          <w:bCs/>
          <w:color w:val="auto"/>
          <w:sz w:val="24"/>
          <w:highlight w:val="none"/>
        </w:rPr>
        <w:t>部分 报价文件</w:t>
      </w:r>
    </w:p>
    <w:p w14:paraId="3512FD86">
      <w:pPr>
        <w:jc w:val="center"/>
        <w:rPr>
          <w:b/>
          <w:bCs/>
          <w:color w:val="auto"/>
          <w:szCs w:val="21"/>
          <w:highlight w:val="none"/>
        </w:rPr>
      </w:pPr>
    </w:p>
    <w:p w14:paraId="3ED21D05">
      <w:pPr>
        <w:rPr>
          <w:rFonts w:hint="eastAsia"/>
          <w:b/>
          <w:color w:val="auto"/>
          <w:szCs w:val="21"/>
          <w:highlight w:val="none"/>
        </w:rPr>
      </w:pPr>
      <w:r>
        <w:rPr>
          <w:b/>
          <w:color w:val="auto"/>
          <w:szCs w:val="21"/>
          <w:highlight w:val="none"/>
        </w:rPr>
        <w:t>1．响应函格式：</w:t>
      </w:r>
    </w:p>
    <w:p w14:paraId="76F697A3">
      <w:pPr>
        <w:rPr>
          <w:b/>
          <w:color w:val="auto"/>
          <w:szCs w:val="21"/>
          <w:highlight w:val="none"/>
        </w:rPr>
      </w:pPr>
    </w:p>
    <w:p w14:paraId="7C667800">
      <w:pPr>
        <w:jc w:val="center"/>
        <w:rPr>
          <w:b/>
          <w:color w:val="auto"/>
          <w:szCs w:val="21"/>
          <w:highlight w:val="none"/>
        </w:rPr>
      </w:pPr>
      <w:r>
        <w:rPr>
          <w:b/>
          <w:color w:val="auto"/>
          <w:szCs w:val="21"/>
          <w:highlight w:val="none"/>
        </w:rPr>
        <w:t>响 应 函</w:t>
      </w:r>
    </w:p>
    <w:p w14:paraId="2029E939">
      <w:pPr>
        <w:rPr>
          <w:b/>
          <w:color w:val="auto"/>
          <w:szCs w:val="21"/>
          <w:highlight w:val="none"/>
        </w:rPr>
      </w:pPr>
    </w:p>
    <w:p w14:paraId="479CDD5D">
      <w:pPr>
        <w:spacing w:line="360" w:lineRule="auto"/>
        <w:rPr>
          <w:color w:val="auto"/>
          <w:szCs w:val="21"/>
          <w:highlight w:val="none"/>
        </w:rPr>
      </w:pPr>
      <w:bookmarkStart w:id="106" w:name="_Hlk19110643"/>
      <w:r>
        <w:rPr>
          <w:color w:val="auto"/>
          <w:szCs w:val="21"/>
          <w:highlight w:val="none"/>
        </w:rPr>
        <w:t>致：_</w:t>
      </w:r>
      <w:r>
        <w:rPr>
          <w:i/>
          <w:iCs/>
          <w:color w:val="auto"/>
          <w:szCs w:val="21"/>
          <w:highlight w:val="none"/>
          <w:u w:val="single"/>
        </w:rPr>
        <w:t>（采购</w:t>
      </w:r>
      <w:r>
        <w:rPr>
          <w:rFonts w:hint="eastAsia"/>
          <w:i/>
          <w:iCs/>
          <w:color w:val="auto"/>
          <w:szCs w:val="21"/>
          <w:highlight w:val="none"/>
          <w:u w:val="single"/>
        </w:rPr>
        <w:t>人</w:t>
      </w:r>
      <w:r>
        <w:rPr>
          <w:i/>
          <w:iCs/>
          <w:color w:val="auto"/>
          <w:szCs w:val="21"/>
          <w:highlight w:val="none"/>
          <w:u w:val="single"/>
        </w:rPr>
        <w:t>名称）</w:t>
      </w:r>
      <w:r>
        <w:rPr>
          <w:i/>
          <w:iCs/>
          <w:color w:val="auto"/>
          <w:szCs w:val="21"/>
          <w:highlight w:val="none"/>
        </w:rPr>
        <w:t>_</w:t>
      </w:r>
    </w:p>
    <w:p w14:paraId="16AA0E5C">
      <w:pPr>
        <w:spacing w:line="360" w:lineRule="auto"/>
        <w:ind w:firstLine="420" w:firstLineChars="200"/>
        <w:rPr>
          <w:color w:val="auto"/>
          <w:szCs w:val="21"/>
          <w:highlight w:val="none"/>
        </w:rPr>
      </w:pPr>
      <w:r>
        <w:rPr>
          <w:color w:val="auto"/>
          <w:szCs w:val="21"/>
          <w:highlight w:val="none"/>
        </w:rPr>
        <w:t>我方已仔细研究了</w:t>
      </w:r>
      <w:r>
        <w:rPr>
          <w:rFonts w:hint="eastAsia"/>
          <w:i/>
          <w:iCs/>
          <w:color w:val="auto"/>
          <w:szCs w:val="21"/>
          <w:highlight w:val="none"/>
          <w:u w:val="single"/>
        </w:rPr>
        <w:t>（项目名称）</w:t>
      </w:r>
      <w:r>
        <w:rPr>
          <w:color w:val="auto"/>
          <w:szCs w:val="21"/>
          <w:highlight w:val="none"/>
        </w:rPr>
        <w:t>的</w:t>
      </w:r>
      <w:r>
        <w:rPr>
          <w:rFonts w:hint="eastAsia"/>
          <w:color w:val="auto"/>
          <w:szCs w:val="21"/>
          <w:highlight w:val="none"/>
        </w:rPr>
        <w:t>采购文件</w:t>
      </w:r>
      <w:r>
        <w:rPr>
          <w:color w:val="auto"/>
          <w:szCs w:val="21"/>
          <w:highlight w:val="none"/>
        </w:rPr>
        <w:t>的全部内容</w:t>
      </w:r>
      <w:r>
        <w:rPr>
          <w:rFonts w:hint="eastAsia"/>
          <w:color w:val="auto"/>
          <w:szCs w:val="21"/>
          <w:highlight w:val="none"/>
        </w:rPr>
        <w:t>，</w:t>
      </w:r>
      <w:r>
        <w:rPr>
          <w:color w:val="auto"/>
          <w:szCs w:val="21"/>
          <w:highlight w:val="none"/>
        </w:rPr>
        <w:t>签字代表</w:t>
      </w:r>
      <w:r>
        <w:rPr>
          <w:rFonts w:hint="eastAsia"/>
          <w:i/>
          <w:iCs/>
          <w:color w:val="auto"/>
          <w:szCs w:val="21"/>
          <w:highlight w:val="none"/>
          <w:u w:val="single"/>
        </w:rPr>
        <w:t>（授权代表姓名）</w:t>
      </w:r>
      <w:r>
        <w:rPr>
          <w:color w:val="auto"/>
          <w:szCs w:val="21"/>
          <w:highlight w:val="none"/>
        </w:rPr>
        <w:t>经正式授权并代表供应商</w:t>
      </w:r>
      <w:r>
        <w:rPr>
          <w:color w:val="auto"/>
          <w:szCs w:val="21"/>
          <w:highlight w:val="none"/>
          <w:u w:val="single"/>
        </w:rPr>
        <w:t xml:space="preserve"> </w:t>
      </w:r>
      <w:r>
        <w:rPr>
          <w:i/>
          <w:iCs/>
          <w:color w:val="auto"/>
          <w:szCs w:val="21"/>
          <w:highlight w:val="none"/>
          <w:u w:val="single"/>
        </w:rPr>
        <w:t>（供应商名称）</w:t>
      </w:r>
      <w:r>
        <w:rPr>
          <w:rFonts w:hint="eastAsia"/>
          <w:i/>
          <w:iCs/>
          <w:color w:val="auto"/>
          <w:szCs w:val="21"/>
          <w:highlight w:val="none"/>
          <w:u w:val="single"/>
        </w:rPr>
        <w:t xml:space="preserve"> </w:t>
      </w:r>
      <w:r>
        <w:rPr>
          <w:color w:val="auto"/>
          <w:szCs w:val="21"/>
          <w:highlight w:val="none"/>
        </w:rPr>
        <w:t>提交响应文件。</w:t>
      </w:r>
    </w:p>
    <w:bookmarkEnd w:id="106"/>
    <w:p w14:paraId="401693F6">
      <w:pPr>
        <w:spacing w:line="360" w:lineRule="auto"/>
        <w:ind w:firstLine="420" w:firstLineChars="200"/>
        <w:rPr>
          <w:color w:val="auto"/>
          <w:szCs w:val="21"/>
          <w:highlight w:val="none"/>
        </w:rPr>
      </w:pPr>
      <w:r>
        <w:rPr>
          <w:color w:val="auto"/>
          <w:szCs w:val="21"/>
          <w:highlight w:val="none"/>
        </w:rPr>
        <w:t>据此函，签字代表宣布同意如下：</w:t>
      </w:r>
    </w:p>
    <w:p w14:paraId="0D2CAB35">
      <w:pPr>
        <w:spacing w:line="360" w:lineRule="auto"/>
        <w:rPr>
          <w:color w:val="auto"/>
          <w:szCs w:val="21"/>
          <w:highlight w:val="none"/>
        </w:rPr>
      </w:pPr>
      <w:r>
        <w:rPr>
          <w:color w:val="auto"/>
          <w:szCs w:val="21"/>
          <w:highlight w:val="none"/>
        </w:rPr>
        <w:t>（1）供应商已详细审查全部“采购文件”，包括修改文件（如有的话）以及全部参考资料和有关附件，已经了解我方对于采购文件、采购过程、采购结果有依法进行询问、质疑、投诉的权利及相关渠道和要求。</w:t>
      </w:r>
    </w:p>
    <w:p w14:paraId="59C1858C">
      <w:pPr>
        <w:spacing w:line="360" w:lineRule="auto"/>
        <w:rPr>
          <w:color w:val="auto"/>
          <w:szCs w:val="21"/>
          <w:highlight w:val="none"/>
        </w:rPr>
      </w:pPr>
      <w:r>
        <w:rPr>
          <w:color w:val="auto"/>
          <w:szCs w:val="21"/>
          <w:highlight w:val="none"/>
        </w:rPr>
        <w:t>（2）供应商在响应之前已经与贵方进行了充分的沟通，完全理解并接受采购文件的各项规定和要求，对采购文件的合理性、合法性不再有异议。</w:t>
      </w:r>
    </w:p>
    <w:p w14:paraId="2AFD13E2">
      <w:pPr>
        <w:spacing w:line="360" w:lineRule="auto"/>
        <w:rPr>
          <w:color w:val="auto"/>
          <w:szCs w:val="21"/>
          <w:highlight w:val="none"/>
        </w:rPr>
      </w:pPr>
      <w:r>
        <w:rPr>
          <w:rFonts w:hint="eastAsia"/>
          <w:color w:val="auto"/>
          <w:szCs w:val="21"/>
          <w:highlight w:val="none"/>
        </w:rPr>
        <w:t>（3）我方承诺本响应有效期为第三章供应商须知规定的期限。</w:t>
      </w:r>
    </w:p>
    <w:p w14:paraId="13897029">
      <w:pPr>
        <w:spacing w:line="360" w:lineRule="auto"/>
        <w:rPr>
          <w:color w:val="auto"/>
          <w:szCs w:val="21"/>
          <w:highlight w:val="none"/>
        </w:rPr>
      </w:pPr>
      <w:r>
        <w:rPr>
          <w:color w:val="auto"/>
          <w:szCs w:val="21"/>
          <w:highlight w:val="none"/>
        </w:rPr>
        <w:t>（4）如成交，本响应文件至本项目合同履行完毕止均保持有效，本供应商将按“采购文件”及政府采购法律、法规的规定履行合同责任和义务</w:t>
      </w:r>
      <w:r>
        <w:rPr>
          <w:rFonts w:hint="eastAsia"/>
          <w:color w:val="auto"/>
          <w:szCs w:val="21"/>
          <w:highlight w:val="none"/>
        </w:rPr>
        <w:t>，并承诺</w:t>
      </w:r>
      <w:r>
        <w:rPr>
          <w:color w:val="auto"/>
          <w:szCs w:val="21"/>
          <w:highlight w:val="none"/>
        </w:rPr>
        <w:t>不分包及转包他人。</w:t>
      </w:r>
    </w:p>
    <w:p w14:paraId="36094003">
      <w:pPr>
        <w:spacing w:line="360" w:lineRule="auto"/>
        <w:rPr>
          <w:color w:val="auto"/>
          <w:szCs w:val="21"/>
          <w:highlight w:val="none"/>
        </w:rPr>
      </w:pPr>
      <w:r>
        <w:rPr>
          <w:color w:val="auto"/>
          <w:szCs w:val="21"/>
          <w:highlight w:val="none"/>
        </w:rPr>
        <w:t>（5）供应商同意按照贵方要求提供与响应有关的一切数据或资料。</w:t>
      </w:r>
    </w:p>
    <w:p w14:paraId="7991A173">
      <w:pPr>
        <w:spacing w:line="360" w:lineRule="auto"/>
        <w:rPr>
          <w:color w:val="auto"/>
          <w:szCs w:val="21"/>
          <w:highlight w:val="none"/>
        </w:rPr>
      </w:pPr>
      <w:r>
        <w:rPr>
          <w:color w:val="auto"/>
          <w:szCs w:val="21"/>
          <w:highlight w:val="none"/>
        </w:rPr>
        <w:t>（</w:t>
      </w:r>
      <w:r>
        <w:rPr>
          <w:rFonts w:hint="eastAsia"/>
          <w:color w:val="auto"/>
          <w:szCs w:val="21"/>
          <w:highlight w:val="none"/>
        </w:rPr>
        <w:t>6</w:t>
      </w:r>
      <w:r>
        <w:rPr>
          <w:color w:val="auto"/>
          <w:szCs w:val="21"/>
          <w:highlight w:val="none"/>
        </w:rPr>
        <w:t>）与本项目有关的一切正式往来信函请寄：</w:t>
      </w:r>
    </w:p>
    <w:p w14:paraId="1529A457">
      <w:pPr>
        <w:spacing w:line="360" w:lineRule="auto"/>
        <w:rPr>
          <w:color w:val="auto"/>
          <w:szCs w:val="21"/>
          <w:highlight w:val="none"/>
        </w:rPr>
      </w:pPr>
      <w:r>
        <w:rPr>
          <w:color w:val="auto"/>
          <w:szCs w:val="21"/>
          <w:highlight w:val="none"/>
        </w:rPr>
        <w:t>地址：</w:t>
      </w:r>
      <w:r>
        <w:rPr>
          <w:color w:val="auto"/>
          <w:szCs w:val="21"/>
          <w:highlight w:val="none"/>
          <w:u w:val="single"/>
        </w:rPr>
        <w:t xml:space="preserve">                      </w:t>
      </w:r>
      <w:r>
        <w:rPr>
          <w:color w:val="auto"/>
          <w:szCs w:val="21"/>
          <w:highlight w:val="none"/>
        </w:rPr>
        <w:t>邮编：</w:t>
      </w:r>
      <w:r>
        <w:rPr>
          <w:color w:val="auto"/>
          <w:szCs w:val="21"/>
          <w:highlight w:val="none"/>
          <w:u w:val="single"/>
        </w:rPr>
        <w:t xml:space="preserve">         </w:t>
      </w:r>
      <w:r>
        <w:rPr>
          <w:color w:val="auto"/>
          <w:szCs w:val="21"/>
          <w:highlight w:val="none"/>
        </w:rPr>
        <w:t xml:space="preserve">  电话：</w:t>
      </w:r>
      <w:r>
        <w:rPr>
          <w:color w:val="auto"/>
          <w:szCs w:val="21"/>
          <w:highlight w:val="none"/>
          <w:u w:val="single"/>
        </w:rPr>
        <w:t xml:space="preserve">            </w:t>
      </w:r>
    </w:p>
    <w:p w14:paraId="21DEF695">
      <w:pPr>
        <w:spacing w:line="360" w:lineRule="auto"/>
        <w:rPr>
          <w:color w:val="auto"/>
          <w:szCs w:val="21"/>
          <w:highlight w:val="none"/>
        </w:rPr>
      </w:pPr>
      <w:r>
        <w:rPr>
          <w:color w:val="auto"/>
          <w:szCs w:val="21"/>
          <w:highlight w:val="none"/>
        </w:rPr>
        <w:t>传真：</w:t>
      </w:r>
      <w:r>
        <w:rPr>
          <w:color w:val="auto"/>
          <w:szCs w:val="21"/>
          <w:highlight w:val="none"/>
          <w:u w:val="single"/>
        </w:rPr>
        <w:t xml:space="preserve">           </w:t>
      </w:r>
      <w:r>
        <w:rPr>
          <w:color w:val="auto"/>
          <w:szCs w:val="21"/>
          <w:highlight w:val="none"/>
        </w:rPr>
        <w:t xml:space="preserve"> </w:t>
      </w:r>
    </w:p>
    <w:p w14:paraId="1B21D663">
      <w:pPr>
        <w:spacing w:line="360" w:lineRule="auto"/>
        <w:rPr>
          <w:color w:val="auto"/>
          <w:szCs w:val="21"/>
          <w:highlight w:val="none"/>
        </w:rPr>
      </w:pPr>
      <w:r>
        <w:rPr>
          <w:color w:val="auto"/>
          <w:szCs w:val="21"/>
          <w:highlight w:val="none"/>
        </w:rPr>
        <w:t>供应商代表姓名</w:t>
      </w:r>
      <w:r>
        <w:rPr>
          <w:color w:val="auto"/>
          <w:szCs w:val="21"/>
          <w:highlight w:val="none"/>
          <w:u w:val="single"/>
        </w:rPr>
        <w:t xml:space="preserve">         </w:t>
      </w:r>
      <w:r>
        <w:rPr>
          <w:color w:val="auto"/>
          <w:szCs w:val="21"/>
          <w:highlight w:val="none"/>
        </w:rPr>
        <w:t xml:space="preserve">  职务：</w:t>
      </w:r>
      <w:r>
        <w:rPr>
          <w:color w:val="auto"/>
          <w:szCs w:val="21"/>
          <w:highlight w:val="none"/>
          <w:u w:val="single"/>
        </w:rPr>
        <w:t xml:space="preserve">             </w:t>
      </w:r>
      <w:r>
        <w:rPr>
          <w:rFonts w:hint="eastAsia"/>
          <w:color w:val="auto"/>
          <w:szCs w:val="21"/>
          <w:highlight w:val="none"/>
        </w:rPr>
        <w:t>邮箱：</w:t>
      </w:r>
      <w:r>
        <w:rPr>
          <w:rFonts w:hint="eastAsia"/>
          <w:color w:val="auto"/>
          <w:szCs w:val="21"/>
          <w:highlight w:val="none"/>
          <w:u w:val="single"/>
        </w:rPr>
        <w:t xml:space="preserve"> </w:t>
      </w:r>
      <w:r>
        <w:rPr>
          <w:color w:val="auto"/>
          <w:szCs w:val="21"/>
          <w:highlight w:val="none"/>
          <w:u w:val="single"/>
        </w:rPr>
        <w:t xml:space="preserve">             </w:t>
      </w:r>
    </w:p>
    <w:p w14:paraId="32459B64">
      <w:pPr>
        <w:spacing w:line="360" w:lineRule="auto"/>
        <w:rPr>
          <w:rFonts w:hint="eastAsia"/>
          <w:color w:val="auto"/>
          <w:szCs w:val="21"/>
          <w:highlight w:val="none"/>
        </w:rPr>
      </w:pPr>
    </w:p>
    <w:p w14:paraId="7EE0CAA6">
      <w:pPr>
        <w:spacing w:line="360" w:lineRule="auto"/>
        <w:rPr>
          <w:rFonts w:hint="eastAsia"/>
          <w:color w:val="auto"/>
          <w:szCs w:val="21"/>
          <w:highlight w:val="none"/>
        </w:rPr>
      </w:pPr>
    </w:p>
    <w:p w14:paraId="180F6E97">
      <w:pPr>
        <w:spacing w:line="360" w:lineRule="auto"/>
        <w:rPr>
          <w:rFonts w:hint="eastAsia"/>
          <w:color w:val="auto"/>
          <w:szCs w:val="21"/>
          <w:highlight w:val="none"/>
          <w:u w:val="single"/>
        </w:rPr>
      </w:pPr>
      <w:r>
        <w:rPr>
          <w:color w:val="auto"/>
          <w:szCs w:val="21"/>
          <w:highlight w:val="none"/>
        </w:rPr>
        <w:t>供应商</w:t>
      </w:r>
      <w:r>
        <w:rPr>
          <w:rFonts w:hint="eastAsia"/>
          <w:color w:val="auto"/>
          <w:szCs w:val="21"/>
          <w:highlight w:val="none"/>
        </w:rPr>
        <w:t>名称(电子签章</w:t>
      </w:r>
      <w:r>
        <w:rPr>
          <w:color w:val="auto"/>
          <w:szCs w:val="21"/>
          <w:highlight w:val="none"/>
        </w:rPr>
        <w:t>)</w:t>
      </w:r>
      <w:r>
        <w:rPr>
          <w:rFonts w:hint="eastAsia"/>
          <w:color w:val="auto"/>
          <w:szCs w:val="21"/>
          <w:highlight w:val="none"/>
          <w:lang w:eastAsia="zh-CN"/>
        </w:rPr>
        <w:t>：</w:t>
      </w:r>
      <w:r>
        <w:rPr>
          <w:color w:val="auto"/>
          <w:szCs w:val="21"/>
          <w:highlight w:val="none"/>
          <w:u w:val="single"/>
        </w:rPr>
        <w:t xml:space="preserve">                  </w:t>
      </w:r>
    </w:p>
    <w:p w14:paraId="0ABAEEDB">
      <w:pPr>
        <w:spacing w:line="360" w:lineRule="auto"/>
        <w:rPr>
          <w:color w:val="auto"/>
          <w:szCs w:val="21"/>
          <w:highlight w:val="none"/>
        </w:rPr>
      </w:pPr>
    </w:p>
    <w:p w14:paraId="5307AF94">
      <w:pPr>
        <w:spacing w:line="360" w:lineRule="auto"/>
        <w:rPr>
          <w:rFonts w:hint="eastAsia"/>
          <w:color w:val="auto"/>
          <w:szCs w:val="21"/>
          <w:highlight w:val="none"/>
        </w:rPr>
      </w:pPr>
    </w:p>
    <w:p w14:paraId="1E3D44DE">
      <w:pPr>
        <w:spacing w:line="360" w:lineRule="auto"/>
        <w:rPr>
          <w:color w:val="auto"/>
          <w:szCs w:val="21"/>
          <w:highlight w:val="none"/>
        </w:rPr>
      </w:pPr>
      <w:r>
        <w:rPr>
          <w:color w:val="auto"/>
          <w:szCs w:val="21"/>
          <w:highlight w:val="none"/>
        </w:rPr>
        <w:t>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3B54F68B">
      <w:pPr>
        <w:rPr>
          <w:b/>
          <w:color w:val="auto"/>
          <w:szCs w:val="21"/>
          <w:highlight w:val="none"/>
        </w:rPr>
      </w:pPr>
      <w:r>
        <w:rPr>
          <w:b/>
          <w:color w:val="auto"/>
          <w:szCs w:val="21"/>
          <w:highlight w:val="none"/>
        </w:rPr>
        <w:br w:type="page"/>
      </w:r>
      <w:r>
        <w:rPr>
          <w:rFonts w:hint="eastAsia"/>
          <w:b/>
          <w:color w:val="auto"/>
          <w:szCs w:val="21"/>
          <w:highlight w:val="none"/>
          <w:lang w:val="en-US" w:eastAsia="zh-CN"/>
        </w:rPr>
        <w:t>2.</w:t>
      </w:r>
      <w:r>
        <w:rPr>
          <w:b/>
          <w:color w:val="auto"/>
          <w:szCs w:val="21"/>
          <w:highlight w:val="none"/>
        </w:rPr>
        <w:t>响应报价明细表格式：</w:t>
      </w:r>
    </w:p>
    <w:p w14:paraId="03B4388D">
      <w:pPr>
        <w:jc w:val="center"/>
        <w:rPr>
          <w:b/>
          <w:color w:val="auto"/>
          <w:szCs w:val="21"/>
          <w:highlight w:val="none"/>
        </w:rPr>
      </w:pPr>
      <w:r>
        <w:rPr>
          <w:b/>
          <w:color w:val="auto"/>
          <w:szCs w:val="21"/>
          <w:highlight w:val="none"/>
        </w:rPr>
        <w:t>响应报价明细表</w:t>
      </w:r>
    </w:p>
    <w:p w14:paraId="3693C485">
      <w:pPr>
        <w:ind w:firstLine="2415" w:firstLineChars="1150"/>
        <w:rPr>
          <w:color w:val="auto"/>
          <w:szCs w:val="21"/>
          <w:highlight w:val="none"/>
        </w:rPr>
      </w:pPr>
      <w:r>
        <w:rPr>
          <w:color w:val="auto"/>
          <w:szCs w:val="21"/>
          <w:highlight w:val="none"/>
        </w:rPr>
        <w:t xml:space="preserve">                            金额单位：人民币（元）</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8"/>
        <w:gridCol w:w="1783"/>
        <w:gridCol w:w="1189"/>
        <w:gridCol w:w="1783"/>
        <w:gridCol w:w="1387"/>
        <w:gridCol w:w="1585"/>
      </w:tblGrid>
      <w:tr w14:paraId="25981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2436EF76">
            <w:pPr>
              <w:jc w:val="center"/>
              <w:rPr>
                <w:color w:val="auto"/>
                <w:spacing w:val="20"/>
                <w:szCs w:val="21"/>
                <w:highlight w:val="none"/>
              </w:rPr>
            </w:pPr>
            <w:r>
              <w:rPr>
                <w:color w:val="auto"/>
                <w:szCs w:val="21"/>
                <w:highlight w:val="none"/>
              </w:rPr>
              <w:t>序号</w:t>
            </w:r>
          </w:p>
        </w:tc>
        <w:tc>
          <w:tcPr>
            <w:tcW w:w="1783" w:type="dxa"/>
            <w:tcBorders>
              <w:top w:val="single" w:color="auto" w:sz="4" w:space="0"/>
              <w:left w:val="single" w:color="auto" w:sz="4" w:space="0"/>
              <w:bottom w:val="single" w:color="auto" w:sz="4" w:space="0"/>
              <w:right w:val="single" w:color="auto" w:sz="4" w:space="0"/>
            </w:tcBorders>
            <w:noWrap w:val="0"/>
            <w:vAlign w:val="center"/>
          </w:tcPr>
          <w:p w14:paraId="07F514C4">
            <w:pPr>
              <w:jc w:val="center"/>
              <w:rPr>
                <w:color w:val="auto"/>
                <w:szCs w:val="21"/>
                <w:highlight w:val="none"/>
              </w:rPr>
            </w:pPr>
            <w:r>
              <w:rPr>
                <w:color w:val="auto"/>
                <w:szCs w:val="21"/>
                <w:highlight w:val="none"/>
              </w:rPr>
              <w:t>服务名称</w:t>
            </w:r>
          </w:p>
        </w:tc>
        <w:tc>
          <w:tcPr>
            <w:tcW w:w="1189" w:type="dxa"/>
            <w:tcBorders>
              <w:top w:val="single" w:color="auto" w:sz="4" w:space="0"/>
              <w:left w:val="single" w:color="auto" w:sz="4" w:space="0"/>
              <w:bottom w:val="single" w:color="auto" w:sz="4" w:space="0"/>
              <w:right w:val="single" w:color="auto" w:sz="4" w:space="0"/>
            </w:tcBorders>
            <w:noWrap w:val="0"/>
            <w:vAlign w:val="center"/>
          </w:tcPr>
          <w:p w14:paraId="1BCA6AD3">
            <w:pPr>
              <w:jc w:val="center"/>
              <w:rPr>
                <w:color w:val="auto"/>
                <w:szCs w:val="21"/>
                <w:highlight w:val="none"/>
              </w:rPr>
            </w:pPr>
            <w:r>
              <w:rPr>
                <w:color w:val="auto"/>
                <w:szCs w:val="21"/>
                <w:highlight w:val="none"/>
              </w:rPr>
              <w:t>服务商</w:t>
            </w:r>
          </w:p>
        </w:tc>
        <w:tc>
          <w:tcPr>
            <w:tcW w:w="1783" w:type="dxa"/>
            <w:tcBorders>
              <w:top w:val="single" w:color="auto" w:sz="4" w:space="0"/>
              <w:left w:val="single" w:color="auto" w:sz="4" w:space="0"/>
              <w:bottom w:val="single" w:color="auto" w:sz="4" w:space="0"/>
              <w:right w:val="single" w:color="auto" w:sz="4" w:space="0"/>
            </w:tcBorders>
            <w:noWrap w:val="0"/>
            <w:vAlign w:val="center"/>
          </w:tcPr>
          <w:p w14:paraId="22D6DB82">
            <w:pPr>
              <w:jc w:val="center"/>
              <w:rPr>
                <w:color w:val="auto"/>
                <w:szCs w:val="21"/>
                <w:highlight w:val="none"/>
              </w:rPr>
            </w:pPr>
            <w:r>
              <w:rPr>
                <w:color w:val="auto"/>
                <w:szCs w:val="21"/>
                <w:highlight w:val="none"/>
              </w:rPr>
              <w:t>单位及数量</w:t>
            </w:r>
          </w:p>
        </w:tc>
        <w:tc>
          <w:tcPr>
            <w:tcW w:w="1387" w:type="dxa"/>
            <w:tcBorders>
              <w:top w:val="single" w:color="auto" w:sz="4" w:space="0"/>
              <w:left w:val="single" w:color="auto" w:sz="4" w:space="0"/>
              <w:bottom w:val="single" w:color="auto" w:sz="4" w:space="0"/>
              <w:right w:val="single" w:color="auto" w:sz="4" w:space="0"/>
            </w:tcBorders>
            <w:noWrap w:val="0"/>
            <w:vAlign w:val="center"/>
          </w:tcPr>
          <w:p w14:paraId="58522CC8">
            <w:pPr>
              <w:jc w:val="center"/>
              <w:rPr>
                <w:color w:val="auto"/>
                <w:szCs w:val="21"/>
                <w:highlight w:val="none"/>
              </w:rPr>
            </w:pPr>
            <w:r>
              <w:rPr>
                <w:color w:val="auto"/>
                <w:szCs w:val="21"/>
                <w:highlight w:val="none"/>
              </w:rPr>
              <w:t>单价</w:t>
            </w:r>
          </w:p>
        </w:tc>
        <w:tc>
          <w:tcPr>
            <w:tcW w:w="1585" w:type="dxa"/>
            <w:tcBorders>
              <w:top w:val="single" w:color="auto" w:sz="4" w:space="0"/>
              <w:left w:val="single" w:color="auto" w:sz="4" w:space="0"/>
              <w:bottom w:val="single" w:color="auto" w:sz="4" w:space="0"/>
              <w:right w:val="single" w:color="auto" w:sz="4" w:space="0"/>
            </w:tcBorders>
            <w:noWrap w:val="0"/>
            <w:vAlign w:val="center"/>
          </w:tcPr>
          <w:p w14:paraId="29DFCFA6">
            <w:pPr>
              <w:jc w:val="center"/>
              <w:rPr>
                <w:color w:val="auto"/>
                <w:szCs w:val="21"/>
                <w:highlight w:val="none"/>
              </w:rPr>
            </w:pPr>
            <w:r>
              <w:rPr>
                <w:rFonts w:hint="eastAsia"/>
                <w:color w:val="auto"/>
                <w:szCs w:val="21"/>
                <w:highlight w:val="none"/>
              </w:rPr>
              <w:t>合计</w:t>
            </w:r>
          </w:p>
        </w:tc>
      </w:tr>
      <w:tr w14:paraId="16C29C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5CDB1726">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7020CBF1">
            <w:pPr>
              <w:jc w:val="center"/>
              <w:rPr>
                <w:color w:val="auto"/>
                <w:spacing w:val="20"/>
                <w:szCs w:val="21"/>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7DBAF734">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291624A3">
            <w:pPr>
              <w:jc w:val="center"/>
              <w:rPr>
                <w:color w:val="auto"/>
                <w:spacing w:val="20"/>
                <w:szCs w:val="21"/>
                <w:highlight w:val="none"/>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4BC69C78">
            <w:pPr>
              <w:jc w:val="center"/>
              <w:rPr>
                <w:color w:val="auto"/>
                <w:spacing w:val="20"/>
                <w:szCs w:val="21"/>
                <w:highlight w:val="none"/>
              </w:rPr>
            </w:pPr>
          </w:p>
        </w:tc>
        <w:tc>
          <w:tcPr>
            <w:tcW w:w="1585" w:type="dxa"/>
            <w:tcBorders>
              <w:top w:val="single" w:color="auto" w:sz="4" w:space="0"/>
              <w:left w:val="single" w:color="auto" w:sz="4" w:space="0"/>
              <w:bottom w:val="single" w:color="auto" w:sz="4" w:space="0"/>
              <w:right w:val="single" w:color="auto" w:sz="4" w:space="0"/>
            </w:tcBorders>
            <w:noWrap w:val="0"/>
            <w:vAlign w:val="center"/>
          </w:tcPr>
          <w:p w14:paraId="4E0F4BAF">
            <w:pPr>
              <w:jc w:val="center"/>
              <w:rPr>
                <w:color w:val="auto"/>
                <w:spacing w:val="20"/>
                <w:szCs w:val="21"/>
                <w:highlight w:val="none"/>
              </w:rPr>
            </w:pPr>
          </w:p>
        </w:tc>
      </w:tr>
      <w:tr w14:paraId="4E43BF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5B00590F">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2B3C3AAD">
            <w:pPr>
              <w:jc w:val="center"/>
              <w:rPr>
                <w:color w:val="auto"/>
                <w:spacing w:val="20"/>
                <w:szCs w:val="21"/>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3235B114">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03513EB5">
            <w:pPr>
              <w:jc w:val="center"/>
              <w:rPr>
                <w:color w:val="auto"/>
                <w:spacing w:val="20"/>
                <w:szCs w:val="21"/>
                <w:highlight w:val="none"/>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66F4116F">
            <w:pPr>
              <w:jc w:val="center"/>
              <w:rPr>
                <w:color w:val="auto"/>
                <w:spacing w:val="20"/>
                <w:szCs w:val="21"/>
                <w:highlight w:val="none"/>
              </w:rPr>
            </w:pPr>
          </w:p>
        </w:tc>
        <w:tc>
          <w:tcPr>
            <w:tcW w:w="1585" w:type="dxa"/>
            <w:tcBorders>
              <w:top w:val="single" w:color="auto" w:sz="4" w:space="0"/>
              <w:left w:val="single" w:color="auto" w:sz="4" w:space="0"/>
              <w:bottom w:val="single" w:color="auto" w:sz="4" w:space="0"/>
              <w:right w:val="single" w:color="auto" w:sz="4" w:space="0"/>
            </w:tcBorders>
            <w:noWrap w:val="0"/>
            <w:vAlign w:val="center"/>
          </w:tcPr>
          <w:p w14:paraId="19AFAA9A">
            <w:pPr>
              <w:jc w:val="center"/>
              <w:rPr>
                <w:color w:val="auto"/>
                <w:spacing w:val="20"/>
                <w:szCs w:val="21"/>
                <w:highlight w:val="none"/>
              </w:rPr>
            </w:pPr>
          </w:p>
        </w:tc>
      </w:tr>
      <w:tr w14:paraId="536EC3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3" w:hRule="exact"/>
          <w:jc w:val="center"/>
        </w:trPr>
        <w:tc>
          <w:tcPr>
            <w:tcW w:w="898" w:type="dxa"/>
            <w:tcBorders>
              <w:top w:val="single" w:color="auto" w:sz="4" w:space="0"/>
              <w:left w:val="single" w:color="auto" w:sz="4" w:space="0"/>
              <w:bottom w:val="single" w:color="auto" w:sz="4" w:space="0"/>
              <w:right w:val="single" w:color="auto" w:sz="4" w:space="0"/>
            </w:tcBorders>
            <w:noWrap w:val="0"/>
            <w:vAlign w:val="center"/>
          </w:tcPr>
          <w:p w14:paraId="5F391B07">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0D4357CB">
            <w:pPr>
              <w:jc w:val="center"/>
              <w:rPr>
                <w:color w:val="auto"/>
                <w:spacing w:val="20"/>
                <w:szCs w:val="21"/>
                <w:highlight w:val="none"/>
              </w:rPr>
            </w:pPr>
            <w:r>
              <w:rPr>
                <w:color w:val="auto"/>
                <w:spacing w:val="20"/>
                <w:szCs w:val="21"/>
                <w:highlight w:val="none"/>
              </w:rPr>
              <w:t>……</w:t>
            </w:r>
          </w:p>
        </w:tc>
        <w:tc>
          <w:tcPr>
            <w:tcW w:w="1189" w:type="dxa"/>
            <w:tcBorders>
              <w:top w:val="single" w:color="auto" w:sz="4" w:space="0"/>
              <w:left w:val="single" w:color="auto" w:sz="4" w:space="0"/>
              <w:bottom w:val="single" w:color="auto" w:sz="4" w:space="0"/>
              <w:right w:val="single" w:color="auto" w:sz="4" w:space="0"/>
            </w:tcBorders>
            <w:noWrap w:val="0"/>
            <w:vAlign w:val="center"/>
          </w:tcPr>
          <w:p w14:paraId="758CAC07">
            <w:pPr>
              <w:jc w:val="center"/>
              <w:rPr>
                <w:color w:val="auto"/>
                <w:spacing w:val="20"/>
                <w:szCs w:val="21"/>
                <w:highlight w:val="none"/>
              </w:rPr>
            </w:pPr>
          </w:p>
        </w:tc>
        <w:tc>
          <w:tcPr>
            <w:tcW w:w="1783" w:type="dxa"/>
            <w:tcBorders>
              <w:top w:val="single" w:color="auto" w:sz="4" w:space="0"/>
              <w:left w:val="single" w:color="auto" w:sz="4" w:space="0"/>
              <w:bottom w:val="single" w:color="auto" w:sz="4" w:space="0"/>
              <w:right w:val="single" w:color="auto" w:sz="4" w:space="0"/>
            </w:tcBorders>
            <w:noWrap w:val="0"/>
            <w:vAlign w:val="center"/>
          </w:tcPr>
          <w:p w14:paraId="674724C5">
            <w:pPr>
              <w:jc w:val="center"/>
              <w:rPr>
                <w:color w:val="auto"/>
                <w:spacing w:val="20"/>
                <w:szCs w:val="21"/>
                <w:highlight w:val="none"/>
              </w:rPr>
            </w:pPr>
          </w:p>
        </w:tc>
        <w:tc>
          <w:tcPr>
            <w:tcW w:w="1387" w:type="dxa"/>
            <w:tcBorders>
              <w:top w:val="single" w:color="auto" w:sz="4" w:space="0"/>
              <w:left w:val="single" w:color="auto" w:sz="4" w:space="0"/>
              <w:bottom w:val="single" w:color="auto" w:sz="4" w:space="0"/>
              <w:right w:val="single" w:color="auto" w:sz="4" w:space="0"/>
            </w:tcBorders>
            <w:noWrap w:val="0"/>
            <w:vAlign w:val="center"/>
          </w:tcPr>
          <w:p w14:paraId="260490BB">
            <w:pPr>
              <w:jc w:val="center"/>
              <w:rPr>
                <w:color w:val="auto"/>
                <w:spacing w:val="20"/>
                <w:szCs w:val="21"/>
                <w:highlight w:val="none"/>
              </w:rPr>
            </w:pPr>
          </w:p>
        </w:tc>
        <w:tc>
          <w:tcPr>
            <w:tcW w:w="1585" w:type="dxa"/>
            <w:tcBorders>
              <w:top w:val="single" w:color="auto" w:sz="4" w:space="0"/>
              <w:left w:val="single" w:color="auto" w:sz="4" w:space="0"/>
              <w:bottom w:val="single" w:color="auto" w:sz="4" w:space="0"/>
              <w:right w:val="single" w:color="auto" w:sz="4" w:space="0"/>
            </w:tcBorders>
            <w:noWrap w:val="0"/>
            <w:vAlign w:val="center"/>
          </w:tcPr>
          <w:p w14:paraId="6B95193A">
            <w:pPr>
              <w:jc w:val="center"/>
              <w:rPr>
                <w:color w:val="auto"/>
                <w:spacing w:val="20"/>
                <w:szCs w:val="21"/>
                <w:highlight w:val="none"/>
              </w:rPr>
            </w:pPr>
          </w:p>
        </w:tc>
      </w:tr>
    </w:tbl>
    <w:p w14:paraId="036F4BEC">
      <w:pPr>
        <w:rPr>
          <w:color w:val="auto"/>
          <w:spacing w:val="20"/>
          <w:szCs w:val="21"/>
          <w:highlight w:val="none"/>
          <w:u w:val="single"/>
        </w:rPr>
      </w:pPr>
    </w:p>
    <w:p w14:paraId="1B689CB5">
      <w:pPr>
        <w:spacing w:line="360" w:lineRule="auto"/>
        <w:rPr>
          <w:color w:val="auto"/>
          <w:spacing w:val="20"/>
          <w:szCs w:val="21"/>
          <w:highlight w:val="none"/>
        </w:rPr>
      </w:pPr>
    </w:p>
    <w:p w14:paraId="6C99BFAB">
      <w:pPr>
        <w:pStyle w:val="17"/>
        <w:rPr>
          <w:color w:val="auto"/>
          <w:highlight w:val="none"/>
        </w:rPr>
      </w:pPr>
      <w:r>
        <w:rPr>
          <w:color w:val="auto"/>
          <w:szCs w:val="21"/>
          <w:highlight w:val="none"/>
        </w:rPr>
        <w:t>注：</w:t>
      </w:r>
      <w:r>
        <w:rPr>
          <w:rFonts w:hint="eastAsia"/>
          <w:color w:val="auto"/>
          <w:szCs w:val="21"/>
          <w:highlight w:val="none"/>
        </w:rPr>
        <w:t>本表如</w:t>
      </w:r>
      <w:r>
        <w:rPr>
          <w:rFonts w:hint="eastAsia"/>
          <w:color w:val="auto"/>
          <w:highlight w:val="none"/>
        </w:rPr>
        <w:t>与广西政府采购云平台不一致的，以广西政府采购云平台为准。</w:t>
      </w:r>
    </w:p>
    <w:p w14:paraId="768DF7F9">
      <w:pPr>
        <w:jc w:val="left"/>
        <w:rPr>
          <w:color w:val="auto"/>
          <w:szCs w:val="21"/>
          <w:highlight w:val="none"/>
        </w:rPr>
      </w:pPr>
    </w:p>
    <w:p w14:paraId="6E6BC32B">
      <w:pPr>
        <w:spacing w:line="360" w:lineRule="auto"/>
        <w:rPr>
          <w:color w:val="auto"/>
          <w:spacing w:val="20"/>
          <w:szCs w:val="21"/>
          <w:highlight w:val="none"/>
        </w:rPr>
      </w:pPr>
    </w:p>
    <w:p w14:paraId="460247D2">
      <w:pPr>
        <w:spacing w:line="360" w:lineRule="auto"/>
        <w:rPr>
          <w:color w:val="auto"/>
          <w:szCs w:val="21"/>
          <w:highlight w:val="none"/>
        </w:rPr>
      </w:pPr>
      <w:r>
        <w:rPr>
          <w:color w:val="auto"/>
          <w:szCs w:val="21"/>
          <w:highlight w:val="none"/>
        </w:rPr>
        <w:t>供应商名称（</w:t>
      </w:r>
      <w:r>
        <w:rPr>
          <w:rFonts w:hint="eastAsia"/>
          <w:color w:val="auto"/>
          <w:szCs w:val="21"/>
          <w:highlight w:val="none"/>
        </w:rPr>
        <w:t>电子签章</w:t>
      </w:r>
      <w:r>
        <w:rPr>
          <w:color w:val="auto"/>
          <w:szCs w:val="21"/>
          <w:highlight w:val="none"/>
        </w:rPr>
        <w:t>）：</w:t>
      </w:r>
      <w:r>
        <w:rPr>
          <w:color w:val="auto"/>
          <w:szCs w:val="21"/>
          <w:highlight w:val="none"/>
          <w:u w:val="single"/>
        </w:rPr>
        <w:t xml:space="preserve">                          </w:t>
      </w:r>
    </w:p>
    <w:p w14:paraId="6B720FE7">
      <w:pPr>
        <w:spacing w:line="360" w:lineRule="auto"/>
        <w:rPr>
          <w:color w:val="auto"/>
          <w:spacing w:val="20"/>
          <w:szCs w:val="21"/>
          <w:highlight w:val="none"/>
          <w:u w:val="single"/>
        </w:rPr>
      </w:pPr>
      <w:r>
        <w:rPr>
          <w:color w:val="auto"/>
          <w:szCs w:val="21"/>
          <w:highlight w:val="none"/>
        </w:rPr>
        <w:t>日  期</w:t>
      </w:r>
      <w:r>
        <w:rPr>
          <w:rFonts w:hint="eastAsia"/>
          <w:color w:val="auto"/>
          <w:szCs w:val="21"/>
          <w:highlight w:val="none"/>
          <w:lang w:eastAsia="zh-CN"/>
        </w:rPr>
        <w:t>：</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1CDCF8CD">
      <w:pPr>
        <w:snapToGrid w:val="0"/>
        <w:spacing w:before="50" w:after="120" w:afterLines="50"/>
        <w:jc w:val="left"/>
        <w:outlineLvl w:val="1"/>
        <w:rPr>
          <w:color w:val="auto"/>
          <w:szCs w:val="21"/>
          <w:highlight w:val="none"/>
        </w:rPr>
        <w:sectPr>
          <w:headerReference r:id="rId26" w:type="default"/>
          <w:pgSz w:w="11906" w:h="16838"/>
          <w:pgMar w:top="1418" w:right="1133" w:bottom="1246" w:left="1418" w:header="851" w:footer="992" w:gutter="0"/>
          <w:pgNumType w:fmt="decimal"/>
          <w:cols w:space="720" w:num="1"/>
          <w:docGrid w:linePitch="312" w:charSpace="0"/>
        </w:sectPr>
      </w:pPr>
    </w:p>
    <w:p w14:paraId="07964472">
      <w:pPr>
        <w:snapToGrid w:val="0"/>
        <w:spacing w:before="50" w:after="120" w:afterLines="50"/>
        <w:jc w:val="left"/>
        <w:rPr>
          <w:color w:val="auto"/>
          <w:szCs w:val="21"/>
          <w:highlight w:val="none"/>
        </w:rPr>
      </w:pPr>
      <w:bookmarkStart w:id="107" w:name="_Hlk65852042"/>
      <w:r>
        <w:rPr>
          <w:rFonts w:hint="eastAsia"/>
          <w:color w:val="auto"/>
          <w:szCs w:val="21"/>
          <w:highlight w:val="none"/>
          <w:lang w:val="en-US" w:eastAsia="zh-CN"/>
        </w:rPr>
        <w:t>3.</w:t>
      </w:r>
      <w:r>
        <w:rPr>
          <w:color w:val="auto"/>
          <w:szCs w:val="21"/>
          <w:highlight w:val="none"/>
        </w:rPr>
        <w:t>过低报价合理性的说明。（如有）</w:t>
      </w:r>
    </w:p>
    <w:p w14:paraId="190B3D06">
      <w:pPr>
        <w:spacing w:line="360" w:lineRule="auto"/>
        <w:ind w:firstLine="420" w:firstLineChars="200"/>
        <w:rPr>
          <w:rFonts w:hint="eastAsia"/>
          <w:color w:val="auto"/>
          <w:szCs w:val="21"/>
          <w:highlight w:val="none"/>
        </w:rPr>
      </w:pPr>
      <w:r>
        <w:rPr>
          <w:color w:val="auto"/>
          <w:szCs w:val="21"/>
          <w:highlight w:val="none"/>
        </w:rPr>
        <w:t>评审委员会认为的报价</w:t>
      </w:r>
      <w:r>
        <w:rPr>
          <w:rFonts w:hint="eastAsia"/>
          <w:color w:val="auto"/>
          <w:szCs w:val="21"/>
          <w:highlight w:val="none"/>
          <w:lang w:val="en-US" w:eastAsia="zh-CN"/>
        </w:rPr>
        <w:t>存在异常低价问题的情形</w:t>
      </w:r>
      <w:r>
        <w:rPr>
          <w:color w:val="auto"/>
          <w:szCs w:val="21"/>
          <w:highlight w:val="none"/>
        </w:rPr>
        <w:t>，供应商将被要求以书面方式提供</w:t>
      </w:r>
      <w:r>
        <w:rPr>
          <w:rFonts w:hint="eastAsia"/>
          <w:color w:val="auto"/>
          <w:szCs w:val="21"/>
          <w:highlight w:val="none"/>
          <w:lang w:val="en-US" w:eastAsia="zh-CN"/>
        </w:rPr>
        <w:t>项目具体成本测算等与报价合理性相关的书面说明及必要的证明材料</w:t>
      </w:r>
      <w:r>
        <w:rPr>
          <w:color w:val="auto"/>
          <w:szCs w:val="21"/>
          <w:highlight w:val="none"/>
        </w:rPr>
        <w:t>。为避免在评审现场因未能及时提供说明而导致被评审委员会作为无效</w:t>
      </w:r>
      <w:r>
        <w:rPr>
          <w:rFonts w:hint="eastAsia"/>
          <w:color w:val="auto"/>
          <w:szCs w:val="21"/>
          <w:highlight w:val="none"/>
          <w:lang w:eastAsia="zh-CN"/>
        </w:rPr>
        <w:t>响应</w:t>
      </w:r>
      <w:r>
        <w:rPr>
          <w:color w:val="auto"/>
          <w:szCs w:val="21"/>
          <w:highlight w:val="none"/>
        </w:rPr>
        <w:t>，供应商</w:t>
      </w:r>
      <w:r>
        <w:rPr>
          <w:rFonts w:hint="eastAsia"/>
          <w:color w:val="auto"/>
          <w:highlight w:val="none"/>
        </w:rPr>
        <w:t>自行决定是否</w:t>
      </w:r>
      <w:r>
        <w:rPr>
          <w:color w:val="auto"/>
          <w:kern w:val="1"/>
          <w:szCs w:val="21"/>
          <w:highlight w:val="none"/>
        </w:rPr>
        <w:t>直接在</w:t>
      </w:r>
      <w:r>
        <w:rPr>
          <w:color w:val="auto"/>
          <w:szCs w:val="21"/>
          <w:highlight w:val="none"/>
        </w:rPr>
        <w:t>此处</w:t>
      </w:r>
      <w:r>
        <w:rPr>
          <w:rFonts w:hint="eastAsia"/>
          <w:color w:val="auto"/>
          <w:szCs w:val="21"/>
          <w:highlight w:val="none"/>
        </w:rPr>
        <w:t>进行陈述</w:t>
      </w:r>
      <w:r>
        <w:rPr>
          <w:color w:val="auto"/>
          <w:szCs w:val="21"/>
          <w:highlight w:val="none"/>
        </w:rPr>
        <w:t>。格式自拟。</w:t>
      </w:r>
      <w:r>
        <w:rPr>
          <w:rFonts w:hint="eastAsia"/>
          <w:color w:val="auto"/>
          <w:szCs w:val="21"/>
          <w:highlight w:val="none"/>
        </w:rPr>
        <w:t>（</w:t>
      </w:r>
      <w:r>
        <w:rPr>
          <w:rFonts w:hint="eastAsia"/>
          <w:color w:val="auto"/>
          <w:kern w:val="1"/>
          <w:szCs w:val="21"/>
          <w:highlight w:val="none"/>
        </w:rPr>
        <w:t>具体要求详见第四章评审方法及标准“过低报价合理性的审查”</w:t>
      </w:r>
      <w:r>
        <w:rPr>
          <w:rFonts w:hint="eastAsia"/>
          <w:color w:val="auto"/>
          <w:szCs w:val="21"/>
          <w:highlight w:val="none"/>
        </w:rPr>
        <w:t>）</w:t>
      </w:r>
    </w:p>
    <w:p w14:paraId="79BFB58B">
      <w:pPr>
        <w:pStyle w:val="132"/>
        <w:jc w:val="center"/>
        <w:rPr>
          <w:b/>
          <w:bCs/>
          <w:color w:val="auto"/>
          <w:highlight w:val="none"/>
        </w:rPr>
      </w:pPr>
      <w:bookmarkStart w:id="108" w:name="_Hlk211331823"/>
    </w:p>
    <w:p w14:paraId="676FF561">
      <w:pPr>
        <w:pStyle w:val="132"/>
        <w:jc w:val="center"/>
        <w:rPr>
          <w:color w:val="auto"/>
          <w:highlight w:val="none"/>
        </w:rPr>
      </w:pPr>
      <w:r>
        <w:rPr>
          <w:rFonts w:hint="eastAsia"/>
          <w:b/>
          <w:bCs/>
          <w:color w:val="auto"/>
          <w:highlight w:val="none"/>
          <w:lang w:val="en-US" w:eastAsia="zh-CN"/>
        </w:rPr>
        <w:t>产品成本测算表（参考格式）</w:t>
      </w:r>
    </w:p>
    <w:p w14:paraId="68EC1B10">
      <w:pPr>
        <w:spacing w:line="360" w:lineRule="auto"/>
        <w:rPr>
          <w:color w:val="auto"/>
          <w:highlight w:val="none"/>
        </w:rPr>
      </w:pPr>
    </w:p>
    <w:bookmarkEnd w:id="108"/>
    <w:tbl>
      <w:tblPr>
        <w:tblStyle w:val="51"/>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6B6391C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5E2666AF">
            <w:pPr>
              <w:ind w:left="-105" w:leftChars="-50" w:right="-105" w:rightChars="-50"/>
              <w:jc w:val="center"/>
              <w:rPr>
                <w:rFonts w:cs="宋体"/>
                <w:b/>
                <w:color w:val="auto"/>
                <w:highlight w:val="none"/>
              </w:rPr>
            </w:pPr>
            <w:r>
              <w:rPr>
                <w:rFonts w:hint="eastAsia" w:cs="仿宋_GB2312"/>
                <w:b/>
                <w:color w:val="auto"/>
                <w:szCs w:val="24"/>
                <w:highlight w:val="none"/>
              </w:rPr>
              <w:t>序号</w:t>
            </w:r>
          </w:p>
        </w:tc>
        <w:tc>
          <w:tcPr>
            <w:tcW w:w="201" w:type="pct"/>
            <w:shd w:val="clear" w:color="C3BD96" w:themeColor="background2" w:themeShade="BF" w:fill="auto"/>
            <w:vAlign w:val="center"/>
          </w:tcPr>
          <w:p w14:paraId="625A44C2">
            <w:pPr>
              <w:spacing w:line="360" w:lineRule="auto"/>
              <w:ind w:left="-48" w:leftChars="-23" w:right="-65" w:rightChars="-31"/>
              <w:jc w:val="center"/>
              <w:rPr>
                <w:rFonts w:cs="宋体"/>
                <w:b/>
                <w:color w:val="auto"/>
                <w:highlight w:val="none"/>
              </w:rPr>
            </w:pPr>
            <w:r>
              <w:rPr>
                <w:rFonts w:hint="eastAsia" w:cs="宋体"/>
                <w:b/>
                <w:color w:val="auto"/>
                <w:highlight w:val="none"/>
              </w:rPr>
              <w:t>名称</w:t>
            </w:r>
          </w:p>
        </w:tc>
        <w:tc>
          <w:tcPr>
            <w:tcW w:w="380" w:type="pct"/>
            <w:shd w:val="clear" w:color="C3BD96" w:themeColor="background2" w:themeShade="BF" w:fill="auto"/>
            <w:vAlign w:val="center"/>
          </w:tcPr>
          <w:p w14:paraId="3E25F8C5">
            <w:pPr>
              <w:spacing w:line="360" w:lineRule="auto"/>
              <w:ind w:left="-48" w:leftChars="-23" w:right="-65" w:rightChars="-31"/>
              <w:jc w:val="center"/>
              <w:rPr>
                <w:rFonts w:cs="宋体"/>
                <w:b/>
                <w:color w:val="auto"/>
                <w:highlight w:val="none"/>
              </w:rPr>
            </w:pPr>
            <w:r>
              <w:rPr>
                <w:rFonts w:hint="eastAsia"/>
                <w:b/>
                <w:color w:val="auto"/>
                <w:highlight w:val="none"/>
              </w:rPr>
              <w:t>品牌规格型号</w:t>
            </w:r>
          </w:p>
        </w:tc>
        <w:tc>
          <w:tcPr>
            <w:tcW w:w="282" w:type="pct"/>
            <w:tcBorders>
              <w:left w:val="single" w:color="auto" w:sz="4" w:space="0"/>
            </w:tcBorders>
            <w:shd w:val="clear" w:color="C3BD96" w:themeColor="background2" w:themeShade="BF" w:fill="auto"/>
            <w:vAlign w:val="center"/>
          </w:tcPr>
          <w:p w14:paraId="49E2BC47">
            <w:pPr>
              <w:spacing w:line="360" w:lineRule="auto"/>
              <w:ind w:left="-48" w:leftChars="-23" w:right="-65" w:rightChars="-31"/>
              <w:jc w:val="center"/>
              <w:rPr>
                <w:rFonts w:cs="宋体"/>
                <w:b/>
                <w:color w:val="auto"/>
                <w:highlight w:val="none"/>
              </w:rPr>
            </w:pPr>
            <w:r>
              <w:rPr>
                <w:rFonts w:hint="eastAsia" w:cs="宋体"/>
                <w:b/>
                <w:color w:val="auto"/>
                <w:highlight w:val="none"/>
              </w:rPr>
              <w:t>单位</w:t>
            </w:r>
          </w:p>
        </w:tc>
        <w:tc>
          <w:tcPr>
            <w:tcW w:w="478" w:type="pct"/>
            <w:tcBorders>
              <w:right w:val="single" w:color="auto" w:sz="4" w:space="0"/>
            </w:tcBorders>
            <w:shd w:val="clear" w:color="C3BD96" w:themeColor="background2" w:themeShade="BF" w:fill="auto"/>
            <w:vAlign w:val="center"/>
          </w:tcPr>
          <w:p w14:paraId="02866CF7">
            <w:pPr>
              <w:spacing w:line="360" w:lineRule="auto"/>
              <w:ind w:left="-48" w:leftChars="-23" w:right="-65" w:rightChars="-31"/>
              <w:jc w:val="center"/>
              <w:rPr>
                <w:rFonts w:cs="宋体"/>
                <w:b/>
                <w:color w:val="auto"/>
                <w:highlight w:val="none"/>
              </w:rPr>
            </w:pPr>
            <w:r>
              <w:rPr>
                <w:rFonts w:hint="eastAsia" w:cs="宋体"/>
                <w:b/>
                <w:color w:val="auto"/>
                <w:highlight w:val="none"/>
                <w:lang w:val="en-US" w:eastAsia="zh-CN"/>
              </w:rPr>
              <w:t>报价</w:t>
            </w:r>
            <w:r>
              <w:rPr>
                <w:rFonts w:hint="eastAsia" w:cs="宋体"/>
                <w:b/>
                <w:color w:val="auto"/>
                <w:highlight w:val="none"/>
              </w:rPr>
              <w:t>单价（</w:t>
            </w:r>
            <w:r>
              <w:rPr>
                <w:rFonts w:cs="宋体"/>
                <w:b/>
                <w:color w:val="auto"/>
                <w:highlight w:val="none"/>
              </w:rPr>
              <w:t>元）</w:t>
            </w:r>
          </w:p>
        </w:tc>
        <w:tc>
          <w:tcPr>
            <w:tcW w:w="692" w:type="pct"/>
            <w:shd w:val="clear" w:color="C3BD96" w:themeColor="background2" w:themeShade="BF" w:fill="auto"/>
            <w:vAlign w:val="center"/>
          </w:tcPr>
          <w:p w14:paraId="7EF8CB29">
            <w:pPr>
              <w:spacing w:line="360" w:lineRule="auto"/>
              <w:ind w:left="-48" w:leftChars="-23" w:right="-65" w:rightChars="-31"/>
              <w:jc w:val="center"/>
              <w:rPr>
                <w:rFonts w:hint="default" w:eastAsia="宋体" w:cs="宋体"/>
                <w:b/>
                <w:color w:val="auto"/>
                <w:highlight w:val="none"/>
                <w:lang w:val="en-US" w:eastAsia="zh-CN"/>
              </w:rPr>
            </w:pPr>
            <w:r>
              <w:rPr>
                <w:rFonts w:hint="eastAsia" w:cs="宋体"/>
                <w:b/>
                <w:color w:val="auto"/>
                <w:highlight w:val="none"/>
                <w:lang w:val="en-US" w:eastAsia="zh-CN"/>
              </w:rPr>
              <w:t>成本项目</w:t>
            </w:r>
          </w:p>
          <w:p w14:paraId="0E2A73F9">
            <w:pPr>
              <w:spacing w:line="360" w:lineRule="auto"/>
              <w:ind w:right="-65" w:rightChars="-31"/>
              <w:jc w:val="both"/>
              <w:rPr>
                <w:rFonts w:hint="default" w:cs="宋体"/>
                <w:b/>
                <w:color w:val="auto"/>
                <w:highlight w:val="none"/>
                <w:lang w:val="en-US" w:eastAsia="zh-CN"/>
              </w:rPr>
            </w:pPr>
          </w:p>
        </w:tc>
        <w:tc>
          <w:tcPr>
            <w:tcW w:w="560" w:type="pct"/>
            <w:shd w:val="clear" w:color="C3BD96" w:themeColor="background2" w:themeShade="BF" w:fill="auto"/>
            <w:vAlign w:val="center"/>
          </w:tcPr>
          <w:p w14:paraId="4E881D67">
            <w:pPr>
              <w:spacing w:line="360" w:lineRule="auto"/>
              <w:ind w:left="-48" w:leftChars="-23" w:right="-65" w:rightChars="-31"/>
              <w:jc w:val="center"/>
              <w:rPr>
                <w:rFonts w:hint="eastAsia" w:cs="宋体"/>
                <w:b/>
                <w:color w:val="auto"/>
                <w:highlight w:val="none"/>
                <w:lang w:val="en-US" w:eastAsia="zh-CN"/>
              </w:rPr>
            </w:pPr>
            <w:r>
              <w:rPr>
                <w:rFonts w:hint="eastAsia" w:cs="宋体"/>
                <w:b/>
                <w:color w:val="auto"/>
                <w:highlight w:val="none"/>
                <w:lang w:val="en-US" w:eastAsia="zh-CN"/>
              </w:rPr>
              <w:t>具体明细</w:t>
            </w:r>
          </w:p>
          <w:p w14:paraId="2B78993B">
            <w:pPr>
              <w:spacing w:line="360" w:lineRule="auto"/>
              <w:ind w:left="-48" w:leftChars="-23" w:right="-65" w:rightChars="-31"/>
              <w:jc w:val="center"/>
              <w:rPr>
                <w:rFonts w:hint="eastAsia" w:cs="宋体"/>
                <w:b/>
                <w:color w:val="auto"/>
                <w:highlight w:val="none"/>
                <w:lang w:val="en-US" w:eastAsia="zh-CN"/>
              </w:rPr>
            </w:pPr>
          </w:p>
        </w:tc>
        <w:tc>
          <w:tcPr>
            <w:tcW w:w="511" w:type="pct"/>
            <w:shd w:val="clear" w:color="C3BD96" w:themeColor="background2" w:themeShade="BF" w:fill="auto"/>
            <w:vAlign w:val="center"/>
          </w:tcPr>
          <w:p w14:paraId="325D40F3">
            <w:pPr>
              <w:spacing w:line="360" w:lineRule="auto"/>
              <w:ind w:left="-48" w:leftChars="-23" w:right="-65" w:rightChars="-31"/>
              <w:jc w:val="center"/>
              <w:rPr>
                <w:rFonts w:hint="eastAsia" w:cs="宋体"/>
                <w:b/>
                <w:color w:val="auto"/>
                <w:highlight w:val="none"/>
                <w:lang w:val="en-US" w:eastAsia="zh-CN"/>
              </w:rPr>
            </w:pPr>
            <w:r>
              <w:rPr>
                <w:rFonts w:hint="eastAsia" w:cs="宋体"/>
                <w:b/>
                <w:color w:val="auto"/>
                <w:highlight w:val="none"/>
                <w:lang w:val="en-US" w:eastAsia="zh-CN"/>
              </w:rPr>
              <w:t>单位产品用量</w:t>
            </w:r>
          </w:p>
          <w:p w14:paraId="59D51757">
            <w:pPr>
              <w:spacing w:line="360" w:lineRule="auto"/>
              <w:ind w:left="-48" w:leftChars="-23" w:right="-65" w:rightChars="-31"/>
              <w:jc w:val="center"/>
              <w:rPr>
                <w:rFonts w:hint="eastAsia" w:cs="宋体"/>
                <w:b/>
                <w:color w:val="auto"/>
                <w:highlight w:val="none"/>
                <w:lang w:val="en-US" w:eastAsia="zh-CN"/>
              </w:rPr>
            </w:pPr>
          </w:p>
        </w:tc>
        <w:tc>
          <w:tcPr>
            <w:tcW w:w="606" w:type="pct"/>
            <w:shd w:val="clear" w:color="C3BD96" w:themeColor="background2" w:themeShade="BF" w:fill="auto"/>
            <w:vAlign w:val="center"/>
          </w:tcPr>
          <w:p w14:paraId="21918BE9">
            <w:pPr>
              <w:spacing w:line="360" w:lineRule="auto"/>
              <w:ind w:left="-48" w:leftChars="-23" w:right="-65" w:rightChars="-31"/>
              <w:jc w:val="center"/>
              <w:rPr>
                <w:rFonts w:hint="eastAsia" w:cs="宋体"/>
                <w:b/>
                <w:color w:val="auto"/>
                <w:highlight w:val="none"/>
                <w:lang w:val="en-US" w:eastAsia="zh-CN"/>
              </w:rPr>
            </w:pPr>
            <w:r>
              <w:rPr>
                <w:rFonts w:hint="eastAsia" w:cs="宋体"/>
                <w:b/>
                <w:color w:val="auto"/>
                <w:highlight w:val="none"/>
                <w:lang w:val="en-US" w:eastAsia="zh-CN"/>
              </w:rPr>
              <w:t>单位成本（元）</w:t>
            </w:r>
          </w:p>
        </w:tc>
        <w:tc>
          <w:tcPr>
            <w:tcW w:w="449" w:type="pct"/>
            <w:tcBorders>
              <w:left w:val="single" w:color="auto" w:sz="4" w:space="0"/>
            </w:tcBorders>
            <w:shd w:val="clear" w:color="C3BD96" w:themeColor="background2" w:themeShade="BF" w:fill="auto"/>
            <w:vAlign w:val="center"/>
          </w:tcPr>
          <w:p w14:paraId="42F6BCB1">
            <w:pPr>
              <w:spacing w:line="360" w:lineRule="auto"/>
              <w:ind w:left="-48" w:leftChars="-23" w:right="-65" w:rightChars="-31"/>
              <w:jc w:val="center"/>
              <w:rPr>
                <w:rFonts w:cs="宋体"/>
                <w:b/>
                <w:color w:val="auto"/>
                <w:highlight w:val="none"/>
              </w:rPr>
            </w:pPr>
            <w:r>
              <w:rPr>
                <w:rFonts w:hint="eastAsia" w:cs="宋体"/>
                <w:b/>
                <w:color w:val="auto"/>
                <w:highlight w:val="none"/>
              </w:rPr>
              <w:t>成本</w:t>
            </w:r>
            <w:r>
              <w:rPr>
                <w:rFonts w:cs="宋体"/>
                <w:b/>
                <w:color w:val="auto"/>
                <w:highlight w:val="none"/>
              </w:rPr>
              <w:t>合计（元）</w:t>
            </w:r>
          </w:p>
        </w:tc>
        <w:tc>
          <w:tcPr>
            <w:tcW w:w="587" w:type="pct"/>
            <w:tcBorders>
              <w:left w:val="single" w:color="auto" w:sz="4" w:space="0"/>
            </w:tcBorders>
            <w:shd w:val="clear" w:color="C3BD96" w:themeColor="background2" w:themeShade="BF" w:fill="auto"/>
            <w:vAlign w:val="center"/>
          </w:tcPr>
          <w:p w14:paraId="497F9CD9">
            <w:pPr>
              <w:spacing w:line="360" w:lineRule="auto"/>
              <w:ind w:left="-48" w:leftChars="-23" w:right="-65" w:rightChars="-31"/>
              <w:jc w:val="center"/>
              <w:rPr>
                <w:rFonts w:hint="eastAsia" w:cs="宋体"/>
                <w:b/>
                <w:color w:val="auto"/>
                <w:highlight w:val="none"/>
              </w:rPr>
            </w:pPr>
            <w:r>
              <w:rPr>
                <w:rFonts w:hint="eastAsia" w:cs="宋体"/>
                <w:b/>
                <w:color w:val="auto"/>
                <w:highlight w:val="none"/>
                <w:lang w:val="en-US" w:eastAsia="zh-CN"/>
              </w:rPr>
              <w:t>备注（测算依据/证明材料）</w:t>
            </w:r>
          </w:p>
        </w:tc>
      </w:tr>
      <w:tr w14:paraId="3DDC6B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shd w:val="clear" w:color="auto" w:fill="auto"/>
            <w:vAlign w:val="center"/>
          </w:tcPr>
          <w:p w14:paraId="5E0BD3D3">
            <w:pPr>
              <w:numPr>
                <w:ilvl w:val="0"/>
                <w:numId w:val="2"/>
              </w:numPr>
              <w:tabs>
                <w:tab w:val="left" w:pos="61"/>
              </w:tabs>
              <w:jc w:val="center"/>
              <w:rPr>
                <w:color w:val="auto"/>
                <w:highlight w:val="none"/>
              </w:rPr>
            </w:pPr>
          </w:p>
        </w:tc>
        <w:tc>
          <w:tcPr>
            <w:tcW w:w="201" w:type="pct"/>
            <w:vMerge w:val="restart"/>
            <w:shd w:val="clear" w:color="auto" w:fill="auto"/>
            <w:vAlign w:val="center"/>
          </w:tcPr>
          <w:p w14:paraId="30B1CC4F">
            <w:pPr>
              <w:tabs>
                <w:tab w:val="left" w:pos="0"/>
                <w:tab w:val="left" w:pos="56"/>
              </w:tabs>
              <w:ind w:left="547" w:hanging="478" w:hangingChars="228"/>
              <w:jc w:val="center"/>
              <w:rPr>
                <w:color w:val="auto"/>
                <w:highlight w:val="none"/>
              </w:rPr>
            </w:pPr>
          </w:p>
        </w:tc>
        <w:tc>
          <w:tcPr>
            <w:tcW w:w="380" w:type="pct"/>
            <w:vMerge w:val="restart"/>
            <w:shd w:val="clear" w:color="auto" w:fill="auto"/>
            <w:vAlign w:val="center"/>
          </w:tcPr>
          <w:p w14:paraId="6C8EE06D">
            <w:pPr>
              <w:spacing w:line="240" w:lineRule="atLeast"/>
              <w:ind w:left="-48" w:leftChars="-23" w:right="-65" w:rightChars="-31"/>
              <w:jc w:val="left"/>
              <w:rPr>
                <w:rFonts w:cs="宋体"/>
                <w:color w:val="auto"/>
                <w:szCs w:val="24"/>
                <w:highlight w:val="none"/>
              </w:rPr>
            </w:pPr>
          </w:p>
        </w:tc>
        <w:tc>
          <w:tcPr>
            <w:tcW w:w="282" w:type="pct"/>
            <w:vMerge w:val="restart"/>
            <w:tcBorders>
              <w:left w:val="single" w:color="auto" w:sz="4" w:space="0"/>
            </w:tcBorders>
            <w:shd w:val="clear" w:color="auto" w:fill="auto"/>
            <w:vAlign w:val="center"/>
          </w:tcPr>
          <w:p w14:paraId="4DEDBE32">
            <w:pPr>
              <w:spacing w:line="240" w:lineRule="atLeast"/>
              <w:ind w:left="-48" w:leftChars="-23" w:right="-65" w:rightChars="-31"/>
              <w:jc w:val="left"/>
              <w:rPr>
                <w:rFonts w:cs="宋体"/>
                <w:color w:val="auto"/>
                <w:szCs w:val="24"/>
                <w:highlight w:val="none"/>
              </w:rPr>
            </w:pPr>
          </w:p>
        </w:tc>
        <w:tc>
          <w:tcPr>
            <w:tcW w:w="478" w:type="pct"/>
            <w:vMerge w:val="restart"/>
            <w:tcBorders>
              <w:left w:val="single" w:color="auto" w:sz="4" w:space="0"/>
              <w:right w:val="single" w:color="auto" w:sz="4" w:space="0"/>
            </w:tcBorders>
            <w:shd w:val="clear" w:color="auto" w:fill="auto"/>
            <w:vAlign w:val="center"/>
          </w:tcPr>
          <w:p w14:paraId="38E3BC02">
            <w:pPr>
              <w:spacing w:line="240" w:lineRule="atLeast"/>
              <w:ind w:left="-48" w:leftChars="-23" w:right="-65" w:rightChars="-31"/>
              <w:jc w:val="left"/>
              <w:rPr>
                <w:rFonts w:cs="宋体"/>
                <w:color w:val="auto"/>
                <w:szCs w:val="24"/>
                <w:highlight w:val="none"/>
              </w:rPr>
            </w:pPr>
          </w:p>
        </w:tc>
        <w:tc>
          <w:tcPr>
            <w:tcW w:w="692" w:type="pct"/>
            <w:vMerge w:val="restart"/>
            <w:tcBorders>
              <w:left w:val="single" w:color="auto" w:sz="4" w:space="0"/>
              <w:right w:val="single" w:color="auto" w:sz="4" w:space="0"/>
            </w:tcBorders>
            <w:vAlign w:val="center"/>
          </w:tcPr>
          <w:p w14:paraId="0760FAA0">
            <w:pPr>
              <w:spacing w:line="240" w:lineRule="atLeast"/>
              <w:ind w:left="-48" w:leftChars="-23" w:right="-65" w:rightChars="-31"/>
              <w:jc w:val="left"/>
              <w:rPr>
                <w:rFonts w:cs="宋体"/>
                <w:color w:val="auto"/>
                <w:szCs w:val="24"/>
                <w:highlight w:val="none"/>
              </w:rPr>
            </w:pPr>
            <w:r>
              <w:rPr>
                <w:rFonts w:hint="eastAsia" w:cs="宋体"/>
                <w:color w:val="auto"/>
                <w:szCs w:val="24"/>
                <w:highlight w:val="none"/>
              </w:rPr>
              <w:t>原材料成本</w:t>
            </w:r>
          </w:p>
        </w:tc>
        <w:tc>
          <w:tcPr>
            <w:tcW w:w="560" w:type="pct"/>
            <w:tcBorders>
              <w:left w:val="single" w:color="auto" w:sz="4" w:space="0"/>
            </w:tcBorders>
            <w:shd w:val="clear" w:color="auto" w:fill="auto"/>
            <w:vAlign w:val="center"/>
          </w:tcPr>
          <w:p w14:paraId="46099EEB">
            <w:pPr>
              <w:spacing w:line="240" w:lineRule="atLeast"/>
              <w:ind w:left="-48" w:leftChars="-23" w:right="-65" w:rightChars="-31"/>
              <w:jc w:val="left"/>
              <w:rPr>
                <w:rFonts w:cs="宋体"/>
                <w:color w:val="auto"/>
                <w:szCs w:val="24"/>
                <w:highlight w:val="none"/>
              </w:rPr>
            </w:pPr>
            <w:r>
              <w:rPr>
                <w:rFonts w:cs="宋体"/>
                <w:color w:val="auto"/>
                <w:szCs w:val="24"/>
                <w:highlight w:val="none"/>
                <w:lang w:val="en-US" w:eastAsia="zh-CN"/>
              </w:rPr>
              <w:t>原材料1</w:t>
            </w:r>
          </w:p>
        </w:tc>
        <w:tc>
          <w:tcPr>
            <w:tcW w:w="511" w:type="pct"/>
            <w:tcBorders>
              <w:left w:val="single" w:color="auto" w:sz="4" w:space="0"/>
            </w:tcBorders>
            <w:shd w:val="clear" w:color="auto" w:fill="auto"/>
            <w:vAlign w:val="center"/>
          </w:tcPr>
          <w:p w14:paraId="182A543D">
            <w:pPr>
              <w:spacing w:line="240" w:lineRule="atLeast"/>
              <w:ind w:left="-48" w:leftChars="-23" w:right="-65" w:rightChars="-31"/>
              <w:jc w:val="left"/>
              <w:rPr>
                <w:rFonts w:cs="宋体"/>
                <w:color w:val="auto"/>
                <w:szCs w:val="24"/>
                <w:highlight w:val="none"/>
              </w:rPr>
            </w:pPr>
          </w:p>
        </w:tc>
        <w:tc>
          <w:tcPr>
            <w:tcW w:w="606" w:type="pct"/>
            <w:tcBorders>
              <w:left w:val="single" w:color="auto" w:sz="4" w:space="0"/>
            </w:tcBorders>
            <w:shd w:val="clear" w:color="auto" w:fill="auto"/>
            <w:vAlign w:val="center"/>
          </w:tcPr>
          <w:p w14:paraId="06838428">
            <w:pPr>
              <w:spacing w:line="240" w:lineRule="atLeast"/>
              <w:ind w:left="-48" w:leftChars="-23" w:right="-65" w:rightChars="-31"/>
              <w:jc w:val="left"/>
              <w:rPr>
                <w:rFonts w:cs="宋体"/>
                <w:color w:val="auto"/>
                <w:szCs w:val="24"/>
                <w:highlight w:val="none"/>
              </w:rPr>
            </w:pPr>
          </w:p>
        </w:tc>
        <w:tc>
          <w:tcPr>
            <w:tcW w:w="449" w:type="pct"/>
            <w:vMerge w:val="restart"/>
            <w:tcBorders>
              <w:left w:val="single" w:color="auto" w:sz="4" w:space="0"/>
            </w:tcBorders>
            <w:shd w:val="clear" w:color="auto" w:fill="auto"/>
            <w:vAlign w:val="center"/>
          </w:tcPr>
          <w:p w14:paraId="65D6F642">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15C06BFF">
            <w:pPr>
              <w:spacing w:line="240" w:lineRule="atLeast"/>
              <w:ind w:left="-48" w:leftChars="-23" w:right="-65" w:rightChars="-31"/>
              <w:jc w:val="left"/>
              <w:rPr>
                <w:rFonts w:cs="宋体"/>
                <w:color w:val="auto"/>
                <w:szCs w:val="24"/>
                <w:highlight w:val="none"/>
              </w:rPr>
            </w:pPr>
          </w:p>
        </w:tc>
      </w:tr>
      <w:tr w14:paraId="5080DC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40875C61">
            <w:pPr>
              <w:numPr>
                <w:ilvl w:val="0"/>
                <w:numId w:val="2"/>
              </w:numPr>
              <w:tabs>
                <w:tab w:val="left" w:pos="61"/>
              </w:tabs>
              <w:jc w:val="center"/>
              <w:rPr>
                <w:color w:val="auto"/>
                <w:highlight w:val="none"/>
              </w:rPr>
            </w:pPr>
          </w:p>
        </w:tc>
        <w:tc>
          <w:tcPr>
            <w:tcW w:w="201" w:type="pct"/>
            <w:vMerge w:val="continue"/>
            <w:shd w:val="clear" w:color="auto" w:fill="auto"/>
            <w:vAlign w:val="center"/>
          </w:tcPr>
          <w:p w14:paraId="60F4BE49">
            <w:pPr>
              <w:tabs>
                <w:tab w:val="left" w:pos="0"/>
                <w:tab w:val="left" w:pos="56"/>
              </w:tabs>
              <w:ind w:left="547" w:hanging="478" w:hangingChars="228"/>
              <w:jc w:val="center"/>
              <w:rPr>
                <w:color w:val="auto"/>
                <w:highlight w:val="none"/>
              </w:rPr>
            </w:pPr>
          </w:p>
        </w:tc>
        <w:tc>
          <w:tcPr>
            <w:tcW w:w="380" w:type="pct"/>
            <w:vMerge w:val="continue"/>
            <w:shd w:val="clear" w:color="auto" w:fill="auto"/>
            <w:vAlign w:val="center"/>
          </w:tcPr>
          <w:p w14:paraId="4D0B4696">
            <w:pPr>
              <w:spacing w:line="240" w:lineRule="atLeast"/>
              <w:ind w:left="-48" w:leftChars="-23" w:right="-65" w:rightChars="-31"/>
              <w:jc w:val="left"/>
              <w:rPr>
                <w:rFonts w:cs="宋体"/>
                <w:color w:val="auto"/>
                <w:szCs w:val="24"/>
                <w:highlight w:val="none"/>
              </w:rPr>
            </w:pPr>
          </w:p>
        </w:tc>
        <w:tc>
          <w:tcPr>
            <w:tcW w:w="282" w:type="pct"/>
            <w:vMerge w:val="continue"/>
            <w:tcBorders>
              <w:left w:val="single" w:color="auto" w:sz="4" w:space="0"/>
            </w:tcBorders>
            <w:shd w:val="clear" w:color="auto" w:fill="auto"/>
            <w:vAlign w:val="center"/>
          </w:tcPr>
          <w:p w14:paraId="5A38433C">
            <w:pPr>
              <w:spacing w:line="240" w:lineRule="atLeast"/>
              <w:ind w:left="-48" w:leftChars="-23" w:right="-65" w:rightChars="-31"/>
              <w:jc w:val="left"/>
              <w:rPr>
                <w:rFonts w:cs="宋体"/>
                <w:color w:val="auto"/>
                <w:szCs w:val="24"/>
                <w:highlight w:val="none"/>
              </w:rPr>
            </w:pPr>
          </w:p>
        </w:tc>
        <w:tc>
          <w:tcPr>
            <w:tcW w:w="478" w:type="pct"/>
            <w:vMerge w:val="continue"/>
            <w:tcBorders>
              <w:left w:val="single" w:color="auto" w:sz="4" w:space="0"/>
              <w:right w:val="single" w:color="auto" w:sz="4" w:space="0"/>
            </w:tcBorders>
            <w:shd w:val="clear" w:color="auto" w:fill="auto"/>
            <w:vAlign w:val="center"/>
          </w:tcPr>
          <w:p w14:paraId="6FEF5FEC">
            <w:pPr>
              <w:spacing w:line="240" w:lineRule="atLeast"/>
              <w:ind w:left="-48" w:leftChars="-23" w:right="-65" w:rightChars="-31"/>
              <w:jc w:val="left"/>
              <w:rPr>
                <w:rFonts w:cs="宋体"/>
                <w:color w:val="auto"/>
                <w:szCs w:val="24"/>
                <w:highlight w:val="none"/>
              </w:rPr>
            </w:pPr>
          </w:p>
        </w:tc>
        <w:tc>
          <w:tcPr>
            <w:tcW w:w="692" w:type="pct"/>
            <w:vMerge w:val="continue"/>
            <w:tcBorders>
              <w:left w:val="single" w:color="auto" w:sz="4" w:space="0"/>
              <w:right w:val="single" w:color="auto" w:sz="4" w:space="0"/>
            </w:tcBorders>
            <w:vAlign w:val="center"/>
          </w:tcPr>
          <w:p w14:paraId="46EB8D73">
            <w:pPr>
              <w:spacing w:line="240" w:lineRule="atLeast"/>
              <w:ind w:left="-48" w:leftChars="-23" w:right="-65" w:rightChars="-31"/>
              <w:jc w:val="left"/>
              <w:rPr>
                <w:rFonts w:hint="eastAsia" w:cs="宋体"/>
                <w:color w:val="auto"/>
                <w:szCs w:val="24"/>
                <w:highlight w:val="none"/>
              </w:rPr>
            </w:pPr>
          </w:p>
        </w:tc>
        <w:tc>
          <w:tcPr>
            <w:tcW w:w="560" w:type="pct"/>
            <w:tcBorders>
              <w:left w:val="single" w:color="auto" w:sz="4" w:space="0"/>
            </w:tcBorders>
            <w:shd w:val="clear" w:color="auto" w:fill="auto"/>
            <w:vAlign w:val="center"/>
          </w:tcPr>
          <w:p w14:paraId="2959CE5E">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w:t>
            </w:r>
          </w:p>
        </w:tc>
        <w:tc>
          <w:tcPr>
            <w:tcW w:w="511" w:type="pct"/>
            <w:tcBorders>
              <w:left w:val="single" w:color="auto" w:sz="4" w:space="0"/>
            </w:tcBorders>
            <w:shd w:val="clear" w:color="auto" w:fill="auto"/>
            <w:vAlign w:val="center"/>
          </w:tcPr>
          <w:p w14:paraId="630F7804">
            <w:pPr>
              <w:spacing w:line="240" w:lineRule="atLeast"/>
              <w:ind w:left="-48" w:leftChars="-23" w:right="-65" w:rightChars="-31"/>
              <w:jc w:val="left"/>
              <w:rPr>
                <w:rFonts w:cs="宋体"/>
                <w:color w:val="auto"/>
                <w:szCs w:val="24"/>
                <w:highlight w:val="none"/>
              </w:rPr>
            </w:pPr>
          </w:p>
        </w:tc>
        <w:tc>
          <w:tcPr>
            <w:tcW w:w="606" w:type="pct"/>
            <w:tcBorders>
              <w:left w:val="single" w:color="auto" w:sz="4" w:space="0"/>
            </w:tcBorders>
            <w:shd w:val="clear" w:color="auto" w:fill="auto"/>
            <w:vAlign w:val="center"/>
          </w:tcPr>
          <w:p w14:paraId="195BBFCF">
            <w:pPr>
              <w:spacing w:line="240" w:lineRule="atLeast"/>
              <w:ind w:left="-48" w:leftChars="-23" w:right="-65" w:rightChars="-31"/>
              <w:jc w:val="left"/>
              <w:rPr>
                <w:rFonts w:cs="宋体"/>
                <w:color w:val="auto"/>
                <w:szCs w:val="24"/>
                <w:highlight w:val="none"/>
              </w:rPr>
            </w:pPr>
          </w:p>
        </w:tc>
        <w:tc>
          <w:tcPr>
            <w:tcW w:w="449" w:type="pct"/>
            <w:vMerge w:val="continue"/>
            <w:tcBorders>
              <w:left w:val="single" w:color="auto" w:sz="4" w:space="0"/>
            </w:tcBorders>
            <w:shd w:val="clear" w:color="auto" w:fill="auto"/>
            <w:vAlign w:val="center"/>
          </w:tcPr>
          <w:p w14:paraId="6BBC93E8">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43C02A35">
            <w:pPr>
              <w:spacing w:line="240" w:lineRule="atLeast"/>
              <w:ind w:left="-48" w:leftChars="-23" w:right="-65" w:rightChars="-31"/>
              <w:jc w:val="left"/>
              <w:rPr>
                <w:rFonts w:cs="宋体"/>
                <w:color w:val="auto"/>
                <w:szCs w:val="24"/>
                <w:highlight w:val="none"/>
              </w:rPr>
            </w:pPr>
          </w:p>
        </w:tc>
      </w:tr>
      <w:tr w14:paraId="4C9865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BBBB14A">
            <w:pPr>
              <w:tabs>
                <w:tab w:val="left" w:pos="61"/>
              </w:tabs>
              <w:jc w:val="center"/>
              <w:rPr>
                <w:color w:val="auto"/>
                <w:highlight w:val="none"/>
              </w:rPr>
            </w:pPr>
          </w:p>
        </w:tc>
        <w:tc>
          <w:tcPr>
            <w:tcW w:w="201" w:type="pct"/>
            <w:vMerge w:val="continue"/>
            <w:shd w:val="clear" w:color="auto" w:fill="auto"/>
            <w:vAlign w:val="center"/>
          </w:tcPr>
          <w:p w14:paraId="60CA0B09">
            <w:pPr>
              <w:tabs>
                <w:tab w:val="left" w:pos="0"/>
                <w:tab w:val="left" w:pos="56"/>
              </w:tabs>
              <w:ind w:left="547" w:hanging="478" w:hangingChars="228"/>
              <w:jc w:val="center"/>
              <w:rPr>
                <w:color w:val="auto"/>
                <w:highlight w:val="none"/>
              </w:rPr>
            </w:pPr>
          </w:p>
        </w:tc>
        <w:tc>
          <w:tcPr>
            <w:tcW w:w="380" w:type="pct"/>
            <w:vMerge w:val="continue"/>
            <w:shd w:val="clear" w:color="auto" w:fill="auto"/>
            <w:vAlign w:val="center"/>
          </w:tcPr>
          <w:p w14:paraId="5C0EC28B">
            <w:pPr>
              <w:spacing w:line="240" w:lineRule="atLeast"/>
              <w:ind w:left="-48" w:leftChars="-23" w:right="-65" w:rightChars="-31"/>
              <w:jc w:val="left"/>
              <w:rPr>
                <w:rFonts w:cs="宋体"/>
                <w:color w:val="auto"/>
                <w:szCs w:val="24"/>
                <w:highlight w:val="none"/>
              </w:rPr>
            </w:pPr>
          </w:p>
        </w:tc>
        <w:tc>
          <w:tcPr>
            <w:tcW w:w="282" w:type="pct"/>
            <w:vMerge w:val="continue"/>
            <w:tcBorders>
              <w:left w:val="single" w:color="auto" w:sz="4" w:space="0"/>
            </w:tcBorders>
            <w:shd w:val="clear" w:color="auto" w:fill="auto"/>
            <w:vAlign w:val="center"/>
          </w:tcPr>
          <w:p w14:paraId="64F56BD4">
            <w:pPr>
              <w:spacing w:line="240" w:lineRule="atLeast"/>
              <w:ind w:left="-48" w:leftChars="-23" w:right="-65" w:rightChars="-31"/>
              <w:jc w:val="left"/>
              <w:rPr>
                <w:rFonts w:cs="宋体"/>
                <w:color w:val="auto"/>
                <w:szCs w:val="24"/>
                <w:highlight w:val="none"/>
              </w:rPr>
            </w:pPr>
          </w:p>
        </w:tc>
        <w:tc>
          <w:tcPr>
            <w:tcW w:w="478" w:type="pct"/>
            <w:vMerge w:val="continue"/>
            <w:tcBorders>
              <w:left w:val="single" w:color="auto" w:sz="4" w:space="0"/>
              <w:right w:val="single" w:color="auto" w:sz="4" w:space="0"/>
            </w:tcBorders>
            <w:shd w:val="clear" w:color="auto" w:fill="auto"/>
            <w:vAlign w:val="center"/>
          </w:tcPr>
          <w:p w14:paraId="3203C1C6">
            <w:pPr>
              <w:spacing w:line="240" w:lineRule="atLeast"/>
              <w:ind w:left="-48" w:leftChars="-23" w:right="-65" w:rightChars="-31"/>
              <w:jc w:val="left"/>
              <w:rPr>
                <w:rFonts w:cs="宋体"/>
                <w:color w:val="auto"/>
                <w:szCs w:val="24"/>
                <w:highlight w:val="none"/>
              </w:rPr>
            </w:pPr>
          </w:p>
        </w:tc>
        <w:tc>
          <w:tcPr>
            <w:tcW w:w="692" w:type="pct"/>
            <w:vMerge w:val="restart"/>
            <w:tcBorders>
              <w:left w:val="single" w:color="auto" w:sz="4" w:space="0"/>
              <w:right w:val="single" w:color="auto" w:sz="4" w:space="0"/>
            </w:tcBorders>
            <w:vAlign w:val="center"/>
          </w:tcPr>
          <w:p w14:paraId="7B5CEB8C">
            <w:pPr>
              <w:spacing w:line="240" w:lineRule="atLeast"/>
              <w:ind w:left="-48" w:leftChars="-23" w:right="-65" w:rightChars="-31"/>
              <w:jc w:val="left"/>
              <w:rPr>
                <w:rFonts w:cs="宋体"/>
                <w:color w:val="auto"/>
                <w:szCs w:val="24"/>
                <w:highlight w:val="none"/>
              </w:rPr>
            </w:pPr>
            <w:r>
              <w:rPr>
                <w:rFonts w:hint="eastAsia" w:cs="宋体"/>
                <w:color w:val="auto"/>
                <w:szCs w:val="24"/>
                <w:highlight w:val="none"/>
              </w:rPr>
              <w:t>人工成本</w:t>
            </w:r>
          </w:p>
        </w:tc>
        <w:tc>
          <w:tcPr>
            <w:tcW w:w="560" w:type="pct"/>
            <w:tcBorders>
              <w:left w:val="single" w:color="auto" w:sz="4" w:space="0"/>
            </w:tcBorders>
            <w:shd w:val="clear" w:color="auto" w:fill="auto"/>
            <w:vAlign w:val="center"/>
          </w:tcPr>
          <w:p w14:paraId="2C6629D1">
            <w:pPr>
              <w:spacing w:line="240" w:lineRule="atLeast"/>
              <w:ind w:left="-48" w:leftChars="-23" w:right="-65" w:rightChars="-31"/>
              <w:jc w:val="left"/>
              <w:rPr>
                <w:rFonts w:cs="宋体"/>
                <w:color w:val="auto"/>
                <w:szCs w:val="24"/>
                <w:highlight w:val="none"/>
              </w:rPr>
            </w:pPr>
            <w:r>
              <w:rPr>
                <w:rFonts w:cs="宋体"/>
                <w:color w:val="auto"/>
                <w:szCs w:val="24"/>
                <w:highlight w:val="none"/>
                <w:lang w:val="en-US" w:eastAsia="zh-CN"/>
              </w:rPr>
              <w:t>生产工人工资</w:t>
            </w:r>
          </w:p>
        </w:tc>
        <w:tc>
          <w:tcPr>
            <w:tcW w:w="511" w:type="pct"/>
            <w:tcBorders>
              <w:left w:val="single" w:color="auto" w:sz="4" w:space="0"/>
            </w:tcBorders>
            <w:shd w:val="clear" w:color="auto" w:fill="auto"/>
            <w:vAlign w:val="center"/>
          </w:tcPr>
          <w:p w14:paraId="4A1D2AFB">
            <w:pPr>
              <w:spacing w:line="240" w:lineRule="atLeast"/>
              <w:ind w:left="-48" w:leftChars="-23" w:right="-65" w:rightChars="-31"/>
              <w:jc w:val="left"/>
              <w:rPr>
                <w:rFonts w:cs="宋体"/>
                <w:color w:val="auto"/>
                <w:szCs w:val="24"/>
                <w:highlight w:val="none"/>
              </w:rPr>
            </w:pPr>
          </w:p>
        </w:tc>
        <w:tc>
          <w:tcPr>
            <w:tcW w:w="606" w:type="pct"/>
            <w:tcBorders>
              <w:left w:val="single" w:color="auto" w:sz="4" w:space="0"/>
            </w:tcBorders>
            <w:shd w:val="clear" w:color="auto" w:fill="auto"/>
            <w:vAlign w:val="center"/>
          </w:tcPr>
          <w:p w14:paraId="33734D65">
            <w:pPr>
              <w:spacing w:line="240" w:lineRule="atLeast"/>
              <w:ind w:left="-48" w:leftChars="-23" w:right="-65" w:rightChars="-31"/>
              <w:jc w:val="left"/>
              <w:rPr>
                <w:rFonts w:cs="宋体"/>
                <w:color w:val="auto"/>
                <w:szCs w:val="24"/>
                <w:highlight w:val="none"/>
              </w:rPr>
            </w:pPr>
          </w:p>
        </w:tc>
        <w:tc>
          <w:tcPr>
            <w:tcW w:w="449" w:type="pct"/>
            <w:vMerge w:val="continue"/>
            <w:tcBorders>
              <w:left w:val="single" w:color="auto" w:sz="4" w:space="0"/>
            </w:tcBorders>
            <w:shd w:val="clear" w:color="auto" w:fill="auto"/>
            <w:vAlign w:val="center"/>
          </w:tcPr>
          <w:p w14:paraId="7F346BC3">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4D0947EC">
            <w:pPr>
              <w:spacing w:line="240" w:lineRule="atLeast"/>
              <w:ind w:left="-48" w:leftChars="-23" w:right="-65" w:rightChars="-31"/>
              <w:jc w:val="left"/>
              <w:rPr>
                <w:rFonts w:cs="宋体"/>
                <w:color w:val="auto"/>
                <w:szCs w:val="24"/>
                <w:highlight w:val="none"/>
              </w:rPr>
            </w:pPr>
          </w:p>
        </w:tc>
      </w:tr>
      <w:tr w14:paraId="2362D5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A006CBC">
            <w:pPr>
              <w:tabs>
                <w:tab w:val="left" w:pos="61"/>
              </w:tabs>
              <w:jc w:val="center"/>
              <w:rPr>
                <w:color w:val="auto"/>
                <w:highlight w:val="none"/>
              </w:rPr>
            </w:pPr>
          </w:p>
        </w:tc>
        <w:tc>
          <w:tcPr>
            <w:tcW w:w="201" w:type="pct"/>
            <w:vMerge w:val="continue"/>
            <w:shd w:val="clear" w:color="auto" w:fill="auto"/>
            <w:vAlign w:val="center"/>
          </w:tcPr>
          <w:p w14:paraId="2CE162F1">
            <w:pPr>
              <w:tabs>
                <w:tab w:val="left" w:pos="0"/>
                <w:tab w:val="left" w:pos="56"/>
              </w:tabs>
              <w:ind w:left="547" w:hanging="478" w:hangingChars="228"/>
              <w:jc w:val="center"/>
              <w:rPr>
                <w:color w:val="auto"/>
                <w:highlight w:val="none"/>
              </w:rPr>
            </w:pPr>
          </w:p>
        </w:tc>
        <w:tc>
          <w:tcPr>
            <w:tcW w:w="380" w:type="pct"/>
            <w:vMerge w:val="continue"/>
            <w:shd w:val="clear" w:color="auto" w:fill="auto"/>
            <w:vAlign w:val="center"/>
          </w:tcPr>
          <w:p w14:paraId="1427DB87">
            <w:pPr>
              <w:spacing w:line="240" w:lineRule="atLeast"/>
              <w:ind w:left="-48" w:leftChars="-23" w:right="-65" w:rightChars="-31"/>
              <w:jc w:val="left"/>
              <w:rPr>
                <w:rFonts w:cs="宋体"/>
                <w:color w:val="auto"/>
                <w:szCs w:val="24"/>
                <w:highlight w:val="none"/>
              </w:rPr>
            </w:pPr>
          </w:p>
        </w:tc>
        <w:tc>
          <w:tcPr>
            <w:tcW w:w="282" w:type="pct"/>
            <w:vMerge w:val="continue"/>
            <w:tcBorders>
              <w:left w:val="single" w:color="auto" w:sz="4" w:space="0"/>
            </w:tcBorders>
            <w:shd w:val="clear" w:color="auto" w:fill="auto"/>
            <w:vAlign w:val="center"/>
          </w:tcPr>
          <w:p w14:paraId="08553910">
            <w:pPr>
              <w:spacing w:line="240" w:lineRule="atLeast"/>
              <w:ind w:left="-48" w:leftChars="-23" w:right="-65" w:rightChars="-31"/>
              <w:jc w:val="left"/>
              <w:rPr>
                <w:rFonts w:cs="宋体"/>
                <w:color w:val="auto"/>
                <w:szCs w:val="24"/>
                <w:highlight w:val="none"/>
              </w:rPr>
            </w:pPr>
          </w:p>
        </w:tc>
        <w:tc>
          <w:tcPr>
            <w:tcW w:w="478" w:type="pct"/>
            <w:vMerge w:val="continue"/>
            <w:tcBorders>
              <w:left w:val="single" w:color="auto" w:sz="4" w:space="0"/>
              <w:right w:val="single" w:color="auto" w:sz="4" w:space="0"/>
            </w:tcBorders>
            <w:shd w:val="clear" w:color="auto" w:fill="auto"/>
            <w:vAlign w:val="center"/>
          </w:tcPr>
          <w:p w14:paraId="2680E0F6">
            <w:pPr>
              <w:spacing w:line="240" w:lineRule="atLeast"/>
              <w:ind w:left="-48" w:leftChars="-23" w:right="-65" w:rightChars="-31"/>
              <w:jc w:val="left"/>
              <w:rPr>
                <w:rFonts w:cs="宋体"/>
                <w:color w:val="auto"/>
                <w:szCs w:val="24"/>
                <w:highlight w:val="none"/>
              </w:rPr>
            </w:pPr>
          </w:p>
        </w:tc>
        <w:tc>
          <w:tcPr>
            <w:tcW w:w="692" w:type="pct"/>
            <w:vMerge w:val="continue"/>
            <w:tcBorders>
              <w:left w:val="single" w:color="auto" w:sz="4" w:space="0"/>
              <w:right w:val="single" w:color="auto" w:sz="4" w:space="0"/>
            </w:tcBorders>
            <w:vAlign w:val="center"/>
          </w:tcPr>
          <w:p w14:paraId="5E06D1C7">
            <w:pPr>
              <w:spacing w:line="240" w:lineRule="atLeast"/>
              <w:ind w:left="-48" w:leftChars="-23" w:right="-65" w:rightChars="-31"/>
              <w:jc w:val="left"/>
              <w:rPr>
                <w:rFonts w:hint="eastAsia" w:cs="宋体"/>
                <w:color w:val="auto"/>
                <w:szCs w:val="24"/>
                <w:highlight w:val="none"/>
              </w:rPr>
            </w:pPr>
          </w:p>
        </w:tc>
        <w:tc>
          <w:tcPr>
            <w:tcW w:w="560" w:type="pct"/>
            <w:tcBorders>
              <w:left w:val="single" w:color="auto" w:sz="4" w:space="0"/>
            </w:tcBorders>
            <w:shd w:val="clear" w:color="auto" w:fill="auto"/>
            <w:vAlign w:val="center"/>
          </w:tcPr>
          <w:p w14:paraId="6196235A">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w:t>
            </w:r>
          </w:p>
        </w:tc>
        <w:tc>
          <w:tcPr>
            <w:tcW w:w="511" w:type="pct"/>
            <w:tcBorders>
              <w:left w:val="single" w:color="auto" w:sz="4" w:space="0"/>
            </w:tcBorders>
            <w:shd w:val="clear" w:color="auto" w:fill="auto"/>
            <w:vAlign w:val="center"/>
          </w:tcPr>
          <w:p w14:paraId="12B51CAF">
            <w:pPr>
              <w:spacing w:line="240" w:lineRule="atLeast"/>
              <w:ind w:left="-48" w:leftChars="-23" w:right="-65" w:rightChars="-31"/>
              <w:jc w:val="left"/>
              <w:rPr>
                <w:rFonts w:cs="宋体"/>
                <w:color w:val="auto"/>
                <w:szCs w:val="24"/>
                <w:highlight w:val="none"/>
              </w:rPr>
            </w:pPr>
          </w:p>
        </w:tc>
        <w:tc>
          <w:tcPr>
            <w:tcW w:w="606" w:type="pct"/>
            <w:tcBorders>
              <w:left w:val="single" w:color="auto" w:sz="4" w:space="0"/>
            </w:tcBorders>
            <w:shd w:val="clear" w:color="auto" w:fill="auto"/>
            <w:vAlign w:val="center"/>
          </w:tcPr>
          <w:p w14:paraId="36DC0A03">
            <w:pPr>
              <w:spacing w:line="240" w:lineRule="atLeast"/>
              <w:ind w:left="-48" w:leftChars="-23" w:right="-65" w:rightChars="-31"/>
              <w:jc w:val="left"/>
              <w:rPr>
                <w:rFonts w:cs="宋体"/>
                <w:color w:val="auto"/>
                <w:szCs w:val="24"/>
                <w:highlight w:val="none"/>
              </w:rPr>
            </w:pPr>
          </w:p>
        </w:tc>
        <w:tc>
          <w:tcPr>
            <w:tcW w:w="449" w:type="pct"/>
            <w:vMerge w:val="continue"/>
            <w:tcBorders>
              <w:left w:val="single" w:color="auto" w:sz="4" w:space="0"/>
            </w:tcBorders>
            <w:shd w:val="clear" w:color="auto" w:fill="auto"/>
            <w:vAlign w:val="center"/>
          </w:tcPr>
          <w:p w14:paraId="220C9BFD">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3B4EFA24">
            <w:pPr>
              <w:spacing w:line="240" w:lineRule="atLeast"/>
              <w:ind w:left="-48" w:leftChars="-23" w:right="-65" w:rightChars="-31"/>
              <w:jc w:val="left"/>
              <w:rPr>
                <w:rFonts w:cs="宋体"/>
                <w:color w:val="auto"/>
                <w:szCs w:val="24"/>
                <w:highlight w:val="none"/>
              </w:rPr>
            </w:pPr>
          </w:p>
        </w:tc>
      </w:tr>
      <w:tr w14:paraId="34F0F4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79F72453">
            <w:pPr>
              <w:tabs>
                <w:tab w:val="left" w:pos="61"/>
              </w:tabs>
              <w:jc w:val="center"/>
              <w:rPr>
                <w:color w:val="auto"/>
                <w:highlight w:val="none"/>
              </w:rPr>
            </w:pPr>
          </w:p>
        </w:tc>
        <w:tc>
          <w:tcPr>
            <w:tcW w:w="201" w:type="pct"/>
            <w:vMerge w:val="continue"/>
            <w:shd w:val="clear" w:color="auto" w:fill="auto"/>
            <w:vAlign w:val="center"/>
          </w:tcPr>
          <w:p w14:paraId="4A63DE92">
            <w:pPr>
              <w:tabs>
                <w:tab w:val="left" w:pos="0"/>
                <w:tab w:val="left" w:pos="56"/>
              </w:tabs>
              <w:ind w:left="547" w:hanging="478" w:hangingChars="228"/>
              <w:jc w:val="center"/>
              <w:rPr>
                <w:color w:val="auto"/>
                <w:highlight w:val="none"/>
              </w:rPr>
            </w:pPr>
          </w:p>
        </w:tc>
        <w:tc>
          <w:tcPr>
            <w:tcW w:w="380" w:type="pct"/>
            <w:vMerge w:val="continue"/>
            <w:shd w:val="clear" w:color="auto" w:fill="auto"/>
            <w:vAlign w:val="center"/>
          </w:tcPr>
          <w:p w14:paraId="532E2502">
            <w:pPr>
              <w:spacing w:line="240" w:lineRule="atLeast"/>
              <w:ind w:left="-48" w:leftChars="-23" w:right="-65" w:rightChars="-31"/>
              <w:jc w:val="left"/>
              <w:rPr>
                <w:rFonts w:cs="宋体"/>
                <w:color w:val="auto"/>
                <w:szCs w:val="24"/>
                <w:highlight w:val="none"/>
              </w:rPr>
            </w:pPr>
          </w:p>
        </w:tc>
        <w:tc>
          <w:tcPr>
            <w:tcW w:w="282" w:type="pct"/>
            <w:vMerge w:val="continue"/>
            <w:tcBorders>
              <w:left w:val="single" w:color="auto" w:sz="4" w:space="0"/>
            </w:tcBorders>
            <w:shd w:val="clear" w:color="auto" w:fill="auto"/>
            <w:vAlign w:val="center"/>
          </w:tcPr>
          <w:p w14:paraId="36470A62">
            <w:pPr>
              <w:spacing w:line="240" w:lineRule="atLeast"/>
              <w:ind w:left="-48" w:leftChars="-23" w:right="-65" w:rightChars="-31"/>
              <w:jc w:val="left"/>
              <w:rPr>
                <w:rFonts w:cs="宋体"/>
                <w:color w:val="auto"/>
                <w:szCs w:val="24"/>
                <w:highlight w:val="none"/>
              </w:rPr>
            </w:pPr>
          </w:p>
        </w:tc>
        <w:tc>
          <w:tcPr>
            <w:tcW w:w="478" w:type="pct"/>
            <w:vMerge w:val="continue"/>
            <w:tcBorders>
              <w:left w:val="single" w:color="auto" w:sz="4" w:space="0"/>
              <w:right w:val="single" w:color="auto" w:sz="4" w:space="0"/>
            </w:tcBorders>
            <w:shd w:val="clear" w:color="auto" w:fill="auto"/>
            <w:vAlign w:val="center"/>
          </w:tcPr>
          <w:p w14:paraId="6556D028">
            <w:pPr>
              <w:spacing w:line="240" w:lineRule="atLeast"/>
              <w:ind w:left="-48" w:leftChars="-23" w:right="-65" w:rightChars="-31"/>
              <w:jc w:val="left"/>
              <w:rPr>
                <w:rFonts w:cs="宋体"/>
                <w:color w:val="auto"/>
                <w:szCs w:val="24"/>
                <w:highlight w:val="none"/>
              </w:rPr>
            </w:pPr>
          </w:p>
        </w:tc>
        <w:tc>
          <w:tcPr>
            <w:tcW w:w="692" w:type="pct"/>
            <w:vMerge w:val="restart"/>
            <w:tcBorders>
              <w:left w:val="single" w:color="auto" w:sz="4" w:space="0"/>
              <w:right w:val="single" w:color="auto" w:sz="4" w:space="0"/>
            </w:tcBorders>
            <w:vAlign w:val="center"/>
          </w:tcPr>
          <w:p w14:paraId="0FF9D2FE">
            <w:pPr>
              <w:spacing w:line="240" w:lineRule="atLeast"/>
              <w:ind w:left="-48" w:leftChars="-23" w:right="-65" w:rightChars="-31"/>
              <w:jc w:val="left"/>
              <w:rPr>
                <w:rFonts w:hint="eastAsia" w:cs="宋体"/>
                <w:color w:val="auto"/>
                <w:szCs w:val="24"/>
                <w:highlight w:val="none"/>
              </w:rPr>
            </w:pPr>
            <w:r>
              <w:rPr>
                <w:rFonts w:hint="eastAsia" w:cs="宋体"/>
                <w:color w:val="auto"/>
                <w:szCs w:val="24"/>
                <w:highlight w:val="none"/>
              </w:rPr>
              <w:t>制造费用</w:t>
            </w:r>
          </w:p>
        </w:tc>
        <w:tc>
          <w:tcPr>
            <w:tcW w:w="560" w:type="pct"/>
            <w:tcBorders>
              <w:left w:val="single" w:color="auto" w:sz="4" w:space="0"/>
            </w:tcBorders>
            <w:shd w:val="clear" w:color="auto" w:fill="auto"/>
            <w:vAlign w:val="center"/>
          </w:tcPr>
          <w:p w14:paraId="5CD7ADD2">
            <w:pPr>
              <w:spacing w:line="240" w:lineRule="atLeast"/>
              <w:ind w:left="-48" w:leftChars="-23" w:right="-65" w:rightChars="-31"/>
              <w:jc w:val="left"/>
              <w:rPr>
                <w:rFonts w:cs="宋体"/>
                <w:color w:val="auto"/>
                <w:szCs w:val="24"/>
                <w:highlight w:val="none"/>
              </w:rPr>
            </w:pPr>
            <w:r>
              <w:rPr>
                <w:rFonts w:cs="宋体"/>
                <w:color w:val="auto"/>
                <w:szCs w:val="24"/>
                <w:highlight w:val="none"/>
                <w:lang w:val="en-US" w:eastAsia="zh-CN"/>
              </w:rPr>
              <w:t>设备折旧费</w:t>
            </w:r>
          </w:p>
        </w:tc>
        <w:tc>
          <w:tcPr>
            <w:tcW w:w="511" w:type="pct"/>
            <w:tcBorders>
              <w:left w:val="single" w:color="auto" w:sz="4" w:space="0"/>
            </w:tcBorders>
            <w:shd w:val="clear" w:color="auto" w:fill="auto"/>
            <w:vAlign w:val="center"/>
          </w:tcPr>
          <w:p w14:paraId="1756FDFD">
            <w:pPr>
              <w:spacing w:line="240" w:lineRule="atLeast"/>
              <w:ind w:left="-48" w:leftChars="-23" w:right="-65" w:rightChars="-31"/>
              <w:jc w:val="left"/>
              <w:rPr>
                <w:rFonts w:hint="eastAsia" w:eastAsia="宋体" w:cs="宋体"/>
                <w:color w:val="auto"/>
                <w:szCs w:val="24"/>
                <w:highlight w:val="none"/>
                <w:lang w:val="en-US" w:eastAsia="zh-CN"/>
              </w:rPr>
            </w:pPr>
          </w:p>
        </w:tc>
        <w:tc>
          <w:tcPr>
            <w:tcW w:w="606" w:type="pct"/>
            <w:tcBorders>
              <w:left w:val="single" w:color="auto" w:sz="4" w:space="0"/>
            </w:tcBorders>
            <w:shd w:val="clear" w:color="auto" w:fill="auto"/>
            <w:vAlign w:val="center"/>
          </w:tcPr>
          <w:p w14:paraId="442B0793">
            <w:pPr>
              <w:spacing w:line="240" w:lineRule="atLeast"/>
              <w:ind w:left="-48" w:leftChars="-23" w:right="-65" w:rightChars="-31"/>
              <w:jc w:val="left"/>
              <w:rPr>
                <w:rFonts w:cs="宋体"/>
                <w:color w:val="auto"/>
                <w:szCs w:val="24"/>
                <w:highlight w:val="none"/>
              </w:rPr>
            </w:pPr>
          </w:p>
        </w:tc>
        <w:tc>
          <w:tcPr>
            <w:tcW w:w="449" w:type="pct"/>
            <w:vMerge w:val="continue"/>
            <w:tcBorders>
              <w:left w:val="single" w:color="auto" w:sz="4" w:space="0"/>
            </w:tcBorders>
            <w:shd w:val="clear" w:color="auto" w:fill="auto"/>
            <w:vAlign w:val="center"/>
          </w:tcPr>
          <w:p w14:paraId="0B7A66CF">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2C1971E5">
            <w:pPr>
              <w:spacing w:line="240" w:lineRule="atLeast"/>
              <w:ind w:left="-48" w:leftChars="-23" w:right="-65" w:rightChars="-31"/>
              <w:jc w:val="left"/>
              <w:rPr>
                <w:rFonts w:cs="宋体"/>
                <w:color w:val="auto"/>
                <w:szCs w:val="24"/>
                <w:highlight w:val="none"/>
              </w:rPr>
            </w:pPr>
          </w:p>
        </w:tc>
      </w:tr>
      <w:tr w14:paraId="6C94F9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4292D6C1">
            <w:pPr>
              <w:tabs>
                <w:tab w:val="left" w:pos="61"/>
              </w:tabs>
              <w:jc w:val="center"/>
              <w:rPr>
                <w:color w:val="auto"/>
                <w:highlight w:val="none"/>
              </w:rPr>
            </w:pPr>
          </w:p>
        </w:tc>
        <w:tc>
          <w:tcPr>
            <w:tcW w:w="201" w:type="pct"/>
            <w:vMerge w:val="continue"/>
            <w:shd w:val="clear" w:color="auto" w:fill="auto"/>
            <w:vAlign w:val="center"/>
          </w:tcPr>
          <w:p w14:paraId="0D50BBFD">
            <w:pPr>
              <w:tabs>
                <w:tab w:val="left" w:pos="0"/>
                <w:tab w:val="left" w:pos="56"/>
              </w:tabs>
              <w:ind w:left="547" w:hanging="478" w:hangingChars="228"/>
              <w:jc w:val="center"/>
              <w:rPr>
                <w:color w:val="auto"/>
                <w:highlight w:val="none"/>
              </w:rPr>
            </w:pPr>
          </w:p>
        </w:tc>
        <w:tc>
          <w:tcPr>
            <w:tcW w:w="380" w:type="pct"/>
            <w:vMerge w:val="continue"/>
            <w:shd w:val="clear" w:color="auto" w:fill="auto"/>
            <w:vAlign w:val="center"/>
          </w:tcPr>
          <w:p w14:paraId="4D750AB7">
            <w:pPr>
              <w:spacing w:line="240" w:lineRule="atLeast"/>
              <w:ind w:left="-48" w:leftChars="-23" w:right="-65" w:rightChars="-31"/>
              <w:jc w:val="left"/>
              <w:rPr>
                <w:rFonts w:cs="宋体"/>
                <w:color w:val="auto"/>
                <w:szCs w:val="24"/>
                <w:highlight w:val="none"/>
              </w:rPr>
            </w:pPr>
          </w:p>
        </w:tc>
        <w:tc>
          <w:tcPr>
            <w:tcW w:w="282" w:type="pct"/>
            <w:vMerge w:val="continue"/>
            <w:tcBorders>
              <w:left w:val="single" w:color="auto" w:sz="4" w:space="0"/>
            </w:tcBorders>
            <w:shd w:val="clear" w:color="auto" w:fill="auto"/>
            <w:vAlign w:val="center"/>
          </w:tcPr>
          <w:p w14:paraId="5F1B2A1E">
            <w:pPr>
              <w:spacing w:line="240" w:lineRule="atLeast"/>
              <w:ind w:left="-48" w:leftChars="-23" w:right="-65" w:rightChars="-31"/>
              <w:jc w:val="left"/>
              <w:rPr>
                <w:rFonts w:cs="宋体"/>
                <w:color w:val="auto"/>
                <w:szCs w:val="24"/>
                <w:highlight w:val="none"/>
              </w:rPr>
            </w:pPr>
          </w:p>
        </w:tc>
        <w:tc>
          <w:tcPr>
            <w:tcW w:w="478" w:type="pct"/>
            <w:vMerge w:val="continue"/>
            <w:tcBorders>
              <w:left w:val="single" w:color="auto" w:sz="4" w:space="0"/>
              <w:right w:val="single" w:color="auto" w:sz="4" w:space="0"/>
            </w:tcBorders>
            <w:shd w:val="clear" w:color="auto" w:fill="auto"/>
            <w:vAlign w:val="center"/>
          </w:tcPr>
          <w:p w14:paraId="3FAFE800">
            <w:pPr>
              <w:spacing w:line="240" w:lineRule="atLeast"/>
              <w:ind w:left="-48" w:leftChars="-23" w:right="-65" w:rightChars="-31"/>
              <w:jc w:val="left"/>
              <w:rPr>
                <w:rFonts w:cs="宋体"/>
                <w:color w:val="auto"/>
                <w:szCs w:val="24"/>
                <w:highlight w:val="none"/>
              </w:rPr>
            </w:pPr>
          </w:p>
        </w:tc>
        <w:tc>
          <w:tcPr>
            <w:tcW w:w="692" w:type="pct"/>
            <w:vMerge w:val="continue"/>
            <w:tcBorders>
              <w:left w:val="single" w:color="auto" w:sz="4" w:space="0"/>
              <w:right w:val="single" w:color="auto" w:sz="4" w:space="0"/>
            </w:tcBorders>
            <w:vAlign w:val="center"/>
          </w:tcPr>
          <w:p w14:paraId="26048619">
            <w:pPr>
              <w:spacing w:line="240" w:lineRule="atLeast"/>
              <w:ind w:left="-48" w:leftChars="-23" w:right="-65" w:rightChars="-31"/>
              <w:jc w:val="left"/>
              <w:rPr>
                <w:rFonts w:hint="eastAsia" w:cs="宋体"/>
                <w:color w:val="auto"/>
                <w:szCs w:val="24"/>
                <w:highlight w:val="none"/>
              </w:rPr>
            </w:pPr>
          </w:p>
        </w:tc>
        <w:tc>
          <w:tcPr>
            <w:tcW w:w="560" w:type="pct"/>
            <w:tcBorders>
              <w:left w:val="single" w:color="auto" w:sz="4" w:space="0"/>
            </w:tcBorders>
            <w:shd w:val="clear" w:color="auto" w:fill="auto"/>
            <w:vAlign w:val="center"/>
          </w:tcPr>
          <w:p w14:paraId="1394964D">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w:t>
            </w:r>
          </w:p>
        </w:tc>
        <w:tc>
          <w:tcPr>
            <w:tcW w:w="511" w:type="pct"/>
            <w:tcBorders>
              <w:left w:val="single" w:color="auto" w:sz="4" w:space="0"/>
            </w:tcBorders>
            <w:shd w:val="clear" w:color="auto" w:fill="auto"/>
            <w:vAlign w:val="center"/>
          </w:tcPr>
          <w:p w14:paraId="3E44F375">
            <w:pPr>
              <w:spacing w:line="240" w:lineRule="atLeast"/>
              <w:ind w:left="-48" w:leftChars="-23" w:right="-65" w:rightChars="-31"/>
              <w:jc w:val="left"/>
              <w:rPr>
                <w:rFonts w:hint="eastAsia" w:eastAsia="宋体" w:cs="宋体"/>
                <w:color w:val="auto"/>
                <w:szCs w:val="24"/>
                <w:highlight w:val="none"/>
                <w:lang w:val="en-US" w:eastAsia="zh-CN"/>
              </w:rPr>
            </w:pPr>
          </w:p>
        </w:tc>
        <w:tc>
          <w:tcPr>
            <w:tcW w:w="606" w:type="pct"/>
            <w:tcBorders>
              <w:left w:val="single" w:color="auto" w:sz="4" w:space="0"/>
            </w:tcBorders>
            <w:shd w:val="clear" w:color="auto" w:fill="auto"/>
            <w:vAlign w:val="center"/>
          </w:tcPr>
          <w:p w14:paraId="2AB73E57">
            <w:pPr>
              <w:spacing w:line="240" w:lineRule="atLeast"/>
              <w:ind w:left="-48" w:leftChars="-23" w:right="-65" w:rightChars="-31"/>
              <w:jc w:val="left"/>
              <w:rPr>
                <w:rFonts w:cs="宋体"/>
                <w:color w:val="auto"/>
                <w:szCs w:val="24"/>
                <w:highlight w:val="none"/>
              </w:rPr>
            </w:pPr>
          </w:p>
        </w:tc>
        <w:tc>
          <w:tcPr>
            <w:tcW w:w="449" w:type="pct"/>
            <w:vMerge w:val="continue"/>
            <w:tcBorders>
              <w:left w:val="single" w:color="auto" w:sz="4" w:space="0"/>
            </w:tcBorders>
            <w:shd w:val="clear" w:color="auto" w:fill="auto"/>
            <w:vAlign w:val="center"/>
          </w:tcPr>
          <w:p w14:paraId="1FD7C293">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1489FCCB">
            <w:pPr>
              <w:spacing w:line="240" w:lineRule="atLeast"/>
              <w:ind w:left="-48" w:leftChars="-23" w:right="-65" w:rightChars="-31"/>
              <w:jc w:val="left"/>
              <w:rPr>
                <w:rFonts w:cs="宋体"/>
                <w:color w:val="auto"/>
                <w:szCs w:val="24"/>
                <w:highlight w:val="none"/>
              </w:rPr>
            </w:pPr>
          </w:p>
        </w:tc>
      </w:tr>
      <w:tr w14:paraId="31853C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58E8685C">
            <w:pPr>
              <w:tabs>
                <w:tab w:val="left" w:pos="61"/>
              </w:tabs>
              <w:jc w:val="center"/>
              <w:rPr>
                <w:color w:val="auto"/>
                <w:highlight w:val="none"/>
              </w:rPr>
            </w:pPr>
          </w:p>
        </w:tc>
        <w:tc>
          <w:tcPr>
            <w:tcW w:w="201" w:type="pct"/>
            <w:vMerge w:val="continue"/>
            <w:shd w:val="clear" w:color="auto" w:fill="auto"/>
            <w:vAlign w:val="center"/>
          </w:tcPr>
          <w:p w14:paraId="1C696981">
            <w:pPr>
              <w:tabs>
                <w:tab w:val="left" w:pos="0"/>
                <w:tab w:val="left" w:pos="56"/>
              </w:tabs>
              <w:ind w:left="547" w:hanging="478" w:hangingChars="228"/>
              <w:jc w:val="center"/>
              <w:rPr>
                <w:color w:val="auto"/>
                <w:highlight w:val="none"/>
              </w:rPr>
            </w:pPr>
          </w:p>
        </w:tc>
        <w:tc>
          <w:tcPr>
            <w:tcW w:w="380" w:type="pct"/>
            <w:vMerge w:val="continue"/>
            <w:shd w:val="clear" w:color="auto" w:fill="auto"/>
            <w:vAlign w:val="center"/>
          </w:tcPr>
          <w:p w14:paraId="7E067ED5">
            <w:pPr>
              <w:spacing w:line="240" w:lineRule="atLeast"/>
              <w:ind w:left="-48" w:leftChars="-23" w:right="-65" w:rightChars="-31"/>
              <w:jc w:val="left"/>
              <w:rPr>
                <w:rFonts w:cs="宋体"/>
                <w:color w:val="auto"/>
                <w:szCs w:val="24"/>
                <w:highlight w:val="none"/>
              </w:rPr>
            </w:pPr>
          </w:p>
        </w:tc>
        <w:tc>
          <w:tcPr>
            <w:tcW w:w="282" w:type="pct"/>
            <w:vMerge w:val="continue"/>
            <w:tcBorders>
              <w:left w:val="single" w:color="auto" w:sz="4" w:space="0"/>
            </w:tcBorders>
            <w:shd w:val="clear" w:color="auto" w:fill="auto"/>
            <w:vAlign w:val="center"/>
          </w:tcPr>
          <w:p w14:paraId="08EF0E60">
            <w:pPr>
              <w:spacing w:line="240" w:lineRule="atLeast"/>
              <w:ind w:left="-48" w:leftChars="-23" w:right="-65" w:rightChars="-31"/>
              <w:jc w:val="left"/>
              <w:rPr>
                <w:rFonts w:cs="宋体"/>
                <w:color w:val="auto"/>
                <w:szCs w:val="24"/>
                <w:highlight w:val="none"/>
              </w:rPr>
            </w:pPr>
          </w:p>
        </w:tc>
        <w:tc>
          <w:tcPr>
            <w:tcW w:w="478" w:type="pct"/>
            <w:vMerge w:val="continue"/>
            <w:tcBorders>
              <w:left w:val="single" w:color="auto" w:sz="4" w:space="0"/>
              <w:right w:val="single" w:color="auto" w:sz="4" w:space="0"/>
            </w:tcBorders>
            <w:shd w:val="clear" w:color="auto" w:fill="auto"/>
            <w:vAlign w:val="center"/>
          </w:tcPr>
          <w:p w14:paraId="221D3DA4">
            <w:pPr>
              <w:spacing w:line="240" w:lineRule="atLeast"/>
              <w:ind w:left="-48" w:leftChars="-23" w:right="-65" w:rightChars="-31"/>
              <w:jc w:val="left"/>
              <w:rPr>
                <w:rFonts w:cs="宋体"/>
                <w:color w:val="auto"/>
                <w:szCs w:val="24"/>
                <w:highlight w:val="none"/>
              </w:rPr>
            </w:pPr>
          </w:p>
        </w:tc>
        <w:tc>
          <w:tcPr>
            <w:tcW w:w="692" w:type="pct"/>
            <w:tcBorders>
              <w:left w:val="single" w:color="auto" w:sz="4" w:space="0"/>
              <w:right w:val="single" w:color="auto" w:sz="4" w:space="0"/>
            </w:tcBorders>
            <w:vAlign w:val="center"/>
          </w:tcPr>
          <w:p w14:paraId="2FFA24DB">
            <w:pPr>
              <w:spacing w:line="240" w:lineRule="atLeast"/>
              <w:ind w:left="-48" w:leftChars="-23" w:right="-65" w:rightChars="-31"/>
              <w:jc w:val="left"/>
              <w:rPr>
                <w:rFonts w:hint="default" w:eastAsia="宋体" w:cs="宋体"/>
                <w:color w:val="auto"/>
                <w:szCs w:val="24"/>
                <w:highlight w:val="none"/>
                <w:lang w:val="en-US" w:eastAsia="zh-CN"/>
              </w:rPr>
            </w:pPr>
            <w:r>
              <w:rPr>
                <w:rFonts w:hint="eastAsia" w:cs="宋体"/>
                <w:color w:val="auto"/>
                <w:szCs w:val="24"/>
                <w:highlight w:val="none"/>
                <w:lang w:val="en-US" w:eastAsia="zh-CN"/>
              </w:rPr>
              <w:t>其他成本</w:t>
            </w:r>
          </w:p>
        </w:tc>
        <w:tc>
          <w:tcPr>
            <w:tcW w:w="560" w:type="pct"/>
            <w:tcBorders>
              <w:left w:val="single" w:color="auto" w:sz="4" w:space="0"/>
            </w:tcBorders>
            <w:shd w:val="clear" w:color="auto" w:fill="auto"/>
            <w:vAlign w:val="center"/>
          </w:tcPr>
          <w:p w14:paraId="2253E6B0">
            <w:pPr>
              <w:spacing w:line="240" w:lineRule="atLeast"/>
              <w:ind w:left="-48" w:leftChars="-23" w:right="-65" w:rightChars="-31"/>
              <w:jc w:val="left"/>
              <w:rPr>
                <w:rFonts w:hint="eastAsia" w:eastAsia="宋体" w:cs="宋体"/>
                <w:color w:val="auto"/>
                <w:szCs w:val="24"/>
                <w:highlight w:val="none"/>
                <w:lang w:val="en-US" w:eastAsia="zh-CN"/>
              </w:rPr>
            </w:pPr>
          </w:p>
        </w:tc>
        <w:tc>
          <w:tcPr>
            <w:tcW w:w="511" w:type="pct"/>
            <w:tcBorders>
              <w:left w:val="single" w:color="auto" w:sz="4" w:space="0"/>
            </w:tcBorders>
            <w:shd w:val="clear" w:color="auto" w:fill="auto"/>
            <w:vAlign w:val="center"/>
          </w:tcPr>
          <w:p w14:paraId="0F0ED0C6">
            <w:pPr>
              <w:spacing w:line="240" w:lineRule="atLeast"/>
              <w:ind w:left="-48" w:leftChars="-23" w:right="-65" w:rightChars="-31"/>
              <w:jc w:val="left"/>
              <w:rPr>
                <w:rFonts w:hint="eastAsia" w:eastAsia="宋体" w:cs="宋体"/>
                <w:color w:val="auto"/>
                <w:szCs w:val="24"/>
                <w:highlight w:val="none"/>
                <w:lang w:val="en-US" w:eastAsia="zh-CN"/>
              </w:rPr>
            </w:pPr>
          </w:p>
        </w:tc>
        <w:tc>
          <w:tcPr>
            <w:tcW w:w="606" w:type="pct"/>
            <w:tcBorders>
              <w:left w:val="single" w:color="auto" w:sz="4" w:space="0"/>
            </w:tcBorders>
            <w:shd w:val="clear" w:color="auto" w:fill="auto"/>
            <w:vAlign w:val="center"/>
          </w:tcPr>
          <w:p w14:paraId="43B0D79A">
            <w:pPr>
              <w:spacing w:line="240" w:lineRule="atLeast"/>
              <w:ind w:left="-48" w:leftChars="-23" w:right="-65" w:rightChars="-31"/>
              <w:jc w:val="left"/>
              <w:rPr>
                <w:rFonts w:cs="宋体"/>
                <w:color w:val="auto"/>
                <w:szCs w:val="24"/>
                <w:highlight w:val="none"/>
              </w:rPr>
            </w:pPr>
          </w:p>
        </w:tc>
        <w:tc>
          <w:tcPr>
            <w:tcW w:w="449" w:type="pct"/>
            <w:vMerge w:val="continue"/>
            <w:tcBorders>
              <w:left w:val="single" w:color="auto" w:sz="4" w:space="0"/>
            </w:tcBorders>
            <w:shd w:val="clear" w:color="auto" w:fill="auto"/>
            <w:vAlign w:val="center"/>
          </w:tcPr>
          <w:p w14:paraId="600D62A7">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75337ABB">
            <w:pPr>
              <w:spacing w:line="240" w:lineRule="atLeast"/>
              <w:ind w:left="-48" w:leftChars="-23" w:right="-65" w:rightChars="-31"/>
              <w:jc w:val="left"/>
              <w:rPr>
                <w:rFonts w:cs="宋体"/>
                <w:color w:val="auto"/>
                <w:szCs w:val="24"/>
                <w:highlight w:val="none"/>
              </w:rPr>
            </w:pPr>
          </w:p>
        </w:tc>
      </w:tr>
      <w:tr w14:paraId="1E909C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shd w:val="clear" w:color="auto" w:fill="auto"/>
            <w:vAlign w:val="center"/>
          </w:tcPr>
          <w:p w14:paraId="5E65B663">
            <w:pPr>
              <w:tabs>
                <w:tab w:val="left" w:pos="61"/>
              </w:tabs>
              <w:jc w:val="center"/>
              <w:rPr>
                <w:rFonts w:hint="eastAsia" w:eastAsia="宋体"/>
                <w:color w:val="auto"/>
                <w:highlight w:val="none"/>
                <w:lang w:val="en-US" w:eastAsia="zh-CN"/>
              </w:rPr>
            </w:pPr>
            <w:r>
              <w:rPr>
                <w:rFonts w:hint="eastAsia"/>
                <w:color w:val="auto"/>
                <w:highlight w:val="none"/>
                <w:lang w:val="en-US" w:eastAsia="zh-CN"/>
              </w:rPr>
              <w:t>2</w:t>
            </w:r>
          </w:p>
        </w:tc>
        <w:tc>
          <w:tcPr>
            <w:tcW w:w="201" w:type="pct"/>
            <w:shd w:val="clear" w:color="auto" w:fill="auto"/>
            <w:vAlign w:val="center"/>
          </w:tcPr>
          <w:p w14:paraId="41A56840">
            <w:pPr>
              <w:tabs>
                <w:tab w:val="left" w:pos="0"/>
                <w:tab w:val="left" w:pos="56"/>
              </w:tabs>
              <w:ind w:left="547" w:hanging="478" w:hangingChars="228"/>
              <w:jc w:val="center"/>
              <w:rPr>
                <w:color w:val="auto"/>
                <w:highlight w:val="none"/>
              </w:rPr>
            </w:pPr>
          </w:p>
        </w:tc>
        <w:tc>
          <w:tcPr>
            <w:tcW w:w="380" w:type="pct"/>
            <w:shd w:val="clear" w:color="auto" w:fill="auto"/>
            <w:vAlign w:val="center"/>
          </w:tcPr>
          <w:p w14:paraId="3EFDAF64">
            <w:pPr>
              <w:spacing w:line="240" w:lineRule="atLeast"/>
              <w:ind w:left="-48" w:leftChars="-23" w:right="-65" w:rightChars="-31"/>
              <w:jc w:val="left"/>
              <w:rPr>
                <w:rFonts w:cs="宋体"/>
                <w:color w:val="auto"/>
                <w:szCs w:val="24"/>
                <w:highlight w:val="none"/>
              </w:rPr>
            </w:pPr>
          </w:p>
        </w:tc>
        <w:tc>
          <w:tcPr>
            <w:tcW w:w="282" w:type="pct"/>
            <w:tcBorders>
              <w:left w:val="single" w:color="auto" w:sz="4" w:space="0"/>
            </w:tcBorders>
            <w:shd w:val="clear" w:color="auto" w:fill="auto"/>
            <w:vAlign w:val="center"/>
          </w:tcPr>
          <w:p w14:paraId="558B7D2B">
            <w:pPr>
              <w:spacing w:line="240" w:lineRule="atLeast"/>
              <w:ind w:left="-48" w:leftChars="-23" w:right="-65" w:rightChars="-31"/>
              <w:jc w:val="left"/>
              <w:rPr>
                <w:rFonts w:cs="宋体"/>
                <w:color w:val="auto"/>
                <w:szCs w:val="24"/>
                <w:highlight w:val="none"/>
              </w:rPr>
            </w:pPr>
          </w:p>
        </w:tc>
        <w:tc>
          <w:tcPr>
            <w:tcW w:w="478" w:type="pct"/>
            <w:tcBorders>
              <w:left w:val="single" w:color="auto" w:sz="4" w:space="0"/>
              <w:right w:val="single" w:color="auto" w:sz="4" w:space="0"/>
            </w:tcBorders>
            <w:shd w:val="clear" w:color="auto" w:fill="auto"/>
            <w:vAlign w:val="center"/>
          </w:tcPr>
          <w:p w14:paraId="62FE4445">
            <w:pPr>
              <w:spacing w:line="240" w:lineRule="atLeast"/>
              <w:ind w:left="-48" w:leftChars="-23" w:right="-65" w:rightChars="-31"/>
              <w:jc w:val="left"/>
              <w:rPr>
                <w:rFonts w:cs="宋体"/>
                <w:color w:val="auto"/>
                <w:szCs w:val="24"/>
                <w:highlight w:val="none"/>
              </w:rPr>
            </w:pPr>
          </w:p>
        </w:tc>
        <w:tc>
          <w:tcPr>
            <w:tcW w:w="692" w:type="pct"/>
            <w:tcBorders>
              <w:left w:val="single" w:color="auto" w:sz="4" w:space="0"/>
              <w:right w:val="single" w:color="auto" w:sz="4" w:space="0"/>
            </w:tcBorders>
          </w:tcPr>
          <w:p w14:paraId="6DDD1888">
            <w:pPr>
              <w:spacing w:line="240" w:lineRule="atLeast"/>
              <w:ind w:left="-48" w:leftChars="-23" w:right="-65" w:rightChars="-31"/>
              <w:jc w:val="left"/>
              <w:rPr>
                <w:rFonts w:hint="eastAsia" w:cs="宋体"/>
                <w:color w:val="auto"/>
                <w:szCs w:val="24"/>
                <w:highlight w:val="none"/>
              </w:rPr>
            </w:pPr>
          </w:p>
        </w:tc>
        <w:tc>
          <w:tcPr>
            <w:tcW w:w="560" w:type="pct"/>
            <w:tcBorders>
              <w:left w:val="single" w:color="auto" w:sz="4" w:space="0"/>
            </w:tcBorders>
            <w:shd w:val="clear" w:color="auto" w:fill="auto"/>
            <w:vAlign w:val="center"/>
          </w:tcPr>
          <w:p w14:paraId="4B240D09">
            <w:pPr>
              <w:spacing w:line="240" w:lineRule="atLeast"/>
              <w:ind w:left="-48" w:leftChars="-23" w:right="-65" w:rightChars="-31"/>
              <w:jc w:val="left"/>
              <w:rPr>
                <w:rFonts w:cs="宋体"/>
                <w:color w:val="auto"/>
                <w:szCs w:val="24"/>
                <w:highlight w:val="none"/>
              </w:rPr>
            </w:pPr>
          </w:p>
        </w:tc>
        <w:tc>
          <w:tcPr>
            <w:tcW w:w="511" w:type="pct"/>
            <w:tcBorders>
              <w:left w:val="single" w:color="auto" w:sz="4" w:space="0"/>
            </w:tcBorders>
            <w:shd w:val="clear" w:color="auto" w:fill="auto"/>
            <w:vAlign w:val="center"/>
          </w:tcPr>
          <w:p w14:paraId="37A91C05">
            <w:pPr>
              <w:spacing w:line="240" w:lineRule="atLeast"/>
              <w:ind w:left="-48" w:leftChars="-23" w:right="-65" w:rightChars="-31"/>
              <w:jc w:val="left"/>
              <w:rPr>
                <w:rFonts w:cs="宋体"/>
                <w:color w:val="auto"/>
                <w:szCs w:val="24"/>
                <w:highlight w:val="none"/>
              </w:rPr>
            </w:pPr>
          </w:p>
        </w:tc>
        <w:tc>
          <w:tcPr>
            <w:tcW w:w="606" w:type="pct"/>
            <w:tcBorders>
              <w:left w:val="single" w:color="auto" w:sz="4" w:space="0"/>
            </w:tcBorders>
            <w:shd w:val="clear" w:color="auto" w:fill="auto"/>
            <w:vAlign w:val="center"/>
          </w:tcPr>
          <w:p w14:paraId="61F9C140">
            <w:pPr>
              <w:spacing w:line="240" w:lineRule="atLeast"/>
              <w:ind w:left="-48" w:leftChars="-23" w:right="-65" w:rightChars="-31"/>
              <w:jc w:val="left"/>
              <w:rPr>
                <w:rFonts w:cs="宋体"/>
                <w:color w:val="auto"/>
                <w:szCs w:val="24"/>
                <w:highlight w:val="none"/>
              </w:rPr>
            </w:pPr>
          </w:p>
        </w:tc>
        <w:tc>
          <w:tcPr>
            <w:tcW w:w="449" w:type="pct"/>
            <w:tcBorders>
              <w:left w:val="single" w:color="auto" w:sz="4" w:space="0"/>
            </w:tcBorders>
            <w:shd w:val="clear" w:color="auto" w:fill="auto"/>
            <w:vAlign w:val="center"/>
          </w:tcPr>
          <w:p w14:paraId="2C6DC76C">
            <w:pPr>
              <w:spacing w:line="240" w:lineRule="atLeast"/>
              <w:ind w:left="-48" w:leftChars="-23" w:right="-65" w:rightChars="-31"/>
              <w:jc w:val="left"/>
              <w:rPr>
                <w:rFonts w:cs="宋体"/>
                <w:color w:val="auto"/>
                <w:szCs w:val="24"/>
                <w:highlight w:val="none"/>
              </w:rPr>
            </w:pPr>
          </w:p>
        </w:tc>
        <w:tc>
          <w:tcPr>
            <w:tcW w:w="587" w:type="pct"/>
            <w:tcBorders>
              <w:left w:val="single" w:color="auto" w:sz="4" w:space="0"/>
            </w:tcBorders>
            <w:shd w:val="clear" w:color="auto" w:fill="auto"/>
            <w:vAlign w:val="center"/>
          </w:tcPr>
          <w:p w14:paraId="1D39C9CD">
            <w:pPr>
              <w:spacing w:line="240" w:lineRule="atLeast"/>
              <w:ind w:left="-48" w:leftChars="-23" w:right="-65" w:rightChars="-31"/>
              <w:jc w:val="left"/>
              <w:rPr>
                <w:rFonts w:cs="宋体"/>
                <w:color w:val="auto"/>
                <w:szCs w:val="24"/>
                <w:highlight w:val="none"/>
              </w:rPr>
            </w:pPr>
          </w:p>
        </w:tc>
      </w:tr>
      <w:tr w14:paraId="5EE029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shd w:val="clear" w:color="auto" w:fill="auto"/>
            <w:vAlign w:val="center"/>
          </w:tcPr>
          <w:p w14:paraId="4A95634D">
            <w:pPr>
              <w:tabs>
                <w:tab w:val="left" w:pos="82"/>
              </w:tabs>
              <w:jc w:val="center"/>
              <w:rPr>
                <w:color w:val="auto"/>
                <w:highlight w:val="none"/>
              </w:rPr>
            </w:pPr>
            <w:r>
              <w:rPr>
                <w:rFonts w:hint="eastAsia"/>
                <w:color w:val="auto"/>
                <w:highlight w:val="none"/>
              </w:rPr>
              <w:t>…</w:t>
            </w:r>
          </w:p>
        </w:tc>
        <w:tc>
          <w:tcPr>
            <w:tcW w:w="201" w:type="pct"/>
            <w:tcBorders>
              <w:bottom w:val="single" w:color="auto" w:sz="4" w:space="0"/>
            </w:tcBorders>
            <w:shd w:val="clear" w:color="auto" w:fill="auto"/>
            <w:vAlign w:val="center"/>
          </w:tcPr>
          <w:p w14:paraId="7A4C40A1">
            <w:pPr>
              <w:spacing w:line="240" w:lineRule="atLeast"/>
              <w:ind w:left="-48" w:leftChars="-23" w:right="-65" w:rightChars="-31"/>
              <w:jc w:val="left"/>
              <w:rPr>
                <w:rFonts w:cs="宋体"/>
                <w:color w:val="auto"/>
                <w:szCs w:val="24"/>
                <w:highlight w:val="none"/>
              </w:rPr>
            </w:pPr>
          </w:p>
        </w:tc>
        <w:tc>
          <w:tcPr>
            <w:tcW w:w="380" w:type="pct"/>
            <w:tcBorders>
              <w:bottom w:val="single" w:color="auto" w:sz="4" w:space="0"/>
            </w:tcBorders>
            <w:shd w:val="clear" w:color="auto" w:fill="auto"/>
            <w:vAlign w:val="center"/>
          </w:tcPr>
          <w:p w14:paraId="63D7D379">
            <w:pPr>
              <w:spacing w:line="240" w:lineRule="atLeast"/>
              <w:ind w:left="-48" w:leftChars="-23" w:right="-65" w:rightChars="-31"/>
              <w:jc w:val="left"/>
              <w:rPr>
                <w:rFonts w:cs="宋体"/>
                <w:color w:val="auto"/>
                <w:szCs w:val="24"/>
                <w:highlight w:val="none"/>
              </w:rPr>
            </w:pPr>
          </w:p>
        </w:tc>
        <w:tc>
          <w:tcPr>
            <w:tcW w:w="282" w:type="pct"/>
            <w:tcBorders>
              <w:left w:val="single" w:color="auto" w:sz="4" w:space="0"/>
              <w:bottom w:val="single" w:color="auto" w:sz="4" w:space="0"/>
            </w:tcBorders>
            <w:shd w:val="clear" w:color="auto" w:fill="auto"/>
            <w:vAlign w:val="center"/>
          </w:tcPr>
          <w:p w14:paraId="224BB1FF">
            <w:pPr>
              <w:spacing w:line="240" w:lineRule="atLeast"/>
              <w:ind w:left="-48" w:leftChars="-23" w:right="-65" w:rightChars="-31"/>
              <w:jc w:val="left"/>
              <w:rPr>
                <w:rFonts w:cs="宋体"/>
                <w:color w:val="auto"/>
                <w:szCs w:val="24"/>
                <w:highlight w:val="none"/>
              </w:rPr>
            </w:pPr>
          </w:p>
        </w:tc>
        <w:tc>
          <w:tcPr>
            <w:tcW w:w="478" w:type="pct"/>
            <w:tcBorders>
              <w:left w:val="single" w:color="auto" w:sz="4" w:space="0"/>
              <w:bottom w:val="single" w:color="auto" w:sz="4" w:space="0"/>
              <w:right w:val="single" w:color="auto" w:sz="4" w:space="0"/>
            </w:tcBorders>
            <w:shd w:val="clear" w:color="auto" w:fill="auto"/>
            <w:vAlign w:val="center"/>
          </w:tcPr>
          <w:p w14:paraId="6C9B5A4F">
            <w:pPr>
              <w:spacing w:line="240" w:lineRule="atLeast"/>
              <w:ind w:left="-48" w:leftChars="-23" w:right="-65" w:rightChars="-31"/>
              <w:jc w:val="left"/>
              <w:rPr>
                <w:rFonts w:cs="宋体"/>
                <w:color w:val="auto"/>
                <w:szCs w:val="24"/>
                <w:highlight w:val="none"/>
              </w:rPr>
            </w:pPr>
          </w:p>
        </w:tc>
        <w:tc>
          <w:tcPr>
            <w:tcW w:w="692" w:type="pct"/>
            <w:tcBorders>
              <w:left w:val="single" w:color="auto" w:sz="4" w:space="0"/>
              <w:bottom w:val="single" w:color="auto" w:sz="4" w:space="0"/>
              <w:right w:val="single" w:color="auto" w:sz="4" w:space="0"/>
            </w:tcBorders>
          </w:tcPr>
          <w:p w14:paraId="5C6A4914">
            <w:pPr>
              <w:spacing w:line="240" w:lineRule="atLeast"/>
              <w:ind w:left="-48" w:leftChars="-23" w:right="-65" w:rightChars="-31"/>
              <w:jc w:val="left"/>
              <w:rPr>
                <w:rFonts w:cs="宋体"/>
                <w:color w:val="auto"/>
                <w:szCs w:val="24"/>
                <w:highlight w:val="none"/>
              </w:rPr>
            </w:pPr>
          </w:p>
        </w:tc>
        <w:tc>
          <w:tcPr>
            <w:tcW w:w="560" w:type="pct"/>
            <w:tcBorders>
              <w:left w:val="single" w:color="auto" w:sz="4" w:space="0"/>
              <w:bottom w:val="single" w:color="auto" w:sz="4" w:space="0"/>
            </w:tcBorders>
            <w:shd w:val="clear" w:color="auto" w:fill="auto"/>
            <w:vAlign w:val="center"/>
          </w:tcPr>
          <w:p w14:paraId="034DA403">
            <w:pPr>
              <w:spacing w:line="240" w:lineRule="atLeast"/>
              <w:ind w:left="-48" w:leftChars="-23" w:right="-65" w:rightChars="-31"/>
              <w:jc w:val="left"/>
              <w:rPr>
                <w:rFonts w:cs="宋体"/>
                <w:color w:val="auto"/>
                <w:szCs w:val="24"/>
                <w:highlight w:val="none"/>
              </w:rPr>
            </w:pPr>
          </w:p>
        </w:tc>
        <w:tc>
          <w:tcPr>
            <w:tcW w:w="511" w:type="pct"/>
            <w:tcBorders>
              <w:left w:val="single" w:color="auto" w:sz="4" w:space="0"/>
              <w:bottom w:val="single" w:color="auto" w:sz="4" w:space="0"/>
            </w:tcBorders>
            <w:shd w:val="clear" w:color="auto" w:fill="auto"/>
            <w:vAlign w:val="center"/>
          </w:tcPr>
          <w:p w14:paraId="69715714">
            <w:pPr>
              <w:spacing w:line="240" w:lineRule="atLeast"/>
              <w:ind w:left="-48" w:leftChars="-23" w:right="-65" w:rightChars="-31"/>
              <w:jc w:val="left"/>
              <w:rPr>
                <w:rFonts w:cs="宋体"/>
                <w:color w:val="auto"/>
                <w:szCs w:val="24"/>
                <w:highlight w:val="none"/>
              </w:rPr>
            </w:pPr>
          </w:p>
          <w:p w14:paraId="3C75CE46">
            <w:pPr>
              <w:rPr>
                <w:color w:val="auto"/>
                <w:highlight w:val="none"/>
              </w:rPr>
            </w:pPr>
          </w:p>
        </w:tc>
        <w:tc>
          <w:tcPr>
            <w:tcW w:w="606" w:type="pct"/>
            <w:tcBorders>
              <w:left w:val="single" w:color="auto" w:sz="4" w:space="0"/>
              <w:bottom w:val="single" w:color="auto" w:sz="4" w:space="0"/>
            </w:tcBorders>
            <w:shd w:val="clear" w:color="auto" w:fill="auto"/>
            <w:vAlign w:val="center"/>
          </w:tcPr>
          <w:p w14:paraId="775AB1E6">
            <w:pPr>
              <w:rPr>
                <w:color w:val="auto"/>
                <w:highlight w:val="none"/>
              </w:rPr>
            </w:pPr>
          </w:p>
        </w:tc>
        <w:tc>
          <w:tcPr>
            <w:tcW w:w="449" w:type="pct"/>
            <w:tcBorders>
              <w:left w:val="single" w:color="auto" w:sz="4" w:space="0"/>
              <w:bottom w:val="single" w:color="auto" w:sz="4" w:space="0"/>
            </w:tcBorders>
            <w:shd w:val="clear" w:color="auto" w:fill="auto"/>
            <w:vAlign w:val="center"/>
          </w:tcPr>
          <w:p w14:paraId="0DEB96CF">
            <w:pPr>
              <w:spacing w:line="240" w:lineRule="atLeast"/>
              <w:ind w:left="-48" w:leftChars="-23" w:right="-65" w:rightChars="-31"/>
              <w:jc w:val="left"/>
              <w:rPr>
                <w:rFonts w:cs="宋体"/>
                <w:color w:val="auto"/>
                <w:szCs w:val="24"/>
                <w:highlight w:val="none"/>
              </w:rPr>
            </w:pPr>
          </w:p>
        </w:tc>
        <w:tc>
          <w:tcPr>
            <w:tcW w:w="587" w:type="pct"/>
            <w:tcBorders>
              <w:left w:val="single" w:color="auto" w:sz="4" w:space="0"/>
              <w:bottom w:val="single" w:color="auto" w:sz="4" w:space="0"/>
            </w:tcBorders>
            <w:shd w:val="clear" w:color="auto" w:fill="auto"/>
            <w:vAlign w:val="center"/>
          </w:tcPr>
          <w:p w14:paraId="21C4B0B3">
            <w:pPr>
              <w:spacing w:line="240" w:lineRule="atLeast"/>
              <w:ind w:left="-48" w:leftChars="-23" w:right="-65" w:rightChars="-31"/>
              <w:jc w:val="left"/>
              <w:rPr>
                <w:rFonts w:cs="宋体"/>
                <w:color w:val="auto"/>
                <w:szCs w:val="24"/>
                <w:highlight w:val="none"/>
              </w:rPr>
            </w:pPr>
          </w:p>
        </w:tc>
      </w:tr>
    </w:tbl>
    <w:p w14:paraId="0DB182CA">
      <w:pPr>
        <w:spacing w:line="360" w:lineRule="auto"/>
        <w:jc w:val="left"/>
        <w:rPr>
          <w:color w:val="auto"/>
          <w:szCs w:val="21"/>
          <w:highlight w:val="none"/>
        </w:rPr>
      </w:pPr>
    </w:p>
    <w:p w14:paraId="69534EB2">
      <w:pPr>
        <w:spacing w:line="360" w:lineRule="auto"/>
        <w:jc w:val="left"/>
        <w:rPr>
          <w:color w:val="auto"/>
          <w:szCs w:val="21"/>
          <w:highlight w:val="none"/>
        </w:rPr>
      </w:pPr>
      <w:r>
        <w:rPr>
          <w:rFonts w:hint="eastAsia"/>
          <w:color w:val="auto"/>
          <w:szCs w:val="21"/>
          <w:highlight w:val="none"/>
          <w:lang w:val="en-US" w:eastAsia="zh-CN"/>
        </w:rPr>
        <w:t>说明：项目具体成本测算等与报价合理性相关的书面说明及必要的证明材料，包括但不限于原材料成本、人工成本、制造费用等</w:t>
      </w:r>
    </w:p>
    <w:p w14:paraId="201FA6C0">
      <w:pPr>
        <w:spacing w:line="360" w:lineRule="auto"/>
        <w:ind w:firstLine="6090" w:firstLineChars="2900"/>
        <w:jc w:val="left"/>
        <w:rPr>
          <w:color w:val="auto"/>
          <w:szCs w:val="21"/>
          <w:highlight w:val="none"/>
        </w:rPr>
      </w:pPr>
      <w:r>
        <w:rPr>
          <w:color w:val="auto"/>
          <w:szCs w:val="21"/>
          <w:highlight w:val="none"/>
        </w:rPr>
        <w:t>供应商名称（</w:t>
      </w:r>
      <w:r>
        <w:rPr>
          <w:rFonts w:hint="eastAsia"/>
          <w:color w:val="auto"/>
          <w:szCs w:val="21"/>
          <w:highlight w:val="none"/>
        </w:rPr>
        <w:t>电子签章</w:t>
      </w:r>
      <w:r>
        <w:rPr>
          <w:color w:val="auto"/>
          <w:szCs w:val="21"/>
          <w:highlight w:val="none"/>
        </w:rPr>
        <w:t>）：</w:t>
      </w:r>
      <w:r>
        <w:rPr>
          <w:color w:val="auto"/>
          <w:szCs w:val="21"/>
          <w:highlight w:val="none"/>
          <w:u w:val="single"/>
        </w:rPr>
        <w:t xml:space="preserve">                          </w:t>
      </w:r>
    </w:p>
    <w:p w14:paraId="102C10B5">
      <w:pPr>
        <w:spacing w:line="360" w:lineRule="auto"/>
        <w:ind w:firstLine="6090" w:firstLineChars="2900"/>
        <w:jc w:val="left"/>
        <w:rPr>
          <w:color w:val="auto"/>
          <w:szCs w:val="21"/>
          <w:highlight w:val="none"/>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r>
        <w:rPr>
          <w:color w:val="auto"/>
          <w:szCs w:val="21"/>
          <w:highlight w:val="none"/>
        </w:rPr>
        <w:t>日  期</w:t>
      </w:r>
      <w:r>
        <w:rPr>
          <w:rFonts w:hint="eastAsia" w:eastAsia="宋体"/>
          <w:color w:val="auto"/>
          <w:szCs w:val="21"/>
          <w:highlight w:val="none"/>
          <w:lang w:eastAsia="zh-CN"/>
        </w:rPr>
        <w:t>：</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p w14:paraId="656BA048">
      <w:pPr>
        <w:snapToGrid w:val="0"/>
        <w:spacing w:before="50" w:after="120" w:afterLines="50"/>
        <w:jc w:val="left"/>
        <w:outlineLvl w:val="1"/>
        <w:rPr>
          <w:color w:val="auto"/>
          <w:szCs w:val="21"/>
          <w:highlight w:val="none"/>
        </w:rPr>
      </w:pPr>
      <w:r>
        <w:rPr>
          <w:rFonts w:hint="eastAsia"/>
          <w:color w:val="auto"/>
          <w:szCs w:val="21"/>
          <w:highlight w:val="none"/>
          <w:lang w:val="en-US" w:eastAsia="zh-CN"/>
        </w:rPr>
        <w:t>4</w:t>
      </w:r>
      <w:r>
        <w:rPr>
          <w:rFonts w:hint="eastAsia"/>
          <w:color w:val="auto"/>
          <w:szCs w:val="21"/>
          <w:highlight w:val="none"/>
        </w:rPr>
        <w:t>.开标一览表</w:t>
      </w:r>
    </w:p>
    <w:p w14:paraId="78690E33">
      <w:pPr>
        <w:widowControl/>
        <w:jc w:val="left"/>
        <w:rPr>
          <w:color w:val="auto"/>
          <w:szCs w:val="21"/>
          <w:highlight w:val="none"/>
        </w:rPr>
      </w:pPr>
    </w:p>
    <w:p w14:paraId="54A1F4E4">
      <w:pPr>
        <w:widowControl/>
        <w:jc w:val="left"/>
        <w:rPr>
          <w:color w:val="auto"/>
          <w:szCs w:val="21"/>
          <w:highlight w:val="none"/>
        </w:rPr>
      </w:pPr>
    </w:p>
    <w:p w14:paraId="38497E4B">
      <w:pPr>
        <w:widowControl/>
        <w:jc w:val="left"/>
        <w:rPr>
          <w:color w:val="auto"/>
          <w:szCs w:val="21"/>
          <w:highlight w:val="none"/>
        </w:rPr>
      </w:pPr>
    </w:p>
    <w:p w14:paraId="1B75637E">
      <w:pPr>
        <w:rPr>
          <w:b/>
          <w:color w:val="auto"/>
          <w:szCs w:val="21"/>
          <w:highlight w:val="none"/>
        </w:rPr>
      </w:pPr>
    </w:p>
    <w:p w14:paraId="6E35FF6E">
      <w:pPr>
        <w:rPr>
          <w:b/>
          <w:color w:val="auto"/>
          <w:szCs w:val="21"/>
          <w:highlight w:val="none"/>
        </w:rPr>
      </w:pPr>
    </w:p>
    <w:p w14:paraId="023D6D1C">
      <w:pPr>
        <w:rPr>
          <w:b/>
          <w:color w:val="auto"/>
          <w:szCs w:val="21"/>
          <w:highlight w:val="none"/>
        </w:rPr>
      </w:pPr>
      <w:r>
        <w:rPr>
          <w:rFonts w:hint="eastAsia"/>
          <w:b/>
          <w:color w:val="auto"/>
          <w:szCs w:val="21"/>
          <w:highlight w:val="none"/>
        </w:rPr>
        <w:t>格式详见广西政府采购云平台，且仅在广西政府采购云平台填写即可。</w:t>
      </w:r>
    </w:p>
    <w:p w14:paraId="2F752AD2">
      <w:pPr>
        <w:widowControl/>
        <w:jc w:val="left"/>
        <w:rPr>
          <w:color w:val="auto"/>
          <w:szCs w:val="21"/>
          <w:highlight w:val="none"/>
        </w:rPr>
      </w:pPr>
    </w:p>
    <w:bookmarkEnd w:id="107"/>
    <w:p w14:paraId="3393A778">
      <w:pPr>
        <w:spacing w:line="360" w:lineRule="auto"/>
        <w:ind w:firstLine="420"/>
        <w:rPr>
          <w:rFonts w:hint="eastAsia"/>
          <w:color w:val="auto"/>
          <w:szCs w:val="21"/>
          <w:highlight w:val="none"/>
        </w:rPr>
      </w:pPr>
    </w:p>
    <w:p w14:paraId="023A3565">
      <w:pPr>
        <w:snapToGrid w:val="0"/>
        <w:spacing w:before="120" w:beforeLines="50" w:after="50" w:line="440" w:lineRule="exact"/>
        <w:jc w:val="left"/>
        <w:outlineLvl w:val="1"/>
        <w:rPr>
          <w:rFonts w:hint="eastAsia"/>
          <w:bCs/>
          <w:color w:val="auto"/>
          <w:sz w:val="24"/>
          <w:highlight w:val="none"/>
        </w:rPr>
      </w:pPr>
      <w:r>
        <w:rPr>
          <w:bCs/>
          <w:color w:val="auto"/>
          <w:sz w:val="24"/>
          <w:highlight w:val="none"/>
        </w:rPr>
        <w:t xml:space="preserve"> </w:t>
      </w:r>
    </w:p>
    <w:p w14:paraId="299B4424"/>
    <w:sectPr>
      <w:pgSz w:w="11906" w:h="16838"/>
      <w:pgMar w:top="1418" w:right="1133" w:bottom="1246" w:left="1418"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东文宋体">
    <w:altName w:val="宋体"/>
    <w:panose1 w:val="00000000000000000000"/>
    <w:charset w:val="00"/>
    <w:family w:val="auto"/>
    <w:pitch w:val="default"/>
    <w:sig w:usb0="00000000" w:usb1="00000000" w:usb2="00000000" w:usb3="00000000" w:csb0="00000000"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Noto Sans CJK SC Regular">
    <w:altName w:val="Microsoft YaHei UI Light"/>
    <w:panose1 w:val="020B0500000000000000"/>
    <w:charset w:val="00"/>
    <w:family w:val="auto"/>
    <w:pitch w:val="default"/>
    <w:sig w:usb0="00000000" w:usb1="00000000" w:usb2="00000016" w:usb3="00000000" w:csb0="602E0107" w:csb1="00000000"/>
  </w:font>
  <w:font w:name="Microsoft YaHei UI Light">
    <w:panose1 w:val="020B0502040204020203"/>
    <w:charset w:val="86"/>
    <w:family w:val="auto"/>
    <w:pitch w:val="default"/>
    <w:sig w:usb0="80000287" w:usb1="2ACF0010" w:usb2="00000016" w:usb3="00000000" w:csb0="0004001F" w:csb1="00000000"/>
  </w:font>
  <w:font w:name="Times_New_Roman">
    <w:altName w:val="Times New Roman"/>
    <w:panose1 w:val="00000000000000000000"/>
    <w:charset w:val="00"/>
    <w:family w:val="auto"/>
    <w:pitch w:val="default"/>
    <w:sig w:usb0="00000000" w:usb1="00000000" w:usb2="00000000" w:usb3="00000000" w:csb0="00040001" w:csb1="00000000"/>
  </w:font>
  <w:font w:name="FangSong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5B666">
    <w:pPr>
      <w:pStyle w:val="31"/>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340B8">
    <w:pPr>
      <w:pStyle w:val="31"/>
      <w:framePr w:wrap="around" w:vAnchor="text" w:hAnchor="margin" w:xAlign="center" w:y="1"/>
      <w:rPr>
        <w:rStyle w:val="55"/>
      </w:rPr>
    </w:pPr>
    <w:r>
      <w:fldChar w:fldCharType="begin"/>
    </w:r>
    <w:r>
      <w:rPr>
        <w:rStyle w:val="55"/>
      </w:rPr>
      <w:instrText xml:space="preserve">PAGE  </w:instrText>
    </w:r>
    <w:r>
      <w:fldChar w:fldCharType="separate"/>
    </w:r>
    <w:r>
      <w:fldChar w:fldCharType="end"/>
    </w:r>
  </w:p>
  <w:p w14:paraId="51800401">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22DE3">
    <w:pPr>
      <w:pStyle w:val="31"/>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FB21D">
    <w:pPr>
      <w:pStyle w:val="31"/>
      <w:jc w:val="right"/>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D3777">
                          <w:pPr>
                            <w:pStyle w:val="3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2D3777">
                    <w:pPr>
                      <w:pStyle w:val="3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E5140">
    <w:pPr>
      <w:pStyle w:val="31"/>
      <w:jc w:val="center"/>
      <w:rPr>
        <w:rFonts w:hint="eastAsia"/>
      </w:rPr>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76968">
    <w:pPr>
      <w:pStyle w:val="3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BE9261E">
                          <w:pPr>
                            <w:pStyle w:val="31"/>
                            <w:rPr>
                              <w:rFonts w:hint="eastAsia" w:ascii="宋体" w:hAnsi="宋体" w:eastAsia="宋体" w:cs="宋体"/>
                              <w:sz w:val="28"/>
                              <w:szCs w:val="28"/>
                              <w:lang w:eastAsia="zh-CN"/>
                            </w:rPr>
                          </w:pPr>
                          <w:r>
                            <w:rPr>
                              <w:rFonts w:hint="eastAsia" w:ascii="宋体" w:hAnsi="宋体" w:cs="宋体"/>
                              <w:sz w:val="28"/>
                              <w:szCs w:val="28"/>
                              <w:lang w:eastAsia="zh-CN"/>
                            </w:rPr>
                            <w:t xml:space="preserve">第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42</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页</w:t>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tAI3vOIBAADMAwAADgAA&#10;AAAAAAABACAAAAAeAQAAZHJzL2Uyb0RvYy54bWxQSwUGAAAAAAYABgBZAQAAcgUAAAAA&#10;">
              <v:fill on="f" focussize="0,0"/>
              <v:stroke on="f"/>
              <v:imagedata o:title=""/>
              <o:lock v:ext="edit" aspectratio="f"/>
              <v:textbox inset="0mm,0mm,0mm,0mm" style="mso-fit-shape-to-text:t;">
                <w:txbxContent>
                  <w:p w14:paraId="4BE9261E">
                    <w:pPr>
                      <w:pStyle w:val="31"/>
                      <w:rPr>
                        <w:rFonts w:hint="eastAsia" w:ascii="宋体" w:hAnsi="宋体" w:eastAsia="宋体" w:cs="宋体"/>
                        <w:sz w:val="28"/>
                        <w:szCs w:val="28"/>
                        <w:lang w:eastAsia="zh-CN"/>
                      </w:rPr>
                    </w:pPr>
                    <w:r>
                      <w:rPr>
                        <w:rFonts w:hint="eastAsia" w:ascii="宋体" w:hAnsi="宋体" w:cs="宋体"/>
                        <w:sz w:val="28"/>
                        <w:szCs w:val="28"/>
                        <w:lang w:eastAsia="zh-CN"/>
                      </w:rPr>
                      <w:t xml:space="preserve">第 </w:t>
                    </w:r>
                    <w:r>
                      <w:rPr>
                        <w:rFonts w:hint="eastAsia" w:ascii="宋体" w:hAnsi="宋体" w:cs="宋体"/>
                        <w:sz w:val="28"/>
                        <w:szCs w:val="28"/>
                        <w:lang w:eastAsia="zh-CN"/>
                      </w:rPr>
                      <w:fldChar w:fldCharType="begin"/>
                    </w:r>
                    <w:r>
                      <w:rPr>
                        <w:rFonts w:hint="eastAsia" w:ascii="宋体" w:hAnsi="宋体" w:cs="宋体"/>
                        <w:sz w:val="28"/>
                        <w:szCs w:val="28"/>
                        <w:lang w:eastAsia="zh-CN"/>
                      </w:rPr>
                      <w:instrText xml:space="preserve"> PAGE  \* MERGEFORMAT </w:instrText>
                    </w:r>
                    <w:r>
                      <w:rPr>
                        <w:rFonts w:hint="eastAsia" w:ascii="宋体" w:hAnsi="宋体" w:cs="宋体"/>
                        <w:sz w:val="28"/>
                        <w:szCs w:val="28"/>
                        <w:lang w:eastAsia="zh-CN"/>
                      </w:rPr>
                      <w:fldChar w:fldCharType="separate"/>
                    </w:r>
                    <w:r>
                      <w:rPr>
                        <w:rFonts w:hint="eastAsia" w:ascii="宋体" w:hAnsi="宋体" w:cs="宋体"/>
                        <w:sz w:val="28"/>
                        <w:szCs w:val="28"/>
                        <w:lang w:eastAsia="zh-CN"/>
                      </w:rPr>
                      <w:t>42</w:t>
                    </w:r>
                    <w:r>
                      <w:rPr>
                        <w:rFonts w:hint="eastAsia" w:ascii="宋体" w:hAnsi="宋体" w:cs="宋体"/>
                        <w:sz w:val="28"/>
                        <w:szCs w:val="28"/>
                        <w:lang w:eastAsia="zh-CN"/>
                      </w:rPr>
                      <w:fldChar w:fldCharType="end"/>
                    </w:r>
                    <w:r>
                      <w:rPr>
                        <w:rFonts w:hint="eastAsia" w:ascii="宋体" w:hAnsi="宋体" w:cs="宋体"/>
                        <w:sz w:val="28"/>
                        <w:szCs w:val="28"/>
                        <w:lang w:eastAsia="zh-C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74F61">
    <w:pPr>
      <w:pStyle w:val="31"/>
      <w:jc w:val="center"/>
      <w:rPr>
        <w:rFonts w:hint="eastAsia"/>
      </w:rPr>
    </w:pPr>
    <w:r>
      <w:fldChar w:fldCharType="begin"/>
    </w:r>
    <w:r>
      <w:instrText xml:space="preserve">PAGE   \* MERGEFORMAT</w:instrText>
    </w:r>
    <w:r>
      <w:fldChar w:fldCharType="separate"/>
    </w:r>
    <w:r>
      <w:rPr>
        <w:lang w:val="zh-CN"/>
      </w:rPr>
      <w:t>7</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A3F32">
    <w:pPr>
      <w:pStyle w:val="31"/>
      <w:jc w:val="right"/>
      <w:rPr>
        <w:rFonts w:ascii="Times New Roman" w:hAnsi="Times New Roman" w:eastAsia="宋体" w:cs="Times New Roma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BAD23">
                          <w:pPr>
                            <w:pStyle w:val="31"/>
                          </w:pPr>
                          <w:r>
                            <w:t xml:space="preserve">第 </w:t>
                          </w:r>
                          <w:r>
                            <w:fldChar w:fldCharType="begin"/>
                          </w:r>
                          <w:r>
                            <w:instrText xml:space="preserve"> PAGE  \* MERGEFORMAT </w:instrText>
                          </w:r>
                          <w:r>
                            <w:fldChar w:fldCharType="separate"/>
                          </w:r>
                          <w:r>
                            <w:t>142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74BAD23">
                    <w:pPr>
                      <w:pStyle w:val="31"/>
                    </w:pPr>
                    <w:r>
                      <w:t xml:space="preserve">第 </w:t>
                    </w:r>
                    <w:r>
                      <w:fldChar w:fldCharType="begin"/>
                    </w:r>
                    <w:r>
                      <w:instrText xml:space="preserve"> PAGE  \* MERGEFORMAT </w:instrText>
                    </w:r>
                    <w:r>
                      <w:fldChar w:fldCharType="separate"/>
                    </w:r>
                    <w:r>
                      <w:t>142</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B4402">
    <w:pPr>
      <w:pStyle w:val="31"/>
      <w:jc w:val="right"/>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D71CF">
                          <w:pPr>
                            <w:pStyle w:val="31"/>
                          </w:pPr>
                          <w:r>
                            <w:t xml:space="preserve">第 </w:t>
                          </w:r>
                          <w:r>
                            <w:fldChar w:fldCharType="begin"/>
                          </w:r>
                          <w:r>
                            <w:instrText xml:space="preserve"> PAGE  \* MERGEFORMAT </w:instrText>
                          </w:r>
                          <w:r>
                            <w:fldChar w:fldCharType="separate"/>
                          </w:r>
                          <w:r>
                            <w:t>164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BD71CF">
                    <w:pPr>
                      <w:pStyle w:val="31"/>
                    </w:pPr>
                    <w:r>
                      <w:t xml:space="preserve">第 </w:t>
                    </w:r>
                    <w:r>
                      <w:fldChar w:fldCharType="begin"/>
                    </w:r>
                    <w:r>
                      <w:instrText xml:space="preserve"> PAGE  \* MERGEFORMAT </w:instrText>
                    </w:r>
                    <w:r>
                      <w:fldChar w:fldCharType="separate"/>
                    </w:r>
                    <w:r>
                      <w:t>164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B082E">
    <w:pPr>
      <w:pStyle w:val="3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2C210">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86E23">
    <w:pPr>
      <w:pStyle w:val="32"/>
      <w:jc w:val="left"/>
    </w:pPr>
    <w:r>
      <w:rPr>
        <w:rFonts w:hint="eastAsia"/>
      </w:rPr>
      <w:t xml:space="preserve">广西机电设备招标有限公司采购文件                                                               </w:t>
    </w:r>
  </w:p>
  <w:p w14:paraId="3C346313">
    <w:pPr>
      <w:pStyle w:val="3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1F070">
    <w:pPr>
      <w:pStyle w:val="32"/>
      <w:jc w:val="left"/>
    </w:pPr>
    <w:r>
      <w:rPr>
        <w:rFonts w:hint="eastAsia"/>
      </w:rPr>
      <w:t xml:space="preserve">广西机电设备招标有限公司采购文件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BC00D">
    <w:pPr>
      <w:pStyle w:val="32"/>
      <w:jc w:val="left"/>
    </w:pPr>
    <w:r>
      <w:rPr>
        <w:rFonts w:hint="eastAsia"/>
      </w:rPr>
      <w:t xml:space="preserve">广西机电设备招标有限公司采购文件                                                         </w:t>
    </w:r>
  </w:p>
  <w:p w14:paraId="3CAB1E0D">
    <w:pPr>
      <w:pStyle w:val="32"/>
      <w:pBdr>
        <w:bottom w:val="none" w:color="auto" w:sz="0" w:space="0"/>
      </w:pBd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E039D">
    <w:pPr>
      <w:pStyle w:val="32"/>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ADE">
    <w:pPr>
      <w:pStyle w:val="32"/>
      <w:pBdr>
        <w:bottom w:val="single" w:color="auto" w:sz="6" w:space="0"/>
      </w:pBdr>
      <w:jc w:val="left"/>
    </w:pPr>
    <w:r>
      <w:rPr>
        <w:rFonts w:hint="eastAsia"/>
      </w:rPr>
      <w:t xml:space="preserve">广西机电设备招标有限公司采购文件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71505">
    <w:pPr>
      <w:pStyle w:val="32"/>
      <w:jc w:val="left"/>
    </w:pPr>
    <w:r>
      <w:rPr>
        <w:rFonts w:hint="eastAsia"/>
      </w:rPr>
      <w:t xml:space="preserve">广西机电设备招标有限公司采购文件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2F902">
    <w:pPr>
      <w:pStyle w:val="32"/>
      <w:jc w:val="left"/>
    </w:pPr>
    <w:r>
      <w:rPr>
        <w:rFonts w:hint="eastAsia"/>
      </w:rPr>
      <w:t xml:space="preserve">广西机电设备招标有限公司采购文件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B6CFA">
    <w:pPr>
      <w:pStyle w:val="32"/>
      <w:jc w:val="left"/>
      <w:rPr>
        <w:rFonts w:hint="eastAsia"/>
      </w:rPr>
    </w:pPr>
    <w:r>
      <w:rPr>
        <w:rFonts w:hint="eastAsia"/>
      </w:rPr>
      <w:t xml:space="preserve">广西机电设备招标有限公司采购文件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4172">
    <w:pPr>
      <w:rPr>
        <w:rFonts w:ascii="Times New Roman" w:hAnsi="Times New Roman" w:eastAsia="宋体" w:cs="Times New Roman"/>
        <w:sz w:val="18"/>
        <w:szCs w:val="18"/>
        <w:u w:val="single"/>
      </w:rPr>
    </w:pPr>
    <w:r>
      <w:rPr>
        <w:rFonts w:hint="eastAsia" w:ascii="Times New Roman" w:hAnsi="Times New Roman" w:eastAsia="宋体" w:cs="Times New Roman"/>
        <w:sz w:val="18"/>
        <w:szCs w:val="18"/>
        <w:u w:val="single"/>
      </w:rPr>
      <w:t xml:space="preserve">广西机电设备招标有限公司采购文件                                                       </w:t>
    </w:r>
    <w:r>
      <w:rPr>
        <w:rFonts w:ascii="Times New Roman" w:hAnsi="Times New Roman" w:eastAsia="宋体" w:cs="Times New Roman"/>
        <w:sz w:val="18"/>
        <w:szCs w:val="18"/>
        <w:u w:val="single"/>
      </w:rPr>
      <w:t xml:space="preserve">                                                          </w:t>
    </w:r>
    <w:r>
      <w:rPr>
        <w:rFonts w:hint="eastAsia" w:ascii="Times New Roman" w:hAnsi="Times New Roman" w:eastAsia="宋体" w:cs="Times New Roman"/>
        <w:sz w:val="18"/>
        <w:szCs w:val="18"/>
        <w:u w:val="single"/>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2A50A">
    <w:pPr>
      <w:pStyle w:val="32"/>
      <w:jc w:val="left"/>
      <w:rPr>
        <w:rFonts w:hint="eastAsia"/>
      </w:rPr>
    </w:pPr>
    <w:r>
      <w:rPr>
        <w:rFonts w:hint="eastAsia"/>
      </w:rPr>
      <w:t xml:space="preserve">广西机电设备招标有限公司采购文件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A7702">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9B312">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FBB9B">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EF"/>
    <w:rsid w:val="000005B6"/>
    <w:rsid w:val="0000091B"/>
    <w:rsid w:val="00000D0A"/>
    <w:rsid w:val="00000D19"/>
    <w:rsid w:val="00000E1A"/>
    <w:rsid w:val="0000104A"/>
    <w:rsid w:val="000014EC"/>
    <w:rsid w:val="000016CE"/>
    <w:rsid w:val="00001B3E"/>
    <w:rsid w:val="00001CD6"/>
    <w:rsid w:val="00001D90"/>
    <w:rsid w:val="0000215C"/>
    <w:rsid w:val="00002584"/>
    <w:rsid w:val="00002A53"/>
    <w:rsid w:val="00002DDA"/>
    <w:rsid w:val="00003DAE"/>
    <w:rsid w:val="00004272"/>
    <w:rsid w:val="000055EE"/>
    <w:rsid w:val="000058D7"/>
    <w:rsid w:val="00005E55"/>
    <w:rsid w:val="000067B7"/>
    <w:rsid w:val="00006E2C"/>
    <w:rsid w:val="000074D7"/>
    <w:rsid w:val="000079FF"/>
    <w:rsid w:val="00007B0D"/>
    <w:rsid w:val="000102A9"/>
    <w:rsid w:val="00011095"/>
    <w:rsid w:val="00011D72"/>
    <w:rsid w:val="00012078"/>
    <w:rsid w:val="000127F0"/>
    <w:rsid w:val="0001283C"/>
    <w:rsid w:val="00012E43"/>
    <w:rsid w:val="0001306C"/>
    <w:rsid w:val="0001312F"/>
    <w:rsid w:val="00013607"/>
    <w:rsid w:val="00013748"/>
    <w:rsid w:val="00013D41"/>
    <w:rsid w:val="0001408B"/>
    <w:rsid w:val="000143A3"/>
    <w:rsid w:val="00014DD6"/>
    <w:rsid w:val="0001598C"/>
    <w:rsid w:val="0001618B"/>
    <w:rsid w:val="00016C31"/>
    <w:rsid w:val="00020BB1"/>
    <w:rsid w:val="00020BF0"/>
    <w:rsid w:val="000215B7"/>
    <w:rsid w:val="000217BF"/>
    <w:rsid w:val="00021C98"/>
    <w:rsid w:val="00021CCD"/>
    <w:rsid w:val="00021EE3"/>
    <w:rsid w:val="00022368"/>
    <w:rsid w:val="000228AB"/>
    <w:rsid w:val="000233CA"/>
    <w:rsid w:val="00023652"/>
    <w:rsid w:val="00024633"/>
    <w:rsid w:val="00024B6F"/>
    <w:rsid w:val="00024F95"/>
    <w:rsid w:val="0002560A"/>
    <w:rsid w:val="000256C1"/>
    <w:rsid w:val="00025CAB"/>
    <w:rsid w:val="00025DA0"/>
    <w:rsid w:val="0002696D"/>
    <w:rsid w:val="0002754D"/>
    <w:rsid w:val="00027666"/>
    <w:rsid w:val="000276B2"/>
    <w:rsid w:val="00027A46"/>
    <w:rsid w:val="00027AF3"/>
    <w:rsid w:val="00030024"/>
    <w:rsid w:val="00030124"/>
    <w:rsid w:val="000305FD"/>
    <w:rsid w:val="0003084F"/>
    <w:rsid w:val="00030C2F"/>
    <w:rsid w:val="000311F9"/>
    <w:rsid w:val="00031757"/>
    <w:rsid w:val="00032533"/>
    <w:rsid w:val="00032686"/>
    <w:rsid w:val="0003274B"/>
    <w:rsid w:val="00032AD8"/>
    <w:rsid w:val="000331CC"/>
    <w:rsid w:val="0003322E"/>
    <w:rsid w:val="00033927"/>
    <w:rsid w:val="00035840"/>
    <w:rsid w:val="00035844"/>
    <w:rsid w:val="00036BAA"/>
    <w:rsid w:val="0003738D"/>
    <w:rsid w:val="00037C63"/>
    <w:rsid w:val="00037CE4"/>
    <w:rsid w:val="00040187"/>
    <w:rsid w:val="00040AC1"/>
    <w:rsid w:val="000418B1"/>
    <w:rsid w:val="00041BFC"/>
    <w:rsid w:val="00042BF9"/>
    <w:rsid w:val="00042F4A"/>
    <w:rsid w:val="00043295"/>
    <w:rsid w:val="00043829"/>
    <w:rsid w:val="000441ED"/>
    <w:rsid w:val="00044EE7"/>
    <w:rsid w:val="00045069"/>
    <w:rsid w:val="00045828"/>
    <w:rsid w:val="00045947"/>
    <w:rsid w:val="000462A8"/>
    <w:rsid w:val="00046360"/>
    <w:rsid w:val="0004653D"/>
    <w:rsid w:val="000465AB"/>
    <w:rsid w:val="00046662"/>
    <w:rsid w:val="00046900"/>
    <w:rsid w:val="00046E59"/>
    <w:rsid w:val="0004716B"/>
    <w:rsid w:val="000472E6"/>
    <w:rsid w:val="000479CD"/>
    <w:rsid w:val="000500E6"/>
    <w:rsid w:val="0005037C"/>
    <w:rsid w:val="000504FE"/>
    <w:rsid w:val="000513A7"/>
    <w:rsid w:val="00053BFC"/>
    <w:rsid w:val="000541A4"/>
    <w:rsid w:val="0005428F"/>
    <w:rsid w:val="00054870"/>
    <w:rsid w:val="00054ABD"/>
    <w:rsid w:val="00054F7D"/>
    <w:rsid w:val="00055230"/>
    <w:rsid w:val="00055557"/>
    <w:rsid w:val="00055A8A"/>
    <w:rsid w:val="00055E6D"/>
    <w:rsid w:val="00055FFC"/>
    <w:rsid w:val="0005625F"/>
    <w:rsid w:val="0005649E"/>
    <w:rsid w:val="00056597"/>
    <w:rsid w:val="0005700C"/>
    <w:rsid w:val="00057393"/>
    <w:rsid w:val="00057629"/>
    <w:rsid w:val="00057E45"/>
    <w:rsid w:val="000606B6"/>
    <w:rsid w:val="00060F97"/>
    <w:rsid w:val="00062637"/>
    <w:rsid w:val="000631AC"/>
    <w:rsid w:val="000631B7"/>
    <w:rsid w:val="000637FF"/>
    <w:rsid w:val="000639D4"/>
    <w:rsid w:val="00063D47"/>
    <w:rsid w:val="00064A48"/>
    <w:rsid w:val="00064C80"/>
    <w:rsid w:val="000655D7"/>
    <w:rsid w:val="00065AB7"/>
    <w:rsid w:val="00065D71"/>
    <w:rsid w:val="000667DB"/>
    <w:rsid w:val="000673D8"/>
    <w:rsid w:val="00067B14"/>
    <w:rsid w:val="00067DE7"/>
    <w:rsid w:val="000706AC"/>
    <w:rsid w:val="00070950"/>
    <w:rsid w:val="000709D3"/>
    <w:rsid w:val="000712F8"/>
    <w:rsid w:val="00071309"/>
    <w:rsid w:val="00071A6A"/>
    <w:rsid w:val="00071C95"/>
    <w:rsid w:val="00072A95"/>
    <w:rsid w:val="00072E1C"/>
    <w:rsid w:val="00072E6E"/>
    <w:rsid w:val="00074923"/>
    <w:rsid w:val="00074FED"/>
    <w:rsid w:val="000750EA"/>
    <w:rsid w:val="00075286"/>
    <w:rsid w:val="00076417"/>
    <w:rsid w:val="00077698"/>
    <w:rsid w:val="00077733"/>
    <w:rsid w:val="00077891"/>
    <w:rsid w:val="000778ED"/>
    <w:rsid w:val="0007791D"/>
    <w:rsid w:val="0007797E"/>
    <w:rsid w:val="0008017C"/>
    <w:rsid w:val="00080AA6"/>
    <w:rsid w:val="0008186A"/>
    <w:rsid w:val="00081C1C"/>
    <w:rsid w:val="000822F0"/>
    <w:rsid w:val="00082611"/>
    <w:rsid w:val="0008264F"/>
    <w:rsid w:val="0008278B"/>
    <w:rsid w:val="00082969"/>
    <w:rsid w:val="00082EFD"/>
    <w:rsid w:val="0008372E"/>
    <w:rsid w:val="000839ED"/>
    <w:rsid w:val="00083A64"/>
    <w:rsid w:val="00083B97"/>
    <w:rsid w:val="00083DE9"/>
    <w:rsid w:val="0008480B"/>
    <w:rsid w:val="00084DAF"/>
    <w:rsid w:val="000856A1"/>
    <w:rsid w:val="0008572C"/>
    <w:rsid w:val="000859E6"/>
    <w:rsid w:val="00085F62"/>
    <w:rsid w:val="00085FB6"/>
    <w:rsid w:val="000866A9"/>
    <w:rsid w:val="00086C00"/>
    <w:rsid w:val="00086EC2"/>
    <w:rsid w:val="00087358"/>
    <w:rsid w:val="000873F5"/>
    <w:rsid w:val="00087AF8"/>
    <w:rsid w:val="00087E3D"/>
    <w:rsid w:val="000900DF"/>
    <w:rsid w:val="00090193"/>
    <w:rsid w:val="0009021F"/>
    <w:rsid w:val="00090373"/>
    <w:rsid w:val="00090FAF"/>
    <w:rsid w:val="00091B1D"/>
    <w:rsid w:val="00091D8D"/>
    <w:rsid w:val="0009229B"/>
    <w:rsid w:val="00093DF8"/>
    <w:rsid w:val="000941F6"/>
    <w:rsid w:val="000945C5"/>
    <w:rsid w:val="000947F1"/>
    <w:rsid w:val="00094ECF"/>
    <w:rsid w:val="00094F56"/>
    <w:rsid w:val="0009592E"/>
    <w:rsid w:val="00095D1D"/>
    <w:rsid w:val="00096B35"/>
    <w:rsid w:val="00096DFE"/>
    <w:rsid w:val="0009715C"/>
    <w:rsid w:val="000973E6"/>
    <w:rsid w:val="000A0DB9"/>
    <w:rsid w:val="000A10DB"/>
    <w:rsid w:val="000A1466"/>
    <w:rsid w:val="000A1F25"/>
    <w:rsid w:val="000A2968"/>
    <w:rsid w:val="000A346E"/>
    <w:rsid w:val="000A3515"/>
    <w:rsid w:val="000A3518"/>
    <w:rsid w:val="000A3F79"/>
    <w:rsid w:val="000A5540"/>
    <w:rsid w:val="000A59B9"/>
    <w:rsid w:val="000A5CFB"/>
    <w:rsid w:val="000A66A7"/>
    <w:rsid w:val="000A6F1D"/>
    <w:rsid w:val="000A70C7"/>
    <w:rsid w:val="000A7238"/>
    <w:rsid w:val="000A791D"/>
    <w:rsid w:val="000B09FE"/>
    <w:rsid w:val="000B0EFF"/>
    <w:rsid w:val="000B15EF"/>
    <w:rsid w:val="000B2225"/>
    <w:rsid w:val="000B26D6"/>
    <w:rsid w:val="000B316D"/>
    <w:rsid w:val="000B3194"/>
    <w:rsid w:val="000B3741"/>
    <w:rsid w:val="000B3CFE"/>
    <w:rsid w:val="000B42D5"/>
    <w:rsid w:val="000B4EF3"/>
    <w:rsid w:val="000B522C"/>
    <w:rsid w:val="000B554C"/>
    <w:rsid w:val="000B588F"/>
    <w:rsid w:val="000B5D87"/>
    <w:rsid w:val="000B67AE"/>
    <w:rsid w:val="000B6F18"/>
    <w:rsid w:val="000B7189"/>
    <w:rsid w:val="000B7E6D"/>
    <w:rsid w:val="000C11FD"/>
    <w:rsid w:val="000C350A"/>
    <w:rsid w:val="000C3CDF"/>
    <w:rsid w:val="000C4020"/>
    <w:rsid w:val="000C41AA"/>
    <w:rsid w:val="000C4959"/>
    <w:rsid w:val="000C4988"/>
    <w:rsid w:val="000C4E28"/>
    <w:rsid w:val="000C50DF"/>
    <w:rsid w:val="000C59D1"/>
    <w:rsid w:val="000C61CD"/>
    <w:rsid w:val="000C7045"/>
    <w:rsid w:val="000C757A"/>
    <w:rsid w:val="000C7A24"/>
    <w:rsid w:val="000C7D9F"/>
    <w:rsid w:val="000D1274"/>
    <w:rsid w:val="000D12D5"/>
    <w:rsid w:val="000D1B95"/>
    <w:rsid w:val="000D1C10"/>
    <w:rsid w:val="000D1E5A"/>
    <w:rsid w:val="000D38A6"/>
    <w:rsid w:val="000D3E1B"/>
    <w:rsid w:val="000D4061"/>
    <w:rsid w:val="000D4860"/>
    <w:rsid w:val="000D48FB"/>
    <w:rsid w:val="000D4B4F"/>
    <w:rsid w:val="000D4C66"/>
    <w:rsid w:val="000D4EC1"/>
    <w:rsid w:val="000D549B"/>
    <w:rsid w:val="000D55FD"/>
    <w:rsid w:val="000D5634"/>
    <w:rsid w:val="000D574F"/>
    <w:rsid w:val="000D5E20"/>
    <w:rsid w:val="000D6768"/>
    <w:rsid w:val="000E01DF"/>
    <w:rsid w:val="000E0FA4"/>
    <w:rsid w:val="000E1C04"/>
    <w:rsid w:val="000E2AD1"/>
    <w:rsid w:val="000E3D2F"/>
    <w:rsid w:val="000E4340"/>
    <w:rsid w:val="000E4712"/>
    <w:rsid w:val="000E4718"/>
    <w:rsid w:val="000E612C"/>
    <w:rsid w:val="000E6237"/>
    <w:rsid w:val="000E6D38"/>
    <w:rsid w:val="000E6FA0"/>
    <w:rsid w:val="000E72E7"/>
    <w:rsid w:val="000E72F6"/>
    <w:rsid w:val="000E75B3"/>
    <w:rsid w:val="000E7CC8"/>
    <w:rsid w:val="000F1264"/>
    <w:rsid w:val="000F1266"/>
    <w:rsid w:val="000F1B78"/>
    <w:rsid w:val="000F1E74"/>
    <w:rsid w:val="000F1F51"/>
    <w:rsid w:val="000F1FB0"/>
    <w:rsid w:val="000F2181"/>
    <w:rsid w:val="000F24AC"/>
    <w:rsid w:val="000F254B"/>
    <w:rsid w:val="000F2830"/>
    <w:rsid w:val="000F2F60"/>
    <w:rsid w:val="000F3326"/>
    <w:rsid w:val="000F4B3A"/>
    <w:rsid w:val="000F4EDD"/>
    <w:rsid w:val="000F5331"/>
    <w:rsid w:val="000F55C9"/>
    <w:rsid w:val="000F5E8B"/>
    <w:rsid w:val="000F6242"/>
    <w:rsid w:val="000F6F32"/>
    <w:rsid w:val="000F70F9"/>
    <w:rsid w:val="000F75A8"/>
    <w:rsid w:val="000F76E0"/>
    <w:rsid w:val="000F77B4"/>
    <w:rsid w:val="00100331"/>
    <w:rsid w:val="00101255"/>
    <w:rsid w:val="001016BB"/>
    <w:rsid w:val="0010251A"/>
    <w:rsid w:val="00102BC3"/>
    <w:rsid w:val="00103458"/>
    <w:rsid w:val="00104AFF"/>
    <w:rsid w:val="001054B0"/>
    <w:rsid w:val="00105A06"/>
    <w:rsid w:val="00105B2E"/>
    <w:rsid w:val="00107326"/>
    <w:rsid w:val="001078F4"/>
    <w:rsid w:val="00110797"/>
    <w:rsid w:val="00111ECD"/>
    <w:rsid w:val="001121DD"/>
    <w:rsid w:val="0011227C"/>
    <w:rsid w:val="00112DBF"/>
    <w:rsid w:val="00113646"/>
    <w:rsid w:val="00113992"/>
    <w:rsid w:val="0011487E"/>
    <w:rsid w:val="001149C5"/>
    <w:rsid w:val="0011539F"/>
    <w:rsid w:val="00116015"/>
    <w:rsid w:val="00116258"/>
    <w:rsid w:val="00116781"/>
    <w:rsid w:val="00117559"/>
    <w:rsid w:val="0012026D"/>
    <w:rsid w:val="00120457"/>
    <w:rsid w:val="001204EB"/>
    <w:rsid w:val="0012077F"/>
    <w:rsid w:val="00120813"/>
    <w:rsid w:val="0012099E"/>
    <w:rsid w:val="00120E60"/>
    <w:rsid w:val="0012130E"/>
    <w:rsid w:val="001213B0"/>
    <w:rsid w:val="00121741"/>
    <w:rsid w:val="00121832"/>
    <w:rsid w:val="0012235C"/>
    <w:rsid w:val="00122A75"/>
    <w:rsid w:val="001241D1"/>
    <w:rsid w:val="00124985"/>
    <w:rsid w:val="00125609"/>
    <w:rsid w:val="00125FC1"/>
    <w:rsid w:val="00126655"/>
    <w:rsid w:val="00126707"/>
    <w:rsid w:val="001269E0"/>
    <w:rsid w:val="00126C18"/>
    <w:rsid w:val="00126EBE"/>
    <w:rsid w:val="0012725A"/>
    <w:rsid w:val="00127E1B"/>
    <w:rsid w:val="00127FC8"/>
    <w:rsid w:val="001318F4"/>
    <w:rsid w:val="0013190A"/>
    <w:rsid w:val="00131945"/>
    <w:rsid w:val="00131C94"/>
    <w:rsid w:val="00131DE6"/>
    <w:rsid w:val="001326DF"/>
    <w:rsid w:val="00132AD8"/>
    <w:rsid w:val="00132CCE"/>
    <w:rsid w:val="00133D01"/>
    <w:rsid w:val="00134510"/>
    <w:rsid w:val="00135A65"/>
    <w:rsid w:val="00136073"/>
    <w:rsid w:val="001361F7"/>
    <w:rsid w:val="001364D5"/>
    <w:rsid w:val="00136606"/>
    <w:rsid w:val="00136806"/>
    <w:rsid w:val="001369A6"/>
    <w:rsid w:val="00136A93"/>
    <w:rsid w:val="00136BD6"/>
    <w:rsid w:val="00136DBC"/>
    <w:rsid w:val="00136F77"/>
    <w:rsid w:val="00136FA8"/>
    <w:rsid w:val="00137856"/>
    <w:rsid w:val="00137AF6"/>
    <w:rsid w:val="00137BD8"/>
    <w:rsid w:val="00140291"/>
    <w:rsid w:val="001404CD"/>
    <w:rsid w:val="00140BCF"/>
    <w:rsid w:val="00141AA7"/>
    <w:rsid w:val="00141AE5"/>
    <w:rsid w:val="00141E8C"/>
    <w:rsid w:val="001422D4"/>
    <w:rsid w:val="00142890"/>
    <w:rsid w:val="00143DF9"/>
    <w:rsid w:val="001442C2"/>
    <w:rsid w:val="001449E1"/>
    <w:rsid w:val="00144D5F"/>
    <w:rsid w:val="00145054"/>
    <w:rsid w:val="00145135"/>
    <w:rsid w:val="00145F55"/>
    <w:rsid w:val="0014647C"/>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BED"/>
    <w:rsid w:val="00154304"/>
    <w:rsid w:val="001546D6"/>
    <w:rsid w:val="0015477A"/>
    <w:rsid w:val="001549D0"/>
    <w:rsid w:val="00154F0A"/>
    <w:rsid w:val="0015563E"/>
    <w:rsid w:val="00156891"/>
    <w:rsid w:val="00156958"/>
    <w:rsid w:val="00156BA3"/>
    <w:rsid w:val="00157320"/>
    <w:rsid w:val="001579B9"/>
    <w:rsid w:val="00157CBD"/>
    <w:rsid w:val="001602EB"/>
    <w:rsid w:val="001610EB"/>
    <w:rsid w:val="00161C1F"/>
    <w:rsid w:val="00161C2F"/>
    <w:rsid w:val="00162013"/>
    <w:rsid w:val="001620B6"/>
    <w:rsid w:val="00162664"/>
    <w:rsid w:val="00162995"/>
    <w:rsid w:val="00163194"/>
    <w:rsid w:val="0016397B"/>
    <w:rsid w:val="00163DB9"/>
    <w:rsid w:val="001641BB"/>
    <w:rsid w:val="00164A8F"/>
    <w:rsid w:val="00164E8A"/>
    <w:rsid w:val="00164F8F"/>
    <w:rsid w:val="001650BB"/>
    <w:rsid w:val="0016529F"/>
    <w:rsid w:val="001658F5"/>
    <w:rsid w:val="00165F38"/>
    <w:rsid w:val="001661B8"/>
    <w:rsid w:val="00166237"/>
    <w:rsid w:val="00166416"/>
    <w:rsid w:val="0016644D"/>
    <w:rsid w:val="00166EE6"/>
    <w:rsid w:val="001672AF"/>
    <w:rsid w:val="00167629"/>
    <w:rsid w:val="0016783A"/>
    <w:rsid w:val="00170740"/>
    <w:rsid w:val="00170A14"/>
    <w:rsid w:val="0017112B"/>
    <w:rsid w:val="001726CF"/>
    <w:rsid w:val="00172BAF"/>
    <w:rsid w:val="00172EC0"/>
    <w:rsid w:val="00173191"/>
    <w:rsid w:val="001737FE"/>
    <w:rsid w:val="0017426E"/>
    <w:rsid w:val="00174E71"/>
    <w:rsid w:val="00176E50"/>
    <w:rsid w:val="0017723E"/>
    <w:rsid w:val="001772FF"/>
    <w:rsid w:val="001775DA"/>
    <w:rsid w:val="00177AD0"/>
    <w:rsid w:val="001808E8"/>
    <w:rsid w:val="00180AE0"/>
    <w:rsid w:val="00181135"/>
    <w:rsid w:val="00181C0B"/>
    <w:rsid w:val="00182382"/>
    <w:rsid w:val="00182A1C"/>
    <w:rsid w:val="00182DF8"/>
    <w:rsid w:val="00183951"/>
    <w:rsid w:val="00183CB0"/>
    <w:rsid w:val="00183CC7"/>
    <w:rsid w:val="001842FD"/>
    <w:rsid w:val="00185DB6"/>
    <w:rsid w:val="00186AE7"/>
    <w:rsid w:val="00187892"/>
    <w:rsid w:val="00187948"/>
    <w:rsid w:val="001879F2"/>
    <w:rsid w:val="00187DFB"/>
    <w:rsid w:val="001900A7"/>
    <w:rsid w:val="00190463"/>
    <w:rsid w:val="001913D1"/>
    <w:rsid w:val="00191435"/>
    <w:rsid w:val="00191F8F"/>
    <w:rsid w:val="00192213"/>
    <w:rsid w:val="001927A2"/>
    <w:rsid w:val="001927AF"/>
    <w:rsid w:val="00192C5B"/>
    <w:rsid w:val="001930B3"/>
    <w:rsid w:val="00193169"/>
    <w:rsid w:val="0019335B"/>
    <w:rsid w:val="0019394C"/>
    <w:rsid w:val="00193CA3"/>
    <w:rsid w:val="00193D49"/>
    <w:rsid w:val="0019423A"/>
    <w:rsid w:val="00195648"/>
    <w:rsid w:val="001959DC"/>
    <w:rsid w:val="00195F44"/>
    <w:rsid w:val="00195F61"/>
    <w:rsid w:val="00196019"/>
    <w:rsid w:val="00196A3F"/>
    <w:rsid w:val="00196B94"/>
    <w:rsid w:val="00196C83"/>
    <w:rsid w:val="00196E92"/>
    <w:rsid w:val="001A0614"/>
    <w:rsid w:val="001A0896"/>
    <w:rsid w:val="001A168C"/>
    <w:rsid w:val="001A1F4F"/>
    <w:rsid w:val="001A315B"/>
    <w:rsid w:val="001A3856"/>
    <w:rsid w:val="001A3F6D"/>
    <w:rsid w:val="001A4029"/>
    <w:rsid w:val="001A4A30"/>
    <w:rsid w:val="001A4C94"/>
    <w:rsid w:val="001A5DA1"/>
    <w:rsid w:val="001A636F"/>
    <w:rsid w:val="001A6601"/>
    <w:rsid w:val="001A775C"/>
    <w:rsid w:val="001A7CBA"/>
    <w:rsid w:val="001B064E"/>
    <w:rsid w:val="001B0A5F"/>
    <w:rsid w:val="001B1736"/>
    <w:rsid w:val="001B18AC"/>
    <w:rsid w:val="001B1AE6"/>
    <w:rsid w:val="001B1CC4"/>
    <w:rsid w:val="001B2033"/>
    <w:rsid w:val="001B32D3"/>
    <w:rsid w:val="001B32E4"/>
    <w:rsid w:val="001B3383"/>
    <w:rsid w:val="001B3778"/>
    <w:rsid w:val="001B3C66"/>
    <w:rsid w:val="001B3DDF"/>
    <w:rsid w:val="001B3E30"/>
    <w:rsid w:val="001B4ED3"/>
    <w:rsid w:val="001B50CC"/>
    <w:rsid w:val="001B5234"/>
    <w:rsid w:val="001B5355"/>
    <w:rsid w:val="001B6049"/>
    <w:rsid w:val="001B60D4"/>
    <w:rsid w:val="001B6482"/>
    <w:rsid w:val="001B6B84"/>
    <w:rsid w:val="001B7014"/>
    <w:rsid w:val="001B7C32"/>
    <w:rsid w:val="001B7CBF"/>
    <w:rsid w:val="001C0FC6"/>
    <w:rsid w:val="001C148A"/>
    <w:rsid w:val="001C15DB"/>
    <w:rsid w:val="001C1814"/>
    <w:rsid w:val="001C1FAC"/>
    <w:rsid w:val="001C21B9"/>
    <w:rsid w:val="001C3D80"/>
    <w:rsid w:val="001C4361"/>
    <w:rsid w:val="001C51A3"/>
    <w:rsid w:val="001C5358"/>
    <w:rsid w:val="001C56D1"/>
    <w:rsid w:val="001C5E07"/>
    <w:rsid w:val="001C7792"/>
    <w:rsid w:val="001C7A8C"/>
    <w:rsid w:val="001D05FE"/>
    <w:rsid w:val="001D07C6"/>
    <w:rsid w:val="001D15D9"/>
    <w:rsid w:val="001D1747"/>
    <w:rsid w:val="001D2019"/>
    <w:rsid w:val="001D23EF"/>
    <w:rsid w:val="001D2B65"/>
    <w:rsid w:val="001D3185"/>
    <w:rsid w:val="001D3534"/>
    <w:rsid w:val="001D42DA"/>
    <w:rsid w:val="001D537F"/>
    <w:rsid w:val="001D547D"/>
    <w:rsid w:val="001D6E58"/>
    <w:rsid w:val="001D723E"/>
    <w:rsid w:val="001D7681"/>
    <w:rsid w:val="001D7E8C"/>
    <w:rsid w:val="001E0CA5"/>
    <w:rsid w:val="001E131D"/>
    <w:rsid w:val="001E1F74"/>
    <w:rsid w:val="001E1FA3"/>
    <w:rsid w:val="001E20BB"/>
    <w:rsid w:val="001E21AC"/>
    <w:rsid w:val="001E24A4"/>
    <w:rsid w:val="001E28CC"/>
    <w:rsid w:val="001E321D"/>
    <w:rsid w:val="001E38B1"/>
    <w:rsid w:val="001E40F5"/>
    <w:rsid w:val="001E478C"/>
    <w:rsid w:val="001E4865"/>
    <w:rsid w:val="001E4C00"/>
    <w:rsid w:val="001E4D12"/>
    <w:rsid w:val="001E4D56"/>
    <w:rsid w:val="001E60F0"/>
    <w:rsid w:val="001E6214"/>
    <w:rsid w:val="001E7179"/>
    <w:rsid w:val="001E71E6"/>
    <w:rsid w:val="001E72E0"/>
    <w:rsid w:val="001E7B04"/>
    <w:rsid w:val="001F0064"/>
    <w:rsid w:val="001F1396"/>
    <w:rsid w:val="001F16DF"/>
    <w:rsid w:val="001F1960"/>
    <w:rsid w:val="001F2EB1"/>
    <w:rsid w:val="001F3105"/>
    <w:rsid w:val="001F3DAE"/>
    <w:rsid w:val="001F40B0"/>
    <w:rsid w:val="001F4A98"/>
    <w:rsid w:val="001F4E02"/>
    <w:rsid w:val="001F6159"/>
    <w:rsid w:val="001F62FF"/>
    <w:rsid w:val="001F63FA"/>
    <w:rsid w:val="001F6680"/>
    <w:rsid w:val="001F6CE9"/>
    <w:rsid w:val="001F6FB6"/>
    <w:rsid w:val="001F740D"/>
    <w:rsid w:val="001F792F"/>
    <w:rsid w:val="001F7AC9"/>
    <w:rsid w:val="001F7B9E"/>
    <w:rsid w:val="001F7BE1"/>
    <w:rsid w:val="001F7C97"/>
    <w:rsid w:val="00200A84"/>
    <w:rsid w:val="00200DCF"/>
    <w:rsid w:val="00200E44"/>
    <w:rsid w:val="002014F7"/>
    <w:rsid w:val="00201A35"/>
    <w:rsid w:val="00201A96"/>
    <w:rsid w:val="00202576"/>
    <w:rsid w:val="00202B50"/>
    <w:rsid w:val="00202EF9"/>
    <w:rsid w:val="00203204"/>
    <w:rsid w:val="00203236"/>
    <w:rsid w:val="002036E8"/>
    <w:rsid w:val="00203B3F"/>
    <w:rsid w:val="002043F2"/>
    <w:rsid w:val="002048AD"/>
    <w:rsid w:val="002051F7"/>
    <w:rsid w:val="0020531C"/>
    <w:rsid w:val="002067D2"/>
    <w:rsid w:val="0020695B"/>
    <w:rsid w:val="0020708A"/>
    <w:rsid w:val="00207642"/>
    <w:rsid w:val="00207F6A"/>
    <w:rsid w:val="00210256"/>
    <w:rsid w:val="00210394"/>
    <w:rsid w:val="0021076E"/>
    <w:rsid w:val="00211882"/>
    <w:rsid w:val="00212B08"/>
    <w:rsid w:val="00212EE4"/>
    <w:rsid w:val="00212F20"/>
    <w:rsid w:val="00213289"/>
    <w:rsid w:val="0021364B"/>
    <w:rsid w:val="00213819"/>
    <w:rsid w:val="00213825"/>
    <w:rsid w:val="00214189"/>
    <w:rsid w:val="00214ADD"/>
    <w:rsid w:val="0021525B"/>
    <w:rsid w:val="00216B19"/>
    <w:rsid w:val="00216B94"/>
    <w:rsid w:val="00216CCC"/>
    <w:rsid w:val="00216E16"/>
    <w:rsid w:val="00217250"/>
    <w:rsid w:val="0021738B"/>
    <w:rsid w:val="002175E6"/>
    <w:rsid w:val="00217F25"/>
    <w:rsid w:val="00220082"/>
    <w:rsid w:val="002203BD"/>
    <w:rsid w:val="002205B9"/>
    <w:rsid w:val="00220630"/>
    <w:rsid w:val="00220776"/>
    <w:rsid w:val="002210C8"/>
    <w:rsid w:val="002221C3"/>
    <w:rsid w:val="002223BA"/>
    <w:rsid w:val="00222572"/>
    <w:rsid w:val="0022299A"/>
    <w:rsid w:val="00222B91"/>
    <w:rsid w:val="002230FD"/>
    <w:rsid w:val="002232B3"/>
    <w:rsid w:val="002242DB"/>
    <w:rsid w:val="00224756"/>
    <w:rsid w:val="00224878"/>
    <w:rsid w:val="00224B93"/>
    <w:rsid w:val="0022514D"/>
    <w:rsid w:val="002254D7"/>
    <w:rsid w:val="00225ADB"/>
    <w:rsid w:val="00225CEE"/>
    <w:rsid w:val="00226447"/>
    <w:rsid w:val="002266DB"/>
    <w:rsid w:val="00226894"/>
    <w:rsid w:val="002268B0"/>
    <w:rsid w:val="00226A4A"/>
    <w:rsid w:val="00227577"/>
    <w:rsid w:val="002277E9"/>
    <w:rsid w:val="002279E3"/>
    <w:rsid w:val="002303A6"/>
    <w:rsid w:val="00230894"/>
    <w:rsid w:val="002308E9"/>
    <w:rsid w:val="002309DD"/>
    <w:rsid w:val="00230C2C"/>
    <w:rsid w:val="00230CBE"/>
    <w:rsid w:val="00231B36"/>
    <w:rsid w:val="00231F9E"/>
    <w:rsid w:val="00232498"/>
    <w:rsid w:val="0023254E"/>
    <w:rsid w:val="00232733"/>
    <w:rsid w:val="00232785"/>
    <w:rsid w:val="00232918"/>
    <w:rsid w:val="0023350C"/>
    <w:rsid w:val="002337A4"/>
    <w:rsid w:val="00233E70"/>
    <w:rsid w:val="00234281"/>
    <w:rsid w:val="00234C67"/>
    <w:rsid w:val="00234FD3"/>
    <w:rsid w:val="00235E3F"/>
    <w:rsid w:val="00236A66"/>
    <w:rsid w:val="00236B90"/>
    <w:rsid w:val="002371BF"/>
    <w:rsid w:val="00237427"/>
    <w:rsid w:val="002376E3"/>
    <w:rsid w:val="00237820"/>
    <w:rsid w:val="00237A87"/>
    <w:rsid w:val="002403A1"/>
    <w:rsid w:val="002404C3"/>
    <w:rsid w:val="002406A2"/>
    <w:rsid w:val="00240F64"/>
    <w:rsid w:val="00241129"/>
    <w:rsid w:val="00241840"/>
    <w:rsid w:val="00241C36"/>
    <w:rsid w:val="00241F48"/>
    <w:rsid w:val="002427EB"/>
    <w:rsid w:val="002427F0"/>
    <w:rsid w:val="002428BD"/>
    <w:rsid w:val="002429C1"/>
    <w:rsid w:val="00242A17"/>
    <w:rsid w:val="00242E09"/>
    <w:rsid w:val="00242EEF"/>
    <w:rsid w:val="00243026"/>
    <w:rsid w:val="002432B7"/>
    <w:rsid w:val="0024349B"/>
    <w:rsid w:val="0024365F"/>
    <w:rsid w:val="00243BB5"/>
    <w:rsid w:val="0024400C"/>
    <w:rsid w:val="002440B2"/>
    <w:rsid w:val="002458CE"/>
    <w:rsid w:val="00246513"/>
    <w:rsid w:val="00246B1D"/>
    <w:rsid w:val="00247BDE"/>
    <w:rsid w:val="00247CEA"/>
    <w:rsid w:val="00250B11"/>
    <w:rsid w:val="00251EB3"/>
    <w:rsid w:val="00252472"/>
    <w:rsid w:val="002525A9"/>
    <w:rsid w:val="0025329B"/>
    <w:rsid w:val="002538BA"/>
    <w:rsid w:val="00253ABF"/>
    <w:rsid w:val="00253EC4"/>
    <w:rsid w:val="0025418A"/>
    <w:rsid w:val="00254240"/>
    <w:rsid w:val="00254266"/>
    <w:rsid w:val="00255A5B"/>
    <w:rsid w:val="00255BC2"/>
    <w:rsid w:val="002561BF"/>
    <w:rsid w:val="00256539"/>
    <w:rsid w:val="00256DEA"/>
    <w:rsid w:val="002572EB"/>
    <w:rsid w:val="00257C49"/>
    <w:rsid w:val="00257C4C"/>
    <w:rsid w:val="0026072F"/>
    <w:rsid w:val="00260952"/>
    <w:rsid w:val="00260A98"/>
    <w:rsid w:val="00261192"/>
    <w:rsid w:val="00261A11"/>
    <w:rsid w:val="00261CB5"/>
    <w:rsid w:val="0026202B"/>
    <w:rsid w:val="002625F2"/>
    <w:rsid w:val="00262869"/>
    <w:rsid w:val="00263268"/>
    <w:rsid w:val="00263413"/>
    <w:rsid w:val="002635F3"/>
    <w:rsid w:val="0026431A"/>
    <w:rsid w:val="002644A4"/>
    <w:rsid w:val="0026495A"/>
    <w:rsid w:val="00265066"/>
    <w:rsid w:val="00265C93"/>
    <w:rsid w:val="00266300"/>
    <w:rsid w:val="0026640E"/>
    <w:rsid w:val="002664CA"/>
    <w:rsid w:val="00267883"/>
    <w:rsid w:val="00271150"/>
    <w:rsid w:val="00271B87"/>
    <w:rsid w:val="00271C7B"/>
    <w:rsid w:val="00271D11"/>
    <w:rsid w:val="0027296D"/>
    <w:rsid w:val="00272D84"/>
    <w:rsid w:val="002735DD"/>
    <w:rsid w:val="00273892"/>
    <w:rsid w:val="002747CC"/>
    <w:rsid w:val="00274830"/>
    <w:rsid w:val="0027494B"/>
    <w:rsid w:val="00274DF9"/>
    <w:rsid w:val="00275170"/>
    <w:rsid w:val="00275D77"/>
    <w:rsid w:val="002778F2"/>
    <w:rsid w:val="00277F52"/>
    <w:rsid w:val="002809A3"/>
    <w:rsid w:val="00280F6B"/>
    <w:rsid w:val="00281979"/>
    <w:rsid w:val="00281E85"/>
    <w:rsid w:val="002837F8"/>
    <w:rsid w:val="00283978"/>
    <w:rsid w:val="00283ACF"/>
    <w:rsid w:val="00283C0D"/>
    <w:rsid w:val="00283C99"/>
    <w:rsid w:val="0028473D"/>
    <w:rsid w:val="00284850"/>
    <w:rsid w:val="00284D22"/>
    <w:rsid w:val="00285326"/>
    <w:rsid w:val="00285DE8"/>
    <w:rsid w:val="002866E2"/>
    <w:rsid w:val="00290891"/>
    <w:rsid w:val="0029132B"/>
    <w:rsid w:val="00291DA9"/>
    <w:rsid w:val="00292773"/>
    <w:rsid w:val="002927AC"/>
    <w:rsid w:val="00292A11"/>
    <w:rsid w:val="0029469F"/>
    <w:rsid w:val="00294A5F"/>
    <w:rsid w:val="0029506F"/>
    <w:rsid w:val="00295405"/>
    <w:rsid w:val="002954FB"/>
    <w:rsid w:val="0029618D"/>
    <w:rsid w:val="002964D9"/>
    <w:rsid w:val="002965BA"/>
    <w:rsid w:val="00296814"/>
    <w:rsid w:val="0029716C"/>
    <w:rsid w:val="0029798E"/>
    <w:rsid w:val="002A0DD4"/>
    <w:rsid w:val="002A2537"/>
    <w:rsid w:val="002A2AB8"/>
    <w:rsid w:val="002A2B8E"/>
    <w:rsid w:val="002A4B29"/>
    <w:rsid w:val="002A5126"/>
    <w:rsid w:val="002A5948"/>
    <w:rsid w:val="002A64F2"/>
    <w:rsid w:val="002A6590"/>
    <w:rsid w:val="002A7478"/>
    <w:rsid w:val="002A74AA"/>
    <w:rsid w:val="002A7B26"/>
    <w:rsid w:val="002B01AD"/>
    <w:rsid w:val="002B047F"/>
    <w:rsid w:val="002B11A6"/>
    <w:rsid w:val="002B1ACA"/>
    <w:rsid w:val="002B1C6E"/>
    <w:rsid w:val="002B2D78"/>
    <w:rsid w:val="002B32C9"/>
    <w:rsid w:val="002B3736"/>
    <w:rsid w:val="002B4054"/>
    <w:rsid w:val="002B4621"/>
    <w:rsid w:val="002B46FF"/>
    <w:rsid w:val="002B48A7"/>
    <w:rsid w:val="002B497D"/>
    <w:rsid w:val="002B4D0E"/>
    <w:rsid w:val="002B4F7B"/>
    <w:rsid w:val="002B542A"/>
    <w:rsid w:val="002B5495"/>
    <w:rsid w:val="002B54C5"/>
    <w:rsid w:val="002B55E5"/>
    <w:rsid w:val="002B653E"/>
    <w:rsid w:val="002B6703"/>
    <w:rsid w:val="002B6BCB"/>
    <w:rsid w:val="002B6D69"/>
    <w:rsid w:val="002B6F67"/>
    <w:rsid w:val="002B7411"/>
    <w:rsid w:val="002B7D02"/>
    <w:rsid w:val="002B7F1B"/>
    <w:rsid w:val="002C0083"/>
    <w:rsid w:val="002C00C0"/>
    <w:rsid w:val="002C032E"/>
    <w:rsid w:val="002C081A"/>
    <w:rsid w:val="002C108A"/>
    <w:rsid w:val="002C1553"/>
    <w:rsid w:val="002C1875"/>
    <w:rsid w:val="002C1F27"/>
    <w:rsid w:val="002C29BA"/>
    <w:rsid w:val="002C2CCD"/>
    <w:rsid w:val="002C2E7C"/>
    <w:rsid w:val="002C2E96"/>
    <w:rsid w:val="002C2F7F"/>
    <w:rsid w:val="002C2FB4"/>
    <w:rsid w:val="002C2FD3"/>
    <w:rsid w:val="002C3683"/>
    <w:rsid w:val="002C3B38"/>
    <w:rsid w:val="002C5319"/>
    <w:rsid w:val="002C6DC2"/>
    <w:rsid w:val="002C6DDA"/>
    <w:rsid w:val="002C713E"/>
    <w:rsid w:val="002C7335"/>
    <w:rsid w:val="002C79CC"/>
    <w:rsid w:val="002D053D"/>
    <w:rsid w:val="002D0B99"/>
    <w:rsid w:val="002D0D30"/>
    <w:rsid w:val="002D134A"/>
    <w:rsid w:val="002D1936"/>
    <w:rsid w:val="002D1CE8"/>
    <w:rsid w:val="002D2FB2"/>
    <w:rsid w:val="002D3782"/>
    <w:rsid w:val="002D3A97"/>
    <w:rsid w:val="002D48E6"/>
    <w:rsid w:val="002D499B"/>
    <w:rsid w:val="002D5010"/>
    <w:rsid w:val="002D5B16"/>
    <w:rsid w:val="002D5BA1"/>
    <w:rsid w:val="002D613A"/>
    <w:rsid w:val="002D62D2"/>
    <w:rsid w:val="002D769A"/>
    <w:rsid w:val="002D7789"/>
    <w:rsid w:val="002D77B7"/>
    <w:rsid w:val="002D7CC4"/>
    <w:rsid w:val="002D7DBC"/>
    <w:rsid w:val="002E02AA"/>
    <w:rsid w:val="002E0C21"/>
    <w:rsid w:val="002E0E96"/>
    <w:rsid w:val="002E1616"/>
    <w:rsid w:val="002E192A"/>
    <w:rsid w:val="002E2471"/>
    <w:rsid w:val="002E2B84"/>
    <w:rsid w:val="002E300A"/>
    <w:rsid w:val="002E3092"/>
    <w:rsid w:val="002E3543"/>
    <w:rsid w:val="002E3B82"/>
    <w:rsid w:val="002E3C95"/>
    <w:rsid w:val="002E40D7"/>
    <w:rsid w:val="002E474C"/>
    <w:rsid w:val="002E4BB3"/>
    <w:rsid w:val="002E5F0D"/>
    <w:rsid w:val="002E6D33"/>
    <w:rsid w:val="002E6EE7"/>
    <w:rsid w:val="002F0C6B"/>
    <w:rsid w:val="002F1CD0"/>
    <w:rsid w:val="002F1D5C"/>
    <w:rsid w:val="002F207F"/>
    <w:rsid w:val="002F24AF"/>
    <w:rsid w:val="002F32ED"/>
    <w:rsid w:val="002F3799"/>
    <w:rsid w:val="002F3869"/>
    <w:rsid w:val="002F43B6"/>
    <w:rsid w:val="002F49F9"/>
    <w:rsid w:val="002F515D"/>
    <w:rsid w:val="002F6673"/>
    <w:rsid w:val="002F66DB"/>
    <w:rsid w:val="002F6B16"/>
    <w:rsid w:val="002F6D83"/>
    <w:rsid w:val="002F7EB8"/>
    <w:rsid w:val="003000D8"/>
    <w:rsid w:val="00300191"/>
    <w:rsid w:val="0030086D"/>
    <w:rsid w:val="00300D86"/>
    <w:rsid w:val="003017E1"/>
    <w:rsid w:val="00301921"/>
    <w:rsid w:val="00301ABE"/>
    <w:rsid w:val="00302676"/>
    <w:rsid w:val="00302F6A"/>
    <w:rsid w:val="003040C0"/>
    <w:rsid w:val="00304B0A"/>
    <w:rsid w:val="00305CC7"/>
    <w:rsid w:val="00305EB6"/>
    <w:rsid w:val="00305F62"/>
    <w:rsid w:val="0030652B"/>
    <w:rsid w:val="0030688B"/>
    <w:rsid w:val="003070FF"/>
    <w:rsid w:val="003074FD"/>
    <w:rsid w:val="00307A2D"/>
    <w:rsid w:val="00307E65"/>
    <w:rsid w:val="00310204"/>
    <w:rsid w:val="00310272"/>
    <w:rsid w:val="00310D86"/>
    <w:rsid w:val="00310F34"/>
    <w:rsid w:val="00311088"/>
    <w:rsid w:val="00311327"/>
    <w:rsid w:val="003115FC"/>
    <w:rsid w:val="00311E95"/>
    <w:rsid w:val="00312462"/>
    <w:rsid w:val="00312AF6"/>
    <w:rsid w:val="00312CB7"/>
    <w:rsid w:val="00312E68"/>
    <w:rsid w:val="0031351A"/>
    <w:rsid w:val="003140C5"/>
    <w:rsid w:val="0031499C"/>
    <w:rsid w:val="003161E5"/>
    <w:rsid w:val="00316413"/>
    <w:rsid w:val="00316C18"/>
    <w:rsid w:val="00317071"/>
    <w:rsid w:val="003170F2"/>
    <w:rsid w:val="003204DA"/>
    <w:rsid w:val="00320582"/>
    <w:rsid w:val="00321282"/>
    <w:rsid w:val="0032130E"/>
    <w:rsid w:val="0032187E"/>
    <w:rsid w:val="003218EA"/>
    <w:rsid w:val="00321F93"/>
    <w:rsid w:val="0032278A"/>
    <w:rsid w:val="0032279E"/>
    <w:rsid w:val="00322912"/>
    <w:rsid w:val="00322A25"/>
    <w:rsid w:val="00322EDB"/>
    <w:rsid w:val="0032318E"/>
    <w:rsid w:val="00324A14"/>
    <w:rsid w:val="00325668"/>
    <w:rsid w:val="00325798"/>
    <w:rsid w:val="003262AB"/>
    <w:rsid w:val="0032659C"/>
    <w:rsid w:val="00327292"/>
    <w:rsid w:val="003272FD"/>
    <w:rsid w:val="0032744E"/>
    <w:rsid w:val="00327480"/>
    <w:rsid w:val="00330290"/>
    <w:rsid w:val="00330A37"/>
    <w:rsid w:val="00330B81"/>
    <w:rsid w:val="00330BA9"/>
    <w:rsid w:val="003314E8"/>
    <w:rsid w:val="00331E93"/>
    <w:rsid w:val="00333A15"/>
    <w:rsid w:val="00333A6D"/>
    <w:rsid w:val="00333F1D"/>
    <w:rsid w:val="00335776"/>
    <w:rsid w:val="00335E73"/>
    <w:rsid w:val="00336075"/>
    <w:rsid w:val="0033621C"/>
    <w:rsid w:val="00336705"/>
    <w:rsid w:val="00336C5F"/>
    <w:rsid w:val="00336E5A"/>
    <w:rsid w:val="00336ED2"/>
    <w:rsid w:val="003374B9"/>
    <w:rsid w:val="003375AB"/>
    <w:rsid w:val="003378B1"/>
    <w:rsid w:val="00337CE8"/>
    <w:rsid w:val="003404C5"/>
    <w:rsid w:val="003408E2"/>
    <w:rsid w:val="003415A2"/>
    <w:rsid w:val="00342528"/>
    <w:rsid w:val="0034312D"/>
    <w:rsid w:val="0034330F"/>
    <w:rsid w:val="003434B6"/>
    <w:rsid w:val="00343669"/>
    <w:rsid w:val="00343C67"/>
    <w:rsid w:val="0034413A"/>
    <w:rsid w:val="00344BA3"/>
    <w:rsid w:val="00344BDC"/>
    <w:rsid w:val="00344D5E"/>
    <w:rsid w:val="00345475"/>
    <w:rsid w:val="00345EEC"/>
    <w:rsid w:val="0034641D"/>
    <w:rsid w:val="00346AE5"/>
    <w:rsid w:val="00346C56"/>
    <w:rsid w:val="00347782"/>
    <w:rsid w:val="00347D51"/>
    <w:rsid w:val="00347E11"/>
    <w:rsid w:val="00350195"/>
    <w:rsid w:val="003501EB"/>
    <w:rsid w:val="00350268"/>
    <w:rsid w:val="00350594"/>
    <w:rsid w:val="003518DC"/>
    <w:rsid w:val="0035214B"/>
    <w:rsid w:val="00352542"/>
    <w:rsid w:val="0035298B"/>
    <w:rsid w:val="0035326A"/>
    <w:rsid w:val="0035327A"/>
    <w:rsid w:val="003533C8"/>
    <w:rsid w:val="003534CB"/>
    <w:rsid w:val="00353FC5"/>
    <w:rsid w:val="00354407"/>
    <w:rsid w:val="00354730"/>
    <w:rsid w:val="00354B00"/>
    <w:rsid w:val="0035557E"/>
    <w:rsid w:val="003555CF"/>
    <w:rsid w:val="00355B59"/>
    <w:rsid w:val="0035620E"/>
    <w:rsid w:val="00356219"/>
    <w:rsid w:val="003564B6"/>
    <w:rsid w:val="0035669E"/>
    <w:rsid w:val="00356AAB"/>
    <w:rsid w:val="0035738B"/>
    <w:rsid w:val="003574FA"/>
    <w:rsid w:val="00357563"/>
    <w:rsid w:val="00357C05"/>
    <w:rsid w:val="00357DE5"/>
    <w:rsid w:val="003601F2"/>
    <w:rsid w:val="0036071E"/>
    <w:rsid w:val="00360E0E"/>
    <w:rsid w:val="00361429"/>
    <w:rsid w:val="003618B0"/>
    <w:rsid w:val="00362E06"/>
    <w:rsid w:val="00363B12"/>
    <w:rsid w:val="0036423C"/>
    <w:rsid w:val="003648BB"/>
    <w:rsid w:val="00364D59"/>
    <w:rsid w:val="003654BE"/>
    <w:rsid w:val="003654DD"/>
    <w:rsid w:val="00365D2E"/>
    <w:rsid w:val="00365DBB"/>
    <w:rsid w:val="00365ECB"/>
    <w:rsid w:val="00366F81"/>
    <w:rsid w:val="003673E6"/>
    <w:rsid w:val="003675F0"/>
    <w:rsid w:val="00367A90"/>
    <w:rsid w:val="00367EE6"/>
    <w:rsid w:val="00370104"/>
    <w:rsid w:val="003701AB"/>
    <w:rsid w:val="003703EC"/>
    <w:rsid w:val="00370963"/>
    <w:rsid w:val="00371009"/>
    <w:rsid w:val="00371BC4"/>
    <w:rsid w:val="00371D64"/>
    <w:rsid w:val="003722E8"/>
    <w:rsid w:val="00372733"/>
    <w:rsid w:val="0037280D"/>
    <w:rsid w:val="003728E1"/>
    <w:rsid w:val="00372C4C"/>
    <w:rsid w:val="00373B9D"/>
    <w:rsid w:val="00374100"/>
    <w:rsid w:val="003745D0"/>
    <w:rsid w:val="00375B8A"/>
    <w:rsid w:val="00375BB2"/>
    <w:rsid w:val="00375C42"/>
    <w:rsid w:val="00375E04"/>
    <w:rsid w:val="00375E62"/>
    <w:rsid w:val="0037642E"/>
    <w:rsid w:val="00377D45"/>
    <w:rsid w:val="003801DC"/>
    <w:rsid w:val="00380E15"/>
    <w:rsid w:val="00380F51"/>
    <w:rsid w:val="00381070"/>
    <w:rsid w:val="00381993"/>
    <w:rsid w:val="00381B3A"/>
    <w:rsid w:val="00381F75"/>
    <w:rsid w:val="0038248C"/>
    <w:rsid w:val="00383E24"/>
    <w:rsid w:val="00384000"/>
    <w:rsid w:val="003847DB"/>
    <w:rsid w:val="00384837"/>
    <w:rsid w:val="00384F69"/>
    <w:rsid w:val="00385085"/>
    <w:rsid w:val="003856C6"/>
    <w:rsid w:val="00385E50"/>
    <w:rsid w:val="003860CA"/>
    <w:rsid w:val="0038685F"/>
    <w:rsid w:val="00386B07"/>
    <w:rsid w:val="00386B43"/>
    <w:rsid w:val="00386C77"/>
    <w:rsid w:val="00386CBA"/>
    <w:rsid w:val="00386FC4"/>
    <w:rsid w:val="003879A5"/>
    <w:rsid w:val="00387E69"/>
    <w:rsid w:val="003906C0"/>
    <w:rsid w:val="003911F2"/>
    <w:rsid w:val="00391268"/>
    <w:rsid w:val="003915D4"/>
    <w:rsid w:val="00391901"/>
    <w:rsid w:val="00391AC1"/>
    <w:rsid w:val="00391B2B"/>
    <w:rsid w:val="003923E6"/>
    <w:rsid w:val="00393FE9"/>
    <w:rsid w:val="0039476B"/>
    <w:rsid w:val="00394993"/>
    <w:rsid w:val="00395BEC"/>
    <w:rsid w:val="00396113"/>
    <w:rsid w:val="00396F26"/>
    <w:rsid w:val="003973FD"/>
    <w:rsid w:val="00397413"/>
    <w:rsid w:val="00397491"/>
    <w:rsid w:val="0039760C"/>
    <w:rsid w:val="003976E4"/>
    <w:rsid w:val="00397B53"/>
    <w:rsid w:val="00397E21"/>
    <w:rsid w:val="00397FDC"/>
    <w:rsid w:val="003A04AE"/>
    <w:rsid w:val="003A0667"/>
    <w:rsid w:val="003A19D6"/>
    <w:rsid w:val="003A22DF"/>
    <w:rsid w:val="003A2372"/>
    <w:rsid w:val="003A2C9B"/>
    <w:rsid w:val="003A2D4E"/>
    <w:rsid w:val="003A3999"/>
    <w:rsid w:val="003A4462"/>
    <w:rsid w:val="003A4663"/>
    <w:rsid w:val="003A4BFF"/>
    <w:rsid w:val="003A4F4E"/>
    <w:rsid w:val="003A5D90"/>
    <w:rsid w:val="003A62DA"/>
    <w:rsid w:val="003A72DF"/>
    <w:rsid w:val="003A759F"/>
    <w:rsid w:val="003A7B14"/>
    <w:rsid w:val="003A7B7B"/>
    <w:rsid w:val="003A7D2A"/>
    <w:rsid w:val="003A7D38"/>
    <w:rsid w:val="003B08CD"/>
    <w:rsid w:val="003B14FD"/>
    <w:rsid w:val="003B2427"/>
    <w:rsid w:val="003B2835"/>
    <w:rsid w:val="003B2D7D"/>
    <w:rsid w:val="003B2F1D"/>
    <w:rsid w:val="003B3AC6"/>
    <w:rsid w:val="003B3C63"/>
    <w:rsid w:val="003B3E12"/>
    <w:rsid w:val="003B3FEB"/>
    <w:rsid w:val="003B4696"/>
    <w:rsid w:val="003B46D9"/>
    <w:rsid w:val="003B4E65"/>
    <w:rsid w:val="003B4EB6"/>
    <w:rsid w:val="003B5400"/>
    <w:rsid w:val="003B6031"/>
    <w:rsid w:val="003B6599"/>
    <w:rsid w:val="003B6E81"/>
    <w:rsid w:val="003B7A2A"/>
    <w:rsid w:val="003B7E05"/>
    <w:rsid w:val="003C052A"/>
    <w:rsid w:val="003C131E"/>
    <w:rsid w:val="003C19A5"/>
    <w:rsid w:val="003C1C85"/>
    <w:rsid w:val="003C1F69"/>
    <w:rsid w:val="003C2434"/>
    <w:rsid w:val="003C3037"/>
    <w:rsid w:val="003C323F"/>
    <w:rsid w:val="003C324C"/>
    <w:rsid w:val="003C3A2A"/>
    <w:rsid w:val="003C3E7F"/>
    <w:rsid w:val="003C3FF9"/>
    <w:rsid w:val="003C4482"/>
    <w:rsid w:val="003C5260"/>
    <w:rsid w:val="003C574F"/>
    <w:rsid w:val="003C612F"/>
    <w:rsid w:val="003C6468"/>
    <w:rsid w:val="003C7B0C"/>
    <w:rsid w:val="003D0AF6"/>
    <w:rsid w:val="003D0BFD"/>
    <w:rsid w:val="003D0DB4"/>
    <w:rsid w:val="003D11D9"/>
    <w:rsid w:val="003D1E5A"/>
    <w:rsid w:val="003D27A0"/>
    <w:rsid w:val="003D3990"/>
    <w:rsid w:val="003D42B5"/>
    <w:rsid w:val="003D42CB"/>
    <w:rsid w:val="003D43E2"/>
    <w:rsid w:val="003D461B"/>
    <w:rsid w:val="003D4B62"/>
    <w:rsid w:val="003D4E9A"/>
    <w:rsid w:val="003D51F4"/>
    <w:rsid w:val="003D52CB"/>
    <w:rsid w:val="003D5811"/>
    <w:rsid w:val="003D58C5"/>
    <w:rsid w:val="003D5FB3"/>
    <w:rsid w:val="003D6638"/>
    <w:rsid w:val="003D7667"/>
    <w:rsid w:val="003D7786"/>
    <w:rsid w:val="003D7FC4"/>
    <w:rsid w:val="003E0354"/>
    <w:rsid w:val="003E08DC"/>
    <w:rsid w:val="003E17CF"/>
    <w:rsid w:val="003E184A"/>
    <w:rsid w:val="003E1887"/>
    <w:rsid w:val="003E18C9"/>
    <w:rsid w:val="003E19E2"/>
    <w:rsid w:val="003E2538"/>
    <w:rsid w:val="003E278F"/>
    <w:rsid w:val="003E2E55"/>
    <w:rsid w:val="003E383A"/>
    <w:rsid w:val="003E3AF6"/>
    <w:rsid w:val="003E3C62"/>
    <w:rsid w:val="003E40AA"/>
    <w:rsid w:val="003E4296"/>
    <w:rsid w:val="003E43C8"/>
    <w:rsid w:val="003E4B5F"/>
    <w:rsid w:val="003E528F"/>
    <w:rsid w:val="003E530F"/>
    <w:rsid w:val="003E5A33"/>
    <w:rsid w:val="003E5D0E"/>
    <w:rsid w:val="003E65FD"/>
    <w:rsid w:val="003E69CF"/>
    <w:rsid w:val="003E6DA0"/>
    <w:rsid w:val="003E72DA"/>
    <w:rsid w:val="003E73CD"/>
    <w:rsid w:val="003F031C"/>
    <w:rsid w:val="003F05D0"/>
    <w:rsid w:val="003F0D94"/>
    <w:rsid w:val="003F101F"/>
    <w:rsid w:val="003F1622"/>
    <w:rsid w:val="003F1AA3"/>
    <w:rsid w:val="003F2005"/>
    <w:rsid w:val="003F207C"/>
    <w:rsid w:val="003F25B7"/>
    <w:rsid w:val="003F25EF"/>
    <w:rsid w:val="003F289B"/>
    <w:rsid w:val="003F3277"/>
    <w:rsid w:val="003F3928"/>
    <w:rsid w:val="003F3FC1"/>
    <w:rsid w:val="003F48C4"/>
    <w:rsid w:val="003F4C79"/>
    <w:rsid w:val="003F4E06"/>
    <w:rsid w:val="003F4EA8"/>
    <w:rsid w:val="003F525C"/>
    <w:rsid w:val="003F5E3F"/>
    <w:rsid w:val="003F5F6E"/>
    <w:rsid w:val="003F67CB"/>
    <w:rsid w:val="003F70AA"/>
    <w:rsid w:val="003F71FE"/>
    <w:rsid w:val="003F759C"/>
    <w:rsid w:val="00400A20"/>
    <w:rsid w:val="00400AEC"/>
    <w:rsid w:val="00401241"/>
    <w:rsid w:val="00401CD0"/>
    <w:rsid w:val="004024AD"/>
    <w:rsid w:val="00402608"/>
    <w:rsid w:val="00402764"/>
    <w:rsid w:val="004029C9"/>
    <w:rsid w:val="00402B48"/>
    <w:rsid w:val="00403542"/>
    <w:rsid w:val="00403A15"/>
    <w:rsid w:val="00403A3E"/>
    <w:rsid w:val="00403DBE"/>
    <w:rsid w:val="00405461"/>
    <w:rsid w:val="00405477"/>
    <w:rsid w:val="0040566B"/>
    <w:rsid w:val="00405B56"/>
    <w:rsid w:val="004067F1"/>
    <w:rsid w:val="00406C91"/>
    <w:rsid w:val="00407403"/>
    <w:rsid w:val="00410441"/>
    <w:rsid w:val="0041078F"/>
    <w:rsid w:val="004108AD"/>
    <w:rsid w:val="004109ED"/>
    <w:rsid w:val="00410B78"/>
    <w:rsid w:val="00410FE6"/>
    <w:rsid w:val="0041102C"/>
    <w:rsid w:val="00411154"/>
    <w:rsid w:val="0041161B"/>
    <w:rsid w:val="004121CD"/>
    <w:rsid w:val="00412BDE"/>
    <w:rsid w:val="0041351D"/>
    <w:rsid w:val="00413FDE"/>
    <w:rsid w:val="004146E5"/>
    <w:rsid w:val="00414DE0"/>
    <w:rsid w:val="004150AC"/>
    <w:rsid w:val="004150FE"/>
    <w:rsid w:val="004158A0"/>
    <w:rsid w:val="00415CAD"/>
    <w:rsid w:val="00415D69"/>
    <w:rsid w:val="00415FAD"/>
    <w:rsid w:val="0041619C"/>
    <w:rsid w:val="00416523"/>
    <w:rsid w:val="0041747C"/>
    <w:rsid w:val="00417701"/>
    <w:rsid w:val="00417C68"/>
    <w:rsid w:val="00417D7A"/>
    <w:rsid w:val="004203AA"/>
    <w:rsid w:val="00420BA6"/>
    <w:rsid w:val="00420C84"/>
    <w:rsid w:val="00420E35"/>
    <w:rsid w:val="00420EED"/>
    <w:rsid w:val="0042121D"/>
    <w:rsid w:val="0042181C"/>
    <w:rsid w:val="00421F4C"/>
    <w:rsid w:val="00422508"/>
    <w:rsid w:val="0042267A"/>
    <w:rsid w:val="00422AB1"/>
    <w:rsid w:val="00422C59"/>
    <w:rsid w:val="00422CFC"/>
    <w:rsid w:val="00423915"/>
    <w:rsid w:val="0042412E"/>
    <w:rsid w:val="0042472D"/>
    <w:rsid w:val="004247B9"/>
    <w:rsid w:val="0042505E"/>
    <w:rsid w:val="004256CA"/>
    <w:rsid w:val="004257A7"/>
    <w:rsid w:val="00425EF9"/>
    <w:rsid w:val="0042642F"/>
    <w:rsid w:val="00427D16"/>
    <w:rsid w:val="00427DB2"/>
    <w:rsid w:val="004305C5"/>
    <w:rsid w:val="00430984"/>
    <w:rsid w:val="004318F9"/>
    <w:rsid w:val="0043244C"/>
    <w:rsid w:val="00432621"/>
    <w:rsid w:val="004326EF"/>
    <w:rsid w:val="004328FB"/>
    <w:rsid w:val="00432B9E"/>
    <w:rsid w:val="00432EAC"/>
    <w:rsid w:val="00433584"/>
    <w:rsid w:val="004342CB"/>
    <w:rsid w:val="00434374"/>
    <w:rsid w:val="00434954"/>
    <w:rsid w:val="00435197"/>
    <w:rsid w:val="004363D1"/>
    <w:rsid w:val="00436711"/>
    <w:rsid w:val="0043678E"/>
    <w:rsid w:val="00436CF3"/>
    <w:rsid w:val="0043731F"/>
    <w:rsid w:val="00437B57"/>
    <w:rsid w:val="0044054A"/>
    <w:rsid w:val="00440CD7"/>
    <w:rsid w:val="00440D7A"/>
    <w:rsid w:val="004410BC"/>
    <w:rsid w:val="00441164"/>
    <w:rsid w:val="0044130A"/>
    <w:rsid w:val="004414D3"/>
    <w:rsid w:val="00441A6C"/>
    <w:rsid w:val="00441F3E"/>
    <w:rsid w:val="004420F9"/>
    <w:rsid w:val="00443064"/>
    <w:rsid w:val="004435D7"/>
    <w:rsid w:val="00444188"/>
    <w:rsid w:val="00444473"/>
    <w:rsid w:val="004444D3"/>
    <w:rsid w:val="0044482D"/>
    <w:rsid w:val="00444927"/>
    <w:rsid w:val="00444FEA"/>
    <w:rsid w:val="004458AB"/>
    <w:rsid w:val="00445C9F"/>
    <w:rsid w:val="0044668C"/>
    <w:rsid w:val="00446D64"/>
    <w:rsid w:val="004479C3"/>
    <w:rsid w:val="004503A1"/>
    <w:rsid w:val="00450674"/>
    <w:rsid w:val="00450BE0"/>
    <w:rsid w:val="00450D8E"/>
    <w:rsid w:val="00451691"/>
    <w:rsid w:val="0045201A"/>
    <w:rsid w:val="004526C7"/>
    <w:rsid w:val="00452BE5"/>
    <w:rsid w:val="00453DB3"/>
    <w:rsid w:val="00454B8F"/>
    <w:rsid w:val="00454C20"/>
    <w:rsid w:val="004558FA"/>
    <w:rsid w:val="00455AB8"/>
    <w:rsid w:val="00455CAE"/>
    <w:rsid w:val="00455E9B"/>
    <w:rsid w:val="00456D15"/>
    <w:rsid w:val="004578E3"/>
    <w:rsid w:val="00460244"/>
    <w:rsid w:val="004602D4"/>
    <w:rsid w:val="00460529"/>
    <w:rsid w:val="00460847"/>
    <w:rsid w:val="00460A4B"/>
    <w:rsid w:val="00461074"/>
    <w:rsid w:val="00461252"/>
    <w:rsid w:val="0046159B"/>
    <w:rsid w:val="00461A84"/>
    <w:rsid w:val="00462286"/>
    <w:rsid w:val="00462F25"/>
    <w:rsid w:val="004631A1"/>
    <w:rsid w:val="0046330C"/>
    <w:rsid w:val="00463717"/>
    <w:rsid w:val="00463754"/>
    <w:rsid w:val="004637CD"/>
    <w:rsid w:val="004642AE"/>
    <w:rsid w:val="004644E5"/>
    <w:rsid w:val="004653AD"/>
    <w:rsid w:val="00465498"/>
    <w:rsid w:val="00465A3C"/>
    <w:rsid w:val="00465F55"/>
    <w:rsid w:val="0046615C"/>
    <w:rsid w:val="00466414"/>
    <w:rsid w:val="0046650F"/>
    <w:rsid w:val="00466742"/>
    <w:rsid w:val="00466AE4"/>
    <w:rsid w:val="0046713B"/>
    <w:rsid w:val="004673C5"/>
    <w:rsid w:val="0046756D"/>
    <w:rsid w:val="00467B68"/>
    <w:rsid w:val="00470EB0"/>
    <w:rsid w:val="00470ED5"/>
    <w:rsid w:val="00471361"/>
    <w:rsid w:val="00471B51"/>
    <w:rsid w:val="00471F60"/>
    <w:rsid w:val="00472834"/>
    <w:rsid w:val="00472ADA"/>
    <w:rsid w:val="00472AF9"/>
    <w:rsid w:val="00472E55"/>
    <w:rsid w:val="00472E87"/>
    <w:rsid w:val="004740ED"/>
    <w:rsid w:val="00474322"/>
    <w:rsid w:val="00474620"/>
    <w:rsid w:val="004750C4"/>
    <w:rsid w:val="0047548C"/>
    <w:rsid w:val="00476446"/>
    <w:rsid w:val="00477320"/>
    <w:rsid w:val="004779AB"/>
    <w:rsid w:val="004779CC"/>
    <w:rsid w:val="00477FA2"/>
    <w:rsid w:val="004801BA"/>
    <w:rsid w:val="0048028B"/>
    <w:rsid w:val="00481C87"/>
    <w:rsid w:val="004824B9"/>
    <w:rsid w:val="004828B4"/>
    <w:rsid w:val="00482E73"/>
    <w:rsid w:val="00482F94"/>
    <w:rsid w:val="00483AF5"/>
    <w:rsid w:val="00483FBD"/>
    <w:rsid w:val="004840B7"/>
    <w:rsid w:val="00484204"/>
    <w:rsid w:val="00484850"/>
    <w:rsid w:val="00485352"/>
    <w:rsid w:val="00485E18"/>
    <w:rsid w:val="0048614C"/>
    <w:rsid w:val="0048639E"/>
    <w:rsid w:val="00487507"/>
    <w:rsid w:val="004876C2"/>
    <w:rsid w:val="004878B6"/>
    <w:rsid w:val="00487CD9"/>
    <w:rsid w:val="00490724"/>
    <w:rsid w:val="00490831"/>
    <w:rsid w:val="00491095"/>
    <w:rsid w:val="004918B1"/>
    <w:rsid w:val="00492611"/>
    <w:rsid w:val="004929D0"/>
    <w:rsid w:val="00492C56"/>
    <w:rsid w:val="00492EFA"/>
    <w:rsid w:val="00492F1A"/>
    <w:rsid w:val="0049339A"/>
    <w:rsid w:val="00493782"/>
    <w:rsid w:val="00493CF5"/>
    <w:rsid w:val="00493E2D"/>
    <w:rsid w:val="00494B2E"/>
    <w:rsid w:val="004952A2"/>
    <w:rsid w:val="004952BD"/>
    <w:rsid w:val="0049590C"/>
    <w:rsid w:val="00495D9A"/>
    <w:rsid w:val="004962D8"/>
    <w:rsid w:val="004966E0"/>
    <w:rsid w:val="004969D3"/>
    <w:rsid w:val="004971AE"/>
    <w:rsid w:val="004974DE"/>
    <w:rsid w:val="004976EF"/>
    <w:rsid w:val="004A034F"/>
    <w:rsid w:val="004A0440"/>
    <w:rsid w:val="004A0E27"/>
    <w:rsid w:val="004A0ECC"/>
    <w:rsid w:val="004A1246"/>
    <w:rsid w:val="004A17FA"/>
    <w:rsid w:val="004A1FA8"/>
    <w:rsid w:val="004A213B"/>
    <w:rsid w:val="004A25D9"/>
    <w:rsid w:val="004A399B"/>
    <w:rsid w:val="004A3F18"/>
    <w:rsid w:val="004A4D06"/>
    <w:rsid w:val="004A4FC8"/>
    <w:rsid w:val="004A5232"/>
    <w:rsid w:val="004A55FF"/>
    <w:rsid w:val="004A61A6"/>
    <w:rsid w:val="004A6C65"/>
    <w:rsid w:val="004A76F0"/>
    <w:rsid w:val="004A7B7A"/>
    <w:rsid w:val="004B0A5F"/>
    <w:rsid w:val="004B11AD"/>
    <w:rsid w:val="004B15CE"/>
    <w:rsid w:val="004B2630"/>
    <w:rsid w:val="004B34B8"/>
    <w:rsid w:val="004B3F15"/>
    <w:rsid w:val="004B51A3"/>
    <w:rsid w:val="004B534E"/>
    <w:rsid w:val="004B59CB"/>
    <w:rsid w:val="004B5E9F"/>
    <w:rsid w:val="004B6901"/>
    <w:rsid w:val="004B6F05"/>
    <w:rsid w:val="004C0712"/>
    <w:rsid w:val="004C0F0D"/>
    <w:rsid w:val="004C1838"/>
    <w:rsid w:val="004C1CE3"/>
    <w:rsid w:val="004C33F7"/>
    <w:rsid w:val="004C3BD1"/>
    <w:rsid w:val="004C3FD7"/>
    <w:rsid w:val="004C5715"/>
    <w:rsid w:val="004C5AA1"/>
    <w:rsid w:val="004C600D"/>
    <w:rsid w:val="004C6374"/>
    <w:rsid w:val="004C64D0"/>
    <w:rsid w:val="004C683A"/>
    <w:rsid w:val="004C6B4F"/>
    <w:rsid w:val="004C6D63"/>
    <w:rsid w:val="004C6DF5"/>
    <w:rsid w:val="004C6F27"/>
    <w:rsid w:val="004C79D9"/>
    <w:rsid w:val="004D25E2"/>
    <w:rsid w:val="004D2D35"/>
    <w:rsid w:val="004D3A17"/>
    <w:rsid w:val="004D3C27"/>
    <w:rsid w:val="004D4AC2"/>
    <w:rsid w:val="004D5038"/>
    <w:rsid w:val="004D525C"/>
    <w:rsid w:val="004D5EBD"/>
    <w:rsid w:val="004D6314"/>
    <w:rsid w:val="004D6A67"/>
    <w:rsid w:val="004D71AA"/>
    <w:rsid w:val="004D7312"/>
    <w:rsid w:val="004D736E"/>
    <w:rsid w:val="004D7420"/>
    <w:rsid w:val="004E054D"/>
    <w:rsid w:val="004E07DA"/>
    <w:rsid w:val="004E1454"/>
    <w:rsid w:val="004E234B"/>
    <w:rsid w:val="004E2921"/>
    <w:rsid w:val="004E2BC5"/>
    <w:rsid w:val="004E305F"/>
    <w:rsid w:val="004E3C85"/>
    <w:rsid w:val="004E3FB6"/>
    <w:rsid w:val="004E41AF"/>
    <w:rsid w:val="004E4277"/>
    <w:rsid w:val="004E45CE"/>
    <w:rsid w:val="004E4F95"/>
    <w:rsid w:val="004E500F"/>
    <w:rsid w:val="004E53FC"/>
    <w:rsid w:val="004E578F"/>
    <w:rsid w:val="004E5CF5"/>
    <w:rsid w:val="004E5E88"/>
    <w:rsid w:val="004E67EA"/>
    <w:rsid w:val="004E7113"/>
    <w:rsid w:val="004E7540"/>
    <w:rsid w:val="004E76AF"/>
    <w:rsid w:val="004E7CC0"/>
    <w:rsid w:val="004E7FC0"/>
    <w:rsid w:val="004F05B8"/>
    <w:rsid w:val="004F1A7E"/>
    <w:rsid w:val="004F1EEE"/>
    <w:rsid w:val="004F2C3F"/>
    <w:rsid w:val="004F2F35"/>
    <w:rsid w:val="004F3434"/>
    <w:rsid w:val="004F3BE6"/>
    <w:rsid w:val="004F3D20"/>
    <w:rsid w:val="004F4978"/>
    <w:rsid w:val="004F4F47"/>
    <w:rsid w:val="004F56ED"/>
    <w:rsid w:val="004F5C0E"/>
    <w:rsid w:val="004F5D56"/>
    <w:rsid w:val="004F5FA0"/>
    <w:rsid w:val="004F6045"/>
    <w:rsid w:val="004F6147"/>
    <w:rsid w:val="004F614F"/>
    <w:rsid w:val="004F69FE"/>
    <w:rsid w:val="004F752A"/>
    <w:rsid w:val="004F781C"/>
    <w:rsid w:val="004F7918"/>
    <w:rsid w:val="0050098F"/>
    <w:rsid w:val="00500B7B"/>
    <w:rsid w:val="00500BA2"/>
    <w:rsid w:val="00500C74"/>
    <w:rsid w:val="00500CC6"/>
    <w:rsid w:val="0050145C"/>
    <w:rsid w:val="00502649"/>
    <w:rsid w:val="0050280C"/>
    <w:rsid w:val="00502E30"/>
    <w:rsid w:val="005030DB"/>
    <w:rsid w:val="00503797"/>
    <w:rsid w:val="0050398F"/>
    <w:rsid w:val="00503F6D"/>
    <w:rsid w:val="00505B35"/>
    <w:rsid w:val="0050647B"/>
    <w:rsid w:val="005067EB"/>
    <w:rsid w:val="00506B64"/>
    <w:rsid w:val="0050788C"/>
    <w:rsid w:val="005111E1"/>
    <w:rsid w:val="00511E0D"/>
    <w:rsid w:val="0051227C"/>
    <w:rsid w:val="0051254F"/>
    <w:rsid w:val="005130A1"/>
    <w:rsid w:val="00513D82"/>
    <w:rsid w:val="00513E25"/>
    <w:rsid w:val="005140F2"/>
    <w:rsid w:val="0051430B"/>
    <w:rsid w:val="005144B5"/>
    <w:rsid w:val="00514710"/>
    <w:rsid w:val="005162F1"/>
    <w:rsid w:val="00516603"/>
    <w:rsid w:val="005172C1"/>
    <w:rsid w:val="0051788F"/>
    <w:rsid w:val="00520235"/>
    <w:rsid w:val="005219BF"/>
    <w:rsid w:val="0052276B"/>
    <w:rsid w:val="00522FBE"/>
    <w:rsid w:val="005234BC"/>
    <w:rsid w:val="00523817"/>
    <w:rsid w:val="00523D53"/>
    <w:rsid w:val="00523F12"/>
    <w:rsid w:val="00523FCF"/>
    <w:rsid w:val="005241B4"/>
    <w:rsid w:val="00524E47"/>
    <w:rsid w:val="00525285"/>
    <w:rsid w:val="0052553B"/>
    <w:rsid w:val="00525BBB"/>
    <w:rsid w:val="00525C00"/>
    <w:rsid w:val="00526118"/>
    <w:rsid w:val="005263EB"/>
    <w:rsid w:val="0052699C"/>
    <w:rsid w:val="0052700A"/>
    <w:rsid w:val="005273BC"/>
    <w:rsid w:val="00527A5E"/>
    <w:rsid w:val="00527BA9"/>
    <w:rsid w:val="005300E9"/>
    <w:rsid w:val="00530166"/>
    <w:rsid w:val="00530771"/>
    <w:rsid w:val="00530783"/>
    <w:rsid w:val="00530833"/>
    <w:rsid w:val="00530DE9"/>
    <w:rsid w:val="00531B21"/>
    <w:rsid w:val="005320EA"/>
    <w:rsid w:val="00532601"/>
    <w:rsid w:val="00533E77"/>
    <w:rsid w:val="0053625D"/>
    <w:rsid w:val="00536F59"/>
    <w:rsid w:val="00537507"/>
    <w:rsid w:val="00537A32"/>
    <w:rsid w:val="0054077E"/>
    <w:rsid w:val="00540889"/>
    <w:rsid w:val="005408E9"/>
    <w:rsid w:val="00540997"/>
    <w:rsid w:val="005412F3"/>
    <w:rsid w:val="00541413"/>
    <w:rsid w:val="005431C5"/>
    <w:rsid w:val="005431F0"/>
    <w:rsid w:val="005431FC"/>
    <w:rsid w:val="00543446"/>
    <w:rsid w:val="005439F9"/>
    <w:rsid w:val="00544329"/>
    <w:rsid w:val="00544453"/>
    <w:rsid w:val="005446AA"/>
    <w:rsid w:val="00544D2B"/>
    <w:rsid w:val="005450A6"/>
    <w:rsid w:val="005451B1"/>
    <w:rsid w:val="005463FC"/>
    <w:rsid w:val="0054766B"/>
    <w:rsid w:val="005477A6"/>
    <w:rsid w:val="005477C1"/>
    <w:rsid w:val="00550AA6"/>
    <w:rsid w:val="005516BD"/>
    <w:rsid w:val="005527AC"/>
    <w:rsid w:val="005530E3"/>
    <w:rsid w:val="00553457"/>
    <w:rsid w:val="00553469"/>
    <w:rsid w:val="005539EC"/>
    <w:rsid w:val="00553A0B"/>
    <w:rsid w:val="00553C49"/>
    <w:rsid w:val="00554498"/>
    <w:rsid w:val="00554607"/>
    <w:rsid w:val="00554627"/>
    <w:rsid w:val="005547FF"/>
    <w:rsid w:val="00554930"/>
    <w:rsid w:val="00554EE3"/>
    <w:rsid w:val="00555E12"/>
    <w:rsid w:val="005563C9"/>
    <w:rsid w:val="00556583"/>
    <w:rsid w:val="005566AD"/>
    <w:rsid w:val="005574F9"/>
    <w:rsid w:val="00557902"/>
    <w:rsid w:val="00557A43"/>
    <w:rsid w:val="00560031"/>
    <w:rsid w:val="0056055D"/>
    <w:rsid w:val="00560624"/>
    <w:rsid w:val="005609DD"/>
    <w:rsid w:val="00560C38"/>
    <w:rsid w:val="00560DE2"/>
    <w:rsid w:val="00560FAC"/>
    <w:rsid w:val="005612D4"/>
    <w:rsid w:val="005613A3"/>
    <w:rsid w:val="005613A7"/>
    <w:rsid w:val="005619B7"/>
    <w:rsid w:val="00561C1C"/>
    <w:rsid w:val="005620C0"/>
    <w:rsid w:val="00562E3D"/>
    <w:rsid w:val="00563700"/>
    <w:rsid w:val="0056385C"/>
    <w:rsid w:val="00563ADB"/>
    <w:rsid w:val="00563F75"/>
    <w:rsid w:val="005640EB"/>
    <w:rsid w:val="00565514"/>
    <w:rsid w:val="00565567"/>
    <w:rsid w:val="005658D3"/>
    <w:rsid w:val="00565A55"/>
    <w:rsid w:val="00566000"/>
    <w:rsid w:val="00566845"/>
    <w:rsid w:val="00567EF7"/>
    <w:rsid w:val="0057034F"/>
    <w:rsid w:val="005704AC"/>
    <w:rsid w:val="00570584"/>
    <w:rsid w:val="005712D6"/>
    <w:rsid w:val="00571812"/>
    <w:rsid w:val="00571DCD"/>
    <w:rsid w:val="0057218C"/>
    <w:rsid w:val="00572C81"/>
    <w:rsid w:val="00572E70"/>
    <w:rsid w:val="00573369"/>
    <w:rsid w:val="005735D0"/>
    <w:rsid w:val="00573C20"/>
    <w:rsid w:val="0057418A"/>
    <w:rsid w:val="00574923"/>
    <w:rsid w:val="00574D59"/>
    <w:rsid w:val="00574E6D"/>
    <w:rsid w:val="00575302"/>
    <w:rsid w:val="005759DD"/>
    <w:rsid w:val="00575C24"/>
    <w:rsid w:val="00576226"/>
    <w:rsid w:val="005762EA"/>
    <w:rsid w:val="005767AE"/>
    <w:rsid w:val="00576F1E"/>
    <w:rsid w:val="00580390"/>
    <w:rsid w:val="00580B47"/>
    <w:rsid w:val="00580E2B"/>
    <w:rsid w:val="005817B2"/>
    <w:rsid w:val="005819F7"/>
    <w:rsid w:val="00581C35"/>
    <w:rsid w:val="005824C6"/>
    <w:rsid w:val="00582674"/>
    <w:rsid w:val="0058271E"/>
    <w:rsid w:val="0058283F"/>
    <w:rsid w:val="00583930"/>
    <w:rsid w:val="00583BFE"/>
    <w:rsid w:val="00583D8A"/>
    <w:rsid w:val="005840EF"/>
    <w:rsid w:val="005845A3"/>
    <w:rsid w:val="005848F8"/>
    <w:rsid w:val="00584E2F"/>
    <w:rsid w:val="00585151"/>
    <w:rsid w:val="0058525B"/>
    <w:rsid w:val="00585B3C"/>
    <w:rsid w:val="00585C03"/>
    <w:rsid w:val="00585CB6"/>
    <w:rsid w:val="0058619F"/>
    <w:rsid w:val="00586637"/>
    <w:rsid w:val="005868DC"/>
    <w:rsid w:val="005873E8"/>
    <w:rsid w:val="00587C46"/>
    <w:rsid w:val="00587F56"/>
    <w:rsid w:val="00587FD9"/>
    <w:rsid w:val="005908B9"/>
    <w:rsid w:val="00591265"/>
    <w:rsid w:val="00591283"/>
    <w:rsid w:val="005915A4"/>
    <w:rsid w:val="005924D3"/>
    <w:rsid w:val="005924F1"/>
    <w:rsid w:val="005925E3"/>
    <w:rsid w:val="00592E3B"/>
    <w:rsid w:val="0059304D"/>
    <w:rsid w:val="00593059"/>
    <w:rsid w:val="00593314"/>
    <w:rsid w:val="005933AE"/>
    <w:rsid w:val="00595156"/>
    <w:rsid w:val="005957B9"/>
    <w:rsid w:val="005959DB"/>
    <w:rsid w:val="00596832"/>
    <w:rsid w:val="00596CCB"/>
    <w:rsid w:val="00596DB6"/>
    <w:rsid w:val="005973C3"/>
    <w:rsid w:val="00597753"/>
    <w:rsid w:val="005977BB"/>
    <w:rsid w:val="00597E6F"/>
    <w:rsid w:val="005A0203"/>
    <w:rsid w:val="005A052F"/>
    <w:rsid w:val="005A0EFC"/>
    <w:rsid w:val="005A1018"/>
    <w:rsid w:val="005A1099"/>
    <w:rsid w:val="005A12EF"/>
    <w:rsid w:val="005A1980"/>
    <w:rsid w:val="005A1A26"/>
    <w:rsid w:val="005A1DAB"/>
    <w:rsid w:val="005A1F74"/>
    <w:rsid w:val="005A22F7"/>
    <w:rsid w:val="005A2593"/>
    <w:rsid w:val="005A3196"/>
    <w:rsid w:val="005A339E"/>
    <w:rsid w:val="005A3561"/>
    <w:rsid w:val="005A3757"/>
    <w:rsid w:val="005A3FD0"/>
    <w:rsid w:val="005A408B"/>
    <w:rsid w:val="005A4B38"/>
    <w:rsid w:val="005A4CE3"/>
    <w:rsid w:val="005A566A"/>
    <w:rsid w:val="005A61CD"/>
    <w:rsid w:val="005A6F80"/>
    <w:rsid w:val="005A7215"/>
    <w:rsid w:val="005A726F"/>
    <w:rsid w:val="005A7601"/>
    <w:rsid w:val="005A782E"/>
    <w:rsid w:val="005A793B"/>
    <w:rsid w:val="005A7949"/>
    <w:rsid w:val="005A79AE"/>
    <w:rsid w:val="005B081D"/>
    <w:rsid w:val="005B1142"/>
    <w:rsid w:val="005B1546"/>
    <w:rsid w:val="005B1E57"/>
    <w:rsid w:val="005B2054"/>
    <w:rsid w:val="005B2607"/>
    <w:rsid w:val="005B26FD"/>
    <w:rsid w:val="005B429E"/>
    <w:rsid w:val="005B44D0"/>
    <w:rsid w:val="005B4C55"/>
    <w:rsid w:val="005B4CD8"/>
    <w:rsid w:val="005B5B11"/>
    <w:rsid w:val="005B5C20"/>
    <w:rsid w:val="005B60BD"/>
    <w:rsid w:val="005B6837"/>
    <w:rsid w:val="005B730E"/>
    <w:rsid w:val="005B7879"/>
    <w:rsid w:val="005B78D4"/>
    <w:rsid w:val="005C00A0"/>
    <w:rsid w:val="005C0607"/>
    <w:rsid w:val="005C0A76"/>
    <w:rsid w:val="005C0F51"/>
    <w:rsid w:val="005C11E6"/>
    <w:rsid w:val="005C1F3B"/>
    <w:rsid w:val="005C208C"/>
    <w:rsid w:val="005C2E67"/>
    <w:rsid w:val="005C35ED"/>
    <w:rsid w:val="005C35FA"/>
    <w:rsid w:val="005C3AA3"/>
    <w:rsid w:val="005C4049"/>
    <w:rsid w:val="005C48FB"/>
    <w:rsid w:val="005C4D24"/>
    <w:rsid w:val="005C4DD7"/>
    <w:rsid w:val="005C539A"/>
    <w:rsid w:val="005C5C1B"/>
    <w:rsid w:val="005C688B"/>
    <w:rsid w:val="005C75CC"/>
    <w:rsid w:val="005C778A"/>
    <w:rsid w:val="005C794A"/>
    <w:rsid w:val="005C7B1F"/>
    <w:rsid w:val="005D03DC"/>
    <w:rsid w:val="005D04B6"/>
    <w:rsid w:val="005D107D"/>
    <w:rsid w:val="005D12BF"/>
    <w:rsid w:val="005D14E9"/>
    <w:rsid w:val="005D1B75"/>
    <w:rsid w:val="005D1C71"/>
    <w:rsid w:val="005D21A6"/>
    <w:rsid w:val="005D24F9"/>
    <w:rsid w:val="005D2888"/>
    <w:rsid w:val="005D29D5"/>
    <w:rsid w:val="005D3109"/>
    <w:rsid w:val="005D3E97"/>
    <w:rsid w:val="005D4095"/>
    <w:rsid w:val="005D4641"/>
    <w:rsid w:val="005D49FF"/>
    <w:rsid w:val="005D4D0A"/>
    <w:rsid w:val="005D5695"/>
    <w:rsid w:val="005D63D6"/>
    <w:rsid w:val="005D7ED3"/>
    <w:rsid w:val="005D7FAA"/>
    <w:rsid w:val="005E0862"/>
    <w:rsid w:val="005E0CC0"/>
    <w:rsid w:val="005E1375"/>
    <w:rsid w:val="005E147F"/>
    <w:rsid w:val="005E1CEB"/>
    <w:rsid w:val="005E2A30"/>
    <w:rsid w:val="005E2FF1"/>
    <w:rsid w:val="005E3850"/>
    <w:rsid w:val="005E3DEF"/>
    <w:rsid w:val="005E4E79"/>
    <w:rsid w:val="005E4E97"/>
    <w:rsid w:val="005E5C65"/>
    <w:rsid w:val="005E5DFA"/>
    <w:rsid w:val="005E682E"/>
    <w:rsid w:val="005E6F86"/>
    <w:rsid w:val="005E7479"/>
    <w:rsid w:val="005E75A1"/>
    <w:rsid w:val="005E7892"/>
    <w:rsid w:val="005E7A45"/>
    <w:rsid w:val="005E7E04"/>
    <w:rsid w:val="005F0245"/>
    <w:rsid w:val="005F0652"/>
    <w:rsid w:val="005F07BE"/>
    <w:rsid w:val="005F0AF1"/>
    <w:rsid w:val="005F0FCE"/>
    <w:rsid w:val="005F1146"/>
    <w:rsid w:val="005F17F5"/>
    <w:rsid w:val="005F3411"/>
    <w:rsid w:val="005F3CEA"/>
    <w:rsid w:val="005F4914"/>
    <w:rsid w:val="005F4A97"/>
    <w:rsid w:val="005F4E44"/>
    <w:rsid w:val="005F4E85"/>
    <w:rsid w:val="005F546F"/>
    <w:rsid w:val="005F5479"/>
    <w:rsid w:val="005F5B32"/>
    <w:rsid w:val="005F66DC"/>
    <w:rsid w:val="005F6868"/>
    <w:rsid w:val="005F6E3E"/>
    <w:rsid w:val="005F731B"/>
    <w:rsid w:val="006002D9"/>
    <w:rsid w:val="0060060D"/>
    <w:rsid w:val="00600773"/>
    <w:rsid w:val="00600C6B"/>
    <w:rsid w:val="00600CF0"/>
    <w:rsid w:val="00601200"/>
    <w:rsid w:val="006013FB"/>
    <w:rsid w:val="00601F1A"/>
    <w:rsid w:val="00602746"/>
    <w:rsid w:val="0060294C"/>
    <w:rsid w:val="00603073"/>
    <w:rsid w:val="00603128"/>
    <w:rsid w:val="006033B6"/>
    <w:rsid w:val="006036E2"/>
    <w:rsid w:val="006037C5"/>
    <w:rsid w:val="00603DC4"/>
    <w:rsid w:val="00604F87"/>
    <w:rsid w:val="006052B9"/>
    <w:rsid w:val="00605607"/>
    <w:rsid w:val="00605E4D"/>
    <w:rsid w:val="00606458"/>
    <w:rsid w:val="0060645F"/>
    <w:rsid w:val="00606CC5"/>
    <w:rsid w:val="00606F86"/>
    <w:rsid w:val="00607141"/>
    <w:rsid w:val="00607B23"/>
    <w:rsid w:val="00607E93"/>
    <w:rsid w:val="0061023E"/>
    <w:rsid w:val="0061061E"/>
    <w:rsid w:val="00610EB2"/>
    <w:rsid w:val="00611189"/>
    <w:rsid w:val="00611AD0"/>
    <w:rsid w:val="006125C5"/>
    <w:rsid w:val="0061278B"/>
    <w:rsid w:val="00613E2B"/>
    <w:rsid w:val="006144BB"/>
    <w:rsid w:val="00615CB3"/>
    <w:rsid w:val="00616900"/>
    <w:rsid w:val="00616ACC"/>
    <w:rsid w:val="00616B2A"/>
    <w:rsid w:val="006173B8"/>
    <w:rsid w:val="0061744E"/>
    <w:rsid w:val="0061799E"/>
    <w:rsid w:val="00617CDA"/>
    <w:rsid w:val="00620356"/>
    <w:rsid w:val="006204AA"/>
    <w:rsid w:val="006204D9"/>
    <w:rsid w:val="006205AD"/>
    <w:rsid w:val="00621323"/>
    <w:rsid w:val="00621934"/>
    <w:rsid w:val="00622007"/>
    <w:rsid w:val="00622D41"/>
    <w:rsid w:val="00623D94"/>
    <w:rsid w:val="00623F1D"/>
    <w:rsid w:val="00624D93"/>
    <w:rsid w:val="006254B1"/>
    <w:rsid w:val="00626034"/>
    <w:rsid w:val="00627058"/>
    <w:rsid w:val="00630007"/>
    <w:rsid w:val="006305AE"/>
    <w:rsid w:val="00630928"/>
    <w:rsid w:val="00630940"/>
    <w:rsid w:val="00630B6A"/>
    <w:rsid w:val="006312F7"/>
    <w:rsid w:val="0063144C"/>
    <w:rsid w:val="006315B7"/>
    <w:rsid w:val="006320CB"/>
    <w:rsid w:val="00632656"/>
    <w:rsid w:val="00632CD4"/>
    <w:rsid w:val="00632EDC"/>
    <w:rsid w:val="00632F67"/>
    <w:rsid w:val="0063315B"/>
    <w:rsid w:val="00633602"/>
    <w:rsid w:val="006345ED"/>
    <w:rsid w:val="006345EE"/>
    <w:rsid w:val="00634903"/>
    <w:rsid w:val="00634D1D"/>
    <w:rsid w:val="00635040"/>
    <w:rsid w:val="0063559F"/>
    <w:rsid w:val="006356A0"/>
    <w:rsid w:val="00636403"/>
    <w:rsid w:val="00637324"/>
    <w:rsid w:val="00640005"/>
    <w:rsid w:val="0064043A"/>
    <w:rsid w:val="0064099A"/>
    <w:rsid w:val="00641758"/>
    <w:rsid w:val="00641DF1"/>
    <w:rsid w:val="00642146"/>
    <w:rsid w:val="0064243B"/>
    <w:rsid w:val="00642B83"/>
    <w:rsid w:val="0064341D"/>
    <w:rsid w:val="006434E8"/>
    <w:rsid w:val="006450A9"/>
    <w:rsid w:val="00645164"/>
    <w:rsid w:val="006469A2"/>
    <w:rsid w:val="00646AB8"/>
    <w:rsid w:val="00646D0D"/>
    <w:rsid w:val="006471F9"/>
    <w:rsid w:val="0064782E"/>
    <w:rsid w:val="00650691"/>
    <w:rsid w:val="006507E9"/>
    <w:rsid w:val="00650822"/>
    <w:rsid w:val="00650A98"/>
    <w:rsid w:val="00651C2B"/>
    <w:rsid w:val="00652863"/>
    <w:rsid w:val="0065290E"/>
    <w:rsid w:val="00652921"/>
    <w:rsid w:val="006529EE"/>
    <w:rsid w:val="00653829"/>
    <w:rsid w:val="00653C4B"/>
    <w:rsid w:val="00653D6D"/>
    <w:rsid w:val="00654978"/>
    <w:rsid w:val="00654B18"/>
    <w:rsid w:val="006560A2"/>
    <w:rsid w:val="00656401"/>
    <w:rsid w:val="00656957"/>
    <w:rsid w:val="00656989"/>
    <w:rsid w:val="00656F93"/>
    <w:rsid w:val="006572C7"/>
    <w:rsid w:val="006578FA"/>
    <w:rsid w:val="0066025F"/>
    <w:rsid w:val="0066047B"/>
    <w:rsid w:val="00660524"/>
    <w:rsid w:val="00660E13"/>
    <w:rsid w:val="0066141F"/>
    <w:rsid w:val="00661731"/>
    <w:rsid w:val="00661B9D"/>
    <w:rsid w:val="006626DD"/>
    <w:rsid w:val="00662B82"/>
    <w:rsid w:val="00662E8A"/>
    <w:rsid w:val="00662EF9"/>
    <w:rsid w:val="00663136"/>
    <w:rsid w:val="00663BB8"/>
    <w:rsid w:val="00663F9C"/>
    <w:rsid w:val="00664085"/>
    <w:rsid w:val="0066419D"/>
    <w:rsid w:val="0066434A"/>
    <w:rsid w:val="006655C3"/>
    <w:rsid w:val="006661AE"/>
    <w:rsid w:val="006661E7"/>
    <w:rsid w:val="00666401"/>
    <w:rsid w:val="006667CC"/>
    <w:rsid w:val="0066711D"/>
    <w:rsid w:val="006674AF"/>
    <w:rsid w:val="00667861"/>
    <w:rsid w:val="00667DED"/>
    <w:rsid w:val="00667EF3"/>
    <w:rsid w:val="00667FEE"/>
    <w:rsid w:val="006701A1"/>
    <w:rsid w:val="006707CC"/>
    <w:rsid w:val="00670B0B"/>
    <w:rsid w:val="00670BA3"/>
    <w:rsid w:val="00670CAA"/>
    <w:rsid w:val="00670E7B"/>
    <w:rsid w:val="00670ECD"/>
    <w:rsid w:val="006711C8"/>
    <w:rsid w:val="00671EB9"/>
    <w:rsid w:val="00672482"/>
    <w:rsid w:val="0067279A"/>
    <w:rsid w:val="00673913"/>
    <w:rsid w:val="00673BEE"/>
    <w:rsid w:val="006740EF"/>
    <w:rsid w:val="0067429C"/>
    <w:rsid w:val="006746D0"/>
    <w:rsid w:val="0067478F"/>
    <w:rsid w:val="00675115"/>
    <w:rsid w:val="00675FA0"/>
    <w:rsid w:val="00677520"/>
    <w:rsid w:val="006777A9"/>
    <w:rsid w:val="00677A56"/>
    <w:rsid w:val="00677B79"/>
    <w:rsid w:val="00677D36"/>
    <w:rsid w:val="00677FAC"/>
    <w:rsid w:val="00680770"/>
    <w:rsid w:val="00680A37"/>
    <w:rsid w:val="00680B1F"/>
    <w:rsid w:val="00680E20"/>
    <w:rsid w:val="00681CEB"/>
    <w:rsid w:val="00681D97"/>
    <w:rsid w:val="00681F24"/>
    <w:rsid w:val="006826D6"/>
    <w:rsid w:val="00682EDE"/>
    <w:rsid w:val="00682F49"/>
    <w:rsid w:val="00683589"/>
    <w:rsid w:val="006838FF"/>
    <w:rsid w:val="0068398D"/>
    <w:rsid w:val="00683A64"/>
    <w:rsid w:val="006840C7"/>
    <w:rsid w:val="0068431E"/>
    <w:rsid w:val="0068441B"/>
    <w:rsid w:val="0068476F"/>
    <w:rsid w:val="00684C89"/>
    <w:rsid w:val="0068553C"/>
    <w:rsid w:val="00686F72"/>
    <w:rsid w:val="0068744E"/>
    <w:rsid w:val="00687644"/>
    <w:rsid w:val="00687A58"/>
    <w:rsid w:val="00687CF6"/>
    <w:rsid w:val="00687D00"/>
    <w:rsid w:val="0069098B"/>
    <w:rsid w:val="006914F0"/>
    <w:rsid w:val="00691625"/>
    <w:rsid w:val="0069302C"/>
    <w:rsid w:val="006930F8"/>
    <w:rsid w:val="00693912"/>
    <w:rsid w:val="00693BDB"/>
    <w:rsid w:val="006940D3"/>
    <w:rsid w:val="006940F0"/>
    <w:rsid w:val="00694113"/>
    <w:rsid w:val="006949CD"/>
    <w:rsid w:val="0069551F"/>
    <w:rsid w:val="006957DC"/>
    <w:rsid w:val="00695B1A"/>
    <w:rsid w:val="00695C9D"/>
    <w:rsid w:val="006966DF"/>
    <w:rsid w:val="00697D3C"/>
    <w:rsid w:val="006A0747"/>
    <w:rsid w:val="006A0F53"/>
    <w:rsid w:val="006A18E6"/>
    <w:rsid w:val="006A1DBF"/>
    <w:rsid w:val="006A29F8"/>
    <w:rsid w:val="006A3D1B"/>
    <w:rsid w:val="006A414B"/>
    <w:rsid w:val="006A4D96"/>
    <w:rsid w:val="006A55B0"/>
    <w:rsid w:val="006A6C1F"/>
    <w:rsid w:val="006A77AB"/>
    <w:rsid w:val="006A7D09"/>
    <w:rsid w:val="006B0723"/>
    <w:rsid w:val="006B0794"/>
    <w:rsid w:val="006B0B8C"/>
    <w:rsid w:val="006B14B4"/>
    <w:rsid w:val="006B1692"/>
    <w:rsid w:val="006B199B"/>
    <w:rsid w:val="006B1ACD"/>
    <w:rsid w:val="006B1B0F"/>
    <w:rsid w:val="006B1E28"/>
    <w:rsid w:val="006B25B8"/>
    <w:rsid w:val="006B2652"/>
    <w:rsid w:val="006B3E1A"/>
    <w:rsid w:val="006B3F37"/>
    <w:rsid w:val="006B490E"/>
    <w:rsid w:val="006B4EB7"/>
    <w:rsid w:val="006B51B9"/>
    <w:rsid w:val="006B75B6"/>
    <w:rsid w:val="006B7772"/>
    <w:rsid w:val="006B7B40"/>
    <w:rsid w:val="006C0484"/>
    <w:rsid w:val="006C05A9"/>
    <w:rsid w:val="006C0734"/>
    <w:rsid w:val="006C1643"/>
    <w:rsid w:val="006C178D"/>
    <w:rsid w:val="006C179E"/>
    <w:rsid w:val="006C183B"/>
    <w:rsid w:val="006C1850"/>
    <w:rsid w:val="006C3887"/>
    <w:rsid w:val="006C3AB5"/>
    <w:rsid w:val="006C562C"/>
    <w:rsid w:val="006C61A8"/>
    <w:rsid w:val="006C65A0"/>
    <w:rsid w:val="006C690B"/>
    <w:rsid w:val="006C6934"/>
    <w:rsid w:val="006C6E7A"/>
    <w:rsid w:val="006C6E9F"/>
    <w:rsid w:val="006C76C7"/>
    <w:rsid w:val="006C7EC3"/>
    <w:rsid w:val="006D0603"/>
    <w:rsid w:val="006D0793"/>
    <w:rsid w:val="006D0F97"/>
    <w:rsid w:val="006D1A08"/>
    <w:rsid w:val="006D1FBD"/>
    <w:rsid w:val="006D2AB1"/>
    <w:rsid w:val="006D2EBB"/>
    <w:rsid w:val="006D348B"/>
    <w:rsid w:val="006D3522"/>
    <w:rsid w:val="006D3530"/>
    <w:rsid w:val="006D3751"/>
    <w:rsid w:val="006D3870"/>
    <w:rsid w:val="006D4415"/>
    <w:rsid w:val="006D47F4"/>
    <w:rsid w:val="006D5683"/>
    <w:rsid w:val="006D60C9"/>
    <w:rsid w:val="006D7B59"/>
    <w:rsid w:val="006D7EAC"/>
    <w:rsid w:val="006E046B"/>
    <w:rsid w:val="006E0E44"/>
    <w:rsid w:val="006E17E8"/>
    <w:rsid w:val="006E1A47"/>
    <w:rsid w:val="006E2B76"/>
    <w:rsid w:val="006E37B2"/>
    <w:rsid w:val="006E3F38"/>
    <w:rsid w:val="006E54D2"/>
    <w:rsid w:val="006E566E"/>
    <w:rsid w:val="006E630E"/>
    <w:rsid w:val="006E6B34"/>
    <w:rsid w:val="006E737E"/>
    <w:rsid w:val="006E7887"/>
    <w:rsid w:val="006E7CBD"/>
    <w:rsid w:val="006F003B"/>
    <w:rsid w:val="006F0301"/>
    <w:rsid w:val="006F15A9"/>
    <w:rsid w:val="006F27E3"/>
    <w:rsid w:val="006F28FB"/>
    <w:rsid w:val="006F316D"/>
    <w:rsid w:val="006F39CD"/>
    <w:rsid w:val="006F3DAA"/>
    <w:rsid w:val="006F3E1E"/>
    <w:rsid w:val="006F50BC"/>
    <w:rsid w:val="006F5642"/>
    <w:rsid w:val="006F63EF"/>
    <w:rsid w:val="006F647C"/>
    <w:rsid w:val="006F6796"/>
    <w:rsid w:val="006F6DAF"/>
    <w:rsid w:val="006F7DDF"/>
    <w:rsid w:val="00700123"/>
    <w:rsid w:val="007003B9"/>
    <w:rsid w:val="007004A0"/>
    <w:rsid w:val="007004CE"/>
    <w:rsid w:val="00700D03"/>
    <w:rsid w:val="0070109F"/>
    <w:rsid w:val="00701447"/>
    <w:rsid w:val="007016D3"/>
    <w:rsid w:val="007017DE"/>
    <w:rsid w:val="00701979"/>
    <w:rsid w:val="00701F65"/>
    <w:rsid w:val="007021DE"/>
    <w:rsid w:val="007023A5"/>
    <w:rsid w:val="00702F78"/>
    <w:rsid w:val="00702F7F"/>
    <w:rsid w:val="00703334"/>
    <w:rsid w:val="00703623"/>
    <w:rsid w:val="007037BE"/>
    <w:rsid w:val="00703C9A"/>
    <w:rsid w:val="00703E2E"/>
    <w:rsid w:val="00703FAC"/>
    <w:rsid w:val="00704583"/>
    <w:rsid w:val="00704A0E"/>
    <w:rsid w:val="00705495"/>
    <w:rsid w:val="007055DE"/>
    <w:rsid w:val="007056E8"/>
    <w:rsid w:val="0070698D"/>
    <w:rsid w:val="00706A57"/>
    <w:rsid w:val="00706F45"/>
    <w:rsid w:val="00706FCE"/>
    <w:rsid w:val="00707892"/>
    <w:rsid w:val="007103E2"/>
    <w:rsid w:val="007104DD"/>
    <w:rsid w:val="00710889"/>
    <w:rsid w:val="00710B4F"/>
    <w:rsid w:val="00711196"/>
    <w:rsid w:val="00711B3F"/>
    <w:rsid w:val="007121B4"/>
    <w:rsid w:val="007125D5"/>
    <w:rsid w:val="00712886"/>
    <w:rsid w:val="00712D7E"/>
    <w:rsid w:val="007132A9"/>
    <w:rsid w:val="0071424A"/>
    <w:rsid w:val="00714306"/>
    <w:rsid w:val="007150D4"/>
    <w:rsid w:val="00716ECD"/>
    <w:rsid w:val="00717844"/>
    <w:rsid w:val="0071786A"/>
    <w:rsid w:val="00717B75"/>
    <w:rsid w:val="00717ECB"/>
    <w:rsid w:val="00717FE8"/>
    <w:rsid w:val="00720220"/>
    <w:rsid w:val="007203E3"/>
    <w:rsid w:val="00720C72"/>
    <w:rsid w:val="007213E4"/>
    <w:rsid w:val="0072163E"/>
    <w:rsid w:val="00721B12"/>
    <w:rsid w:val="007239F9"/>
    <w:rsid w:val="00723F70"/>
    <w:rsid w:val="0072492D"/>
    <w:rsid w:val="00724F6C"/>
    <w:rsid w:val="0072578A"/>
    <w:rsid w:val="0072662E"/>
    <w:rsid w:val="00726866"/>
    <w:rsid w:val="00726CC5"/>
    <w:rsid w:val="00726F7A"/>
    <w:rsid w:val="0072750D"/>
    <w:rsid w:val="00730355"/>
    <w:rsid w:val="0073158E"/>
    <w:rsid w:val="0073172A"/>
    <w:rsid w:val="00731C19"/>
    <w:rsid w:val="007322D1"/>
    <w:rsid w:val="00732705"/>
    <w:rsid w:val="00732773"/>
    <w:rsid w:val="00732EBC"/>
    <w:rsid w:val="00733465"/>
    <w:rsid w:val="00733672"/>
    <w:rsid w:val="0073379C"/>
    <w:rsid w:val="00733A82"/>
    <w:rsid w:val="00733E3B"/>
    <w:rsid w:val="00733FFC"/>
    <w:rsid w:val="00734118"/>
    <w:rsid w:val="0073414D"/>
    <w:rsid w:val="00734289"/>
    <w:rsid w:val="007345C7"/>
    <w:rsid w:val="00735046"/>
    <w:rsid w:val="00735263"/>
    <w:rsid w:val="00735626"/>
    <w:rsid w:val="00735C2D"/>
    <w:rsid w:val="00736733"/>
    <w:rsid w:val="00736D4A"/>
    <w:rsid w:val="007371A6"/>
    <w:rsid w:val="00737264"/>
    <w:rsid w:val="00737308"/>
    <w:rsid w:val="00737BA6"/>
    <w:rsid w:val="0074090A"/>
    <w:rsid w:val="007409B2"/>
    <w:rsid w:val="00740DDE"/>
    <w:rsid w:val="00740FB1"/>
    <w:rsid w:val="00741510"/>
    <w:rsid w:val="00742058"/>
    <w:rsid w:val="007435B1"/>
    <w:rsid w:val="00743ADC"/>
    <w:rsid w:val="00744416"/>
    <w:rsid w:val="00744493"/>
    <w:rsid w:val="00744C97"/>
    <w:rsid w:val="007456EB"/>
    <w:rsid w:val="00745A19"/>
    <w:rsid w:val="007462EC"/>
    <w:rsid w:val="00746589"/>
    <w:rsid w:val="0074663B"/>
    <w:rsid w:val="007500E5"/>
    <w:rsid w:val="0075090A"/>
    <w:rsid w:val="00750B94"/>
    <w:rsid w:val="00750F63"/>
    <w:rsid w:val="00751195"/>
    <w:rsid w:val="007522AF"/>
    <w:rsid w:val="007533C9"/>
    <w:rsid w:val="007539CB"/>
    <w:rsid w:val="0075437B"/>
    <w:rsid w:val="007544A9"/>
    <w:rsid w:val="007549F4"/>
    <w:rsid w:val="00755D9A"/>
    <w:rsid w:val="007564C4"/>
    <w:rsid w:val="00756B31"/>
    <w:rsid w:val="00757425"/>
    <w:rsid w:val="007605E5"/>
    <w:rsid w:val="007615F8"/>
    <w:rsid w:val="00761AC8"/>
    <w:rsid w:val="0076206F"/>
    <w:rsid w:val="00762CF0"/>
    <w:rsid w:val="007632E0"/>
    <w:rsid w:val="0076362F"/>
    <w:rsid w:val="00763C1F"/>
    <w:rsid w:val="00763DE9"/>
    <w:rsid w:val="00764453"/>
    <w:rsid w:val="00764801"/>
    <w:rsid w:val="00764C4A"/>
    <w:rsid w:val="0076515D"/>
    <w:rsid w:val="007655FA"/>
    <w:rsid w:val="007658E5"/>
    <w:rsid w:val="00765AA7"/>
    <w:rsid w:val="00766DC3"/>
    <w:rsid w:val="007679EB"/>
    <w:rsid w:val="00770D94"/>
    <w:rsid w:val="00771631"/>
    <w:rsid w:val="00771A6B"/>
    <w:rsid w:val="00771F9B"/>
    <w:rsid w:val="0077261D"/>
    <w:rsid w:val="0077271B"/>
    <w:rsid w:val="00772ADE"/>
    <w:rsid w:val="0077338B"/>
    <w:rsid w:val="00773552"/>
    <w:rsid w:val="007755CC"/>
    <w:rsid w:val="007755CD"/>
    <w:rsid w:val="00775E74"/>
    <w:rsid w:val="00775F75"/>
    <w:rsid w:val="007762CD"/>
    <w:rsid w:val="0077650F"/>
    <w:rsid w:val="00777290"/>
    <w:rsid w:val="007777F7"/>
    <w:rsid w:val="00777920"/>
    <w:rsid w:val="00780273"/>
    <w:rsid w:val="00780956"/>
    <w:rsid w:val="0078233F"/>
    <w:rsid w:val="00782630"/>
    <w:rsid w:val="00782D8F"/>
    <w:rsid w:val="00782F00"/>
    <w:rsid w:val="00782FC5"/>
    <w:rsid w:val="0078357E"/>
    <w:rsid w:val="0078385A"/>
    <w:rsid w:val="007839E7"/>
    <w:rsid w:val="007841FF"/>
    <w:rsid w:val="007846C1"/>
    <w:rsid w:val="00784CBB"/>
    <w:rsid w:val="00785009"/>
    <w:rsid w:val="00785621"/>
    <w:rsid w:val="00785E26"/>
    <w:rsid w:val="00785EFF"/>
    <w:rsid w:val="007864E5"/>
    <w:rsid w:val="00786824"/>
    <w:rsid w:val="0078724C"/>
    <w:rsid w:val="00787C9D"/>
    <w:rsid w:val="007906CA"/>
    <w:rsid w:val="007910B0"/>
    <w:rsid w:val="00791503"/>
    <w:rsid w:val="0079220D"/>
    <w:rsid w:val="00792A53"/>
    <w:rsid w:val="00792F87"/>
    <w:rsid w:val="007934D4"/>
    <w:rsid w:val="0079374C"/>
    <w:rsid w:val="007938D1"/>
    <w:rsid w:val="007939BD"/>
    <w:rsid w:val="00793C16"/>
    <w:rsid w:val="00793F4D"/>
    <w:rsid w:val="00793FBD"/>
    <w:rsid w:val="00795610"/>
    <w:rsid w:val="00795792"/>
    <w:rsid w:val="00796016"/>
    <w:rsid w:val="00796287"/>
    <w:rsid w:val="00796366"/>
    <w:rsid w:val="00796AC3"/>
    <w:rsid w:val="00796C5E"/>
    <w:rsid w:val="0079775B"/>
    <w:rsid w:val="007A0692"/>
    <w:rsid w:val="007A0B62"/>
    <w:rsid w:val="007A0C5A"/>
    <w:rsid w:val="007A11B0"/>
    <w:rsid w:val="007A1236"/>
    <w:rsid w:val="007A1266"/>
    <w:rsid w:val="007A1D32"/>
    <w:rsid w:val="007A2091"/>
    <w:rsid w:val="007A21A0"/>
    <w:rsid w:val="007A22B8"/>
    <w:rsid w:val="007A25B2"/>
    <w:rsid w:val="007A2A69"/>
    <w:rsid w:val="007A2A6F"/>
    <w:rsid w:val="007A39D3"/>
    <w:rsid w:val="007A3BDD"/>
    <w:rsid w:val="007A3E20"/>
    <w:rsid w:val="007A3E4D"/>
    <w:rsid w:val="007A4506"/>
    <w:rsid w:val="007A538A"/>
    <w:rsid w:val="007A57AE"/>
    <w:rsid w:val="007A6E20"/>
    <w:rsid w:val="007A73DA"/>
    <w:rsid w:val="007A74B2"/>
    <w:rsid w:val="007B07C4"/>
    <w:rsid w:val="007B0B94"/>
    <w:rsid w:val="007B11EC"/>
    <w:rsid w:val="007B17A6"/>
    <w:rsid w:val="007B1F57"/>
    <w:rsid w:val="007B3D31"/>
    <w:rsid w:val="007B4597"/>
    <w:rsid w:val="007B47A0"/>
    <w:rsid w:val="007B5174"/>
    <w:rsid w:val="007B52EC"/>
    <w:rsid w:val="007B5336"/>
    <w:rsid w:val="007B55BA"/>
    <w:rsid w:val="007B55C5"/>
    <w:rsid w:val="007B57D2"/>
    <w:rsid w:val="007B5E43"/>
    <w:rsid w:val="007B6A17"/>
    <w:rsid w:val="007B70FB"/>
    <w:rsid w:val="007B74DB"/>
    <w:rsid w:val="007C0482"/>
    <w:rsid w:val="007C0832"/>
    <w:rsid w:val="007C123C"/>
    <w:rsid w:val="007C1DC9"/>
    <w:rsid w:val="007C20FE"/>
    <w:rsid w:val="007C2678"/>
    <w:rsid w:val="007C298F"/>
    <w:rsid w:val="007C2C41"/>
    <w:rsid w:val="007C2FF2"/>
    <w:rsid w:val="007C3435"/>
    <w:rsid w:val="007C376A"/>
    <w:rsid w:val="007C3888"/>
    <w:rsid w:val="007C3E04"/>
    <w:rsid w:val="007C456F"/>
    <w:rsid w:val="007C4A77"/>
    <w:rsid w:val="007C53A3"/>
    <w:rsid w:val="007C54E9"/>
    <w:rsid w:val="007C55BE"/>
    <w:rsid w:val="007C5AB5"/>
    <w:rsid w:val="007C7119"/>
    <w:rsid w:val="007C766F"/>
    <w:rsid w:val="007C7AD6"/>
    <w:rsid w:val="007C7C59"/>
    <w:rsid w:val="007C7DC7"/>
    <w:rsid w:val="007D1E09"/>
    <w:rsid w:val="007D35A0"/>
    <w:rsid w:val="007D40F5"/>
    <w:rsid w:val="007D46D8"/>
    <w:rsid w:val="007D4892"/>
    <w:rsid w:val="007D48E9"/>
    <w:rsid w:val="007D53CB"/>
    <w:rsid w:val="007D5857"/>
    <w:rsid w:val="007D5E14"/>
    <w:rsid w:val="007D6F86"/>
    <w:rsid w:val="007D72EB"/>
    <w:rsid w:val="007D7CD6"/>
    <w:rsid w:val="007E0F8F"/>
    <w:rsid w:val="007E14A4"/>
    <w:rsid w:val="007E1C37"/>
    <w:rsid w:val="007E28AE"/>
    <w:rsid w:val="007E2F83"/>
    <w:rsid w:val="007E317C"/>
    <w:rsid w:val="007E3562"/>
    <w:rsid w:val="007E3E82"/>
    <w:rsid w:val="007E44F9"/>
    <w:rsid w:val="007E5E79"/>
    <w:rsid w:val="007E5ED9"/>
    <w:rsid w:val="007E5EDC"/>
    <w:rsid w:val="007E60AD"/>
    <w:rsid w:val="007E6646"/>
    <w:rsid w:val="007E6C51"/>
    <w:rsid w:val="007E6E28"/>
    <w:rsid w:val="007E7232"/>
    <w:rsid w:val="007E72AB"/>
    <w:rsid w:val="007E7891"/>
    <w:rsid w:val="007E7B16"/>
    <w:rsid w:val="007F0378"/>
    <w:rsid w:val="007F0684"/>
    <w:rsid w:val="007F06B6"/>
    <w:rsid w:val="007F06E8"/>
    <w:rsid w:val="007F0AF8"/>
    <w:rsid w:val="007F137F"/>
    <w:rsid w:val="007F1391"/>
    <w:rsid w:val="007F219A"/>
    <w:rsid w:val="007F385C"/>
    <w:rsid w:val="007F3F16"/>
    <w:rsid w:val="007F4981"/>
    <w:rsid w:val="007F4D3F"/>
    <w:rsid w:val="007F4D49"/>
    <w:rsid w:val="007F58A3"/>
    <w:rsid w:val="007F59DB"/>
    <w:rsid w:val="007F65DB"/>
    <w:rsid w:val="007F6761"/>
    <w:rsid w:val="007F6BC4"/>
    <w:rsid w:val="007F70D4"/>
    <w:rsid w:val="007F76B6"/>
    <w:rsid w:val="007F79BE"/>
    <w:rsid w:val="0080009A"/>
    <w:rsid w:val="00800120"/>
    <w:rsid w:val="008001B8"/>
    <w:rsid w:val="00800599"/>
    <w:rsid w:val="0080073F"/>
    <w:rsid w:val="008011BE"/>
    <w:rsid w:val="0080143D"/>
    <w:rsid w:val="00801CB1"/>
    <w:rsid w:val="00802515"/>
    <w:rsid w:val="00802AA7"/>
    <w:rsid w:val="00802B6F"/>
    <w:rsid w:val="00802C08"/>
    <w:rsid w:val="00802C7C"/>
    <w:rsid w:val="00803108"/>
    <w:rsid w:val="008039D0"/>
    <w:rsid w:val="00803ACE"/>
    <w:rsid w:val="00803EB7"/>
    <w:rsid w:val="008040BB"/>
    <w:rsid w:val="008041C2"/>
    <w:rsid w:val="008046E2"/>
    <w:rsid w:val="008054B3"/>
    <w:rsid w:val="00805B99"/>
    <w:rsid w:val="00806E9B"/>
    <w:rsid w:val="00807090"/>
    <w:rsid w:val="0080733C"/>
    <w:rsid w:val="00807926"/>
    <w:rsid w:val="00807A15"/>
    <w:rsid w:val="00807A2C"/>
    <w:rsid w:val="00807AB5"/>
    <w:rsid w:val="00807EEA"/>
    <w:rsid w:val="008100A2"/>
    <w:rsid w:val="008107F5"/>
    <w:rsid w:val="00810E30"/>
    <w:rsid w:val="00810ED7"/>
    <w:rsid w:val="008138D8"/>
    <w:rsid w:val="00813AEB"/>
    <w:rsid w:val="00814AB2"/>
    <w:rsid w:val="00814CAD"/>
    <w:rsid w:val="00815424"/>
    <w:rsid w:val="0081587D"/>
    <w:rsid w:val="00815AF2"/>
    <w:rsid w:val="00816320"/>
    <w:rsid w:val="008163C7"/>
    <w:rsid w:val="008171B1"/>
    <w:rsid w:val="00817D96"/>
    <w:rsid w:val="00817F9A"/>
    <w:rsid w:val="00820CCC"/>
    <w:rsid w:val="008227FA"/>
    <w:rsid w:val="008229A2"/>
    <w:rsid w:val="00823667"/>
    <w:rsid w:val="00823C3A"/>
    <w:rsid w:val="0082443D"/>
    <w:rsid w:val="008246FE"/>
    <w:rsid w:val="00824792"/>
    <w:rsid w:val="00824A9E"/>
    <w:rsid w:val="00825EA0"/>
    <w:rsid w:val="00825F58"/>
    <w:rsid w:val="008268CF"/>
    <w:rsid w:val="00826F8E"/>
    <w:rsid w:val="008270EE"/>
    <w:rsid w:val="00827497"/>
    <w:rsid w:val="00827D53"/>
    <w:rsid w:val="0083026B"/>
    <w:rsid w:val="00831472"/>
    <w:rsid w:val="00831612"/>
    <w:rsid w:val="00831789"/>
    <w:rsid w:val="00831EC1"/>
    <w:rsid w:val="00832696"/>
    <w:rsid w:val="008326A2"/>
    <w:rsid w:val="00832832"/>
    <w:rsid w:val="008329FF"/>
    <w:rsid w:val="00832ECB"/>
    <w:rsid w:val="00833526"/>
    <w:rsid w:val="008340EC"/>
    <w:rsid w:val="00834ACC"/>
    <w:rsid w:val="00834B47"/>
    <w:rsid w:val="00835459"/>
    <w:rsid w:val="00835609"/>
    <w:rsid w:val="00835DF4"/>
    <w:rsid w:val="0083659E"/>
    <w:rsid w:val="008365C4"/>
    <w:rsid w:val="00836D76"/>
    <w:rsid w:val="00837C41"/>
    <w:rsid w:val="00837C92"/>
    <w:rsid w:val="00837F0F"/>
    <w:rsid w:val="008416E5"/>
    <w:rsid w:val="0084210C"/>
    <w:rsid w:val="00842AD4"/>
    <w:rsid w:val="00842BBA"/>
    <w:rsid w:val="00842D41"/>
    <w:rsid w:val="00843029"/>
    <w:rsid w:val="008430CB"/>
    <w:rsid w:val="00843420"/>
    <w:rsid w:val="00843B5D"/>
    <w:rsid w:val="0084410A"/>
    <w:rsid w:val="008447C7"/>
    <w:rsid w:val="008447D4"/>
    <w:rsid w:val="00844FEB"/>
    <w:rsid w:val="0084506C"/>
    <w:rsid w:val="008454BD"/>
    <w:rsid w:val="0084562F"/>
    <w:rsid w:val="0084581C"/>
    <w:rsid w:val="00845BE7"/>
    <w:rsid w:val="008462BA"/>
    <w:rsid w:val="008463F3"/>
    <w:rsid w:val="00846D76"/>
    <w:rsid w:val="008471B2"/>
    <w:rsid w:val="0085005F"/>
    <w:rsid w:val="0085062F"/>
    <w:rsid w:val="00851307"/>
    <w:rsid w:val="008515B1"/>
    <w:rsid w:val="00851789"/>
    <w:rsid w:val="00851F92"/>
    <w:rsid w:val="00852508"/>
    <w:rsid w:val="00852E5B"/>
    <w:rsid w:val="00853498"/>
    <w:rsid w:val="00853677"/>
    <w:rsid w:val="008537EC"/>
    <w:rsid w:val="00853ACD"/>
    <w:rsid w:val="00853ACF"/>
    <w:rsid w:val="00853F1F"/>
    <w:rsid w:val="008544D3"/>
    <w:rsid w:val="00855143"/>
    <w:rsid w:val="008551EE"/>
    <w:rsid w:val="008558A1"/>
    <w:rsid w:val="0085642F"/>
    <w:rsid w:val="0085649E"/>
    <w:rsid w:val="008572D7"/>
    <w:rsid w:val="008573AF"/>
    <w:rsid w:val="00857645"/>
    <w:rsid w:val="00857D80"/>
    <w:rsid w:val="008602FC"/>
    <w:rsid w:val="008606F1"/>
    <w:rsid w:val="00860989"/>
    <w:rsid w:val="00860CF9"/>
    <w:rsid w:val="00861BF1"/>
    <w:rsid w:val="008622D3"/>
    <w:rsid w:val="0086268A"/>
    <w:rsid w:val="008639A2"/>
    <w:rsid w:val="00863BBB"/>
    <w:rsid w:val="0086401E"/>
    <w:rsid w:val="008640FD"/>
    <w:rsid w:val="0086426C"/>
    <w:rsid w:val="0086445F"/>
    <w:rsid w:val="008646E1"/>
    <w:rsid w:val="0086564F"/>
    <w:rsid w:val="00865681"/>
    <w:rsid w:val="00866618"/>
    <w:rsid w:val="00866858"/>
    <w:rsid w:val="00866DF4"/>
    <w:rsid w:val="00867B6B"/>
    <w:rsid w:val="00870AFC"/>
    <w:rsid w:val="00870AFD"/>
    <w:rsid w:val="00871452"/>
    <w:rsid w:val="008715CC"/>
    <w:rsid w:val="00872589"/>
    <w:rsid w:val="00872770"/>
    <w:rsid w:val="00873754"/>
    <w:rsid w:val="00873814"/>
    <w:rsid w:val="00875138"/>
    <w:rsid w:val="008752FC"/>
    <w:rsid w:val="00875FA4"/>
    <w:rsid w:val="00876044"/>
    <w:rsid w:val="008763C8"/>
    <w:rsid w:val="0087660D"/>
    <w:rsid w:val="00877D6E"/>
    <w:rsid w:val="00877E35"/>
    <w:rsid w:val="0088014E"/>
    <w:rsid w:val="00880BAB"/>
    <w:rsid w:val="00881604"/>
    <w:rsid w:val="008817FF"/>
    <w:rsid w:val="00881E99"/>
    <w:rsid w:val="008820C1"/>
    <w:rsid w:val="0088239C"/>
    <w:rsid w:val="00882745"/>
    <w:rsid w:val="008828F7"/>
    <w:rsid w:val="0088294F"/>
    <w:rsid w:val="00882A65"/>
    <w:rsid w:val="00882E58"/>
    <w:rsid w:val="0088302A"/>
    <w:rsid w:val="008835B1"/>
    <w:rsid w:val="008836F9"/>
    <w:rsid w:val="008837DE"/>
    <w:rsid w:val="00883B3F"/>
    <w:rsid w:val="008851BE"/>
    <w:rsid w:val="00885538"/>
    <w:rsid w:val="00885CA8"/>
    <w:rsid w:val="00886188"/>
    <w:rsid w:val="00887063"/>
    <w:rsid w:val="00887908"/>
    <w:rsid w:val="00887BD8"/>
    <w:rsid w:val="00887F1B"/>
    <w:rsid w:val="008900CF"/>
    <w:rsid w:val="00891602"/>
    <w:rsid w:val="00892011"/>
    <w:rsid w:val="008922CF"/>
    <w:rsid w:val="008923D1"/>
    <w:rsid w:val="008925B9"/>
    <w:rsid w:val="008928F3"/>
    <w:rsid w:val="008931AA"/>
    <w:rsid w:val="008937CB"/>
    <w:rsid w:val="0089427B"/>
    <w:rsid w:val="0089483C"/>
    <w:rsid w:val="00894A6B"/>
    <w:rsid w:val="00894A7F"/>
    <w:rsid w:val="00895922"/>
    <w:rsid w:val="00895E5A"/>
    <w:rsid w:val="0089601F"/>
    <w:rsid w:val="008960C3"/>
    <w:rsid w:val="00897502"/>
    <w:rsid w:val="00897855"/>
    <w:rsid w:val="008A0E63"/>
    <w:rsid w:val="008A1450"/>
    <w:rsid w:val="008A15A7"/>
    <w:rsid w:val="008A173F"/>
    <w:rsid w:val="008A1EFD"/>
    <w:rsid w:val="008A2340"/>
    <w:rsid w:val="008A238A"/>
    <w:rsid w:val="008A239E"/>
    <w:rsid w:val="008A2783"/>
    <w:rsid w:val="008A2790"/>
    <w:rsid w:val="008A2C5D"/>
    <w:rsid w:val="008A33B4"/>
    <w:rsid w:val="008A3B87"/>
    <w:rsid w:val="008A3C32"/>
    <w:rsid w:val="008A3EE7"/>
    <w:rsid w:val="008A42CE"/>
    <w:rsid w:val="008A4680"/>
    <w:rsid w:val="008A473D"/>
    <w:rsid w:val="008A4F57"/>
    <w:rsid w:val="008A52CE"/>
    <w:rsid w:val="008A574C"/>
    <w:rsid w:val="008A6A25"/>
    <w:rsid w:val="008A70F7"/>
    <w:rsid w:val="008B0968"/>
    <w:rsid w:val="008B0BA7"/>
    <w:rsid w:val="008B1E06"/>
    <w:rsid w:val="008B1FAB"/>
    <w:rsid w:val="008B20A4"/>
    <w:rsid w:val="008B2F1A"/>
    <w:rsid w:val="008B31AD"/>
    <w:rsid w:val="008B331F"/>
    <w:rsid w:val="008B3A87"/>
    <w:rsid w:val="008B3C1F"/>
    <w:rsid w:val="008B4243"/>
    <w:rsid w:val="008B42D0"/>
    <w:rsid w:val="008B4953"/>
    <w:rsid w:val="008B4A6D"/>
    <w:rsid w:val="008B4E19"/>
    <w:rsid w:val="008B4F72"/>
    <w:rsid w:val="008B5A96"/>
    <w:rsid w:val="008B5E1D"/>
    <w:rsid w:val="008B5F58"/>
    <w:rsid w:val="008B6367"/>
    <w:rsid w:val="008B63AD"/>
    <w:rsid w:val="008B646F"/>
    <w:rsid w:val="008B658C"/>
    <w:rsid w:val="008B7546"/>
    <w:rsid w:val="008C0557"/>
    <w:rsid w:val="008C0771"/>
    <w:rsid w:val="008C0845"/>
    <w:rsid w:val="008C092D"/>
    <w:rsid w:val="008C1107"/>
    <w:rsid w:val="008C1779"/>
    <w:rsid w:val="008C196C"/>
    <w:rsid w:val="008C1C57"/>
    <w:rsid w:val="008C1DC1"/>
    <w:rsid w:val="008C28B3"/>
    <w:rsid w:val="008C2A2B"/>
    <w:rsid w:val="008C3591"/>
    <w:rsid w:val="008C3A88"/>
    <w:rsid w:val="008C3AC1"/>
    <w:rsid w:val="008C3C11"/>
    <w:rsid w:val="008C4EB8"/>
    <w:rsid w:val="008C51A8"/>
    <w:rsid w:val="008C5856"/>
    <w:rsid w:val="008C5CB4"/>
    <w:rsid w:val="008C61B0"/>
    <w:rsid w:val="008C6FD3"/>
    <w:rsid w:val="008C70EB"/>
    <w:rsid w:val="008C7FA7"/>
    <w:rsid w:val="008D07F1"/>
    <w:rsid w:val="008D0C0E"/>
    <w:rsid w:val="008D155D"/>
    <w:rsid w:val="008D15E6"/>
    <w:rsid w:val="008D217D"/>
    <w:rsid w:val="008D229E"/>
    <w:rsid w:val="008D24C5"/>
    <w:rsid w:val="008D36D2"/>
    <w:rsid w:val="008D3C13"/>
    <w:rsid w:val="008D3FE4"/>
    <w:rsid w:val="008D415F"/>
    <w:rsid w:val="008D499F"/>
    <w:rsid w:val="008D4DF4"/>
    <w:rsid w:val="008D547C"/>
    <w:rsid w:val="008D5506"/>
    <w:rsid w:val="008D5DAB"/>
    <w:rsid w:val="008D6164"/>
    <w:rsid w:val="008D6641"/>
    <w:rsid w:val="008D67EC"/>
    <w:rsid w:val="008D6847"/>
    <w:rsid w:val="008D688E"/>
    <w:rsid w:val="008D6968"/>
    <w:rsid w:val="008D6C68"/>
    <w:rsid w:val="008D71F3"/>
    <w:rsid w:val="008D7AFD"/>
    <w:rsid w:val="008D7BE6"/>
    <w:rsid w:val="008D7E3E"/>
    <w:rsid w:val="008D7EA6"/>
    <w:rsid w:val="008E0029"/>
    <w:rsid w:val="008E01BA"/>
    <w:rsid w:val="008E0219"/>
    <w:rsid w:val="008E0386"/>
    <w:rsid w:val="008E0DE2"/>
    <w:rsid w:val="008E16F9"/>
    <w:rsid w:val="008E1CA4"/>
    <w:rsid w:val="008E2BCC"/>
    <w:rsid w:val="008E2D38"/>
    <w:rsid w:val="008E2ED0"/>
    <w:rsid w:val="008E38C7"/>
    <w:rsid w:val="008E489A"/>
    <w:rsid w:val="008E4C7D"/>
    <w:rsid w:val="008E5A4E"/>
    <w:rsid w:val="008E5E16"/>
    <w:rsid w:val="008E5F5F"/>
    <w:rsid w:val="008E6D37"/>
    <w:rsid w:val="008E6F6B"/>
    <w:rsid w:val="008E7155"/>
    <w:rsid w:val="008E71FB"/>
    <w:rsid w:val="008E7365"/>
    <w:rsid w:val="008E7838"/>
    <w:rsid w:val="008E7874"/>
    <w:rsid w:val="008E7BEB"/>
    <w:rsid w:val="008F0248"/>
    <w:rsid w:val="008F078E"/>
    <w:rsid w:val="008F07B8"/>
    <w:rsid w:val="008F0838"/>
    <w:rsid w:val="008F0932"/>
    <w:rsid w:val="008F0A62"/>
    <w:rsid w:val="008F0EF5"/>
    <w:rsid w:val="008F1238"/>
    <w:rsid w:val="008F1892"/>
    <w:rsid w:val="008F257A"/>
    <w:rsid w:val="008F35D9"/>
    <w:rsid w:val="008F3793"/>
    <w:rsid w:val="008F438C"/>
    <w:rsid w:val="008F525C"/>
    <w:rsid w:val="008F540C"/>
    <w:rsid w:val="008F6060"/>
    <w:rsid w:val="008F6426"/>
    <w:rsid w:val="008F6B8B"/>
    <w:rsid w:val="00900731"/>
    <w:rsid w:val="0090146E"/>
    <w:rsid w:val="009014C6"/>
    <w:rsid w:val="00901E4D"/>
    <w:rsid w:val="009030CA"/>
    <w:rsid w:val="00903424"/>
    <w:rsid w:val="009038F8"/>
    <w:rsid w:val="00903F71"/>
    <w:rsid w:val="00904173"/>
    <w:rsid w:val="00904206"/>
    <w:rsid w:val="00904BDA"/>
    <w:rsid w:val="00904CF7"/>
    <w:rsid w:val="00905456"/>
    <w:rsid w:val="00905829"/>
    <w:rsid w:val="00905F98"/>
    <w:rsid w:val="0090621C"/>
    <w:rsid w:val="00906618"/>
    <w:rsid w:val="00906B8C"/>
    <w:rsid w:val="00906C4A"/>
    <w:rsid w:val="00907FD2"/>
    <w:rsid w:val="009100B1"/>
    <w:rsid w:val="009104A4"/>
    <w:rsid w:val="00910866"/>
    <w:rsid w:val="00910F70"/>
    <w:rsid w:val="0091103D"/>
    <w:rsid w:val="009110AD"/>
    <w:rsid w:val="009111CC"/>
    <w:rsid w:val="009114FF"/>
    <w:rsid w:val="00911A79"/>
    <w:rsid w:val="00911B90"/>
    <w:rsid w:val="00911C5C"/>
    <w:rsid w:val="00911D8B"/>
    <w:rsid w:val="009127CC"/>
    <w:rsid w:val="00912AAF"/>
    <w:rsid w:val="00912B65"/>
    <w:rsid w:val="00912BC1"/>
    <w:rsid w:val="00914D40"/>
    <w:rsid w:val="009158B9"/>
    <w:rsid w:val="0091620A"/>
    <w:rsid w:val="00916863"/>
    <w:rsid w:val="0091728E"/>
    <w:rsid w:val="00917458"/>
    <w:rsid w:val="009176C9"/>
    <w:rsid w:val="0092096D"/>
    <w:rsid w:val="009214DE"/>
    <w:rsid w:val="00921B1B"/>
    <w:rsid w:val="00921E56"/>
    <w:rsid w:val="009221ED"/>
    <w:rsid w:val="0092259C"/>
    <w:rsid w:val="00922B73"/>
    <w:rsid w:val="00922F30"/>
    <w:rsid w:val="009231A0"/>
    <w:rsid w:val="009235C9"/>
    <w:rsid w:val="009235EC"/>
    <w:rsid w:val="00926F12"/>
    <w:rsid w:val="00927CE1"/>
    <w:rsid w:val="00927DE3"/>
    <w:rsid w:val="00930591"/>
    <w:rsid w:val="009305F9"/>
    <w:rsid w:val="00930609"/>
    <w:rsid w:val="0093071F"/>
    <w:rsid w:val="00930B72"/>
    <w:rsid w:val="0093196E"/>
    <w:rsid w:val="00931A58"/>
    <w:rsid w:val="00932113"/>
    <w:rsid w:val="0093264C"/>
    <w:rsid w:val="00932AD7"/>
    <w:rsid w:val="00932BD2"/>
    <w:rsid w:val="00932E71"/>
    <w:rsid w:val="009331AA"/>
    <w:rsid w:val="0093385B"/>
    <w:rsid w:val="00933CB4"/>
    <w:rsid w:val="00934790"/>
    <w:rsid w:val="009352C5"/>
    <w:rsid w:val="00935534"/>
    <w:rsid w:val="0093562F"/>
    <w:rsid w:val="00935978"/>
    <w:rsid w:val="00935F61"/>
    <w:rsid w:val="009360BB"/>
    <w:rsid w:val="00936B1F"/>
    <w:rsid w:val="00937808"/>
    <w:rsid w:val="009379F0"/>
    <w:rsid w:val="00937A67"/>
    <w:rsid w:val="00937A6A"/>
    <w:rsid w:val="0094115A"/>
    <w:rsid w:val="0094144F"/>
    <w:rsid w:val="00942B2E"/>
    <w:rsid w:val="00942D0E"/>
    <w:rsid w:val="00943238"/>
    <w:rsid w:val="0094352D"/>
    <w:rsid w:val="00943768"/>
    <w:rsid w:val="00943CFE"/>
    <w:rsid w:val="00943F96"/>
    <w:rsid w:val="00943FA2"/>
    <w:rsid w:val="0094494D"/>
    <w:rsid w:val="00944E59"/>
    <w:rsid w:val="00945401"/>
    <w:rsid w:val="009459F4"/>
    <w:rsid w:val="00945ABE"/>
    <w:rsid w:val="00945E58"/>
    <w:rsid w:val="00946127"/>
    <w:rsid w:val="00946907"/>
    <w:rsid w:val="00946E16"/>
    <w:rsid w:val="00950CAE"/>
    <w:rsid w:val="009512EC"/>
    <w:rsid w:val="00951992"/>
    <w:rsid w:val="009519A8"/>
    <w:rsid w:val="0095234A"/>
    <w:rsid w:val="009524FE"/>
    <w:rsid w:val="00952A5C"/>
    <w:rsid w:val="00952ECA"/>
    <w:rsid w:val="0095315A"/>
    <w:rsid w:val="009532F2"/>
    <w:rsid w:val="009534DD"/>
    <w:rsid w:val="009535C2"/>
    <w:rsid w:val="00953A73"/>
    <w:rsid w:val="00954D5A"/>
    <w:rsid w:val="009551A8"/>
    <w:rsid w:val="0095540A"/>
    <w:rsid w:val="0095640A"/>
    <w:rsid w:val="00956B6C"/>
    <w:rsid w:val="00956DE3"/>
    <w:rsid w:val="00957B5B"/>
    <w:rsid w:val="009601CB"/>
    <w:rsid w:val="0096044C"/>
    <w:rsid w:val="0096059A"/>
    <w:rsid w:val="0096081E"/>
    <w:rsid w:val="00960D39"/>
    <w:rsid w:val="00960F7E"/>
    <w:rsid w:val="009611A5"/>
    <w:rsid w:val="009614BD"/>
    <w:rsid w:val="0096193B"/>
    <w:rsid w:val="00961ABC"/>
    <w:rsid w:val="00962E6A"/>
    <w:rsid w:val="00963188"/>
    <w:rsid w:val="00963240"/>
    <w:rsid w:val="00963440"/>
    <w:rsid w:val="00963B82"/>
    <w:rsid w:val="00964475"/>
    <w:rsid w:val="00964A6E"/>
    <w:rsid w:val="00964FB4"/>
    <w:rsid w:val="009666BD"/>
    <w:rsid w:val="00966AC9"/>
    <w:rsid w:val="00966BFB"/>
    <w:rsid w:val="0096720E"/>
    <w:rsid w:val="00967CDA"/>
    <w:rsid w:val="00970048"/>
    <w:rsid w:val="00970278"/>
    <w:rsid w:val="00970847"/>
    <w:rsid w:val="00970858"/>
    <w:rsid w:val="00971831"/>
    <w:rsid w:val="00971B0F"/>
    <w:rsid w:val="0097216D"/>
    <w:rsid w:val="00972486"/>
    <w:rsid w:val="00972799"/>
    <w:rsid w:val="00972D8F"/>
    <w:rsid w:val="009735A7"/>
    <w:rsid w:val="00973C2B"/>
    <w:rsid w:val="0097437B"/>
    <w:rsid w:val="0097441E"/>
    <w:rsid w:val="0097517A"/>
    <w:rsid w:val="00975AEC"/>
    <w:rsid w:val="00975FB0"/>
    <w:rsid w:val="009762C7"/>
    <w:rsid w:val="0097670F"/>
    <w:rsid w:val="00976C61"/>
    <w:rsid w:val="00976ECA"/>
    <w:rsid w:val="00977532"/>
    <w:rsid w:val="009803EC"/>
    <w:rsid w:val="00981215"/>
    <w:rsid w:val="009812FC"/>
    <w:rsid w:val="009813BF"/>
    <w:rsid w:val="009819CD"/>
    <w:rsid w:val="0098256C"/>
    <w:rsid w:val="00982C0D"/>
    <w:rsid w:val="00982E78"/>
    <w:rsid w:val="009832BE"/>
    <w:rsid w:val="00983B0F"/>
    <w:rsid w:val="00983D98"/>
    <w:rsid w:val="00983EA1"/>
    <w:rsid w:val="009844B4"/>
    <w:rsid w:val="0098453B"/>
    <w:rsid w:val="00984D82"/>
    <w:rsid w:val="0098572B"/>
    <w:rsid w:val="00985CDA"/>
    <w:rsid w:val="0098603A"/>
    <w:rsid w:val="00986137"/>
    <w:rsid w:val="00986B96"/>
    <w:rsid w:val="0098740B"/>
    <w:rsid w:val="00987B9A"/>
    <w:rsid w:val="00987C6F"/>
    <w:rsid w:val="0099018C"/>
    <w:rsid w:val="00990549"/>
    <w:rsid w:val="00990708"/>
    <w:rsid w:val="0099078A"/>
    <w:rsid w:val="00990A3C"/>
    <w:rsid w:val="00990B18"/>
    <w:rsid w:val="00990C3D"/>
    <w:rsid w:val="00991603"/>
    <w:rsid w:val="0099199D"/>
    <w:rsid w:val="00991B9A"/>
    <w:rsid w:val="00991C09"/>
    <w:rsid w:val="00992EA9"/>
    <w:rsid w:val="00993499"/>
    <w:rsid w:val="009934DB"/>
    <w:rsid w:val="009939CB"/>
    <w:rsid w:val="00993D95"/>
    <w:rsid w:val="00994664"/>
    <w:rsid w:val="009948FE"/>
    <w:rsid w:val="009956CC"/>
    <w:rsid w:val="00995756"/>
    <w:rsid w:val="00997125"/>
    <w:rsid w:val="00997582"/>
    <w:rsid w:val="009A0208"/>
    <w:rsid w:val="009A05D0"/>
    <w:rsid w:val="009A0648"/>
    <w:rsid w:val="009A0B05"/>
    <w:rsid w:val="009A1B80"/>
    <w:rsid w:val="009A21EE"/>
    <w:rsid w:val="009A253B"/>
    <w:rsid w:val="009A3C6E"/>
    <w:rsid w:val="009A4973"/>
    <w:rsid w:val="009A640C"/>
    <w:rsid w:val="009A6698"/>
    <w:rsid w:val="009A68E7"/>
    <w:rsid w:val="009A6A04"/>
    <w:rsid w:val="009A6A34"/>
    <w:rsid w:val="009A78A6"/>
    <w:rsid w:val="009A7B46"/>
    <w:rsid w:val="009B01AE"/>
    <w:rsid w:val="009B04F2"/>
    <w:rsid w:val="009B0A43"/>
    <w:rsid w:val="009B0EEC"/>
    <w:rsid w:val="009B123D"/>
    <w:rsid w:val="009B1323"/>
    <w:rsid w:val="009B1676"/>
    <w:rsid w:val="009B1C1B"/>
    <w:rsid w:val="009B1E55"/>
    <w:rsid w:val="009B2E60"/>
    <w:rsid w:val="009B35BF"/>
    <w:rsid w:val="009B4C3E"/>
    <w:rsid w:val="009B4D2F"/>
    <w:rsid w:val="009B5038"/>
    <w:rsid w:val="009B5157"/>
    <w:rsid w:val="009B56BE"/>
    <w:rsid w:val="009B573C"/>
    <w:rsid w:val="009B583F"/>
    <w:rsid w:val="009B5DB6"/>
    <w:rsid w:val="009B604A"/>
    <w:rsid w:val="009B6E0F"/>
    <w:rsid w:val="009B71D8"/>
    <w:rsid w:val="009B7356"/>
    <w:rsid w:val="009B753E"/>
    <w:rsid w:val="009B7A8A"/>
    <w:rsid w:val="009C0978"/>
    <w:rsid w:val="009C099B"/>
    <w:rsid w:val="009C0AA5"/>
    <w:rsid w:val="009C0B86"/>
    <w:rsid w:val="009C1ADB"/>
    <w:rsid w:val="009C37BF"/>
    <w:rsid w:val="009C398A"/>
    <w:rsid w:val="009C4676"/>
    <w:rsid w:val="009C4FAC"/>
    <w:rsid w:val="009C5CCF"/>
    <w:rsid w:val="009C5E7B"/>
    <w:rsid w:val="009C5FC3"/>
    <w:rsid w:val="009C60E9"/>
    <w:rsid w:val="009C6629"/>
    <w:rsid w:val="009C71F3"/>
    <w:rsid w:val="009C7896"/>
    <w:rsid w:val="009D0292"/>
    <w:rsid w:val="009D0530"/>
    <w:rsid w:val="009D08E2"/>
    <w:rsid w:val="009D0C23"/>
    <w:rsid w:val="009D0CF4"/>
    <w:rsid w:val="009D0D52"/>
    <w:rsid w:val="009D140A"/>
    <w:rsid w:val="009D1A74"/>
    <w:rsid w:val="009D2215"/>
    <w:rsid w:val="009D2B87"/>
    <w:rsid w:val="009D3160"/>
    <w:rsid w:val="009D3219"/>
    <w:rsid w:val="009D39E1"/>
    <w:rsid w:val="009D3D90"/>
    <w:rsid w:val="009D43C4"/>
    <w:rsid w:val="009D45A9"/>
    <w:rsid w:val="009D4C5D"/>
    <w:rsid w:val="009D645F"/>
    <w:rsid w:val="009D6D3F"/>
    <w:rsid w:val="009D7410"/>
    <w:rsid w:val="009D7601"/>
    <w:rsid w:val="009D7622"/>
    <w:rsid w:val="009E075E"/>
    <w:rsid w:val="009E1788"/>
    <w:rsid w:val="009E1908"/>
    <w:rsid w:val="009E2011"/>
    <w:rsid w:val="009E233D"/>
    <w:rsid w:val="009E2463"/>
    <w:rsid w:val="009E2B4C"/>
    <w:rsid w:val="009E2C55"/>
    <w:rsid w:val="009E2E3F"/>
    <w:rsid w:val="009E2F8C"/>
    <w:rsid w:val="009E2FAC"/>
    <w:rsid w:val="009E3309"/>
    <w:rsid w:val="009E44A4"/>
    <w:rsid w:val="009E46DD"/>
    <w:rsid w:val="009E4A34"/>
    <w:rsid w:val="009E4E3B"/>
    <w:rsid w:val="009E59F4"/>
    <w:rsid w:val="009E5D7E"/>
    <w:rsid w:val="009E61B0"/>
    <w:rsid w:val="009E63F0"/>
    <w:rsid w:val="009E664F"/>
    <w:rsid w:val="009E7BCD"/>
    <w:rsid w:val="009F012F"/>
    <w:rsid w:val="009F0316"/>
    <w:rsid w:val="009F05AC"/>
    <w:rsid w:val="009F07AE"/>
    <w:rsid w:val="009F086C"/>
    <w:rsid w:val="009F0EA6"/>
    <w:rsid w:val="009F1387"/>
    <w:rsid w:val="009F1443"/>
    <w:rsid w:val="009F14F3"/>
    <w:rsid w:val="009F1778"/>
    <w:rsid w:val="009F1EEE"/>
    <w:rsid w:val="009F1FA6"/>
    <w:rsid w:val="009F239C"/>
    <w:rsid w:val="009F2E88"/>
    <w:rsid w:val="009F4825"/>
    <w:rsid w:val="009F49FF"/>
    <w:rsid w:val="009F4D3A"/>
    <w:rsid w:val="009F4E76"/>
    <w:rsid w:val="009F5BD7"/>
    <w:rsid w:val="009F5CE6"/>
    <w:rsid w:val="009F60E0"/>
    <w:rsid w:val="009F68A3"/>
    <w:rsid w:val="009F6B75"/>
    <w:rsid w:val="009F6C90"/>
    <w:rsid w:val="009F7297"/>
    <w:rsid w:val="009F7355"/>
    <w:rsid w:val="009F74DB"/>
    <w:rsid w:val="009F77DF"/>
    <w:rsid w:val="009F7813"/>
    <w:rsid w:val="00A00221"/>
    <w:rsid w:val="00A00437"/>
    <w:rsid w:val="00A005C0"/>
    <w:rsid w:val="00A0083A"/>
    <w:rsid w:val="00A00935"/>
    <w:rsid w:val="00A00DDA"/>
    <w:rsid w:val="00A00F7E"/>
    <w:rsid w:val="00A01385"/>
    <w:rsid w:val="00A01B9D"/>
    <w:rsid w:val="00A02089"/>
    <w:rsid w:val="00A02A2F"/>
    <w:rsid w:val="00A02C0A"/>
    <w:rsid w:val="00A03066"/>
    <w:rsid w:val="00A0310F"/>
    <w:rsid w:val="00A03652"/>
    <w:rsid w:val="00A03A2A"/>
    <w:rsid w:val="00A0480E"/>
    <w:rsid w:val="00A04844"/>
    <w:rsid w:val="00A06ED8"/>
    <w:rsid w:val="00A07147"/>
    <w:rsid w:val="00A07570"/>
    <w:rsid w:val="00A10103"/>
    <w:rsid w:val="00A11137"/>
    <w:rsid w:val="00A111EA"/>
    <w:rsid w:val="00A1135E"/>
    <w:rsid w:val="00A11447"/>
    <w:rsid w:val="00A11B67"/>
    <w:rsid w:val="00A11DEE"/>
    <w:rsid w:val="00A12405"/>
    <w:rsid w:val="00A12B28"/>
    <w:rsid w:val="00A12DF2"/>
    <w:rsid w:val="00A13EAB"/>
    <w:rsid w:val="00A162DF"/>
    <w:rsid w:val="00A16324"/>
    <w:rsid w:val="00A17013"/>
    <w:rsid w:val="00A17AF1"/>
    <w:rsid w:val="00A17B4D"/>
    <w:rsid w:val="00A17B91"/>
    <w:rsid w:val="00A20220"/>
    <w:rsid w:val="00A20CAE"/>
    <w:rsid w:val="00A2107F"/>
    <w:rsid w:val="00A2146D"/>
    <w:rsid w:val="00A216BF"/>
    <w:rsid w:val="00A21C7C"/>
    <w:rsid w:val="00A23269"/>
    <w:rsid w:val="00A233B1"/>
    <w:rsid w:val="00A23F95"/>
    <w:rsid w:val="00A2457D"/>
    <w:rsid w:val="00A24E61"/>
    <w:rsid w:val="00A25E6E"/>
    <w:rsid w:val="00A26462"/>
    <w:rsid w:val="00A26700"/>
    <w:rsid w:val="00A2670F"/>
    <w:rsid w:val="00A26B21"/>
    <w:rsid w:val="00A274E2"/>
    <w:rsid w:val="00A309AC"/>
    <w:rsid w:val="00A30B97"/>
    <w:rsid w:val="00A30BDB"/>
    <w:rsid w:val="00A31193"/>
    <w:rsid w:val="00A312FC"/>
    <w:rsid w:val="00A31F4F"/>
    <w:rsid w:val="00A31F9A"/>
    <w:rsid w:val="00A3288D"/>
    <w:rsid w:val="00A3307A"/>
    <w:rsid w:val="00A33F89"/>
    <w:rsid w:val="00A3466E"/>
    <w:rsid w:val="00A34BDA"/>
    <w:rsid w:val="00A34F8F"/>
    <w:rsid w:val="00A352BD"/>
    <w:rsid w:val="00A358DC"/>
    <w:rsid w:val="00A362FE"/>
    <w:rsid w:val="00A36A2B"/>
    <w:rsid w:val="00A40342"/>
    <w:rsid w:val="00A4164A"/>
    <w:rsid w:val="00A417B2"/>
    <w:rsid w:val="00A4189A"/>
    <w:rsid w:val="00A41C3D"/>
    <w:rsid w:val="00A41F2E"/>
    <w:rsid w:val="00A42159"/>
    <w:rsid w:val="00A42416"/>
    <w:rsid w:val="00A42D6D"/>
    <w:rsid w:val="00A42DF3"/>
    <w:rsid w:val="00A432A0"/>
    <w:rsid w:val="00A4354B"/>
    <w:rsid w:val="00A43E26"/>
    <w:rsid w:val="00A43EC3"/>
    <w:rsid w:val="00A43F0A"/>
    <w:rsid w:val="00A43FF9"/>
    <w:rsid w:val="00A44220"/>
    <w:rsid w:val="00A454CD"/>
    <w:rsid w:val="00A46541"/>
    <w:rsid w:val="00A465E9"/>
    <w:rsid w:val="00A46A4B"/>
    <w:rsid w:val="00A47774"/>
    <w:rsid w:val="00A47BC1"/>
    <w:rsid w:val="00A50899"/>
    <w:rsid w:val="00A512A2"/>
    <w:rsid w:val="00A5216F"/>
    <w:rsid w:val="00A52254"/>
    <w:rsid w:val="00A52401"/>
    <w:rsid w:val="00A52622"/>
    <w:rsid w:val="00A5287D"/>
    <w:rsid w:val="00A53729"/>
    <w:rsid w:val="00A550F7"/>
    <w:rsid w:val="00A55431"/>
    <w:rsid w:val="00A560C7"/>
    <w:rsid w:val="00A562BE"/>
    <w:rsid w:val="00A56A4F"/>
    <w:rsid w:val="00A56DDE"/>
    <w:rsid w:val="00A571F5"/>
    <w:rsid w:val="00A57205"/>
    <w:rsid w:val="00A57839"/>
    <w:rsid w:val="00A5787F"/>
    <w:rsid w:val="00A57914"/>
    <w:rsid w:val="00A57A70"/>
    <w:rsid w:val="00A57E73"/>
    <w:rsid w:val="00A60242"/>
    <w:rsid w:val="00A60436"/>
    <w:rsid w:val="00A607D9"/>
    <w:rsid w:val="00A60C3A"/>
    <w:rsid w:val="00A60EC2"/>
    <w:rsid w:val="00A61039"/>
    <w:rsid w:val="00A612AC"/>
    <w:rsid w:val="00A6190A"/>
    <w:rsid w:val="00A6209A"/>
    <w:rsid w:val="00A621B7"/>
    <w:rsid w:val="00A62AC5"/>
    <w:rsid w:val="00A63037"/>
    <w:rsid w:val="00A6323E"/>
    <w:rsid w:val="00A63478"/>
    <w:rsid w:val="00A63AAC"/>
    <w:rsid w:val="00A63AF3"/>
    <w:rsid w:val="00A63D28"/>
    <w:rsid w:val="00A6419E"/>
    <w:rsid w:val="00A64B15"/>
    <w:rsid w:val="00A64E8C"/>
    <w:rsid w:val="00A64EF8"/>
    <w:rsid w:val="00A65E01"/>
    <w:rsid w:val="00A664B6"/>
    <w:rsid w:val="00A6677B"/>
    <w:rsid w:val="00A66AC3"/>
    <w:rsid w:val="00A67466"/>
    <w:rsid w:val="00A67D1C"/>
    <w:rsid w:val="00A70065"/>
    <w:rsid w:val="00A710AC"/>
    <w:rsid w:val="00A717AD"/>
    <w:rsid w:val="00A7186E"/>
    <w:rsid w:val="00A71FC9"/>
    <w:rsid w:val="00A725DB"/>
    <w:rsid w:val="00A73738"/>
    <w:rsid w:val="00A73D7C"/>
    <w:rsid w:val="00A73E8F"/>
    <w:rsid w:val="00A7475B"/>
    <w:rsid w:val="00A747DC"/>
    <w:rsid w:val="00A74CC1"/>
    <w:rsid w:val="00A74D4E"/>
    <w:rsid w:val="00A75204"/>
    <w:rsid w:val="00A753BD"/>
    <w:rsid w:val="00A761EE"/>
    <w:rsid w:val="00A767D8"/>
    <w:rsid w:val="00A76B33"/>
    <w:rsid w:val="00A76D4A"/>
    <w:rsid w:val="00A76F54"/>
    <w:rsid w:val="00A77933"/>
    <w:rsid w:val="00A77BEC"/>
    <w:rsid w:val="00A77F98"/>
    <w:rsid w:val="00A80343"/>
    <w:rsid w:val="00A80813"/>
    <w:rsid w:val="00A80B2E"/>
    <w:rsid w:val="00A80EA4"/>
    <w:rsid w:val="00A81536"/>
    <w:rsid w:val="00A819DD"/>
    <w:rsid w:val="00A81C95"/>
    <w:rsid w:val="00A822D7"/>
    <w:rsid w:val="00A83768"/>
    <w:rsid w:val="00A83A16"/>
    <w:rsid w:val="00A83CA5"/>
    <w:rsid w:val="00A84336"/>
    <w:rsid w:val="00A84863"/>
    <w:rsid w:val="00A84EBD"/>
    <w:rsid w:val="00A84EDD"/>
    <w:rsid w:val="00A84F34"/>
    <w:rsid w:val="00A8542C"/>
    <w:rsid w:val="00A8620E"/>
    <w:rsid w:val="00A864B2"/>
    <w:rsid w:val="00A864E9"/>
    <w:rsid w:val="00A86CC9"/>
    <w:rsid w:val="00A87906"/>
    <w:rsid w:val="00A87958"/>
    <w:rsid w:val="00A87D0C"/>
    <w:rsid w:val="00A87E9E"/>
    <w:rsid w:val="00A901BE"/>
    <w:rsid w:val="00A904E2"/>
    <w:rsid w:val="00A90D2E"/>
    <w:rsid w:val="00A912E7"/>
    <w:rsid w:val="00A91E97"/>
    <w:rsid w:val="00A92BCF"/>
    <w:rsid w:val="00A93095"/>
    <w:rsid w:val="00A938E8"/>
    <w:rsid w:val="00A95EE7"/>
    <w:rsid w:val="00A96085"/>
    <w:rsid w:val="00A96424"/>
    <w:rsid w:val="00A96F5C"/>
    <w:rsid w:val="00AA04FA"/>
    <w:rsid w:val="00AA19A6"/>
    <w:rsid w:val="00AA1AED"/>
    <w:rsid w:val="00AA20B1"/>
    <w:rsid w:val="00AA22E3"/>
    <w:rsid w:val="00AA22F5"/>
    <w:rsid w:val="00AA262E"/>
    <w:rsid w:val="00AA2C89"/>
    <w:rsid w:val="00AA3451"/>
    <w:rsid w:val="00AA364A"/>
    <w:rsid w:val="00AA43BD"/>
    <w:rsid w:val="00AA46E6"/>
    <w:rsid w:val="00AA48C1"/>
    <w:rsid w:val="00AA52CC"/>
    <w:rsid w:val="00AA60A4"/>
    <w:rsid w:val="00AA6240"/>
    <w:rsid w:val="00AA682F"/>
    <w:rsid w:val="00AA73A8"/>
    <w:rsid w:val="00AA784D"/>
    <w:rsid w:val="00AA7A8A"/>
    <w:rsid w:val="00AB006F"/>
    <w:rsid w:val="00AB1A9F"/>
    <w:rsid w:val="00AB2483"/>
    <w:rsid w:val="00AB3037"/>
    <w:rsid w:val="00AB3184"/>
    <w:rsid w:val="00AB33F9"/>
    <w:rsid w:val="00AB3CEC"/>
    <w:rsid w:val="00AB3E8B"/>
    <w:rsid w:val="00AB4AFF"/>
    <w:rsid w:val="00AB537C"/>
    <w:rsid w:val="00AB5887"/>
    <w:rsid w:val="00AB5B81"/>
    <w:rsid w:val="00AB5C13"/>
    <w:rsid w:val="00AB5D24"/>
    <w:rsid w:val="00AB64E5"/>
    <w:rsid w:val="00AB6C31"/>
    <w:rsid w:val="00AB7213"/>
    <w:rsid w:val="00AB7442"/>
    <w:rsid w:val="00AB7888"/>
    <w:rsid w:val="00AC0BBF"/>
    <w:rsid w:val="00AC1226"/>
    <w:rsid w:val="00AC1686"/>
    <w:rsid w:val="00AC179A"/>
    <w:rsid w:val="00AC2484"/>
    <w:rsid w:val="00AC24F6"/>
    <w:rsid w:val="00AC299E"/>
    <w:rsid w:val="00AC2CC9"/>
    <w:rsid w:val="00AC2F23"/>
    <w:rsid w:val="00AC318F"/>
    <w:rsid w:val="00AC3535"/>
    <w:rsid w:val="00AC449D"/>
    <w:rsid w:val="00AC55C2"/>
    <w:rsid w:val="00AC5C6A"/>
    <w:rsid w:val="00AC5D05"/>
    <w:rsid w:val="00AC65AF"/>
    <w:rsid w:val="00AC7052"/>
    <w:rsid w:val="00AC70AF"/>
    <w:rsid w:val="00AC7703"/>
    <w:rsid w:val="00AC7736"/>
    <w:rsid w:val="00AC7E57"/>
    <w:rsid w:val="00AD0508"/>
    <w:rsid w:val="00AD0558"/>
    <w:rsid w:val="00AD05B2"/>
    <w:rsid w:val="00AD0DCF"/>
    <w:rsid w:val="00AD10E5"/>
    <w:rsid w:val="00AD1DF3"/>
    <w:rsid w:val="00AD1FF4"/>
    <w:rsid w:val="00AD23CC"/>
    <w:rsid w:val="00AD31EC"/>
    <w:rsid w:val="00AD3498"/>
    <w:rsid w:val="00AD35A4"/>
    <w:rsid w:val="00AD37F0"/>
    <w:rsid w:val="00AD3C2A"/>
    <w:rsid w:val="00AD3E6B"/>
    <w:rsid w:val="00AD4379"/>
    <w:rsid w:val="00AD4E47"/>
    <w:rsid w:val="00AD5D9A"/>
    <w:rsid w:val="00AD6676"/>
    <w:rsid w:val="00AD6833"/>
    <w:rsid w:val="00AD715B"/>
    <w:rsid w:val="00AD77FA"/>
    <w:rsid w:val="00AE0323"/>
    <w:rsid w:val="00AE1923"/>
    <w:rsid w:val="00AE1D4C"/>
    <w:rsid w:val="00AE2457"/>
    <w:rsid w:val="00AE252A"/>
    <w:rsid w:val="00AE2565"/>
    <w:rsid w:val="00AE2BAC"/>
    <w:rsid w:val="00AE3B43"/>
    <w:rsid w:val="00AE48A4"/>
    <w:rsid w:val="00AE4F38"/>
    <w:rsid w:val="00AE507F"/>
    <w:rsid w:val="00AE5427"/>
    <w:rsid w:val="00AE67C4"/>
    <w:rsid w:val="00AE6873"/>
    <w:rsid w:val="00AE6D21"/>
    <w:rsid w:val="00AE70EF"/>
    <w:rsid w:val="00AE7169"/>
    <w:rsid w:val="00AE7523"/>
    <w:rsid w:val="00AE7F9B"/>
    <w:rsid w:val="00AF0D16"/>
    <w:rsid w:val="00AF1DE2"/>
    <w:rsid w:val="00AF2806"/>
    <w:rsid w:val="00AF2A30"/>
    <w:rsid w:val="00AF3BEC"/>
    <w:rsid w:val="00AF406C"/>
    <w:rsid w:val="00AF428A"/>
    <w:rsid w:val="00AF4370"/>
    <w:rsid w:val="00AF498E"/>
    <w:rsid w:val="00AF4AF0"/>
    <w:rsid w:val="00AF4E90"/>
    <w:rsid w:val="00AF5912"/>
    <w:rsid w:val="00AF59AE"/>
    <w:rsid w:val="00AF5B5D"/>
    <w:rsid w:val="00AF5D8B"/>
    <w:rsid w:val="00AF5DBD"/>
    <w:rsid w:val="00AF60BF"/>
    <w:rsid w:val="00AF629F"/>
    <w:rsid w:val="00AF6AEC"/>
    <w:rsid w:val="00AF6B59"/>
    <w:rsid w:val="00AF7341"/>
    <w:rsid w:val="00AF7D80"/>
    <w:rsid w:val="00B0063B"/>
    <w:rsid w:val="00B00F17"/>
    <w:rsid w:val="00B01DB9"/>
    <w:rsid w:val="00B01E36"/>
    <w:rsid w:val="00B03B4D"/>
    <w:rsid w:val="00B04293"/>
    <w:rsid w:val="00B04643"/>
    <w:rsid w:val="00B04C10"/>
    <w:rsid w:val="00B055B1"/>
    <w:rsid w:val="00B0575B"/>
    <w:rsid w:val="00B05779"/>
    <w:rsid w:val="00B068E4"/>
    <w:rsid w:val="00B068FF"/>
    <w:rsid w:val="00B06BA0"/>
    <w:rsid w:val="00B06EA8"/>
    <w:rsid w:val="00B07DD0"/>
    <w:rsid w:val="00B115ED"/>
    <w:rsid w:val="00B117CB"/>
    <w:rsid w:val="00B117D7"/>
    <w:rsid w:val="00B11972"/>
    <w:rsid w:val="00B12516"/>
    <w:rsid w:val="00B12732"/>
    <w:rsid w:val="00B13785"/>
    <w:rsid w:val="00B13B8E"/>
    <w:rsid w:val="00B142E0"/>
    <w:rsid w:val="00B14312"/>
    <w:rsid w:val="00B14CF7"/>
    <w:rsid w:val="00B15237"/>
    <w:rsid w:val="00B154C1"/>
    <w:rsid w:val="00B17485"/>
    <w:rsid w:val="00B22822"/>
    <w:rsid w:val="00B22EBA"/>
    <w:rsid w:val="00B231BC"/>
    <w:rsid w:val="00B23278"/>
    <w:rsid w:val="00B23573"/>
    <w:rsid w:val="00B23ABE"/>
    <w:rsid w:val="00B23B67"/>
    <w:rsid w:val="00B24B78"/>
    <w:rsid w:val="00B24E97"/>
    <w:rsid w:val="00B25FEF"/>
    <w:rsid w:val="00B26303"/>
    <w:rsid w:val="00B26797"/>
    <w:rsid w:val="00B26BE1"/>
    <w:rsid w:val="00B26C98"/>
    <w:rsid w:val="00B26E4F"/>
    <w:rsid w:val="00B271E8"/>
    <w:rsid w:val="00B275D8"/>
    <w:rsid w:val="00B27680"/>
    <w:rsid w:val="00B27DA7"/>
    <w:rsid w:val="00B27F36"/>
    <w:rsid w:val="00B313F6"/>
    <w:rsid w:val="00B323E3"/>
    <w:rsid w:val="00B32506"/>
    <w:rsid w:val="00B32BF9"/>
    <w:rsid w:val="00B32F66"/>
    <w:rsid w:val="00B3325C"/>
    <w:rsid w:val="00B33364"/>
    <w:rsid w:val="00B33678"/>
    <w:rsid w:val="00B33DDF"/>
    <w:rsid w:val="00B33FD6"/>
    <w:rsid w:val="00B34406"/>
    <w:rsid w:val="00B3463B"/>
    <w:rsid w:val="00B34827"/>
    <w:rsid w:val="00B34AFD"/>
    <w:rsid w:val="00B3512D"/>
    <w:rsid w:val="00B354E2"/>
    <w:rsid w:val="00B358C1"/>
    <w:rsid w:val="00B3652D"/>
    <w:rsid w:val="00B36705"/>
    <w:rsid w:val="00B37073"/>
    <w:rsid w:val="00B40037"/>
    <w:rsid w:val="00B412F3"/>
    <w:rsid w:val="00B41861"/>
    <w:rsid w:val="00B41A1A"/>
    <w:rsid w:val="00B42107"/>
    <w:rsid w:val="00B4226E"/>
    <w:rsid w:val="00B428D3"/>
    <w:rsid w:val="00B4371F"/>
    <w:rsid w:val="00B440D1"/>
    <w:rsid w:val="00B44A28"/>
    <w:rsid w:val="00B44CF2"/>
    <w:rsid w:val="00B453BC"/>
    <w:rsid w:val="00B457E4"/>
    <w:rsid w:val="00B457F9"/>
    <w:rsid w:val="00B45869"/>
    <w:rsid w:val="00B45A65"/>
    <w:rsid w:val="00B45BBA"/>
    <w:rsid w:val="00B462D8"/>
    <w:rsid w:val="00B46347"/>
    <w:rsid w:val="00B46444"/>
    <w:rsid w:val="00B46E16"/>
    <w:rsid w:val="00B4762E"/>
    <w:rsid w:val="00B47DE4"/>
    <w:rsid w:val="00B507E3"/>
    <w:rsid w:val="00B51909"/>
    <w:rsid w:val="00B51CE3"/>
    <w:rsid w:val="00B52EAD"/>
    <w:rsid w:val="00B52F36"/>
    <w:rsid w:val="00B531A4"/>
    <w:rsid w:val="00B53A39"/>
    <w:rsid w:val="00B53E30"/>
    <w:rsid w:val="00B5474A"/>
    <w:rsid w:val="00B549A7"/>
    <w:rsid w:val="00B54B97"/>
    <w:rsid w:val="00B55825"/>
    <w:rsid w:val="00B558AD"/>
    <w:rsid w:val="00B55D4F"/>
    <w:rsid w:val="00B55E9E"/>
    <w:rsid w:val="00B56591"/>
    <w:rsid w:val="00B56ACA"/>
    <w:rsid w:val="00B57320"/>
    <w:rsid w:val="00B574FC"/>
    <w:rsid w:val="00B5752D"/>
    <w:rsid w:val="00B577AE"/>
    <w:rsid w:val="00B57AC2"/>
    <w:rsid w:val="00B60A5C"/>
    <w:rsid w:val="00B60E24"/>
    <w:rsid w:val="00B61068"/>
    <w:rsid w:val="00B6118D"/>
    <w:rsid w:val="00B62C41"/>
    <w:rsid w:val="00B64054"/>
    <w:rsid w:val="00B64A9A"/>
    <w:rsid w:val="00B666F5"/>
    <w:rsid w:val="00B66A53"/>
    <w:rsid w:val="00B66C43"/>
    <w:rsid w:val="00B6706A"/>
    <w:rsid w:val="00B6718B"/>
    <w:rsid w:val="00B6739C"/>
    <w:rsid w:val="00B674BE"/>
    <w:rsid w:val="00B67A5D"/>
    <w:rsid w:val="00B67BF5"/>
    <w:rsid w:val="00B70240"/>
    <w:rsid w:val="00B706E0"/>
    <w:rsid w:val="00B70E68"/>
    <w:rsid w:val="00B7111B"/>
    <w:rsid w:val="00B71BEA"/>
    <w:rsid w:val="00B71D0E"/>
    <w:rsid w:val="00B71D2A"/>
    <w:rsid w:val="00B71D57"/>
    <w:rsid w:val="00B71DE3"/>
    <w:rsid w:val="00B72616"/>
    <w:rsid w:val="00B7351F"/>
    <w:rsid w:val="00B743DF"/>
    <w:rsid w:val="00B74B6F"/>
    <w:rsid w:val="00B752A3"/>
    <w:rsid w:val="00B75640"/>
    <w:rsid w:val="00B75690"/>
    <w:rsid w:val="00B76433"/>
    <w:rsid w:val="00B76743"/>
    <w:rsid w:val="00B76EBE"/>
    <w:rsid w:val="00B77355"/>
    <w:rsid w:val="00B77E94"/>
    <w:rsid w:val="00B80321"/>
    <w:rsid w:val="00B81B04"/>
    <w:rsid w:val="00B81FE7"/>
    <w:rsid w:val="00B82AE5"/>
    <w:rsid w:val="00B82D16"/>
    <w:rsid w:val="00B838E8"/>
    <w:rsid w:val="00B847A7"/>
    <w:rsid w:val="00B84EB3"/>
    <w:rsid w:val="00B85FEE"/>
    <w:rsid w:val="00B863E7"/>
    <w:rsid w:val="00B8778B"/>
    <w:rsid w:val="00B87C95"/>
    <w:rsid w:val="00B9031C"/>
    <w:rsid w:val="00B90653"/>
    <w:rsid w:val="00B91213"/>
    <w:rsid w:val="00B925DB"/>
    <w:rsid w:val="00B9333B"/>
    <w:rsid w:val="00B934DE"/>
    <w:rsid w:val="00B938E4"/>
    <w:rsid w:val="00B94269"/>
    <w:rsid w:val="00B947BF"/>
    <w:rsid w:val="00B94A1E"/>
    <w:rsid w:val="00B94B69"/>
    <w:rsid w:val="00B94E55"/>
    <w:rsid w:val="00B94F87"/>
    <w:rsid w:val="00B951C1"/>
    <w:rsid w:val="00B9556E"/>
    <w:rsid w:val="00B95A50"/>
    <w:rsid w:val="00B95D2C"/>
    <w:rsid w:val="00B95DC7"/>
    <w:rsid w:val="00B963A6"/>
    <w:rsid w:val="00B96B43"/>
    <w:rsid w:val="00B96C52"/>
    <w:rsid w:val="00B96C53"/>
    <w:rsid w:val="00B96E50"/>
    <w:rsid w:val="00B973D0"/>
    <w:rsid w:val="00B975CF"/>
    <w:rsid w:val="00BA0F89"/>
    <w:rsid w:val="00BA1049"/>
    <w:rsid w:val="00BA179D"/>
    <w:rsid w:val="00BA1AFD"/>
    <w:rsid w:val="00BA217B"/>
    <w:rsid w:val="00BA2A85"/>
    <w:rsid w:val="00BA4525"/>
    <w:rsid w:val="00BA475F"/>
    <w:rsid w:val="00BA4BFB"/>
    <w:rsid w:val="00BA510A"/>
    <w:rsid w:val="00BA51F6"/>
    <w:rsid w:val="00BA5B47"/>
    <w:rsid w:val="00BA5ED6"/>
    <w:rsid w:val="00BA62EF"/>
    <w:rsid w:val="00BA648B"/>
    <w:rsid w:val="00BA6818"/>
    <w:rsid w:val="00BA77DE"/>
    <w:rsid w:val="00BA782E"/>
    <w:rsid w:val="00BA7A25"/>
    <w:rsid w:val="00BA7B21"/>
    <w:rsid w:val="00BA7F1B"/>
    <w:rsid w:val="00BB05F4"/>
    <w:rsid w:val="00BB0630"/>
    <w:rsid w:val="00BB0CA5"/>
    <w:rsid w:val="00BB0F61"/>
    <w:rsid w:val="00BB12F6"/>
    <w:rsid w:val="00BB13AC"/>
    <w:rsid w:val="00BB14DD"/>
    <w:rsid w:val="00BB174C"/>
    <w:rsid w:val="00BB3436"/>
    <w:rsid w:val="00BB3A7C"/>
    <w:rsid w:val="00BB3C90"/>
    <w:rsid w:val="00BB3D9E"/>
    <w:rsid w:val="00BB48F9"/>
    <w:rsid w:val="00BB51DC"/>
    <w:rsid w:val="00BB5776"/>
    <w:rsid w:val="00BB591D"/>
    <w:rsid w:val="00BB5B56"/>
    <w:rsid w:val="00BB6172"/>
    <w:rsid w:val="00BB6853"/>
    <w:rsid w:val="00BB6B0B"/>
    <w:rsid w:val="00BB6C0B"/>
    <w:rsid w:val="00BB6DEB"/>
    <w:rsid w:val="00BB6E54"/>
    <w:rsid w:val="00BB6F1C"/>
    <w:rsid w:val="00BB7144"/>
    <w:rsid w:val="00BB772D"/>
    <w:rsid w:val="00BB7A21"/>
    <w:rsid w:val="00BB7DB2"/>
    <w:rsid w:val="00BC062E"/>
    <w:rsid w:val="00BC091B"/>
    <w:rsid w:val="00BC13E1"/>
    <w:rsid w:val="00BC14C0"/>
    <w:rsid w:val="00BC23C0"/>
    <w:rsid w:val="00BC265E"/>
    <w:rsid w:val="00BC2978"/>
    <w:rsid w:val="00BC3563"/>
    <w:rsid w:val="00BC3677"/>
    <w:rsid w:val="00BC5795"/>
    <w:rsid w:val="00BC5D84"/>
    <w:rsid w:val="00BC66F9"/>
    <w:rsid w:val="00BC6794"/>
    <w:rsid w:val="00BC6B0B"/>
    <w:rsid w:val="00BC730B"/>
    <w:rsid w:val="00BC7C23"/>
    <w:rsid w:val="00BD00C1"/>
    <w:rsid w:val="00BD0750"/>
    <w:rsid w:val="00BD0E33"/>
    <w:rsid w:val="00BD1B8C"/>
    <w:rsid w:val="00BD1C96"/>
    <w:rsid w:val="00BD1D83"/>
    <w:rsid w:val="00BD283C"/>
    <w:rsid w:val="00BD35F1"/>
    <w:rsid w:val="00BD37BA"/>
    <w:rsid w:val="00BD383C"/>
    <w:rsid w:val="00BD4B63"/>
    <w:rsid w:val="00BD4CCC"/>
    <w:rsid w:val="00BD5031"/>
    <w:rsid w:val="00BD541B"/>
    <w:rsid w:val="00BD601C"/>
    <w:rsid w:val="00BD70AE"/>
    <w:rsid w:val="00BD7218"/>
    <w:rsid w:val="00BE0DCB"/>
    <w:rsid w:val="00BE1859"/>
    <w:rsid w:val="00BE24E9"/>
    <w:rsid w:val="00BE2D0C"/>
    <w:rsid w:val="00BE422F"/>
    <w:rsid w:val="00BE4477"/>
    <w:rsid w:val="00BE4B93"/>
    <w:rsid w:val="00BE538C"/>
    <w:rsid w:val="00BE6738"/>
    <w:rsid w:val="00BE756C"/>
    <w:rsid w:val="00BE7822"/>
    <w:rsid w:val="00BE7934"/>
    <w:rsid w:val="00BE7AC2"/>
    <w:rsid w:val="00BF01F1"/>
    <w:rsid w:val="00BF04AD"/>
    <w:rsid w:val="00BF07D6"/>
    <w:rsid w:val="00BF0A42"/>
    <w:rsid w:val="00BF1740"/>
    <w:rsid w:val="00BF2184"/>
    <w:rsid w:val="00BF2F32"/>
    <w:rsid w:val="00BF381C"/>
    <w:rsid w:val="00BF4607"/>
    <w:rsid w:val="00BF4733"/>
    <w:rsid w:val="00BF498B"/>
    <w:rsid w:val="00BF4EB8"/>
    <w:rsid w:val="00BF5363"/>
    <w:rsid w:val="00BF5D42"/>
    <w:rsid w:val="00BF60CD"/>
    <w:rsid w:val="00BF6690"/>
    <w:rsid w:val="00BF74EB"/>
    <w:rsid w:val="00BF7E99"/>
    <w:rsid w:val="00C0040C"/>
    <w:rsid w:val="00C00469"/>
    <w:rsid w:val="00C0047B"/>
    <w:rsid w:val="00C010FA"/>
    <w:rsid w:val="00C01B68"/>
    <w:rsid w:val="00C01BB0"/>
    <w:rsid w:val="00C0279B"/>
    <w:rsid w:val="00C02F70"/>
    <w:rsid w:val="00C03FC3"/>
    <w:rsid w:val="00C042FB"/>
    <w:rsid w:val="00C047D8"/>
    <w:rsid w:val="00C05422"/>
    <w:rsid w:val="00C05541"/>
    <w:rsid w:val="00C0591B"/>
    <w:rsid w:val="00C0643E"/>
    <w:rsid w:val="00C06FD8"/>
    <w:rsid w:val="00C07452"/>
    <w:rsid w:val="00C07AE4"/>
    <w:rsid w:val="00C10A2E"/>
    <w:rsid w:val="00C10E4A"/>
    <w:rsid w:val="00C10F84"/>
    <w:rsid w:val="00C1163D"/>
    <w:rsid w:val="00C11958"/>
    <w:rsid w:val="00C11D67"/>
    <w:rsid w:val="00C11E76"/>
    <w:rsid w:val="00C120B4"/>
    <w:rsid w:val="00C129C1"/>
    <w:rsid w:val="00C13EC6"/>
    <w:rsid w:val="00C14064"/>
    <w:rsid w:val="00C14145"/>
    <w:rsid w:val="00C14D49"/>
    <w:rsid w:val="00C15346"/>
    <w:rsid w:val="00C15E18"/>
    <w:rsid w:val="00C16DA8"/>
    <w:rsid w:val="00C17CD2"/>
    <w:rsid w:val="00C17D16"/>
    <w:rsid w:val="00C17EC4"/>
    <w:rsid w:val="00C202DC"/>
    <w:rsid w:val="00C20431"/>
    <w:rsid w:val="00C20D32"/>
    <w:rsid w:val="00C20DA8"/>
    <w:rsid w:val="00C20DF3"/>
    <w:rsid w:val="00C21563"/>
    <w:rsid w:val="00C21792"/>
    <w:rsid w:val="00C21910"/>
    <w:rsid w:val="00C21E6C"/>
    <w:rsid w:val="00C21FFB"/>
    <w:rsid w:val="00C2200C"/>
    <w:rsid w:val="00C220B5"/>
    <w:rsid w:val="00C22309"/>
    <w:rsid w:val="00C224D0"/>
    <w:rsid w:val="00C22E40"/>
    <w:rsid w:val="00C22E4B"/>
    <w:rsid w:val="00C22E7B"/>
    <w:rsid w:val="00C23E65"/>
    <w:rsid w:val="00C240D2"/>
    <w:rsid w:val="00C24652"/>
    <w:rsid w:val="00C24886"/>
    <w:rsid w:val="00C24A19"/>
    <w:rsid w:val="00C24A20"/>
    <w:rsid w:val="00C251CF"/>
    <w:rsid w:val="00C25770"/>
    <w:rsid w:val="00C2619D"/>
    <w:rsid w:val="00C262DD"/>
    <w:rsid w:val="00C26352"/>
    <w:rsid w:val="00C2636E"/>
    <w:rsid w:val="00C268C6"/>
    <w:rsid w:val="00C27F83"/>
    <w:rsid w:val="00C3074B"/>
    <w:rsid w:val="00C30904"/>
    <w:rsid w:val="00C310EC"/>
    <w:rsid w:val="00C318AF"/>
    <w:rsid w:val="00C31D26"/>
    <w:rsid w:val="00C321FC"/>
    <w:rsid w:val="00C324F0"/>
    <w:rsid w:val="00C3267E"/>
    <w:rsid w:val="00C327BC"/>
    <w:rsid w:val="00C33435"/>
    <w:rsid w:val="00C3360B"/>
    <w:rsid w:val="00C3385B"/>
    <w:rsid w:val="00C34193"/>
    <w:rsid w:val="00C35323"/>
    <w:rsid w:val="00C35747"/>
    <w:rsid w:val="00C35A2D"/>
    <w:rsid w:val="00C3671C"/>
    <w:rsid w:val="00C3678C"/>
    <w:rsid w:val="00C368B2"/>
    <w:rsid w:val="00C36FB7"/>
    <w:rsid w:val="00C37102"/>
    <w:rsid w:val="00C37435"/>
    <w:rsid w:val="00C37A49"/>
    <w:rsid w:val="00C4227F"/>
    <w:rsid w:val="00C42302"/>
    <w:rsid w:val="00C43770"/>
    <w:rsid w:val="00C43DB2"/>
    <w:rsid w:val="00C43F3C"/>
    <w:rsid w:val="00C44B2F"/>
    <w:rsid w:val="00C4508E"/>
    <w:rsid w:val="00C45463"/>
    <w:rsid w:val="00C46905"/>
    <w:rsid w:val="00C4786D"/>
    <w:rsid w:val="00C47DE2"/>
    <w:rsid w:val="00C50543"/>
    <w:rsid w:val="00C505BA"/>
    <w:rsid w:val="00C50835"/>
    <w:rsid w:val="00C5157D"/>
    <w:rsid w:val="00C52726"/>
    <w:rsid w:val="00C52A31"/>
    <w:rsid w:val="00C52CEE"/>
    <w:rsid w:val="00C530B7"/>
    <w:rsid w:val="00C53869"/>
    <w:rsid w:val="00C53C97"/>
    <w:rsid w:val="00C56DA7"/>
    <w:rsid w:val="00C56EA1"/>
    <w:rsid w:val="00C57277"/>
    <w:rsid w:val="00C57319"/>
    <w:rsid w:val="00C57A60"/>
    <w:rsid w:val="00C57C31"/>
    <w:rsid w:val="00C60E54"/>
    <w:rsid w:val="00C60ED4"/>
    <w:rsid w:val="00C61032"/>
    <w:rsid w:val="00C61102"/>
    <w:rsid w:val="00C61E12"/>
    <w:rsid w:val="00C620C3"/>
    <w:rsid w:val="00C6241F"/>
    <w:rsid w:val="00C624A9"/>
    <w:rsid w:val="00C62B22"/>
    <w:rsid w:val="00C63304"/>
    <w:rsid w:val="00C63BC0"/>
    <w:rsid w:val="00C63D7F"/>
    <w:rsid w:val="00C64D09"/>
    <w:rsid w:val="00C65AE0"/>
    <w:rsid w:val="00C661CD"/>
    <w:rsid w:val="00C66925"/>
    <w:rsid w:val="00C66FFA"/>
    <w:rsid w:val="00C6779C"/>
    <w:rsid w:val="00C67BA4"/>
    <w:rsid w:val="00C702FB"/>
    <w:rsid w:val="00C70B35"/>
    <w:rsid w:val="00C7112E"/>
    <w:rsid w:val="00C71A7E"/>
    <w:rsid w:val="00C71B29"/>
    <w:rsid w:val="00C71C06"/>
    <w:rsid w:val="00C71FAC"/>
    <w:rsid w:val="00C7234C"/>
    <w:rsid w:val="00C7346A"/>
    <w:rsid w:val="00C736A6"/>
    <w:rsid w:val="00C737B3"/>
    <w:rsid w:val="00C73BEB"/>
    <w:rsid w:val="00C73F09"/>
    <w:rsid w:val="00C744C0"/>
    <w:rsid w:val="00C74D6B"/>
    <w:rsid w:val="00C7524C"/>
    <w:rsid w:val="00C75AA9"/>
    <w:rsid w:val="00C766FC"/>
    <w:rsid w:val="00C76D6D"/>
    <w:rsid w:val="00C776FD"/>
    <w:rsid w:val="00C7774B"/>
    <w:rsid w:val="00C77879"/>
    <w:rsid w:val="00C77DF2"/>
    <w:rsid w:val="00C8020F"/>
    <w:rsid w:val="00C804E2"/>
    <w:rsid w:val="00C81842"/>
    <w:rsid w:val="00C8201D"/>
    <w:rsid w:val="00C8225E"/>
    <w:rsid w:val="00C82DF5"/>
    <w:rsid w:val="00C83948"/>
    <w:rsid w:val="00C83FC0"/>
    <w:rsid w:val="00C84351"/>
    <w:rsid w:val="00C84552"/>
    <w:rsid w:val="00C848BA"/>
    <w:rsid w:val="00C84F98"/>
    <w:rsid w:val="00C852CD"/>
    <w:rsid w:val="00C85810"/>
    <w:rsid w:val="00C86A07"/>
    <w:rsid w:val="00C87468"/>
    <w:rsid w:val="00C8799A"/>
    <w:rsid w:val="00C87FF5"/>
    <w:rsid w:val="00C903B9"/>
    <w:rsid w:val="00C90800"/>
    <w:rsid w:val="00C90877"/>
    <w:rsid w:val="00C91770"/>
    <w:rsid w:val="00C91C46"/>
    <w:rsid w:val="00C91E35"/>
    <w:rsid w:val="00C921B9"/>
    <w:rsid w:val="00C93087"/>
    <w:rsid w:val="00C93165"/>
    <w:rsid w:val="00C93944"/>
    <w:rsid w:val="00C9424C"/>
    <w:rsid w:val="00C94297"/>
    <w:rsid w:val="00C94660"/>
    <w:rsid w:val="00C94796"/>
    <w:rsid w:val="00C94C8D"/>
    <w:rsid w:val="00C9533D"/>
    <w:rsid w:val="00C95411"/>
    <w:rsid w:val="00C955AD"/>
    <w:rsid w:val="00C955D7"/>
    <w:rsid w:val="00C95F4E"/>
    <w:rsid w:val="00C96502"/>
    <w:rsid w:val="00C9688C"/>
    <w:rsid w:val="00C971AB"/>
    <w:rsid w:val="00C97654"/>
    <w:rsid w:val="00C978C8"/>
    <w:rsid w:val="00C97BC4"/>
    <w:rsid w:val="00C97E35"/>
    <w:rsid w:val="00CA043B"/>
    <w:rsid w:val="00CA062B"/>
    <w:rsid w:val="00CA0CFC"/>
    <w:rsid w:val="00CA1C86"/>
    <w:rsid w:val="00CA1CBB"/>
    <w:rsid w:val="00CA1D40"/>
    <w:rsid w:val="00CA2076"/>
    <w:rsid w:val="00CA2E6A"/>
    <w:rsid w:val="00CA301A"/>
    <w:rsid w:val="00CA33FB"/>
    <w:rsid w:val="00CA3632"/>
    <w:rsid w:val="00CA3981"/>
    <w:rsid w:val="00CA4552"/>
    <w:rsid w:val="00CA46A4"/>
    <w:rsid w:val="00CA4B8E"/>
    <w:rsid w:val="00CA4CB1"/>
    <w:rsid w:val="00CA52BC"/>
    <w:rsid w:val="00CA5A78"/>
    <w:rsid w:val="00CA5BD2"/>
    <w:rsid w:val="00CA6039"/>
    <w:rsid w:val="00CA6484"/>
    <w:rsid w:val="00CA68D4"/>
    <w:rsid w:val="00CA7C3B"/>
    <w:rsid w:val="00CB0479"/>
    <w:rsid w:val="00CB0A16"/>
    <w:rsid w:val="00CB0F3D"/>
    <w:rsid w:val="00CB1696"/>
    <w:rsid w:val="00CB1DCD"/>
    <w:rsid w:val="00CB2774"/>
    <w:rsid w:val="00CB285D"/>
    <w:rsid w:val="00CB2A32"/>
    <w:rsid w:val="00CB41FA"/>
    <w:rsid w:val="00CB4562"/>
    <w:rsid w:val="00CB47F9"/>
    <w:rsid w:val="00CB4D3C"/>
    <w:rsid w:val="00CB4F91"/>
    <w:rsid w:val="00CB5516"/>
    <w:rsid w:val="00CB5679"/>
    <w:rsid w:val="00CB5713"/>
    <w:rsid w:val="00CB68A2"/>
    <w:rsid w:val="00CB731B"/>
    <w:rsid w:val="00CB74A7"/>
    <w:rsid w:val="00CB7F3B"/>
    <w:rsid w:val="00CC01EB"/>
    <w:rsid w:val="00CC0A7F"/>
    <w:rsid w:val="00CC150E"/>
    <w:rsid w:val="00CC158F"/>
    <w:rsid w:val="00CC1F66"/>
    <w:rsid w:val="00CC25FD"/>
    <w:rsid w:val="00CC2932"/>
    <w:rsid w:val="00CC2CA2"/>
    <w:rsid w:val="00CC2E62"/>
    <w:rsid w:val="00CC2FBC"/>
    <w:rsid w:val="00CC30CE"/>
    <w:rsid w:val="00CC327F"/>
    <w:rsid w:val="00CC3624"/>
    <w:rsid w:val="00CC474A"/>
    <w:rsid w:val="00CC4BE7"/>
    <w:rsid w:val="00CC4C03"/>
    <w:rsid w:val="00CC4C62"/>
    <w:rsid w:val="00CC4D1A"/>
    <w:rsid w:val="00CC4EF2"/>
    <w:rsid w:val="00CC56A1"/>
    <w:rsid w:val="00CC61AA"/>
    <w:rsid w:val="00CC6875"/>
    <w:rsid w:val="00CC71A0"/>
    <w:rsid w:val="00CC75C2"/>
    <w:rsid w:val="00CC778A"/>
    <w:rsid w:val="00CC7F41"/>
    <w:rsid w:val="00CD0246"/>
    <w:rsid w:val="00CD03CF"/>
    <w:rsid w:val="00CD0842"/>
    <w:rsid w:val="00CD157B"/>
    <w:rsid w:val="00CD1B67"/>
    <w:rsid w:val="00CD21FE"/>
    <w:rsid w:val="00CD23D6"/>
    <w:rsid w:val="00CD2656"/>
    <w:rsid w:val="00CD365A"/>
    <w:rsid w:val="00CD3911"/>
    <w:rsid w:val="00CD3912"/>
    <w:rsid w:val="00CD3F18"/>
    <w:rsid w:val="00CD45E3"/>
    <w:rsid w:val="00CD4B8D"/>
    <w:rsid w:val="00CD5618"/>
    <w:rsid w:val="00CD5857"/>
    <w:rsid w:val="00CD5FFD"/>
    <w:rsid w:val="00CD688F"/>
    <w:rsid w:val="00CD6ACE"/>
    <w:rsid w:val="00CD7CCB"/>
    <w:rsid w:val="00CE02E6"/>
    <w:rsid w:val="00CE1043"/>
    <w:rsid w:val="00CE1B0F"/>
    <w:rsid w:val="00CE1F2E"/>
    <w:rsid w:val="00CE1F54"/>
    <w:rsid w:val="00CE31E5"/>
    <w:rsid w:val="00CE344C"/>
    <w:rsid w:val="00CE3564"/>
    <w:rsid w:val="00CE3ADC"/>
    <w:rsid w:val="00CE419A"/>
    <w:rsid w:val="00CE5D82"/>
    <w:rsid w:val="00CE6528"/>
    <w:rsid w:val="00CE6B16"/>
    <w:rsid w:val="00CE6BB0"/>
    <w:rsid w:val="00CE6F27"/>
    <w:rsid w:val="00CE7054"/>
    <w:rsid w:val="00CE76D3"/>
    <w:rsid w:val="00CE79FE"/>
    <w:rsid w:val="00CE7B16"/>
    <w:rsid w:val="00CE7E16"/>
    <w:rsid w:val="00CF010F"/>
    <w:rsid w:val="00CF01A9"/>
    <w:rsid w:val="00CF072B"/>
    <w:rsid w:val="00CF0ADD"/>
    <w:rsid w:val="00CF0AFE"/>
    <w:rsid w:val="00CF0D20"/>
    <w:rsid w:val="00CF1132"/>
    <w:rsid w:val="00CF176A"/>
    <w:rsid w:val="00CF20CC"/>
    <w:rsid w:val="00CF2344"/>
    <w:rsid w:val="00CF28EE"/>
    <w:rsid w:val="00CF2E9D"/>
    <w:rsid w:val="00CF3159"/>
    <w:rsid w:val="00CF3471"/>
    <w:rsid w:val="00CF347A"/>
    <w:rsid w:val="00CF402D"/>
    <w:rsid w:val="00CF431B"/>
    <w:rsid w:val="00CF500C"/>
    <w:rsid w:val="00CF5577"/>
    <w:rsid w:val="00CF62A8"/>
    <w:rsid w:val="00CF67BC"/>
    <w:rsid w:val="00CF6D2B"/>
    <w:rsid w:val="00CF6DF4"/>
    <w:rsid w:val="00CF6EA7"/>
    <w:rsid w:val="00CF6EFA"/>
    <w:rsid w:val="00CF75DB"/>
    <w:rsid w:val="00CF7684"/>
    <w:rsid w:val="00D0024E"/>
    <w:rsid w:val="00D00F0F"/>
    <w:rsid w:val="00D00FC1"/>
    <w:rsid w:val="00D00FC7"/>
    <w:rsid w:val="00D0212E"/>
    <w:rsid w:val="00D02668"/>
    <w:rsid w:val="00D04A80"/>
    <w:rsid w:val="00D04F7B"/>
    <w:rsid w:val="00D050A6"/>
    <w:rsid w:val="00D0512C"/>
    <w:rsid w:val="00D06211"/>
    <w:rsid w:val="00D06E9F"/>
    <w:rsid w:val="00D06FFF"/>
    <w:rsid w:val="00D07B7D"/>
    <w:rsid w:val="00D113E7"/>
    <w:rsid w:val="00D116F0"/>
    <w:rsid w:val="00D119B8"/>
    <w:rsid w:val="00D11B26"/>
    <w:rsid w:val="00D122BD"/>
    <w:rsid w:val="00D12A77"/>
    <w:rsid w:val="00D12E24"/>
    <w:rsid w:val="00D12E4D"/>
    <w:rsid w:val="00D13CD4"/>
    <w:rsid w:val="00D14332"/>
    <w:rsid w:val="00D15178"/>
    <w:rsid w:val="00D1522A"/>
    <w:rsid w:val="00D15901"/>
    <w:rsid w:val="00D15B0C"/>
    <w:rsid w:val="00D167E6"/>
    <w:rsid w:val="00D16F7A"/>
    <w:rsid w:val="00D16F9B"/>
    <w:rsid w:val="00D17457"/>
    <w:rsid w:val="00D17611"/>
    <w:rsid w:val="00D17E36"/>
    <w:rsid w:val="00D20677"/>
    <w:rsid w:val="00D21A5A"/>
    <w:rsid w:val="00D21BA4"/>
    <w:rsid w:val="00D22863"/>
    <w:rsid w:val="00D22A36"/>
    <w:rsid w:val="00D23502"/>
    <w:rsid w:val="00D24778"/>
    <w:rsid w:val="00D25ADF"/>
    <w:rsid w:val="00D25BE6"/>
    <w:rsid w:val="00D25C2E"/>
    <w:rsid w:val="00D25FFA"/>
    <w:rsid w:val="00D264A4"/>
    <w:rsid w:val="00D26C79"/>
    <w:rsid w:val="00D26DF4"/>
    <w:rsid w:val="00D26E87"/>
    <w:rsid w:val="00D27086"/>
    <w:rsid w:val="00D27CDB"/>
    <w:rsid w:val="00D30458"/>
    <w:rsid w:val="00D30B67"/>
    <w:rsid w:val="00D30BE1"/>
    <w:rsid w:val="00D30D2F"/>
    <w:rsid w:val="00D31529"/>
    <w:rsid w:val="00D3190D"/>
    <w:rsid w:val="00D3320D"/>
    <w:rsid w:val="00D3345B"/>
    <w:rsid w:val="00D33974"/>
    <w:rsid w:val="00D340C1"/>
    <w:rsid w:val="00D34219"/>
    <w:rsid w:val="00D346EB"/>
    <w:rsid w:val="00D34895"/>
    <w:rsid w:val="00D350F8"/>
    <w:rsid w:val="00D353B8"/>
    <w:rsid w:val="00D35DEF"/>
    <w:rsid w:val="00D362D1"/>
    <w:rsid w:val="00D36FEC"/>
    <w:rsid w:val="00D3723B"/>
    <w:rsid w:val="00D374CF"/>
    <w:rsid w:val="00D377B1"/>
    <w:rsid w:val="00D37996"/>
    <w:rsid w:val="00D37DF7"/>
    <w:rsid w:val="00D405B2"/>
    <w:rsid w:val="00D4101C"/>
    <w:rsid w:val="00D411AB"/>
    <w:rsid w:val="00D4180D"/>
    <w:rsid w:val="00D41BD7"/>
    <w:rsid w:val="00D41D83"/>
    <w:rsid w:val="00D41E32"/>
    <w:rsid w:val="00D42078"/>
    <w:rsid w:val="00D42726"/>
    <w:rsid w:val="00D42A50"/>
    <w:rsid w:val="00D42CC1"/>
    <w:rsid w:val="00D42F6C"/>
    <w:rsid w:val="00D43A1F"/>
    <w:rsid w:val="00D44755"/>
    <w:rsid w:val="00D44866"/>
    <w:rsid w:val="00D45EDA"/>
    <w:rsid w:val="00D46126"/>
    <w:rsid w:val="00D47048"/>
    <w:rsid w:val="00D474B0"/>
    <w:rsid w:val="00D47580"/>
    <w:rsid w:val="00D508A2"/>
    <w:rsid w:val="00D50DFF"/>
    <w:rsid w:val="00D512A4"/>
    <w:rsid w:val="00D5138A"/>
    <w:rsid w:val="00D51A7A"/>
    <w:rsid w:val="00D521C2"/>
    <w:rsid w:val="00D53401"/>
    <w:rsid w:val="00D5370C"/>
    <w:rsid w:val="00D53A72"/>
    <w:rsid w:val="00D54213"/>
    <w:rsid w:val="00D54F96"/>
    <w:rsid w:val="00D5509A"/>
    <w:rsid w:val="00D56D7F"/>
    <w:rsid w:val="00D57027"/>
    <w:rsid w:val="00D570F3"/>
    <w:rsid w:val="00D57379"/>
    <w:rsid w:val="00D578DF"/>
    <w:rsid w:val="00D60147"/>
    <w:rsid w:val="00D6064B"/>
    <w:rsid w:val="00D608CE"/>
    <w:rsid w:val="00D609B2"/>
    <w:rsid w:val="00D609BF"/>
    <w:rsid w:val="00D60C25"/>
    <w:rsid w:val="00D60DEF"/>
    <w:rsid w:val="00D61D9D"/>
    <w:rsid w:val="00D62119"/>
    <w:rsid w:val="00D6217D"/>
    <w:rsid w:val="00D6231B"/>
    <w:rsid w:val="00D62DFA"/>
    <w:rsid w:val="00D63ACC"/>
    <w:rsid w:val="00D640F3"/>
    <w:rsid w:val="00D65E2D"/>
    <w:rsid w:val="00D66949"/>
    <w:rsid w:val="00D67A60"/>
    <w:rsid w:val="00D70016"/>
    <w:rsid w:val="00D70178"/>
    <w:rsid w:val="00D701D4"/>
    <w:rsid w:val="00D703F6"/>
    <w:rsid w:val="00D7100B"/>
    <w:rsid w:val="00D71336"/>
    <w:rsid w:val="00D71461"/>
    <w:rsid w:val="00D71471"/>
    <w:rsid w:val="00D714AC"/>
    <w:rsid w:val="00D71C56"/>
    <w:rsid w:val="00D7211E"/>
    <w:rsid w:val="00D72859"/>
    <w:rsid w:val="00D72BCB"/>
    <w:rsid w:val="00D72C2A"/>
    <w:rsid w:val="00D73826"/>
    <w:rsid w:val="00D73AC8"/>
    <w:rsid w:val="00D73C72"/>
    <w:rsid w:val="00D73DDB"/>
    <w:rsid w:val="00D7519D"/>
    <w:rsid w:val="00D75281"/>
    <w:rsid w:val="00D75B25"/>
    <w:rsid w:val="00D7657C"/>
    <w:rsid w:val="00D76BAD"/>
    <w:rsid w:val="00D76E8B"/>
    <w:rsid w:val="00D76F16"/>
    <w:rsid w:val="00D7706C"/>
    <w:rsid w:val="00D77433"/>
    <w:rsid w:val="00D80A82"/>
    <w:rsid w:val="00D80F0E"/>
    <w:rsid w:val="00D810BB"/>
    <w:rsid w:val="00D814EC"/>
    <w:rsid w:val="00D81801"/>
    <w:rsid w:val="00D8205D"/>
    <w:rsid w:val="00D825C5"/>
    <w:rsid w:val="00D82A69"/>
    <w:rsid w:val="00D82E60"/>
    <w:rsid w:val="00D82FCF"/>
    <w:rsid w:val="00D844C1"/>
    <w:rsid w:val="00D846FB"/>
    <w:rsid w:val="00D84B97"/>
    <w:rsid w:val="00D84E58"/>
    <w:rsid w:val="00D84E93"/>
    <w:rsid w:val="00D85673"/>
    <w:rsid w:val="00D8567A"/>
    <w:rsid w:val="00D86512"/>
    <w:rsid w:val="00D86695"/>
    <w:rsid w:val="00D867A8"/>
    <w:rsid w:val="00D86A06"/>
    <w:rsid w:val="00D86ABB"/>
    <w:rsid w:val="00D86AD8"/>
    <w:rsid w:val="00D87080"/>
    <w:rsid w:val="00D87115"/>
    <w:rsid w:val="00D879C1"/>
    <w:rsid w:val="00D9051D"/>
    <w:rsid w:val="00D90A77"/>
    <w:rsid w:val="00D90BA1"/>
    <w:rsid w:val="00D91893"/>
    <w:rsid w:val="00D91911"/>
    <w:rsid w:val="00D91B8A"/>
    <w:rsid w:val="00D9376B"/>
    <w:rsid w:val="00D93E53"/>
    <w:rsid w:val="00D941BA"/>
    <w:rsid w:val="00D9449B"/>
    <w:rsid w:val="00D94A33"/>
    <w:rsid w:val="00D95349"/>
    <w:rsid w:val="00D967F6"/>
    <w:rsid w:val="00D97CB3"/>
    <w:rsid w:val="00DA018F"/>
    <w:rsid w:val="00DA037D"/>
    <w:rsid w:val="00DA0ADB"/>
    <w:rsid w:val="00DA182E"/>
    <w:rsid w:val="00DA1E23"/>
    <w:rsid w:val="00DA32AF"/>
    <w:rsid w:val="00DA33EF"/>
    <w:rsid w:val="00DA35AD"/>
    <w:rsid w:val="00DA3EAD"/>
    <w:rsid w:val="00DA3EE9"/>
    <w:rsid w:val="00DA4370"/>
    <w:rsid w:val="00DA477A"/>
    <w:rsid w:val="00DA4973"/>
    <w:rsid w:val="00DA5172"/>
    <w:rsid w:val="00DA5259"/>
    <w:rsid w:val="00DA545B"/>
    <w:rsid w:val="00DA5A10"/>
    <w:rsid w:val="00DA5D6A"/>
    <w:rsid w:val="00DA67B4"/>
    <w:rsid w:val="00DA6B61"/>
    <w:rsid w:val="00DA6CF4"/>
    <w:rsid w:val="00DA70E8"/>
    <w:rsid w:val="00DA73AF"/>
    <w:rsid w:val="00DA7CFE"/>
    <w:rsid w:val="00DB0056"/>
    <w:rsid w:val="00DB016D"/>
    <w:rsid w:val="00DB0C10"/>
    <w:rsid w:val="00DB0C40"/>
    <w:rsid w:val="00DB0DD9"/>
    <w:rsid w:val="00DB1023"/>
    <w:rsid w:val="00DB1950"/>
    <w:rsid w:val="00DB2032"/>
    <w:rsid w:val="00DB2A7D"/>
    <w:rsid w:val="00DB30F4"/>
    <w:rsid w:val="00DB39E2"/>
    <w:rsid w:val="00DB3A12"/>
    <w:rsid w:val="00DB3D95"/>
    <w:rsid w:val="00DB3E37"/>
    <w:rsid w:val="00DB3EE0"/>
    <w:rsid w:val="00DB49CD"/>
    <w:rsid w:val="00DB4D2C"/>
    <w:rsid w:val="00DB4E7F"/>
    <w:rsid w:val="00DB4FAD"/>
    <w:rsid w:val="00DB59FC"/>
    <w:rsid w:val="00DB5AB4"/>
    <w:rsid w:val="00DB6E07"/>
    <w:rsid w:val="00DB73D7"/>
    <w:rsid w:val="00DB7541"/>
    <w:rsid w:val="00DB7D54"/>
    <w:rsid w:val="00DB7ED2"/>
    <w:rsid w:val="00DC0D2B"/>
    <w:rsid w:val="00DC0E44"/>
    <w:rsid w:val="00DC17AE"/>
    <w:rsid w:val="00DC1926"/>
    <w:rsid w:val="00DC1C01"/>
    <w:rsid w:val="00DC1E36"/>
    <w:rsid w:val="00DC2670"/>
    <w:rsid w:val="00DC2886"/>
    <w:rsid w:val="00DC2A62"/>
    <w:rsid w:val="00DC2C50"/>
    <w:rsid w:val="00DC30EE"/>
    <w:rsid w:val="00DC390F"/>
    <w:rsid w:val="00DC3A85"/>
    <w:rsid w:val="00DC3E38"/>
    <w:rsid w:val="00DC46CB"/>
    <w:rsid w:val="00DC5CE2"/>
    <w:rsid w:val="00DC5DB6"/>
    <w:rsid w:val="00DC6BB2"/>
    <w:rsid w:val="00DC7552"/>
    <w:rsid w:val="00DC7624"/>
    <w:rsid w:val="00DC7C54"/>
    <w:rsid w:val="00DC7D21"/>
    <w:rsid w:val="00DD0024"/>
    <w:rsid w:val="00DD0241"/>
    <w:rsid w:val="00DD0E81"/>
    <w:rsid w:val="00DD2301"/>
    <w:rsid w:val="00DD2520"/>
    <w:rsid w:val="00DD28FB"/>
    <w:rsid w:val="00DD30CB"/>
    <w:rsid w:val="00DD3791"/>
    <w:rsid w:val="00DD3A1E"/>
    <w:rsid w:val="00DD4752"/>
    <w:rsid w:val="00DD488F"/>
    <w:rsid w:val="00DD4D46"/>
    <w:rsid w:val="00DD4DAF"/>
    <w:rsid w:val="00DD56E2"/>
    <w:rsid w:val="00DD5948"/>
    <w:rsid w:val="00DD6294"/>
    <w:rsid w:val="00DD67E5"/>
    <w:rsid w:val="00DD6A57"/>
    <w:rsid w:val="00DD6DE4"/>
    <w:rsid w:val="00DD7848"/>
    <w:rsid w:val="00DD7EAF"/>
    <w:rsid w:val="00DE0DAC"/>
    <w:rsid w:val="00DE0FBE"/>
    <w:rsid w:val="00DE1B18"/>
    <w:rsid w:val="00DE1D5F"/>
    <w:rsid w:val="00DE20F1"/>
    <w:rsid w:val="00DE21F5"/>
    <w:rsid w:val="00DE2445"/>
    <w:rsid w:val="00DE2792"/>
    <w:rsid w:val="00DE2EB4"/>
    <w:rsid w:val="00DE34E7"/>
    <w:rsid w:val="00DE357C"/>
    <w:rsid w:val="00DE3650"/>
    <w:rsid w:val="00DE37AE"/>
    <w:rsid w:val="00DE38E9"/>
    <w:rsid w:val="00DE3A21"/>
    <w:rsid w:val="00DE3CCD"/>
    <w:rsid w:val="00DE3CE5"/>
    <w:rsid w:val="00DE4063"/>
    <w:rsid w:val="00DE472C"/>
    <w:rsid w:val="00DE5E6C"/>
    <w:rsid w:val="00DE6425"/>
    <w:rsid w:val="00DE6EB9"/>
    <w:rsid w:val="00DE7B6E"/>
    <w:rsid w:val="00DF0532"/>
    <w:rsid w:val="00DF074F"/>
    <w:rsid w:val="00DF0B4D"/>
    <w:rsid w:val="00DF12B3"/>
    <w:rsid w:val="00DF1783"/>
    <w:rsid w:val="00DF1842"/>
    <w:rsid w:val="00DF1A16"/>
    <w:rsid w:val="00DF1C08"/>
    <w:rsid w:val="00DF21F4"/>
    <w:rsid w:val="00DF2583"/>
    <w:rsid w:val="00DF26B1"/>
    <w:rsid w:val="00DF2CE5"/>
    <w:rsid w:val="00DF2E7F"/>
    <w:rsid w:val="00DF3158"/>
    <w:rsid w:val="00DF3219"/>
    <w:rsid w:val="00DF3DA5"/>
    <w:rsid w:val="00DF4435"/>
    <w:rsid w:val="00DF467D"/>
    <w:rsid w:val="00DF47F8"/>
    <w:rsid w:val="00DF4FB9"/>
    <w:rsid w:val="00DF6037"/>
    <w:rsid w:val="00DF60F3"/>
    <w:rsid w:val="00DF7942"/>
    <w:rsid w:val="00DF7C09"/>
    <w:rsid w:val="00E001D0"/>
    <w:rsid w:val="00E00419"/>
    <w:rsid w:val="00E00569"/>
    <w:rsid w:val="00E0064F"/>
    <w:rsid w:val="00E00737"/>
    <w:rsid w:val="00E0085F"/>
    <w:rsid w:val="00E00A9C"/>
    <w:rsid w:val="00E00EF7"/>
    <w:rsid w:val="00E01412"/>
    <w:rsid w:val="00E014CA"/>
    <w:rsid w:val="00E01CA7"/>
    <w:rsid w:val="00E02E95"/>
    <w:rsid w:val="00E033BA"/>
    <w:rsid w:val="00E03692"/>
    <w:rsid w:val="00E036E5"/>
    <w:rsid w:val="00E0382F"/>
    <w:rsid w:val="00E03980"/>
    <w:rsid w:val="00E03D17"/>
    <w:rsid w:val="00E041EC"/>
    <w:rsid w:val="00E04674"/>
    <w:rsid w:val="00E047AD"/>
    <w:rsid w:val="00E050F0"/>
    <w:rsid w:val="00E058EE"/>
    <w:rsid w:val="00E05FC9"/>
    <w:rsid w:val="00E06676"/>
    <w:rsid w:val="00E06836"/>
    <w:rsid w:val="00E06840"/>
    <w:rsid w:val="00E06A0D"/>
    <w:rsid w:val="00E075DE"/>
    <w:rsid w:val="00E07AA3"/>
    <w:rsid w:val="00E07AB5"/>
    <w:rsid w:val="00E11DB0"/>
    <w:rsid w:val="00E1213E"/>
    <w:rsid w:val="00E12CBB"/>
    <w:rsid w:val="00E12D6C"/>
    <w:rsid w:val="00E12EDF"/>
    <w:rsid w:val="00E132F3"/>
    <w:rsid w:val="00E13E81"/>
    <w:rsid w:val="00E14268"/>
    <w:rsid w:val="00E1448C"/>
    <w:rsid w:val="00E14B7B"/>
    <w:rsid w:val="00E14D04"/>
    <w:rsid w:val="00E1520B"/>
    <w:rsid w:val="00E15B3A"/>
    <w:rsid w:val="00E15B76"/>
    <w:rsid w:val="00E16380"/>
    <w:rsid w:val="00E16B28"/>
    <w:rsid w:val="00E16D2F"/>
    <w:rsid w:val="00E17206"/>
    <w:rsid w:val="00E1720E"/>
    <w:rsid w:val="00E17B40"/>
    <w:rsid w:val="00E17D6E"/>
    <w:rsid w:val="00E17F71"/>
    <w:rsid w:val="00E21224"/>
    <w:rsid w:val="00E22E87"/>
    <w:rsid w:val="00E2360B"/>
    <w:rsid w:val="00E23C52"/>
    <w:rsid w:val="00E23C67"/>
    <w:rsid w:val="00E23CEF"/>
    <w:rsid w:val="00E25014"/>
    <w:rsid w:val="00E25696"/>
    <w:rsid w:val="00E25709"/>
    <w:rsid w:val="00E2631F"/>
    <w:rsid w:val="00E265C0"/>
    <w:rsid w:val="00E26A6B"/>
    <w:rsid w:val="00E27665"/>
    <w:rsid w:val="00E278AC"/>
    <w:rsid w:val="00E27BEE"/>
    <w:rsid w:val="00E3052B"/>
    <w:rsid w:val="00E30729"/>
    <w:rsid w:val="00E30D5D"/>
    <w:rsid w:val="00E30DCA"/>
    <w:rsid w:val="00E31710"/>
    <w:rsid w:val="00E32188"/>
    <w:rsid w:val="00E328D8"/>
    <w:rsid w:val="00E32CE2"/>
    <w:rsid w:val="00E32D37"/>
    <w:rsid w:val="00E33A4B"/>
    <w:rsid w:val="00E33C12"/>
    <w:rsid w:val="00E33F65"/>
    <w:rsid w:val="00E34142"/>
    <w:rsid w:val="00E3495E"/>
    <w:rsid w:val="00E3737C"/>
    <w:rsid w:val="00E37667"/>
    <w:rsid w:val="00E406DA"/>
    <w:rsid w:val="00E40850"/>
    <w:rsid w:val="00E4085B"/>
    <w:rsid w:val="00E40ADA"/>
    <w:rsid w:val="00E415FC"/>
    <w:rsid w:val="00E4170E"/>
    <w:rsid w:val="00E41943"/>
    <w:rsid w:val="00E4199C"/>
    <w:rsid w:val="00E4225A"/>
    <w:rsid w:val="00E430B6"/>
    <w:rsid w:val="00E43398"/>
    <w:rsid w:val="00E43FB8"/>
    <w:rsid w:val="00E44214"/>
    <w:rsid w:val="00E44A83"/>
    <w:rsid w:val="00E44BFF"/>
    <w:rsid w:val="00E44C59"/>
    <w:rsid w:val="00E44E7C"/>
    <w:rsid w:val="00E44E8D"/>
    <w:rsid w:val="00E45377"/>
    <w:rsid w:val="00E4549D"/>
    <w:rsid w:val="00E45BF2"/>
    <w:rsid w:val="00E45DEA"/>
    <w:rsid w:val="00E472A3"/>
    <w:rsid w:val="00E47684"/>
    <w:rsid w:val="00E47D29"/>
    <w:rsid w:val="00E47F9B"/>
    <w:rsid w:val="00E50C4C"/>
    <w:rsid w:val="00E50EA9"/>
    <w:rsid w:val="00E51829"/>
    <w:rsid w:val="00E51E48"/>
    <w:rsid w:val="00E5324B"/>
    <w:rsid w:val="00E538FD"/>
    <w:rsid w:val="00E54291"/>
    <w:rsid w:val="00E5459C"/>
    <w:rsid w:val="00E549C2"/>
    <w:rsid w:val="00E557B5"/>
    <w:rsid w:val="00E56BD8"/>
    <w:rsid w:val="00E56F3C"/>
    <w:rsid w:val="00E57B6A"/>
    <w:rsid w:val="00E6036F"/>
    <w:rsid w:val="00E607D4"/>
    <w:rsid w:val="00E60952"/>
    <w:rsid w:val="00E60D85"/>
    <w:rsid w:val="00E61E23"/>
    <w:rsid w:val="00E620A6"/>
    <w:rsid w:val="00E6210D"/>
    <w:rsid w:val="00E62171"/>
    <w:rsid w:val="00E62768"/>
    <w:rsid w:val="00E636D1"/>
    <w:rsid w:val="00E63F38"/>
    <w:rsid w:val="00E6462C"/>
    <w:rsid w:val="00E64656"/>
    <w:rsid w:val="00E6499A"/>
    <w:rsid w:val="00E652FF"/>
    <w:rsid w:val="00E65BCA"/>
    <w:rsid w:val="00E66281"/>
    <w:rsid w:val="00E66365"/>
    <w:rsid w:val="00E669D5"/>
    <w:rsid w:val="00E67497"/>
    <w:rsid w:val="00E676F9"/>
    <w:rsid w:val="00E714F7"/>
    <w:rsid w:val="00E71702"/>
    <w:rsid w:val="00E719D3"/>
    <w:rsid w:val="00E720FD"/>
    <w:rsid w:val="00E720FE"/>
    <w:rsid w:val="00E72A86"/>
    <w:rsid w:val="00E72C29"/>
    <w:rsid w:val="00E73583"/>
    <w:rsid w:val="00E73BE1"/>
    <w:rsid w:val="00E74EE7"/>
    <w:rsid w:val="00E758E0"/>
    <w:rsid w:val="00E76052"/>
    <w:rsid w:val="00E76782"/>
    <w:rsid w:val="00E76956"/>
    <w:rsid w:val="00E77030"/>
    <w:rsid w:val="00E779CB"/>
    <w:rsid w:val="00E77C4F"/>
    <w:rsid w:val="00E80B80"/>
    <w:rsid w:val="00E814BC"/>
    <w:rsid w:val="00E81603"/>
    <w:rsid w:val="00E81A4E"/>
    <w:rsid w:val="00E81FCA"/>
    <w:rsid w:val="00E83CFF"/>
    <w:rsid w:val="00E83D1B"/>
    <w:rsid w:val="00E84AB4"/>
    <w:rsid w:val="00E84B48"/>
    <w:rsid w:val="00E84EBF"/>
    <w:rsid w:val="00E8590A"/>
    <w:rsid w:val="00E85F07"/>
    <w:rsid w:val="00E85F38"/>
    <w:rsid w:val="00E85FC0"/>
    <w:rsid w:val="00E861A8"/>
    <w:rsid w:val="00E86ED2"/>
    <w:rsid w:val="00E87629"/>
    <w:rsid w:val="00E87846"/>
    <w:rsid w:val="00E87853"/>
    <w:rsid w:val="00E87A66"/>
    <w:rsid w:val="00E90346"/>
    <w:rsid w:val="00E90402"/>
    <w:rsid w:val="00E90423"/>
    <w:rsid w:val="00E9047F"/>
    <w:rsid w:val="00E90630"/>
    <w:rsid w:val="00E912CC"/>
    <w:rsid w:val="00E91621"/>
    <w:rsid w:val="00E91C47"/>
    <w:rsid w:val="00E91D47"/>
    <w:rsid w:val="00E92935"/>
    <w:rsid w:val="00E9342F"/>
    <w:rsid w:val="00E935D9"/>
    <w:rsid w:val="00E949D3"/>
    <w:rsid w:val="00E96473"/>
    <w:rsid w:val="00E9686D"/>
    <w:rsid w:val="00E97928"/>
    <w:rsid w:val="00E97A5E"/>
    <w:rsid w:val="00EA04A2"/>
    <w:rsid w:val="00EA0BD4"/>
    <w:rsid w:val="00EA0D57"/>
    <w:rsid w:val="00EA0E45"/>
    <w:rsid w:val="00EA1848"/>
    <w:rsid w:val="00EA1EAD"/>
    <w:rsid w:val="00EA205B"/>
    <w:rsid w:val="00EA3D6B"/>
    <w:rsid w:val="00EA45CC"/>
    <w:rsid w:val="00EA4907"/>
    <w:rsid w:val="00EA4974"/>
    <w:rsid w:val="00EA4A2E"/>
    <w:rsid w:val="00EA4E69"/>
    <w:rsid w:val="00EA5618"/>
    <w:rsid w:val="00EA5645"/>
    <w:rsid w:val="00EA59A0"/>
    <w:rsid w:val="00EA6303"/>
    <w:rsid w:val="00EA6872"/>
    <w:rsid w:val="00EA697A"/>
    <w:rsid w:val="00EA6B90"/>
    <w:rsid w:val="00EA6B93"/>
    <w:rsid w:val="00EA6EA1"/>
    <w:rsid w:val="00EA6ED6"/>
    <w:rsid w:val="00EA714F"/>
    <w:rsid w:val="00EA7A0F"/>
    <w:rsid w:val="00EB04B5"/>
    <w:rsid w:val="00EB09CB"/>
    <w:rsid w:val="00EB1073"/>
    <w:rsid w:val="00EB199B"/>
    <w:rsid w:val="00EB1D24"/>
    <w:rsid w:val="00EB1DFC"/>
    <w:rsid w:val="00EB210B"/>
    <w:rsid w:val="00EB269D"/>
    <w:rsid w:val="00EB2979"/>
    <w:rsid w:val="00EB39F9"/>
    <w:rsid w:val="00EB3BCE"/>
    <w:rsid w:val="00EB3CC7"/>
    <w:rsid w:val="00EB47E5"/>
    <w:rsid w:val="00EB5877"/>
    <w:rsid w:val="00EB5CAD"/>
    <w:rsid w:val="00EB5CE3"/>
    <w:rsid w:val="00EB5D52"/>
    <w:rsid w:val="00EB6195"/>
    <w:rsid w:val="00EB621E"/>
    <w:rsid w:val="00EB65A1"/>
    <w:rsid w:val="00EB6633"/>
    <w:rsid w:val="00EB684B"/>
    <w:rsid w:val="00EB7584"/>
    <w:rsid w:val="00EB7939"/>
    <w:rsid w:val="00EB7C89"/>
    <w:rsid w:val="00EC00FA"/>
    <w:rsid w:val="00EC0683"/>
    <w:rsid w:val="00EC0698"/>
    <w:rsid w:val="00EC0BF9"/>
    <w:rsid w:val="00EC0DD2"/>
    <w:rsid w:val="00EC0E14"/>
    <w:rsid w:val="00EC0E73"/>
    <w:rsid w:val="00EC13D5"/>
    <w:rsid w:val="00EC1543"/>
    <w:rsid w:val="00EC1BC1"/>
    <w:rsid w:val="00EC23B5"/>
    <w:rsid w:val="00EC25EB"/>
    <w:rsid w:val="00EC2961"/>
    <w:rsid w:val="00EC2C2F"/>
    <w:rsid w:val="00EC2CF2"/>
    <w:rsid w:val="00EC2D88"/>
    <w:rsid w:val="00EC2E03"/>
    <w:rsid w:val="00EC3159"/>
    <w:rsid w:val="00EC323A"/>
    <w:rsid w:val="00EC34E3"/>
    <w:rsid w:val="00EC3A7F"/>
    <w:rsid w:val="00EC3B32"/>
    <w:rsid w:val="00EC3D4A"/>
    <w:rsid w:val="00EC4820"/>
    <w:rsid w:val="00EC5DD1"/>
    <w:rsid w:val="00EC5E9D"/>
    <w:rsid w:val="00EC6ADB"/>
    <w:rsid w:val="00EC6C74"/>
    <w:rsid w:val="00EC70DF"/>
    <w:rsid w:val="00EC70F7"/>
    <w:rsid w:val="00EC7EB7"/>
    <w:rsid w:val="00ED053F"/>
    <w:rsid w:val="00ED1071"/>
    <w:rsid w:val="00ED1A2D"/>
    <w:rsid w:val="00ED241C"/>
    <w:rsid w:val="00ED246C"/>
    <w:rsid w:val="00ED28D4"/>
    <w:rsid w:val="00ED291F"/>
    <w:rsid w:val="00ED2936"/>
    <w:rsid w:val="00ED2F2E"/>
    <w:rsid w:val="00ED35C0"/>
    <w:rsid w:val="00ED3A50"/>
    <w:rsid w:val="00ED46D7"/>
    <w:rsid w:val="00ED4A0D"/>
    <w:rsid w:val="00ED542F"/>
    <w:rsid w:val="00ED5977"/>
    <w:rsid w:val="00ED6A8D"/>
    <w:rsid w:val="00ED6B2E"/>
    <w:rsid w:val="00ED6F52"/>
    <w:rsid w:val="00ED710B"/>
    <w:rsid w:val="00ED7133"/>
    <w:rsid w:val="00EE11F8"/>
    <w:rsid w:val="00EE1486"/>
    <w:rsid w:val="00EE27E2"/>
    <w:rsid w:val="00EE2819"/>
    <w:rsid w:val="00EE2EC4"/>
    <w:rsid w:val="00EE38B4"/>
    <w:rsid w:val="00EE392A"/>
    <w:rsid w:val="00EE3F23"/>
    <w:rsid w:val="00EE4383"/>
    <w:rsid w:val="00EE59ED"/>
    <w:rsid w:val="00EE6168"/>
    <w:rsid w:val="00EE6853"/>
    <w:rsid w:val="00EE6C9F"/>
    <w:rsid w:val="00EE7E5F"/>
    <w:rsid w:val="00EF04B9"/>
    <w:rsid w:val="00EF067D"/>
    <w:rsid w:val="00EF102C"/>
    <w:rsid w:val="00EF105D"/>
    <w:rsid w:val="00EF155A"/>
    <w:rsid w:val="00EF176F"/>
    <w:rsid w:val="00EF1978"/>
    <w:rsid w:val="00EF24F5"/>
    <w:rsid w:val="00EF2565"/>
    <w:rsid w:val="00EF27D0"/>
    <w:rsid w:val="00EF28B1"/>
    <w:rsid w:val="00EF2C82"/>
    <w:rsid w:val="00EF2DE8"/>
    <w:rsid w:val="00EF32F6"/>
    <w:rsid w:val="00EF34F8"/>
    <w:rsid w:val="00EF4580"/>
    <w:rsid w:val="00EF539F"/>
    <w:rsid w:val="00EF5632"/>
    <w:rsid w:val="00EF662C"/>
    <w:rsid w:val="00EF6928"/>
    <w:rsid w:val="00EF6E11"/>
    <w:rsid w:val="00EF6E56"/>
    <w:rsid w:val="00EF75DC"/>
    <w:rsid w:val="00F0129A"/>
    <w:rsid w:val="00F016E4"/>
    <w:rsid w:val="00F019E4"/>
    <w:rsid w:val="00F03A7D"/>
    <w:rsid w:val="00F03C06"/>
    <w:rsid w:val="00F04097"/>
    <w:rsid w:val="00F045E2"/>
    <w:rsid w:val="00F04724"/>
    <w:rsid w:val="00F05409"/>
    <w:rsid w:val="00F05F94"/>
    <w:rsid w:val="00F063EA"/>
    <w:rsid w:val="00F0689B"/>
    <w:rsid w:val="00F06A9B"/>
    <w:rsid w:val="00F06E52"/>
    <w:rsid w:val="00F06E7C"/>
    <w:rsid w:val="00F06F62"/>
    <w:rsid w:val="00F078FD"/>
    <w:rsid w:val="00F079EC"/>
    <w:rsid w:val="00F07EC3"/>
    <w:rsid w:val="00F100E0"/>
    <w:rsid w:val="00F10625"/>
    <w:rsid w:val="00F1079D"/>
    <w:rsid w:val="00F10F97"/>
    <w:rsid w:val="00F11209"/>
    <w:rsid w:val="00F1134A"/>
    <w:rsid w:val="00F11A83"/>
    <w:rsid w:val="00F11C39"/>
    <w:rsid w:val="00F11CEB"/>
    <w:rsid w:val="00F12388"/>
    <w:rsid w:val="00F1248F"/>
    <w:rsid w:val="00F1264C"/>
    <w:rsid w:val="00F130E7"/>
    <w:rsid w:val="00F13573"/>
    <w:rsid w:val="00F13E9C"/>
    <w:rsid w:val="00F14673"/>
    <w:rsid w:val="00F1469A"/>
    <w:rsid w:val="00F1480E"/>
    <w:rsid w:val="00F149A3"/>
    <w:rsid w:val="00F1525F"/>
    <w:rsid w:val="00F15443"/>
    <w:rsid w:val="00F15BD1"/>
    <w:rsid w:val="00F1677E"/>
    <w:rsid w:val="00F16802"/>
    <w:rsid w:val="00F16E20"/>
    <w:rsid w:val="00F170D1"/>
    <w:rsid w:val="00F1767B"/>
    <w:rsid w:val="00F20E6E"/>
    <w:rsid w:val="00F20F9C"/>
    <w:rsid w:val="00F211C1"/>
    <w:rsid w:val="00F21AEF"/>
    <w:rsid w:val="00F21EEB"/>
    <w:rsid w:val="00F22157"/>
    <w:rsid w:val="00F229C9"/>
    <w:rsid w:val="00F23077"/>
    <w:rsid w:val="00F234F2"/>
    <w:rsid w:val="00F2578C"/>
    <w:rsid w:val="00F25F15"/>
    <w:rsid w:val="00F26758"/>
    <w:rsid w:val="00F26877"/>
    <w:rsid w:val="00F2691D"/>
    <w:rsid w:val="00F26B08"/>
    <w:rsid w:val="00F27950"/>
    <w:rsid w:val="00F27C7B"/>
    <w:rsid w:val="00F30562"/>
    <w:rsid w:val="00F30CB3"/>
    <w:rsid w:val="00F3163A"/>
    <w:rsid w:val="00F31A97"/>
    <w:rsid w:val="00F320EB"/>
    <w:rsid w:val="00F32E30"/>
    <w:rsid w:val="00F3344A"/>
    <w:rsid w:val="00F3372C"/>
    <w:rsid w:val="00F33FEC"/>
    <w:rsid w:val="00F3447C"/>
    <w:rsid w:val="00F35519"/>
    <w:rsid w:val="00F35842"/>
    <w:rsid w:val="00F36501"/>
    <w:rsid w:val="00F36694"/>
    <w:rsid w:val="00F36CD4"/>
    <w:rsid w:val="00F37033"/>
    <w:rsid w:val="00F373F8"/>
    <w:rsid w:val="00F3767D"/>
    <w:rsid w:val="00F378E0"/>
    <w:rsid w:val="00F4093E"/>
    <w:rsid w:val="00F40970"/>
    <w:rsid w:val="00F40CB9"/>
    <w:rsid w:val="00F40CE4"/>
    <w:rsid w:val="00F40EC8"/>
    <w:rsid w:val="00F4170C"/>
    <w:rsid w:val="00F41879"/>
    <w:rsid w:val="00F41CFF"/>
    <w:rsid w:val="00F4243B"/>
    <w:rsid w:val="00F42646"/>
    <w:rsid w:val="00F42EA6"/>
    <w:rsid w:val="00F43598"/>
    <w:rsid w:val="00F43A0D"/>
    <w:rsid w:val="00F44755"/>
    <w:rsid w:val="00F46613"/>
    <w:rsid w:val="00F4667C"/>
    <w:rsid w:val="00F46963"/>
    <w:rsid w:val="00F46D0D"/>
    <w:rsid w:val="00F47047"/>
    <w:rsid w:val="00F4798F"/>
    <w:rsid w:val="00F47D8C"/>
    <w:rsid w:val="00F50392"/>
    <w:rsid w:val="00F503C5"/>
    <w:rsid w:val="00F50828"/>
    <w:rsid w:val="00F50AA7"/>
    <w:rsid w:val="00F53002"/>
    <w:rsid w:val="00F531AB"/>
    <w:rsid w:val="00F5331C"/>
    <w:rsid w:val="00F533B5"/>
    <w:rsid w:val="00F539C7"/>
    <w:rsid w:val="00F5410C"/>
    <w:rsid w:val="00F54455"/>
    <w:rsid w:val="00F54714"/>
    <w:rsid w:val="00F54865"/>
    <w:rsid w:val="00F54BA2"/>
    <w:rsid w:val="00F558D4"/>
    <w:rsid w:val="00F55913"/>
    <w:rsid w:val="00F55FFC"/>
    <w:rsid w:val="00F56709"/>
    <w:rsid w:val="00F56DAD"/>
    <w:rsid w:val="00F56F60"/>
    <w:rsid w:val="00F577C6"/>
    <w:rsid w:val="00F57800"/>
    <w:rsid w:val="00F578F4"/>
    <w:rsid w:val="00F57A73"/>
    <w:rsid w:val="00F603F5"/>
    <w:rsid w:val="00F6185D"/>
    <w:rsid w:val="00F62238"/>
    <w:rsid w:val="00F62391"/>
    <w:rsid w:val="00F62596"/>
    <w:rsid w:val="00F62A2D"/>
    <w:rsid w:val="00F63658"/>
    <w:rsid w:val="00F63A0E"/>
    <w:rsid w:val="00F63E05"/>
    <w:rsid w:val="00F642C3"/>
    <w:rsid w:val="00F642E8"/>
    <w:rsid w:val="00F64B72"/>
    <w:rsid w:val="00F64FC3"/>
    <w:rsid w:val="00F655FC"/>
    <w:rsid w:val="00F65A96"/>
    <w:rsid w:val="00F65B4B"/>
    <w:rsid w:val="00F66224"/>
    <w:rsid w:val="00F669B5"/>
    <w:rsid w:val="00F66E54"/>
    <w:rsid w:val="00F66F43"/>
    <w:rsid w:val="00F70042"/>
    <w:rsid w:val="00F70CFC"/>
    <w:rsid w:val="00F7113A"/>
    <w:rsid w:val="00F7132A"/>
    <w:rsid w:val="00F721EA"/>
    <w:rsid w:val="00F726C7"/>
    <w:rsid w:val="00F72B0E"/>
    <w:rsid w:val="00F72BF8"/>
    <w:rsid w:val="00F72D40"/>
    <w:rsid w:val="00F72F42"/>
    <w:rsid w:val="00F73016"/>
    <w:rsid w:val="00F731D2"/>
    <w:rsid w:val="00F7371F"/>
    <w:rsid w:val="00F73A5D"/>
    <w:rsid w:val="00F73C9D"/>
    <w:rsid w:val="00F73E94"/>
    <w:rsid w:val="00F744F3"/>
    <w:rsid w:val="00F74FA0"/>
    <w:rsid w:val="00F75320"/>
    <w:rsid w:val="00F75913"/>
    <w:rsid w:val="00F76222"/>
    <w:rsid w:val="00F76D63"/>
    <w:rsid w:val="00F77748"/>
    <w:rsid w:val="00F77E2A"/>
    <w:rsid w:val="00F8050A"/>
    <w:rsid w:val="00F80C8A"/>
    <w:rsid w:val="00F81169"/>
    <w:rsid w:val="00F82251"/>
    <w:rsid w:val="00F82462"/>
    <w:rsid w:val="00F83339"/>
    <w:rsid w:val="00F83355"/>
    <w:rsid w:val="00F83651"/>
    <w:rsid w:val="00F83EA1"/>
    <w:rsid w:val="00F84C88"/>
    <w:rsid w:val="00F84CA9"/>
    <w:rsid w:val="00F854D4"/>
    <w:rsid w:val="00F85A8A"/>
    <w:rsid w:val="00F85C4B"/>
    <w:rsid w:val="00F85E5F"/>
    <w:rsid w:val="00F85FCB"/>
    <w:rsid w:val="00F8681C"/>
    <w:rsid w:val="00F86C07"/>
    <w:rsid w:val="00F87A7C"/>
    <w:rsid w:val="00F87D3C"/>
    <w:rsid w:val="00F90299"/>
    <w:rsid w:val="00F9075E"/>
    <w:rsid w:val="00F912FF"/>
    <w:rsid w:val="00F92E46"/>
    <w:rsid w:val="00F92F04"/>
    <w:rsid w:val="00F93617"/>
    <w:rsid w:val="00F9431A"/>
    <w:rsid w:val="00F946AF"/>
    <w:rsid w:val="00F94CF3"/>
    <w:rsid w:val="00F957C9"/>
    <w:rsid w:val="00F96182"/>
    <w:rsid w:val="00F963DA"/>
    <w:rsid w:val="00F9643D"/>
    <w:rsid w:val="00F967F7"/>
    <w:rsid w:val="00F97D21"/>
    <w:rsid w:val="00FA00D8"/>
    <w:rsid w:val="00FA106A"/>
    <w:rsid w:val="00FA2240"/>
    <w:rsid w:val="00FA27B3"/>
    <w:rsid w:val="00FA4EBE"/>
    <w:rsid w:val="00FA5B44"/>
    <w:rsid w:val="00FA68B5"/>
    <w:rsid w:val="00FA6D91"/>
    <w:rsid w:val="00FA745F"/>
    <w:rsid w:val="00FA7753"/>
    <w:rsid w:val="00FA77BD"/>
    <w:rsid w:val="00FA7FCE"/>
    <w:rsid w:val="00FB02A6"/>
    <w:rsid w:val="00FB1253"/>
    <w:rsid w:val="00FB16E3"/>
    <w:rsid w:val="00FB188E"/>
    <w:rsid w:val="00FB1E94"/>
    <w:rsid w:val="00FB20FB"/>
    <w:rsid w:val="00FB21C9"/>
    <w:rsid w:val="00FB240E"/>
    <w:rsid w:val="00FB280F"/>
    <w:rsid w:val="00FB2DD9"/>
    <w:rsid w:val="00FB3415"/>
    <w:rsid w:val="00FB35FD"/>
    <w:rsid w:val="00FB39F9"/>
    <w:rsid w:val="00FB3F40"/>
    <w:rsid w:val="00FB40EA"/>
    <w:rsid w:val="00FB4245"/>
    <w:rsid w:val="00FB44B4"/>
    <w:rsid w:val="00FB502D"/>
    <w:rsid w:val="00FB5254"/>
    <w:rsid w:val="00FB57A2"/>
    <w:rsid w:val="00FB636E"/>
    <w:rsid w:val="00FB6773"/>
    <w:rsid w:val="00FB75DE"/>
    <w:rsid w:val="00FB791F"/>
    <w:rsid w:val="00FB7943"/>
    <w:rsid w:val="00FB7C6D"/>
    <w:rsid w:val="00FB7F47"/>
    <w:rsid w:val="00FC01A7"/>
    <w:rsid w:val="00FC109F"/>
    <w:rsid w:val="00FC1B2C"/>
    <w:rsid w:val="00FC2034"/>
    <w:rsid w:val="00FC247E"/>
    <w:rsid w:val="00FC2DF9"/>
    <w:rsid w:val="00FC317E"/>
    <w:rsid w:val="00FC36C0"/>
    <w:rsid w:val="00FC3C1A"/>
    <w:rsid w:val="00FC3FA0"/>
    <w:rsid w:val="00FC49E2"/>
    <w:rsid w:val="00FC4ED3"/>
    <w:rsid w:val="00FC503A"/>
    <w:rsid w:val="00FC56DF"/>
    <w:rsid w:val="00FC57F9"/>
    <w:rsid w:val="00FC58F4"/>
    <w:rsid w:val="00FC63AC"/>
    <w:rsid w:val="00FC6D9B"/>
    <w:rsid w:val="00FC7517"/>
    <w:rsid w:val="00FC7803"/>
    <w:rsid w:val="00FC799F"/>
    <w:rsid w:val="00FC7B89"/>
    <w:rsid w:val="00FD0020"/>
    <w:rsid w:val="00FD11D9"/>
    <w:rsid w:val="00FD11F8"/>
    <w:rsid w:val="00FD1613"/>
    <w:rsid w:val="00FD1FEB"/>
    <w:rsid w:val="00FD36F8"/>
    <w:rsid w:val="00FD3EA0"/>
    <w:rsid w:val="00FD4189"/>
    <w:rsid w:val="00FD4326"/>
    <w:rsid w:val="00FD4789"/>
    <w:rsid w:val="00FD4BC6"/>
    <w:rsid w:val="00FD53A3"/>
    <w:rsid w:val="00FD5C7D"/>
    <w:rsid w:val="00FD5EAE"/>
    <w:rsid w:val="00FD6286"/>
    <w:rsid w:val="00FD6A99"/>
    <w:rsid w:val="00FE064B"/>
    <w:rsid w:val="00FE098C"/>
    <w:rsid w:val="00FE0AF5"/>
    <w:rsid w:val="00FE0D21"/>
    <w:rsid w:val="00FE162B"/>
    <w:rsid w:val="00FE21E9"/>
    <w:rsid w:val="00FE2D16"/>
    <w:rsid w:val="00FE31B2"/>
    <w:rsid w:val="00FE3716"/>
    <w:rsid w:val="00FE4314"/>
    <w:rsid w:val="00FE4D74"/>
    <w:rsid w:val="00FE559F"/>
    <w:rsid w:val="00FE6AAF"/>
    <w:rsid w:val="00FE6DAE"/>
    <w:rsid w:val="00FE6E03"/>
    <w:rsid w:val="00FE7473"/>
    <w:rsid w:val="00FF0CD1"/>
    <w:rsid w:val="00FF0F4C"/>
    <w:rsid w:val="00FF2DF6"/>
    <w:rsid w:val="00FF33A9"/>
    <w:rsid w:val="00FF3582"/>
    <w:rsid w:val="00FF3907"/>
    <w:rsid w:val="00FF3BC9"/>
    <w:rsid w:val="00FF3DCE"/>
    <w:rsid w:val="00FF4F68"/>
    <w:rsid w:val="00FF5044"/>
    <w:rsid w:val="00FF52DE"/>
    <w:rsid w:val="00FF565C"/>
    <w:rsid w:val="00FF579F"/>
    <w:rsid w:val="00FF5F0C"/>
    <w:rsid w:val="00FF601C"/>
    <w:rsid w:val="00FF64BE"/>
    <w:rsid w:val="00FF653B"/>
    <w:rsid w:val="00FF70B5"/>
    <w:rsid w:val="00FF7189"/>
    <w:rsid w:val="00FF7721"/>
    <w:rsid w:val="00FF7F30"/>
    <w:rsid w:val="011A11A4"/>
    <w:rsid w:val="014B5B44"/>
    <w:rsid w:val="018C5F7F"/>
    <w:rsid w:val="01BE4069"/>
    <w:rsid w:val="01BE5800"/>
    <w:rsid w:val="01E46F65"/>
    <w:rsid w:val="024144A6"/>
    <w:rsid w:val="02E536DD"/>
    <w:rsid w:val="038F0E3B"/>
    <w:rsid w:val="03F06C42"/>
    <w:rsid w:val="041B3357"/>
    <w:rsid w:val="049F025D"/>
    <w:rsid w:val="04C34346"/>
    <w:rsid w:val="04E30437"/>
    <w:rsid w:val="059160E1"/>
    <w:rsid w:val="05F41FAA"/>
    <w:rsid w:val="063B78DC"/>
    <w:rsid w:val="076E0F6D"/>
    <w:rsid w:val="07E84F31"/>
    <w:rsid w:val="0839529D"/>
    <w:rsid w:val="097640A4"/>
    <w:rsid w:val="09974C33"/>
    <w:rsid w:val="09B82947"/>
    <w:rsid w:val="0B547760"/>
    <w:rsid w:val="0BC814DF"/>
    <w:rsid w:val="0BF16057"/>
    <w:rsid w:val="0BF958C7"/>
    <w:rsid w:val="0C3F3332"/>
    <w:rsid w:val="0C5A09A9"/>
    <w:rsid w:val="0CD51D2D"/>
    <w:rsid w:val="0CDB719E"/>
    <w:rsid w:val="0E0812B7"/>
    <w:rsid w:val="0E2E7579"/>
    <w:rsid w:val="0EAB6A73"/>
    <w:rsid w:val="0ED72541"/>
    <w:rsid w:val="0EE253CF"/>
    <w:rsid w:val="0F4D0707"/>
    <w:rsid w:val="0FBA2A45"/>
    <w:rsid w:val="0FC41654"/>
    <w:rsid w:val="0FD06E18"/>
    <w:rsid w:val="0FDE7285"/>
    <w:rsid w:val="0FF21AC1"/>
    <w:rsid w:val="113A727B"/>
    <w:rsid w:val="118C2ED5"/>
    <w:rsid w:val="11B83D31"/>
    <w:rsid w:val="12795B29"/>
    <w:rsid w:val="12F62B63"/>
    <w:rsid w:val="135A6E08"/>
    <w:rsid w:val="13696837"/>
    <w:rsid w:val="13B31AEC"/>
    <w:rsid w:val="13FE3FBA"/>
    <w:rsid w:val="140E1568"/>
    <w:rsid w:val="14404369"/>
    <w:rsid w:val="16BF46FB"/>
    <w:rsid w:val="16E84333"/>
    <w:rsid w:val="1744663C"/>
    <w:rsid w:val="175D674F"/>
    <w:rsid w:val="17CD2550"/>
    <w:rsid w:val="18114189"/>
    <w:rsid w:val="18F06F2D"/>
    <w:rsid w:val="19223571"/>
    <w:rsid w:val="19AD7F51"/>
    <w:rsid w:val="1AF56EBD"/>
    <w:rsid w:val="1BA50D14"/>
    <w:rsid w:val="1BA677E7"/>
    <w:rsid w:val="1C625D30"/>
    <w:rsid w:val="1C7671E3"/>
    <w:rsid w:val="1C777601"/>
    <w:rsid w:val="1C8A493E"/>
    <w:rsid w:val="1CB11B53"/>
    <w:rsid w:val="1CCB6998"/>
    <w:rsid w:val="1CD6623F"/>
    <w:rsid w:val="1CF90898"/>
    <w:rsid w:val="1CFA0FE7"/>
    <w:rsid w:val="1D8C69C4"/>
    <w:rsid w:val="1E1C7C6C"/>
    <w:rsid w:val="1E304B03"/>
    <w:rsid w:val="1E786F00"/>
    <w:rsid w:val="1EC93A19"/>
    <w:rsid w:val="1F1F65F5"/>
    <w:rsid w:val="1F343C02"/>
    <w:rsid w:val="1FAC7E53"/>
    <w:rsid w:val="20517FE3"/>
    <w:rsid w:val="20CE2C18"/>
    <w:rsid w:val="20ED5A5E"/>
    <w:rsid w:val="211A16EC"/>
    <w:rsid w:val="217C1DAF"/>
    <w:rsid w:val="218220DE"/>
    <w:rsid w:val="222C76C6"/>
    <w:rsid w:val="22466CF3"/>
    <w:rsid w:val="22A344E7"/>
    <w:rsid w:val="22DE3197"/>
    <w:rsid w:val="22F42D37"/>
    <w:rsid w:val="230E0741"/>
    <w:rsid w:val="23F63E16"/>
    <w:rsid w:val="243A32C2"/>
    <w:rsid w:val="25093A3B"/>
    <w:rsid w:val="25236D0D"/>
    <w:rsid w:val="252F645D"/>
    <w:rsid w:val="258858A9"/>
    <w:rsid w:val="25A7119C"/>
    <w:rsid w:val="266B7D9B"/>
    <w:rsid w:val="26757E2C"/>
    <w:rsid w:val="26790701"/>
    <w:rsid w:val="26AD677F"/>
    <w:rsid w:val="273508EE"/>
    <w:rsid w:val="27483692"/>
    <w:rsid w:val="276F6E45"/>
    <w:rsid w:val="278066D7"/>
    <w:rsid w:val="27827B0F"/>
    <w:rsid w:val="27886287"/>
    <w:rsid w:val="27F53526"/>
    <w:rsid w:val="27FA5E76"/>
    <w:rsid w:val="28690FE5"/>
    <w:rsid w:val="288E2BD2"/>
    <w:rsid w:val="28DC50AB"/>
    <w:rsid w:val="28E55271"/>
    <w:rsid w:val="2923374B"/>
    <w:rsid w:val="29BD796F"/>
    <w:rsid w:val="2AAC3644"/>
    <w:rsid w:val="2AE8528D"/>
    <w:rsid w:val="2B8946FF"/>
    <w:rsid w:val="2C0A4741"/>
    <w:rsid w:val="2CA61832"/>
    <w:rsid w:val="2CF86E08"/>
    <w:rsid w:val="2D9B15EF"/>
    <w:rsid w:val="2E304308"/>
    <w:rsid w:val="2E5F4C31"/>
    <w:rsid w:val="2E6F7E34"/>
    <w:rsid w:val="2EB26D79"/>
    <w:rsid w:val="2F7145F4"/>
    <w:rsid w:val="2FF93B45"/>
    <w:rsid w:val="3029048B"/>
    <w:rsid w:val="30580298"/>
    <w:rsid w:val="30646F90"/>
    <w:rsid w:val="30CB0402"/>
    <w:rsid w:val="318615B4"/>
    <w:rsid w:val="31B66D5F"/>
    <w:rsid w:val="324D2681"/>
    <w:rsid w:val="34457450"/>
    <w:rsid w:val="346B3DEF"/>
    <w:rsid w:val="34FD4189"/>
    <w:rsid w:val="35373F98"/>
    <w:rsid w:val="35E1219E"/>
    <w:rsid w:val="35FC4348"/>
    <w:rsid w:val="363B7932"/>
    <w:rsid w:val="36D15C2A"/>
    <w:rsid w:val="36FA4BBC"/>
    <w:rsid w:val="371D61FE"/>
    <w:rsid w:val="374B5AC3"/>
    <w:rsid w:val="38187E4F"/>
    <w:rsid w:val="3820445B"/>
    <w:rsid w:val="38210467"/>
    <w:rsid w:val="38401B73"/>
    <w:rsid w:val="384B1D2A"/>
    <w:rsid w:val="39780BBB"/>
    <w:rsid w:val="39AD47AD"/>
    <w:rsid w:val="39D617F2"/>
    <w:rsid w:val="3A242E79"/>
    <w:rsid w:val="3A874ED3"/>
    <w:rsid w:val="3B594FF5"/>
    <w:rsid w:val="3B610C15"/>
    <w:rsid w:val="3B731AB5"/>
    <w:rsid w:val="3B833738"/>
    <w:rsid w:val="3B874762"/>
    <w:rsid w:val="3C2527C5"/>
    <w:rsid w:val="3D6F75C9"/>
    <w:rsid w:val="3DE90F01"/>
    <w:rsid w:val="3E266E35"/>
    <w:rsid w:val="3F2F62B4"/>
    <w:rsid w:val="3F592D90"/>
    <w:rsid w:val="3F6F0343"/>
    <w:rsid w:val="3F7F04D5"/>
    <w:rsid w:val="3FB63B21"/>
    <w:rsid w:val="40615707"/>
    <w:rsid w:val="4084115C"/>
    <w:rsid w:val="40A005F0"/>
    <w:rsid w:val="414B5EF7"/>
    <w:rsid w:val="417E1386"/>
    <w:rsid w:val="41C2126D"/>
    <w:rsid w:val="422B6BF4"/>
    <w:rsid w:val="42347713"/>
    <w:rsid w:val="42E90332"/>
    <w:rsid w:val="43B00A8F"/>
    <w:rsid w:val="445F7FB9"/>
    <w:rsid w:val="45511B47"/>
    <w:rsid w:val="45A15DDB"/>
    <w:rsid w:val="45B22926"/>
    <w:rsid w:val="462E6F3B"/>
    <w:rsid w:val="4681712C"/>
    <w:rsid w:val="468B6718"/>
    <w:rsid w:val="473B23EB"/>
    <w:rsid w:val="47B32EAB"/>
    <w:rsid w:val="47C40E8C"/>
    <w:rsid w:val="48201667"/>
    <w:rsid w:val="48B1218F"/>
    <w:rsid w:val="48B14AB0"/>
    <w:rsid w:val="48D6123C"/>
    <w:rsid w:val="49150F51"/>
    <w:rsid w:val="49480BD4"/>
    <w:rsid w:val="499F04DF"/>
    <w:rsid w:val="49CB3BFF"/>
    <w:rsid w:val="4A575F26"/>
    <w:rsid w:val="4A5CEC1F"/>
    <w:rsid w:val="4AA4619B"/>
    <w:rsid w:val="4B284D77"/>
    <w:rsid w:val="4BEC1507"/>
    <w:rsid w:val="4CD363C9"/>
    <w:rsid w:val="4D7F6702"/>
    <w:rsid w:val="4DAA2A72"/>
    <w:rsid w:val="4E1D39E1"/>
    <w:rsid w:val="4F123950"/>
    <w:rsid w:val="4F134C73"/>
    <w:rsid w:val="4F1E0038"/>
    <w:rsid w:val="4FBA240D"/>
    <w:rsid w:val="50257D80"/>
    <w:rsid w:val="504C0908"/>
    <w:rsid w:val="50607291"/>
    <w:rsid w:val="507519D9"/>
    <w:rsid w:val="50B009A2"/>
    <w:rsid w:val="50EC442B"/>
    <w:rsid w:val="52127D7D"/>
    <w:rsid w:val="52412A63"/>
    <w:rsid w:val="52F72F21"/>
    <w:rsid w:val="53763D4D"/>
    <w:rsid w:val="538D45BD"/>
    <w:rsid w:val="54135280"/>
    <w:rsid w:val="5526139C"/>
    <w:rsid w:val="552B2D26"/>
    <w:rsid w:val="554E1470"/>
    <w:rsid w:val="55986D51"/>
    <w:rsid w:val="55CB35DB"/>
    <w:rsid w:val="55D42624"/>
    <w:rsid w:val="56116B96"/>
    <w:rsid w:val="56133CA0"/>
    <w:rsid w:val="569914FD"/>
    <w:rsid w:val="56DD4ABD"/>
    <w:rsid w:val="5703231E"/>
    <w:rsid w:val="57116442"/>
    <w:rsid w:val="578D3493"/>
    <w:rsid w:val="5857652F"/>
    <w:rsid w:val="586A7A45"/>
    <w:rsid w:val="587FBF61"/>
    <w:rsid w:val="58914C8B"/>
    <w:rsid w:val="58E3423E"/>
    <w:rsid w:val="58F23ED5"/>
    <w:rsid w:val="5956205C"/>
    <w:rsid w:val="599E6CB8"/>
    <w:rsid w:val="59AD4BAC"/>
    <w:rsid w:val="59E031E2"/>
    <w:rsid w:val="5AA974E8"/>
    <w:rsid w:val="5AD424FD"/>
    <w:rsid w:val="5B5619E7"/>
    <w:rsid w:val="5B8340E7"/>
    <w:rsid w:val="5B8D0599"/>
    <w:rsid w:val="5B937814"/>
    <w:rsid w:val="5B955B74"/>
    <w:rsid w:val="5BA627EA"/>
    <w:rsid w:val="5BAA125C"/>
    <w:rsid w:val="5C06784E"/>
    <w:rsid w:val="5C6E79F1"/>
    <w:rsid w:val="5C8657B1"/>
    <w:rsid w:val="5CA73484"/>
    <w:rsid w:val="5CE5499C"/>
    <w:rsid w:val="5D77243C"/>
    <w:rsid w:val="5D822C9D"/>
    <w:rsid w:val="5E2F13E4"/>
    <w:rsid w:val="5EC546B7"/>
    <w:rsid w:val="5EE00D58"/>
    <w:rsid w:val="5EE01513"/>
    <w:rsid w:val="5F4452E1"/>
    <w:rsid w:val="5F993AAE"/>
    <w:rsid w:val="5FA9036D"/>
    <w:rsid w:val="5FE20A6A"/>
    <w:rsid w:val="5FE80DF1"/>
    <w:rsid w:val="60394F33"/>
    <w:rsid w:val="607A028C"/>
    <w:rsid w:val="60C761CB"/>
    <w:rsid w:val="61904268"/>
    <w:rsid w:val="61922827"/>
    <w:rsid w:val="61985AAE"/>
    <w:rsid w:val="619B21A0"/>
    <w:rsid w:val="61C95215"/>
    <w:rsid w:val="620863D2"/>
    <w:rsid w:val="626058BD"/>
    <w:rsid w:val="62D70238"/>
    <w:rsid w:val="634E5810"/>
    <w:rsid w:val="63A81226"/>
    <w:rsid w:val="650A079C"/>
    <w:rsid w:val="65E5355A"/>
    <w:rsid w:val="668F7C80"/>
    <w:rsid w:val="66910B76"/>
    <w:rsid w:val="674A3D4F"/>
    <w:rsid w:val="679006E0"/>
    <w:rsid w:val="6864772D"/>
    <w:rsid w:val="68BC6A3B"/>
    <w:rsid w:val="68D26F09"/>
    <w:rsid w:val="6A121AD7"/>
    <w:rsid w:val="6A3C248C"/>
    <w:rsid w:val="6AD23B35"/>
    <w:rsid w:val="6B8F1B75"/>
    <w:rsid w:val="6BB362A2"/>
    <w:rsid w:val="6C3226C6"/>
    <w:rsid w:val="6C545FF5"/>
    <w:rsid w:val="6C591BE2"/>
    <w:rsid w:val="6CB048A5"/>
    <w:rsid w:val="6DFD6C5F"/>
    <w:rsid w:val="6E0A4A26"/>
    <w:rsid w:val="6E113896"/>
    <w:rsid w:val="6E5E1B6C"/>
    <w:rsid w:val="6E923A52"/>
    <w:rsid w:val="6EB57A17"/>
    <w:rsid w:val="6EEF71D1"/>
    <w:rsid w:val="6F021A16"/>
    <w:rsid w:val="6F1D40CE"/>
    <w:rsid w:val="7051517A"/>
    <w:rsid w:val="70D85BD1"/>
    <w:rsid w:val="715B338A"/>
    <w:rsid w:val="716A7ADC"/>
    <w:rsid w:val="71DE2E53"/>
    <w:rsid w:val="721F39FF"/>
    <w:rsid w:val="729E121E"/>
    <w:rsid w:val="72E23A7A"/>
    <w:rsid w:val="72F6179B"/>
    <w:rsid w:val="735F2141"/>
    <w:rsid w:val="738003CA"/>
    <w:rsid w:val="73C56EED"/>
    <w:rsid w:val="758D4AB4"/>
    <w:rsid w:val="75D12961"/>
    <w:rsid w:val="765941C5"/>
    <w:rsid w:val="773B6CD4"/>
    <w:rsid w:val="77B96D29"/>
    <w:rsid w:val="77E30949"/>
    <w:rsid w:val="77F16A53"/>
    <w:rsid w:val="783525A0"/>
    <w:rsid w:val="786F12BD"/>
    <w:rsid w:val="786F1AA9"/>
    <w:rsid w:val="7872551D"/>
    <w:rsid w:val="787444F4"/>
    <w:rsid w:val="7920071D"/>
    <w:rsid w:val="79C52BC7"/>
    <w:rsid w:val="79C747F6"/>
    <w:rsid w:val="7A2C1785"/>
    <w:rsid w:val="7A36659D"/>
    <w:rsid w:val="7A5944E4"/>
    <w:rsid w:val="7A6027C1"/>
    <w:rsid w:val="7A854A12"/>
    <w:rsid w:val="7B237820"/>
    <w:rsid w:val="7B974622"/>
    <w:rsid w:val="7BD53AB5"/>
    <w:rsid w:val="7CB86F28"/>
    <w:rsid w:val="7D4E72F0"/>
    <w:rsid w:val="7E9219F9"/>
    <w:rsid w:val="7EF87B3E"/>
    <w:rsid w:val="7F924DA0"/>
    <w:rsid w:val="7FF46C92"/>
    <w:rsid w:val="F9D57F8D"/>
    <w:rsid w:val="FFCF8F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0"/>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1"/>
    <w:qFormat/>
    <w:uiPriority w:val="0"/>
    <w:pPr>
      <w:keepNext/>
      <w:keepLines/>
      <w:spacing w:before="260" w:beforeLines="0" w:after="260" w:afterLines="0" w:line="413" w:lineRule="auto"/>
      <w:outlineLvl w:val="2"/>
    </w:pPr>
    <w:rPr>
      <w:b/>
      <w:bCs/>
      <w:sz w:val="32"/>
      <w:szCs w:val="32"/>
    </w:rPr>
  </w:style>
  <w:style w:type="paragraph" w:styleId="5">
    <w:name w:val="heading 4"/>
    <w:basedOn w:val="1"/>
    <w:next w:val="1"/>
    <w:link w:val="62"/>
    <w:qFormat/>
    <w:uiPriority w:val="0"/>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3"/>
    <w:qFormat/>
    <w:uiPriority w:val="0"/>
    <w:pPr>
      <w:keepNext/>
      <w:keepLines/>
      <w:spacing w:before="280" w:after="290" w:line="372" w:lineRule="auto"/>
      <w:outlineLvl w:val="4"/>
    </w:pPr>
    <w:rPr>
      <w:b/>
      <w:sz w:val="28"/>
    </w:rPr>
  </w:style>
  <w:style w:type="paragraph" w:styleId="8">
    <w:name w:val="heading 6"/>
    <w:basedOn w:val="1"/>
    <w:next w:val="7"/>
    <w:link w:val="64"/>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7"/>
    <w:link w:val="65"/>
    <w:qFormat/>
    <w:uiPriority w:val="0"/>
    <w:pPr>
      <w:keepNext/>
      <w:keepLines/>
      <w:spacing w:before="240" w:after="64" w:line="317" w:lineRule="auto"/>
      <w:outlineLvl w:val="6"/>
    </w:pPr>
    <w:rPr>
      <w:b/>
      <w:sz w:val="24"/>
    </w:rPr>
  </w:style>
  <w:style w:type="paragraph" w:styleId="10">
    <w:name w:val="heading 8"/>
    <w:basedOn w:val="1"/>
    <w:next w:val="7"/>
    <w:link w:val="66"/>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7"/>
    <w:link w:val="67"/>
    <w:qFormat/>
    <w:uiPriority w:val="0"/>
    <w:pPr>
      <w:keepNext/>
      <w:keepLines/>
      <w:spacing w:before="240" w:after="64" w:line="317" w:lineRule="auto"/>
      <w:outlineLvl w:val="8"/>
    </w:pPr>
    <w:rPr>
      <w:rFonts w:ascii="Arial" w:hAnsi="Arial" w:eastAsia="黑体"/>
    </w:rPr>
  </w:style>
  <w:style w:type="character" w:default="1" w:styleId="53">
    <w:name w:val="Default Paragraph Font"/>
    <w:qFormat/>
    <w:uiPriority w:val="0"/>
  </w:style>
  <w:style w:type="table" w:default="1" w:styleId="51">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beforeLines="0" w:after="160" w:afterLines="0"/>
    </w:pPr>
    <w:rPr>
      <w:rFonts w:ascii="Arial" w:hAnsi="Arial" w:eastAsia="黑体" w:cs="Arial"/>
      <w:sz w:val="20"/>
      <w:szCs w:val="20"/>
    </w:rPr>
  </w:style>
  <w:style w:type="paragraph" w:styleId="16">
    <w:name w:val="Document Map"/>
    <w:basedOn w:val="1"/>
    <w:link w:val="68"/>
    <w:qFormat/>
    <w:uiPriority w:val="0"/>
    <w:pPr>
      <w:shd w:val="clear" w:color="auto" w:fill="000080"/>
      <w:adjustRightInd w:val="0"/>
      <w:spacing w:line="312" w:lineRule="atLeast"/>
      <w:textAlignment w:val="baseline"/>
    </w:pPr>
    <w:rPr>
      <w:kern w:val="0"/>
      <w:szCs w:val="20"/>
    </w:rPr>
  </w:style>
  <w:style w:type="paragraph" w:styleId="17">
    <w:name w:val="annotation text"/>
    <w:basedOn w:val="1"/>
    <w:link w:val="69"/>
    <w:qFormat/>
    <w:uiPriority w:val="0"/>
    <w:pPr>
      <w:jc w:val="left"/>
    </w:pPr>
  </w:style>
  <w:style w:type="paragraph" w:styleId="18">
    <w:name w:val="Body Text 3"/>
    <w:basedOn w:val="1"/>
    <w:link w:val="70"/>
    <w:qFormat/>
    <w:uiPriority w:val="0"/>
    <w:pPr>
      <w:spacing w:line="500" w:lineRule="exact"/>
    </w:pPr>
    <w:rPr>
      <w:b/>
      <w:bCs/>
      <w:sz w:val="24"/>
    </w:rPr>
  </w:style>
  <w:style w:type="paragraph" w:styleId="19">
    <w:name w:val="Body Text"/>
    <w:basedOn w:val="1"/>
    <w:next w:val="1"/>
    <w:link w:val="71"/>
    <w:qFormat/>
    <w:uiPriority w:val="99"/>
    <w:pPr>
      <w:spacing w:line="380" w:lineRule="exact"/>
    </w:pPr>
    <w:rPr>
      <w:sz w:val="24"/>
    </w:rPr>
  </w:style>
  <w:style w:type="paragraph" w:styleId="20">
    <w:name w:val="Body Text Indent"/>
    <w:basedOn w:val="1"/>
    <w:link w:val="72"/>
    <w:qFormat/>
    <w:uiPriority w:val="99"/>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5">
    <w:name w:val="toc 3"/>
    <w:basedOn w:val="1"/>
    <w:next w:val="1"/>
    <w:qFormat/>
    <w:uiPriority w:val="39"/>
    <w:pPr>
      <w:ind w:left="840" w:leftChars="400"/>
    </w:pPr>
  </w:style>
  <w:style w:type="paragraph" w:styleId="26">
    <w:name w:val="Plain Text"/>
    <w:basedOn w:val="1"/>
    <w:link w:val="73"/>
    <w:qFormat/>
    <w:uiPriority w:val="0"/>
    <w:rPr>
      <w:rFonts w:ascii="宋体" w:hAnsi="Courier New" w:cs="Courier New"/>
      <w:szCs w:val="21"/>
    </w:rPr>
  </w:style>
  <w:style w:type="paragraph" w:styleId="27">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8">
    <w:name w:val="Date"/>
    <w:basedOn w:val="1"/>
    <w:next w:val="1"/>
    <w:link w:val="74"/>
    <w:qFormat/>
    <w:uiPriority w:val="0"/>
    <w:pPr>
      <w:ind w:left="100" w:leftChars="2500"/>
    </w:pPr>
    <w:rPr>
      <w:rFonts w:ascii="宋体" w:hAnsi="Courier New"/>
      <w:szCs w:val="21"/>
    </w:rPr>
  </w:style>
  <w:style w:type="paragraph" w:styleId="29">
    <w:name w:val="Body Text Indent 2"/>
    <w:basedOn w:val="1"/>
    <w:link w:val="75"/>
    <w:qFormat/>
    <w:uiPriority w:val="0"/>
    <w:pPr>
      <w:ind w:firstLine="630"/>
    </w:pPr>
    <w:rPr>
      <w:sz w:val="32"/>
      <w:szCs w:val="20"/>
    </w:rPr>
  </w:style>
  <w:style w:type="paragraph" w:styleId="30">
    <w:name w:val="Balloon Text"/>
    <w:basedOn w:val="1"/>
    <w:link w:val="76"/>
    <w:qFormat/>
    <w:uiPriority w:val="0"/>
    <w:rPr>
      <w:sz w:val="18"/>
      <w:szCs w:val="18"/>
    </w:rPr>
  </w:style>
  <w:style w:type="paragraph" w:styleId="31">
    <w:name w:val="footer"/>
    <w:basedOn w:val="1"/>
    <w:link w:val="77"/>
    <w:qFormat/>
    <w:uiPriority w:val="0"/>
    <w:pPr>
      <w:tabs>
        <w:tab w:val="center" w:pos="4153"/>
        <w:tab w:val="right" w:pos="8306"/>
      </w:tabs>
      <w:snapToGrid w:val="0"/>
      <w:jc w:val="left"/>
    </w:pPr>
    <w:rPr>
      <w:sz w:val="18"/>
      <w:szCs w:val="18"/>
    </w:rPr>
  </w:style>
  <w:style w:type="paragraph" w:styleId="32">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4">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7">
    <w:name w:val="List 5"/>
    <w:basedOn w:val="1"/>
    <w:qFormat/>
    <w:uiPriority w:val="0"/>
    <w:pPr>
      <w:ind w:left="2100" w:hanging="420"/>
    </w:pPr>
    <w:rPr>
      <w:szCs w:val="20"/>
    </w:rPr>
  </w:style>
  <w:style w:type="paragraph" w:styleId="38">
    <w:name w:val="Body Text Indent 3"/>
    <w:basedOn w:val="1"/>
    <w:link w:val="79"/>
    <w:qFormat/>
    <w:uiPriority w:val="0"/>
    <w:pPr>
      <w:spacing w:after="120" w:afterLines="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1">
    <w:name w:val="Body Text 2"/>
    <w:basedOn w:val="1"/>
    <w:link w:val="80"/>
    <w:qFormat/>
    <w:uiPriority w:val="0"/>
    <w:pPr>
      <w:spacing w:after="120" w:afterLines="0" w:line="480" w:lineRule="auto"/>
    </w:pPr>
  </w:style>
  <w:style w:type="paragraph" w:styleId="42">
    <w:name w:val="List 4"/>
    <w:basedOn w:val="1"/>
    <w:qFormat/>
    <w:uiPriority w:val="0"/>
    <w:pPr>
      <w:ind w:left="100" w:leftChars="600" w:hanging="200" w:hangingChars="200"/>
    </w:pPr>
  </w:style>
  <w:style w:type="paragraph" w:styleId="43">
    <w:name w:val="List Continue 2"/>
    <w:basedOn w:val="1"/>
    <w:qFormat/>
    <w:uiPriority w:val="0"/>
    <w:pPr>
      <w:spacing w:after="120" w:afterLines="0"/>
      <w:ind w:left="840" w:leftChars="400"/>
    </w:pPr>
  </w:style>
  <w:style w:type="paragraph" w:styleId="44">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99"/>
    <w:pPr>
      <w:widowControl/>
      <w:spacing w:before="100" w:beforeLines="0" w:beforeAutospacing="1" w:after="100" w:afterLines="0" w:afterAutospacing="1"/>
      <w:jc w:val="left"/>
    </w:pPr>
    <w:rPr>
      <w:rFonts w:ascii="宋体" w:hAnsi="宋体"/>
      <w:kern w:val="0"/>
      <w:sz w:val="24"/>
    </w:rPr>
  </w:style>
  <w:style w:type="paragraph" w:styleId="46">
    <w:name w:val="index 1"/>
    <w:basedOn w:val="1"/>
    <w:next w:val="1"/>
    <w:qFormat/>
    <w:uiPriority w:val="0"/>
    <w:pPr>
      <w:spacing w:line="400" w:lineRule="exact"/>
      <w:ind w:firstLine="420" w:firstLineChars="200"/>
    </w:pPr>
    <w:rPr>
      <w:rFonts w:ascii="宋体" w:hAnsi="Courier New"/>
      <w:b/>
      <w:szCs w:val="20"/>
    </w:rPr>
  </w:style>
  <w:style w:type="paragraph" w:styleId="47">
    <w:name w:val="Title"/>
    <w:basedOn w:val="1"/>
    <w:link w:val="82"/>
    <w:qFormat/>
    <w:uiPriority w:val="0"/>
    <w:pPr>
      <w:jc w:val="center"/>
    </w:pPr>
    <w:rPr>
      <w:sz w:val="30"/>
    </w:rPr>
  </w:style>
  <w:style w:type="paragraph" w:styleId="48">
    <w:name w:val="annotation subject"/>
    <w:basedOn w:val="17"/>
    <w:next w:val="17"/>
    <w:link w:val="83"/>
    <w:qFormat/>
    <w:uiPriority w:val="0"/>
    <w:rPr>
      <w:b/>
      <w:bCs/>
    </w:rPr>
  </w:style>
  <w:style w:type="paragraph" w:styleId="49">
    <w:name w:val="Body Text First Indent"/>
    <w:basedOn w:val="19"/>
    <w:link w:val="84"/>
    <w:qFormat/>
    <w:uiPriority w:val="0"/>
    <w:pPr>
      <w:spacing w:after="120" w:afterLines="0" w:line="240" w:lineRule="auto"/>
      <w:ind w:firstLine="420" w:firstLineChars="100"/>
    </w:pPr>
    <w:rPr>
      <w:sz w:val="21"/>
    </w:rPr>
  </w:style>
  <w:style w:type="paragraph" w:styleId="50">
    <w:name w:val="Body Text First Indent 2"/>
    <w:basedOn w:val="20"/>
    <w:link w:val="85"/>
    <w:qFormat/>
    <w:uiPriority w:val="0"/>
    <w:pPr>
      <w:spacing w:after="120" w:afterLines="0"/>
      <w:ind w:left="420" w:leftChars="200" w:firstLine="420" w:firstLineChars="200"/>
    </w:pPr>
    <w:rPr>
      <w:rFonts w:ascii="Times New Roman" w:eastAsia="宋体"/>
      <w:sz w:val="21"/>
      <w:szCs w:val="24"/>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22"/>
    <w:rPr>
      <w:b/>
      <w:bCs/>
    </w:rPr>
  </w:style>
  <w:style w:type="character" w:styleId="55">
    <w:name w:val="page number"/>
    <w:basedOn w:val="53"/>
    <w:qFormat/>
    <w:uiPriority w:val="0"/>
  </w:style>
  <w:style w:type="character" w:styleId="56">
    <w:name w:val="FollowedHyperlink"/>
    <w:qFormat/>
    <w:uiPriority w:val="99"/>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1 Char"/>
    <w:link w:val="2"/>
    <w:qFormat/>
    <w:uiPriority w:val="9"/>
    <w:rPr>
      <w:rFonts w:eastAsia="宋体"/>
      <w:b/>
      <w:bCs/>
      <w:kern w:val="44"/>
      <w:sz w:val="44"/>
      <w:szCs w:val="44"/>
      <w:lang w:val="en-US" w:eastAsia="zh-CN" w:bidi="ar-SA"/>
    </w:rPr>
  </w:style>
  <w:style w:type="character" w:customStyle="1" w:styleId="60">
    <w:name w:val="标题 2 Char"/>
    <w:link w:val="3"/>
    <w:qFormat/>
    <w:uiPriority w:val="0"/>
    <w:rPr>
      <w:rFonts w:ascii="Arial" w:hAnsi="Arial" w:eastAsia="黑体"/>
      <w:b/>
      <w:bCs/>
      <w:kern w:val="2"/>
      <w:sz w:val="32"/>
      <w:szCs w:val="32"/>
    </w:rPr>
  </w:style>
  <w:style w:type="character" w:customStyle="1" w:styleId="61">
    <w:name w:val="标题 3 Char"/>
    <w:link w:val="4"/>
    <w:qFormat/>
    <w:uiPriority w:val="0"/>
    <w:rPr>
      <w:b/>
      <w:bCs/>
      <w:kern w:val="2"/>
      <w:sz w:val="32"/>
      <w:szCs w:val="32"/>
    </w:rPr>
  </w:style>
  <w:style w:type="character" w:customStyle="1" w:styleId="62">
    <w:name w:val="标题 4 Char"/>
    <w:link w:val="5"/>
    <w:qFormat/>
    <w:uiPriority w:val="0"/>
    <w:rPr>
      <w:rFonts w:ascii="Arial" w:hAnsi="Arial" w:eastAsia="黑体"/>
      <w:sz w:val="28"/>
    </w:rPr>
  </w:style>
  <w:style w:type="character" w:customStyle="1" w:styleId="63">
    <w:name w:val="标题 5 Char"/>
    <w:link w:val="6"/>
    <w:qFormat/>
    <w:uiPriority w:val="0"/>
    <w:rPr>
      <w:b/>
      <w:kern w:val="2"/>
      <w:sz w:val="28"/>
      <w:szCs w:val="24"/>
    </w:rPr>
  </w:style>
  <w:style w:type="character" w:customStyle="1" w:styleId="64">
    <w:name w:val="标题 6 Char"/>
    <w:link w:val="8"/>
    <w:qFormat/>
    <w:uiPriority w:val="0"/>
    <w:rPr>
      <w:rFonts w:ascii="Arial" w:hAnsi="Arial" w:eastAsia="黑体"/>
      <w:b/>
      <w:kern w:val="2"/>
      <w:sz w:val="24"/>
      <w:szCs w:val="24"/>
    </w:rPr>
  </w:style>
  <w:style w:type="character" w:customStyle="1" w:styleId="65">
    <w:name w:val="标题 7 Char"/>
    <w:link w:val="9"/>
    <w:qFormat/>
    <w:uiPriority w:val="0"/>
    <w:rPr>
      <w:b/>
      <w:kern w:val="2"/>
      <w:sz w:val="24"/>
      <w:szCs w:val="24"/>
    </w:rPr>
  </w:style>
  <w:style w:type="character" w:customStyle="1" w:styleId="66">
    <w:name w:val="标题 8 Char"/>
    <w:link w:val="10"/>
    <w:qFormat/>
    <w:uiPriority w:val="0"/>
    <w:rPr>
      <w:rFonts w:ascii="Arial" w:hAnsi="Arial" w:eastAsia="黑体"/>
      <w:kern w:val="2"/>
      <w:sz w:val="24"/>
      <w:szCs w:val="24"/>
    </w:rPr>
  </w:style>
  <w:style w:type="character" w:customStyle="1" w:styleId="67">
    <w:name w:val="标题 9 Char"/>
    <w:link w:val="11"/>
    <w:qFormat/>
    <w:uiPriority w:val="0"/>
    <w:rPr>
      <w:rFonts w:ascii="Arial" w:hAnsi="Arial" w:eastAsia="黑体"/>
      <w:kern w:val="2"/>
      <w:sz w:val="21"/>
      <w:szCs w:val="24"/>
    </w:rPr>
  </w:style>
  <w:style w:type="character" w:customStyle="1" w:styleId="68">
    <w:name w:val="文档结构图 Char"/>
    <w:link w:val="16"/>
    <w:qFormat/>
    <w:uiPriority w:val="0"/>
    <w:rPr>
      <w:sz w:val="21"/>
      <w:shd w:val="clear" w:color="auto" w:fill="000080"/>
    </w:rPr>
  </w:style>
  <w:style w:type="character" w:customStyle="1" w:styleId="69">
    <w:name w:val="批注文字 Char"/>
    <w:link w:val="17"/>
    <w:qFormat/>
    <w:uiPriority w:val="0"/>
    <w:rPr>
      <w:kern w:val="2"/>
      <w:sz w:val="21"/>
      <w:szCs w:val="24"/>
    </w:rPr>
  </w:style>
  <w:style w:type="character" w:customStyle="1" w:styleId="70">
    <w:name w:val="正文文本 3 Char"/>
    <w:link w:val="18"/>
    <w:qFormat/>
    <w:uiPriority w:val="0"/>
    <w:rPr>
      <w:b/>
      <w:bCs/>
      <w:kern w:val="2"/>
      <w:sz w:val="24"/>
      <w:szCs w:val="24"/>
    </w:rPr>
  </w:style>
  <w:style w:type="character" w:customStyle="1" w:styleId="71">
    <w:name w:val="正文文本 Char"/>
    <w:link w:val="19"/>
    <w:qFormat/>
    <w:uiPriority w:val="99"/>
    <w:rPr>
      <w:kern w:val="2"/>
      <w:sz w:val="24"/>
      <w:szCs w:val="24"/>
    </w:rPr>
  </w:style>
  <w:style w:type="character" w:customStyle="1" w:styleId="72">
    <w:name w:val="正文文本缩进 Char"/>
    <w:link w:val="20"/>
    <w:qFormat/>
    <w:uiPriority w:val="99"/>
    <w:rPr>
      <w:rFonts w:ascii="仿宋_GB2312" w:eastAsia="仿宋_GB2312"/>
      <w:kern w:val="2"/>
      <w:sz w:val="32"/>
    </w:rPr>
  </w:style>
  <w:style w:type="character" w:customStyle="1" w:styleId="73">
    <w:name w:val="纯文本 Char"/>
    <w:link w:val="26"/>
    <w:qFormat/>
    <w:uiPriority w:val="99"/>
    <w:rPr>
      <w:rFonts w:ascii="宋体" w:hAnsi="Courier New" w:eastAsia="宋体" w:cs="Courier New"/>
      <w:kern w:val="2"/>
      <w:sz w:val="21"/>
      <w:szCs w:val="21"/>
      <w:lang w:val="en-US" w:eastAsia="zh-CN" w:bidi="ar-SA"/>
    </w:rPr>
  </w:style>
  <w:style w:type="character" w:customStyle="1" w:styleId="74">
    <w:name w:val="日期 Char"/>
    <w:link w:val="28"/>
    <w:qFormat/>
    <w:uiPriority w:val="0"/>
    <w:rPr>
      <w:rFonts w:ascii="宋体" w:hAnsi="Courier New" w:cs="Courier New"/>
      <w:kern w:val="2"/>
      <w:sz w:val="21"/>
      <w:szCs w:val="21"/>
    </w:rPr>
  </w:style>
  <w:style w:type="character" w:customStyle="1" w:styleId="75">
    <w:name w:val="正文文本缩进 2 Char"/>
    <w:link w:val="29"/>
    <w:qFormat/>
    <w:uiPriority w:val="0"/>
    <w:rPr>
      <w:kern w:val="2"/>
      <w:sz w:val="32"/>
    </w:rPr>
  </w:style>
  <w:style w:type="character" w:customStyle="1" w:styleId="76">
    <w:name w:val="批注框文本 Char"/>
    <w:link w:val="30"/>
    <w:qFormat/>
    <w:uiPriority w:val="0"/>
    <w:rPr>
      <w:kern w:val="2"/>
      <w:sz w:val="18"/>
      <w:szCs w:val="18"/>
    </w:rPr>
  </w:style>
  <w:style w:type="character" w:customStyle="1" w:styleId="77">
    <w:name w:val="页脚 Char"/>
    <w:link w:val="31"/>
    <w:qFormat/>
    <w:uiPriority w:val="0"/>
    <w:rPr>
      <w:kern w:val="2"/>
      <w:sz w:val="18"/>
      <w:szCs w:val="18"/>
    </w:rPr>
  </w:style>
  <w:style w:type="character" w:customStyle="1" w:styleId="78">
    <w:name w:val="页眉 Char"/>
    <w:link w:val="32"/>
    <w:qFormat/>
    <w:uiPriority w:val="99"/>
    <w:rPr>
      <w:kern w:val="2"/>
      <w:sz w:val="18"/>
      <w:szCs w:val="18"/>
    </w:rPr>
  </w:style>
  <w:style w:type="character" w:customStyle="1" w:styleId="79">
    <w:name w:val="正文文本缩进 3 Char"/>
    <w:link w:val="38"/>
    <w:qFormat/>
    <w:uiPriority w:val="0"/>
    <w:rPr>
      <w:kern w:val="2"/>
      <w:sz w:val="16"/>
      <w:szCs w:val="16"/>
    </w:rPr>
  </w:style>
  <w:style w:type="character" w:customStyle="1" w:styleId="80">
    <w:name w:val="正文文本 2 Char"/>
    <w:link w:val="41"/>
    <w:qFormat/>
    <w:uiPriority w:val="0"/>
    <w:rPr>
      <w:kern w:val="2"/>
      <w:sz w:val="21"/>
      <w:szCs w:val="24"/>
    </w:rPr>
  </w:style>
  <w:style w:type="character" w:customStyle="1" w:styleId="81">
    <w:name w:val="HTML 预设格式 Char"/>
    <w:link w:val="44"/>
    <w:qFormat/>
    <w:uiPriority w:val="0"/>
    <w:rPr>
      <w:rFonts w:ascii="黑体" w:hAnsi="Courier New" w:eastAsia="黑体" w:cs="Courier New"/>
    </w:rPr>
  </w:style>
  <w:style w:type="character" w:customStyle="1" w:styleId="82">
    <w:name w:val="标题 Char"/>
    <w:link w:val="47"/>
    <w:qFormat/>
    <w:uiPriority w:val="0"/>
    <w:rPr>
      <w:kern w:val="2"/>
      <w:sz w:val="30"/>
      <w:szCs w:val="24"/>
    </w:rPr>
  </w:style>
  <w:style w:type="character" w:customStyle="1" w:styleId="83">
    <w:name w:val="批注主题 Char"/>
    <w:link w:val="48"/>
    <w:qFormat/>
    <w:uiPriority w:val="0"/>
    <w:rPr>
      <w:b/>
      <w:bCs/>
      <w:kern w:val="2"/>
      <w:sz w:val="21"/>
      <w:szCs w:val="24"/>
    </w:rPr>
  </w:style>
  <w:style w:type="character" w:customStyle="1" w:styleId="84">
    <w:name w:val="正文首行缩进 Char"/>
    <w:link w:val="49"/>
    <w:qFormat/>
    <w:uiPriority w:val="0"/>
    <w:rPr>
      <w:kern w:val="2"/>
      <w:sz w:val="21"/>
      <w:szCs w:val="24"/>
    </w:rPr>
  </w:style>
  <w:style w:type="character" w:customStyle="1" w:styleId="85">
    <w:name w:val="正文首行缩进 2 Char"/>
    <w:link w:val="50"/>
    <w:qFormat/>
    <w:uiPriority w:val="0"/>
    <w:rPr>
      <w:kern w:val="2"/>
      <w:sz w:val="21"/>
      <w:szCs w:val="24"/>
    </w:rPr>
  </w:style>
  <w:style w:type="character" w:customStyle="1" w:styleId="86">
    <w:name w:val="style11"/>
    <w:qFormat/>
    <w:uiPriority w:val="0"/>
    <w:rPr>
      <w:rFonts w:hint="default" w:ascii="Arial" w:hAnsi="Arial" w:cs="Arial"/>
    </w:rPr>
  </w:style>
  <w:style w:type="character" w:customStyle="1" w:styleId="87">
    <w:name w:val="short_text1"/>
    <w:qFormat/>
    <w:uiPriority w:val="0"/>
    <w:rPr>
      <w:sz w:val="26"/>
    </w:rPr>
  </w:style>
  <w:style w:type="character" w:customStyle="1" w:styleId="88">
    <w:name w:val="white"/>
    <w:basedOn w:val="53"/>
    <w:qFormat/>
    <w:uiPriority w:val="0"/>
  </w:style>
  <w:style w:type="character" w:customStyle="1" w:styleId="89">
    <w:name w:val="text11"/>
    <w:qFormat/>
    <w:uiPriority w:val="0"/>
    <w:rPr>
      <w:rFonts w:hint="default" w:ascii="Verdana" w:hAnsi="Verdana"/>
      <w:color w:val="4E4E4E"/>
      <w:sz w:val="18"/>
      <w:szCs w:val="18"/>
    </w:rPr>
  </w:style>
  <w:style w:type="character" w:customStyle="1" w:styleId="90">
    <w:name w:val="mark8"/>
    <w:qFormat/>
    <w:uiPriority w:val="0"/>
    <w:rPr>
      <w:b/>
      <w:bCs/>
      <w:sz w:val="21"/>
      <w:szCs w:val="21"/>
    </w:rPr>
  </w:style>
  <w:style w:type="character" w:customStyle="1" w:styleId="91">
    <w:name w:val="纯文本 Char1"/>
    <w:qFormat/>
    <w:uiPriority w:val="0"/>
    <w:rPr>
      <w:rFonts w:ascii="宋体" w:hAnsi="Courier New" w:eastAsia="宋体" w:cs="Courier New"/>
      <w:kern w:val="2"/>
      <w:sz w:val="21"/>
      <w:szCs w:val="21"/>
      <w:lang w:val="en-US" w:eastAsia="zh-CN" w:bidi="ar-SA"/>
    </w:rPr>
  </w:style>
  <w:style w:type="character" w:customStyle="1" w:styleId="92">
    <w:name w:val="f151"/>
    <w:qFormat/>
    <w:uiPriority w:val="0"/>
    <w:rPr>
      <w:sz w:val="23"/>
      <w:szCs w:val="23"/>
    </w:rPr>
  </w:style>
  <w:style w:type="character" w:customStyle="1" w:styleId="93">
    <w:name w:val="062"/>
    <w:qFormat/>
    <w:uiPriority w:val="0"/>
    <w:rPr>
      <w:rFonts w:ascii="宋体" w:hAnsi="宋体"/>
      <w:b/>
      <w:bCs/>
      <w:sz w:val="32"/>
    </w:rPr>
  </w:style>
  <w:style w:type="character" w:customStyle="1" w:styleId="94">
    <w:name w:val="gray12"/>
    <w:basedOn w:val="53"/>
    <w:qFormat/>
    <w:uiPriority w:val="0"/>
  </w:style>
  <w:style w:type="character" w:customStyle="1" w:styleId="95">
    <w:name w:val="1ji Char"/>
    <w:link w:val="96"/>
    <w:qFormat/>
    <w:uiPriority w:val="0"/>
    <w:rPr>
      <w:rFonts w:ascii="宋体" w:hAnsi="宋体" w:eastAsia="宋体"/>
      <w:b/>
      <w:bCs/>
      <w:kern w:val="44"/>
      <w:sz w:val="36"/>
      <w:szCs w:val="44"/>
      <w:lang w:val="en-US" w:eastAsia="zh-CN" w:bidi="ar-SA"/>
    </w:rPr>
  </w:style>
  <w:style w:type="paragraph" w:customStyle="1" w:styleId="96">
    <w:name w:val="1ji"/>
    <w:basedOn w:val="2"/>
    <w:link w:val="95"/>
    <w:qFormat/>
    <w:uiPriority w:val="0"/>
    <w:pPr>
      <w:keepLines w:val="0"/>
      <w:widowControl/>
      <w:spacing w:before="0" w:beforeLines="0" w:after="0" w:afterLines="0" w:line="240" w:lineRule="auto"/>
      <w:jc w:val="center"/>
    </w:pPr>
    <w:rPr>
      <w:rFonts w:ascii="宋体" w:hAnsi="宋体"/>
      <w:sz w:val="36"/>
    </w:rPr>
  </w:style>
  <w:style w:type="character" w:customStyle="1" w:styleId="97">
    <w:name w:val="font01"/>
    <w:qFormat/>
    <w:uiPriority w:val="0"/>
    <w:rPr>
      <w:rFonts w:hint="eastAsia" w:ascii="宋体" w:hAnsi="宋体" w:eastAsia="宋体"/>
      <w:color w:val="000000"/>
      <w:sz w:val="22"/>
      <w:szCs w:val="22"/>
      <w:u w:val="none"/>
    </w:rPr>
  </w:style>
  <w:style w:type="character" w:customStyle="1" w:styleId="98">
    <w:name w:val="small"/>
    <w:basedOn w:val="53"/>
    <w:qFormat/>
    <w:uiPriority w:val="0"/>
  </w:style>
  <w:style w:type="character" w:customStyle="1" w:styleId="99">
    <w:name w:val="apple-converted-space"/>
    <w:qFormat/>
    <w:uiPriority w:val="0"/>
  </w:style>
  <w:style w:type="character" w:customStyle="1" w:styleId="100">
    <w:name w:val="case31"/>
    <w:qFormat/>
    <w:uiPriority w:val="0"/>
    <w:rPr>
      <w:rFonts w:hint="default" w:ascii="_x000B__x000C_" w:hAnsi="_x000B__x000C_"/>
      <w:sz w:val="21"/>
      <w:szCs w:val="21"/>
    </w:rPr>
  </w:style>
  <w:style w:type="character" w:customStyle="1" w:styleId="101">
    <w:name w:val="graytext1"/>
    <w:qFormat/>
    <w:uiPriority w:val="0"/>
    <w:rPr>
      <w:color w:val="666666"/>
    </w:rPr>
  </w:style>
  <w:style w:type="character" w:customStyle="1" w:styleId="102">
    <w:name w:val="标题3 Char"/>
    <w:link w:val="103"/>
    <w:qFormat/>
    <w:uiPriority w:val="0"/>
    <w:rPr>
      <w:rFonts w:ascii="宋体" w:hAnsi="宋体"/>
      <w:b/>
      <w:bCs/>
      <w:kern w:val="44"/>
      <w:sz w:val="24"/>
      <w:szCs w:val="24"/>
    </w:rPr>
  </w:style>
  <w:style w:type="paragraph" w:customStyle="1" w:styleId="103">
    <w:name w:val="标题3"/>
    <w:basedOn w:val="2"/>
    <w:link w:val="102"/>
    <w:qFormat/>
    <w:uiPriority w:val="0"/>
    <w:pPr>
      <w:spacing w:before="0" w:beforeLines="50" w:after="0" w:afterLines="50" w:line="400" w:lineRule="exact"/>
    </w:pPr>
    <w:rPr>
      <w:rFonts w:ascii="宋体" w:hAnsi="宋体"/>
      <w:sz w:val="24"/>
      <w:szCs w:val="24"/>
    </w:rPr>
  </w:style>
  <w:style w:type="character" w:customStyle="1" w:styleId="104">
    <w:name w:val="1051"/>
    <w:qFormat/>
    <w:uiPriority w:val="0"/>
    <w:rPr>
      <w:sz w:val="21"/>
      <w:szCs w:val="21"/>
    </w:rPr>
  </w:style>
  <w:style w:type="character" w:customStyle="1" w:styleId="105">
    <w:name w:val="content2"/>
    <w:basedOn w:val="53"/>
    <w:qFormat/>
    <w:uiPriority w:val="0"/>
  </w:style>
  <w:style w:type="character" w:customStyle="1" w:styleId="106">
    <w:name w:val="z-窗体顶端 Char"/>
    <w:link w:val="107"/>
    <w:qFormat/>
    <w:uiPriority w:val="0"/>
    <w:rPr>
      <w:rFonts w:ascii="Arial"/>
      <w:vanish/>
      <w:kern w:val="2"/>
      <w:sz w:val="16"/>
      <w:szCs w:val="24"/>
    </w:rPr>
  </w:style>
  <w:style w:type="paragraph" w:customStyle="1" w:styleId="107">
    <w:name w:val="_Style 106"/>
    <w:basedOn w:val="1"/>
    <w:next w:val="1"/>
    <w:link w:val="106"/>
    <w:qFormat/>
    <w:uiPriority w:val="0"/>
    <w:pPr>
      <w:pBdr>
        <w:bottom w:val="single" w:color="auto" w:sz="6" w:space="1"/>
      </w:pBdr>
      <w:jc w:val="center"/>
    </w:pPr>
    <w:rPr>
      <w:rFonts w:ascii="Arial"/>
      <w:vanish/>
      <w:sz w:val="16"/>
    </w:rPr>
  </w:style>
  <w:style w:type="character" w:customStyle="1" w:styleId="108">
    <w:name w:val="unnamed3"/>
    <w:basedOn w:val="53"/>
    <w:qFormat/>
    <w:uiPriority w:val="0"/>
  </w:style>
  <w:style w:type="character" w:customStyle="1" w:styleId="109">
    <w:name w:val="批注文字 Char2"/>
    <w:qFormat/>
    <w:uiPriority w:val="0"/>
    <w:rPr>
      <w:kern w:val="2"/>
      <w:sz w:val="21"/>
      <w:szCs w:val="24"/>
      <w:lang w:bidi="ar-SA"/>
    </w:rPr>
  </w:style>
  <w:style w:type="character" w:customStyle="1" w:styleId="110">
    <w:name w:val="style21"/>
    <w:qFormat/>
    <w:uiPriority w:val="0"/>
    <w:rPr>
      <w:sz w:val="17"/>
      <w:szCs w:val="17"/>
    </w:rPr>
  </w:style>
  <w:style w:type="paragraph" w:customStyle="1" w:styleId="111">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12">
    <w:name w:val="Char1"/>
    <w:basedOn w:val="1"/>
    <w:qFormat/>
    <w:uiPriority w:val="0"/>
    <w:rPr>
      <w:szCs w:val="21"/>
    </w:rPr>
  </w:style>
  <w:style w:type="paragraph" w:customStyle="1" w:styleId="11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15">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16">
    <w:name w:val="List Paragraph1"/>
    <w:basedOn w:val="1"/>
    <w:qFormat/>
    <w:uiPriority w:val="0"/>
    <w:pPr>
      <w:ind w:firstLine="420" w:firstLineChars="200"/>
    </w:pPr>
    <w:rPr>
      <w:rFonts w:ascii="Calibri" w:hAnsi="Calibri"/>
      <w:szCs w:val="22"/>
    </w:rPr>
  </w:style>
  <w:style w:type="paragraph" w:styleId="117">
    <w:name w:val="List Paragraph"/>
    <w:basedOn w:val="1"/>
    <w:qFormat/>
    <w:uiPriority w:val="34"/>
    <w:pPr>
      <w:ind w:firstLine="420" w:firstLineChars="200"/>
    </w:pPr>
    <w:rPr>
      <w:rFonts w:ascii="Calibri" w:hAnsi="Calibri"/>
      <w:szCs w:val="22"/>
    </w:rPr>
  </w:style>
  <w:style w:type="paragraph" w:customStyle="1" w:styleId="118">
    <w:name w:val=" Char Char Char Char Char Char Char"/>
    <w:basedOn w:val="1"/>
    <w:qFormat/>
    <w:uiPriority w:val="0"/>
  </w:style>
  <w:style w:type="paragraph" w:customStyle="1" w:styleId="119">
    <w:name w:val=" Char"/>
    <w:basedOn w:val="1"/>
    <w:qFormat/>
    <w:uiPriority w:val="0"/>
    <w:pPr>
      <w:tabs>
        <w:tab w:val="left" w:pos="360"/>
      </w:tabs>
      <w:ind w:left="252" w:hanging="252" w:hangingChars="140"/>
    </w:pPr>
    <w:rPr>
      <w:rFonts w:ascii="宋体"/>
      <w:sz w:val="18"/>
      <w:szCs w:val="18"/>
    </w:rPr>
  </w:style>
  <w:style w:type="paragraph" w:customStyle="1" w:styleId="120">
    <w:name w:val="次小点说明 Char"/>
    <w:basedOn w:val="7"/>
    <w:qFormat/>
    <w:uiPriority w:val="0"/>
    <w:pPr>
      <w:ind w:firstLine="0"/>
    </w:pPr>
    <w:rPr>
      <w:sz w:val="24"/>
      <w:szCs w:val="24"/>
    </w:rPr>
  </w:style>
  <w:style w:type="paragraph" w:customStyle="1" w:styleId="121">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2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23">
    <w:name w:val="五号正文（标准）"/>
    <w:basedOn w:val="1"/>
    <w:qFormat/>
    <w:uiPriority w:val="0"/>
    <w:pPr>
      <w:spacing w:line="360" w:lineRule="auto"/>
      <w:ind w:right="55" w:firstLine="560" w:firstLineChars="200"/>
    </w:pPr>
    <w:rPr>
      <w:rFonts w:eastAsia="仿宋_GB2312"/>
      <w:sz w:val="28"/>
      <w:szCs w:val="20"/>
    </w:rPr>
  </w:style>
  <w:style w:type="paragraph" w:customStyle="1" w:styleId="124">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25">
    <w:name w:val="默认段落字体 Para Char"/>
    <w:basedOn w:val="1"/>
    <w:qFormat/>
    <w:uiPriority w:val="0"/>
    <w:pPr>
      <w:adjustRightInd w:val="0"/>
      <w:spacing w:line="360" w:lineRule="auto"/>
    </w:pPr>
    <w:rPr>
      <w:kern w:val="0"/>
      <w:sz w:val="24"/>
      <w:szCs w:val="20"/>
    </w:rPr>
  </w:style>
  <w:style w:type="paragraph" w:customStyle="1" w:styleId="126">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27">
    <w:name w:val="样式1"/>
    <w:basedOn w:val="1"/>
    <w:qFormat/>
    <w:uiPriority w:val="0"/>
    <w:pPr>
      <w:spacing w:before="120" w:beforeLines="0" w:after="120" w:afterLines="0" w:line="300" w:lineRule="auto"/>
    </w:pPr>
    <w:rPr>
      <w:rFonts w:ascii="宋体" w:hAnsi="宋体"/>
      <w:b/>
      <w:sz w:val="24"/>
      <w:szCs w:val="20"/>
    </w:rPr>
  </w:style>
  <w:style w:type="paragraph" w:customStyle="1" w:styleId="128">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29">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30">
    <w:name w:val="缺省文本"/>
    <w:basedOn w:val="1"/>
    <w:qFormat/>
    <w:uiPriority w:val="0"/>
    <w:pPr>
      <w:autoSpaceDE w:val="0"/>
      <w:autoSpaceDN w:val="0"/>
      <w:adjustRightInd w:val="0"/>
      <w:spacing w:line="360" w:lineRule="auto"/>
      <w:jc w:val="left"/>
    </w:pPr>
    <w:rPr>
      <w:kern w:val="0"/>
      <w:sz w:val="24"/>
      <w:szCs w:val="20"/>
    </w:rPr>
  </w:style>
  <w:style w:type="paragraph" w:customStyle="1" w:styleId="131">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32">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3">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34">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35">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36">
    <w:name w:val="正文首行缩进两字符"/>
    <w:basedOn w:val="1"/>
    <w:qFormat/>
    <w:uiPriority w:val="0"/>
    <w:pPr>
      <w:spacing w:line="360" w:lineRule="auto"/>
      <w:ind w:firstLine="200" w:firstLineChars="200"/>
    </w:pPr>
  </w:style>
  <w:style w:type="paragraph" w:customStyle="1" w:styleId="137">
    <w:name w:val="_Style 136"/>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3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 w:val="0"/>
      <w:bCs w:val="0"/>
      <w:sz w:val="28"/>
      <w:szCs w:val="20"/>
    </w:rPr>
  </w:style>
  <w:style w:type="paragraph" w:customStyle="1" w:styleId="139">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40">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 w:val="0"/>
      <w:bCs w:val="0"/>
      <w:sz w:val="24"/>
      <w:szCs w:val="20"/>
    </w:rPr>
  </w:style>
  <w:style w:type="paragraph" w:customStyle="1" w:styleId="142">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43">
    <w:name w:val="1"/>
    <w:basedOn w:val="1"/>
    <w:next w:val="26"/>
    <w:qFormat/>
    <w:uiPriority w:val="0"/>
    <w:rPr>
      <w:rFonts w:ascii="宋体" w:hAnsi="Courier New"/>
      <w:szCs w:val="20"/>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46">
    <w:name w:val="Char Char Char"/>
    <w:basedOn w:val="1"/>
    <w:qFormat/>
    <w:uiPriority w:val="0"/>
    <w:rPr>
      <w:rFonts w:ascii="Tahoma" w:hAnsi="Tahoma"/>
      <w:sz w:val="24"/>
      <w:szCs w:val="20"/>
    </w:rPr>
  </w:style>
  <w:style w:type="paragraph" w:customStyle="1" w:styleId="14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样式 首行缩进:  2 字符"/>
    <w:basedOn w:val="1"/>
    <w:qFormat/>
    <w:uiPriority w:val="0"/>
    <w:pPr>
      <w:spacing w:line="400" w:lineRule="exact"/>
      <w:ind w:firstLine="200" w:firstLineChars="200"/>
    </w:pPr>
    <w:rPr>
      <w:rFonts w:cs="宋体"/>
      <w:sz w:val="24"/>
    </w:rPr>
  </w:style>
  <w:style w:type="paragraph" w:customStyle="1" w:styleId="150">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1">
    <w:name w:val="表格"/>
    <w:basedOn w:val="1"/>
    <w:qFormat/>
    <w:uiPriority w:val="0"/>
    <w:pPr>
      <w:spacing w:line="400" w:lineRule="exact"/>
    </w:pPr>
    <w:rPr>
      <w:sz w:val="24"/>
    </w:rPr>
  </w:style>
  <w:style w:type="paragraph" w:customStyle="1" w:styleId="152">
    <w:name w:val="默认段落字体 Para Char Char Char Char Char Char Char Char Char1 Char Char Char Char"/>
    <w:basedOn w:val="1"/>
    <w:qFormat/>
    <w:uiPriority w:val="0"/>
    <w:rPr>
      <w:rFonts w:ascii="Tahoma" w:hAnsi="Tahoma"/>
      <w:sz w:val="24"/>
      <w:szCs w:val="20"/>
    </w:rPr>
  </w:style>
  <w:style w:type="paragraph" w:customStyle="1" w:styleId="15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4">
    <w:name w:val="Char Char Char Char Char Char Char"/>
    <w:basedOn w:val="1"/>
    <w:qFormat/>
    <w:uiPriority w:val="0"/>
  </w:style>
  <w:style w:type="paragraph" w:customStyle="1" w:styleId="155">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56">
    <w:name w:val="_Style 155"/>
    <w:unhideWhenUsed/>
    <w:qFormat/>
    <w:uiPriority w:val="99"/>
    <w:rPr>
      <w:rFonts w:ascii="Times New Roman" w:hAnsi="Times New Roman" w:eastAsia="宋体" w:cs="Times New Roman"/>
      <w:kern w:val="2"/>
      <w:sz w:val="21"/>
      <w:szCs w:val="24"/>
      <w:lang w:val="en-US" w:eastAsia="zh-CN" w:bidi="ar-SA"/>
    </w:rPr>
  </w:style>
  <w:style w:type="paragraph" w:customStyle="1" w:styleId="157">
    <w:name w:val="F2"/>
    <w:basedOn w:val="1"/>
    <w:qFormat/>
    <w:uiPriority w:val="0"/>
    <w:pPr>
      <w:autoSpaceDE w:val="0"/>
      <w:autoSpaceDN w:val="0"/>
      <w:adjustRightInd w:val="0"/>
      <w:ind w:firstLine="601"/>
      <w:textAlignment w:val="baseline"/>
    </w:pPr>
    <w:rPr>
      <w:kern w:val="0"/>
      <w:sz w:val="24"/>
      <w:szCs w:val="20"/>
    </w:rPr>
  </w:style>
  <w:style w:type="paragraph" w:customStyle="1" w:styleId="158">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9">
    <w:name w:val="tgt1"/>
    <w:basedOn w:val="1"/>
    <w:qFormat/>
    <w:uiPriority w:val="0"/>
    <w:pPr>
      <w:widowControl/>
      <w:spacing w:after="150" w:afterLines="0"/>
      <w:jc w:val="left"/>
    </w:pPr>
    <w:rPr>
      <w:rFonts w:ascii="宋体" w:hAnsi="宋体" w:cs="宋体"/>
      <w:kern w:val="0"/>
      <w:sz w:val="24"/>
    </w:rPr>
  </w:style>
  <w:style w:type="paragraph" w:customStyle="1" w:styleId="160">
    <w:name w:val="正文段"/>
    <w:basedOn w:val="1"/>
    <w:qFormat/>
    <w:uiPriority w:val="0"/>
    <w:pPr>
      <w:widowControl/>
      <w:snapToGrid w:val="0"/>
      <w:spacing w:after="156" w:afterLines="50"/>
      <w:ind w:firstLine="200" w:firstLineChars="200"/>
    </w:pPr>
    <w:rPr>
      <w:kern w:val="0"/>
      <w:sz w:val="24"/>
      <w:szCs w:val="20"/>
    </w:rPr>
  </w:style>
  <w:style w:type="paragraph" w:customStyle="1" w:styleId="161">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2">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3">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64">
    <w:name w:val="2-2ji"/>
    <w:basedOn w:val="3"/>
    <w:qFormat/>
    <w:uiPriority w:val="0"/>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5">
    <w:name w:val="444"/>
    <w:basedOn w:val="1"/>
    <w:qFormat/>
    <w:uiPriority w:val="0"/>
    <w:pPr>
      <w:adjustRightInd w:val="0"/>
      <w:spacing w:line="312" w:lineRule="atLeast"/>
      <w:jc w:val="center"/>
      <w:textAlignment w:val="baseline"/>
    </w:pPr>
    <w:rPr>
      <w:b/>
      <w:kern w:val="0"/>
      <w:sz w:val="36"/>
      <w:szCs w:val="36"/>
    </w:rPr>
  </w:style>
  <w:style w:type="paragraph" w:customStyle="1" w:styleId="166">
    <w:name w:val="Table Paragraph"/>
    <w:basedOn w:val="1"/>
    <w:qFormat/>
    <w:uiPriority w:val="1"/>
    <w:pPr>
      <w:autoSpaceDE w:val="0"/>
      <w:autoSpaceDN w:val="0"/>
      <w:adjustRightInd w:val="0"/>
      <w:jc w:val="left"/>
    </w:pPr>
    <w:rPr>
      <w:kern w:val="0"/>
      <w:sz w:val="24"/>
    </w:rPr>
  </w:style>
  <w:style w:type="character" w:customStyle="1" w:styleId="167">
    <w:name w:val="fd"/>
    <w:qFormat/>
    <w:uiPriority w:val="0"/>
  </w:style>
  <w:style w:type="paragraph" w:customStyle="1" w:styleId="168">
    <w:name w:val="paragraphindent"/>
    <w:basedOn w:val="1"/>
    <w:qFormat/>
    <w:uiPriority w:val="0"/>
    <w:pPr>
      <w:widowControl/>
      <w:spacing w:before="100" w:beforeAutospacing="1" w:after="100" w:afterAutospacing="1"/>
      <w:jc w:val="left"/>
    </w:pPr>
    <w:rPr>
      <w:rFonts w:ascii="宋体" w:hAnsi="宋体" w:cs="宋体"/>
      <w:kern w:val="0"/>
      <w:sz w:val="24"/>
    </w:rPr>
  </w:style>
  <w:style w:type="character" w:customStyle="1" w:styleId="169">
    <w:name w:val="批注文字 字符1"/>
    <w:qFormat/>
    <w:uiPriority w:val="0"/>
    <w:rPr>
      <w:kern w:val="2"/>
      <w:sz w:val="21"/>
      <w:szCs w:val="24"/>
    </w:rPr>
  </w:style>
  <w:style w:type="character" w:customStyle="1" w:styleId="170">
    <w:name w:val="_Style 169"/>
    <w:unhideWhenUsed/>
    <w:qFormat/>
    <w:uiPriority w:val="99"/>
    <w:rPr>
      <w:color w:val="605E5C"/>
      <w:shd w:val="clear" w:color="auto" w:fill="E1DFDD"/>
    </w:rPr>
  </w:style>
  <w:style w:type="character" w:customStyle="1" w:styleId="171">
    <w:name w:val="纯文本 字符1"/>
    <w:qFormat/>
    <w:uiPriority w:val="99"/>
    <w:rPr>
      <w:rFonts w:ascii="宋体" w:hAnsi="Courier New" w:eastAsia="宋体" w:cs="Courier New"/>
      <w:kern w:val="2"/>
      <w:sz w:val="21"/>
      <w:szCs w:val="21"/>
      <w:lang w:val="en-US" w:eastAsia="zh-CN" w:bidi="ar-SA"/>
    </w:rPr>
  </w:style>
  <w:style w:type="character" w:customStyle="1" w:styleId="172">
    <w:name w:val="正文文本 字符1"/>
    <w:qFormat/>
    <w:uiPriority w:val="99"/>
    <w:rPr>
      <w:kern w:val="2"/>
      <w:sz w:val="24"/>
      <w:szCs w:val="24"/>
    </w:rPr>
  </w:style>
  <w:style w:type="paragraph" w:customStyle="1" w:styleId="173">
    <w:name w:val="正文-2字符首行缩进"/>
    <w:basedOn w:val="1"/>
    <w:link w:val="174"/>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174">
    <w:name w:val="正文-2字符首行缩进 Char"/>
    <w:link w:val="173"/>
    <w:qFormat/>
    <w:uiPriority w:val="0"/>
    <w:rPr>
      <w:rFonts w:ascii="仿宋_GB2312" w:hAnsi="Calibri" w:eastAsia="仿宋_GB2312"/>
      <w:sz w:val="28"/>
      <w:szCs w:val="22"/>
    </w:rPr>
  </w:style>
  <w:style w:type="paragraph" w:customStyle="1" w:styleId="175">
    <w:name w:val="列出段落1"/>
    <w:basedOn w:val="1"/>
    <w:qFormat/>
    <w:uiPriority w:val="99"/>
    <w:pPr>
      <w:ind w:firstLine="420" w:firstLineChars="200"/>
    </w:pPr>
    <w:rPr>
      <w:rFonts w:ascii="等线" w:hAnsi="等线" w:eastAsia="等线"/>
    </w:rPr>
  </w:style>
  <w:style w:type="character" w:customStyle="1" w:styleId="176">
    <w:name w:val="正文文本 字符"/>
    <w:qFormat/>
    <w:uiPriority w:val="99"/>
    <w:rPr>
      <w:kern w:val="2"/>
      <w:sz w:val="24"/>
      <w:szCs w:val="24"/>
    </w:rPr>
  </w:style>
  <w:style w:type="character" w:customStyle="1" w:styleId="177">
    <w:name w:val="纯文本 字符"/>
    <w:qFormat/>
    <w:uiPriority w:val="99"/>
    <w:rPr>
      <w:rFonts w:ascii="宋体" w:hAnsi="Courier New" w:eastAsia="宋体" w:cs="Courier New"/>
      <w:kern w:val="2"/>
      <w:sz w:val="21"/>
      <w:szCs w:val="21"/>
      <w:lang w:val="en-US" w:eastAsia="zh-CN" w:bidi="ar-SA"/>
    </w:rPr>
  </w:style>
  <w:style w:type="table" w:customStyle="1" w:styleId="178">
    <w:name w:val="Table Normal"/>
    <w:semiHidden/>
    <w:unhideWhenUsed/>
    <w:qFormat/>
    <w:uiPriority w:val="0"/>
    <w:tblPr>
      <w:tblCellMar>
        <w:top w:w="0" w:type="dxa"/>
        <w:left w:w="0" w:type="dxa"/>
        <w:bottom w:w="0" w:type="dxa"/>
        <w:right w:w="0" w:type="dxa"/>
      </w:tblCellMar>
    </w:tblPr>
  </w:style>
  <w:style w:type="paragraph" w:customStyle="1" w:styleId="179">
    <w:name w:val="Table Text"/>
    <w:basedOn w:val="1"/>
    <w:semiHidden/>
    <w:qFormat/>
    <w:uiPriority w:val="0"/>
    <w:rPr>
      <w:rFonts w:ascii="Arial" w:hAnsi="Arial" w:eastAsia="Arial" w:cs="Arial"/>
      <w:sz w:val="21"/>
      <w:szCs w:val="21"/>
      <w:lang w:val="en-US" w:eastAsia="en-US" w:bidi="ar-SA"/>
    </w:rPr>
  </w:style>
  <w:style w:type="paragraph" w:customStyle="1" w:styleId="180">
    <w:name w:val="正文-公1"/>
    <w:basedOn w:val="1"/>
    <w:qFormat/>
    <w:uiPriority w:val="0"/>
    <w:pPr>
      <w:ind w:firstLine="200" w:firstLineChars="200"/>
    </w:pPr>
    <w:rPr>
      <w:color w:val="000000"/>
    </w:rPr>
  </w:style>
  <w:style w:type="character" w:customStyle="1" w:styleId="181">
    <w:name w:val="font31"/>
    <w:basedOn w:val="53"/>
    <w:qFormat/>
    <w:uiPriority w:val="0"/>
    <w:rPr>
      <w:rFonts w:hint="eastAsia" w:ascii="宋体" w:hAnsi="宋体" w:eastAsia="宋体" w:cs="宋体"/>
      <w:b/>
      <w:color w:val="000000"/>
      <w:sz w:val="24"/>
      <w:szCs w:val="24"/>
      <w:u w:val="none"/>
    </w:rPr>
  </w:style>
  <w:style w:type="character" w:customStyle="1" w:styleId="182">
    <w:name w:val="font51"/>
    <w:basedOn w:val="53"/>
    <w:qFormat/>
    <w:uiPriority w:val="0"/>
    <w:rPr>
      <w:rFonts w:hint="default" w:ascii="Times New Roman" w:hAnsi="Times New Roman" w:cs="Times New Roman"/>
      <w:b/>
      <w:color w:val="000000"/>
      <w:sz w:val="21"/>
      <w:szCs w:val="21"/>
      <w:u w:val="none"/>
    </w:rPr>
  </w:style>
  <w:style w:type="character" w:customStyle="1" w:styleId="183">
    <w:name w:val="font91"/>
    <w:basedOn w:val="53"/>
    <w:qFormat/>
    <w:uiPriority w:val="0"/>
    <w:rPr>
      <w:rFonts w:hint="eastAsia" w:ascii="宋体" w:hAnsi="宋体" w:eastAsia="宋体" w:cs="宋体"/>
      <w:color w:val="000000"/>
      <w:sz w:val="20"/>
      <w:szCs w:val="20"/>
      <w:u w:val="none"/>
    </w:rPr>
  </w:style>
  <w:style w:type="character" w:customStyle="1" w:styleId="184">
    <w:name w:val="font61"/>
    <w:basedOn w:val="53"/>
    <w:qFormat/>
    <w:uiPriority w:val="0"/>
    <w:rPr>
      <w:rFonts w:hint="default" w:ascii="Times New Roman" w:hAnsi="Times New Roman" w:cs="Times New Roman"/>
      <w:color w:val="000000"/>
      <w:sz w:val="20"/>
      <w:szCs w:val="20"/>
      <w:u w:val="none"/>
    </w:rPr>
  </w:style>
  <w:style w:type="paragraph" w:customStyle="1" w:styleId="185">
    <w:name w:val="纯文本1"/>
    <w:basedOn w:val="1"/>
    <w:next w:val="5"/>
    <w:qFormat/>
    <w:uiPriority w:val="0"/>
    <w:rPr>
      <w:rFonts w:ascii="宋体" w:hAnsi="宋体" w:eastAsia="宋体" w:cs="Courier New"/>
      <w:sz w:val="20"/>
      <w:szCs w:val="21"/>
    </w:rPr>
  </w:style>
  <w:style w:type="paragraph" w:customStyle="1" w:styleId="186">
    <w:name w:val="正文缩进1"/>
    <w:basedOn w:val="1"/>
    <w:qFormat/>
    <w:uiPriority w:val="0"/>
    <w:pPr>
      <w:ind w:firstLine="420"/>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5.emf"/><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header" Target="header15.xml"/><Relationship Id="rId25" Type="http://schemas.openxmlformats.org/officeDocument/2006/relationships/header" Target="header14.xml"/><Relationship Id="rId24" Type="http://schemas.openxmlformats.org/officeDocument/2006/relationships/footer" Target="footer9.xml"/><Relationship Id="rId23" Type="http://schemas.openxmlformats.org/officeDocument/2006/relationships/header" Target="header13.xml"/><Relationship Id="rId22" Type="http://schemas.openxmlformats.org/officeDocument/2006/relationships/header" Target="header12.xml"/><Relationship Id="rId21" Type="http://schemas.openxmlformats.org/officeDocument/2006/relationships/footer" Target="footer8.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173</Pages>
  <Words>8426</Words>
  <Characters>9041</Characters>
  <Lines>389</Lines>
  <Paragraphs>109</Paragraphs>
  <TotalTime>15</TotalTime>
  <ScaleCrop>false</ScaleCrop>
  <LinksUpToDate>false</LinksUpToDate>
  <CharactersWithSpaces>9296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2020-09-16T01:23:00Z</dcterms:created>
  <dc:creator>微软用户</dc:creator>
  <cp:lastModifiedBy>WPS_1460455803</cp:lastModifiedBy>
  <cp:lastPrinted>2026-07-31T21:17:00Z</cp:lastPrinted>
  <dcterms:modified xsi:type="dcterms:W3CDTF">2026-07-31T08:08:50Z</dcterms:modified>
  <dc:title>桂财采〔2009〕 号</dc:title>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KSOTemplateDocerSaveRecord">
    <vt:lpwstr>eyJoZGlkIjoiNDBkYjE0Zjk5NWRjOGM0NTNjN2QyNTkzOTFiMjQwYzYiLCJ1c2VySWQiOiIyMTA4NDg0NzcifQ==</vt:lpwstr>
  </property>
  <property fmtid="{D5CDD505-2E9C-101B-9397-08002B2CF9AE}" pid="14" name="ICV">
    <vt:lpwstr>7F920BC2672C41FF914A4AACBDA79534_13</vt:lpwstr>
  </property>
</Properties>
</file>