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6F8A26">
      <w:pPr>
        <w:jc w:val="both"/>
        <w:rPr>
          <w:rFonts w:hint="eastAsia" w:ascii="宋体" w:hAnsi="宋体" w:eastAsia="宋体" w:cs="宋体"/>
          <w:b/>
          <w:bCs/>
          <w:color w:val="auto"/>
          <w:sz w:val="48"/>
          <w:szCs w:val="48"/>
          <w:highlight w:val="none"/>
        </w:rPr>
      </w:pPr>
      <w:bookmarkStart w:id="0" w:name="OLE_LINK15"/>
      <w:bookmarkStart w:id="1" w:name="OLE_LINK8"/>
      <w:bookmarkStart w:id="2" w:name="OLE_LINK11"/>
      <w:bookmarkStart w:id="3" w:name="OLE_LINK10"/>
      <w:bookmarkStart w:id="4" w:name="OLE_LINK7"/>
    </w:p>
    <w:p w14:paraId="571DA1A7">
      <w:pPr>
        <w:jc w:val="center"/>
        <w:rPr>
          <w:rFonts w:hint="eastAsia" w:ascii="宋体" w:hAnsi="宋体" w:eastAsia="宋体" w:cs="宋体"/>
          <w:b/>
          <w:bCs/>
          <w:color w:val="auto"/>
          <w:sz w:val="48"/>
          <w:szCs w:val="48"/>
          <w:highlight w:val="none"/>
        </w:rPr>
      </w:pPr>
      <w:r>
        <w:rPr>
          <w:rFonts w:hint="eastAsia" w:ascii="宋体" w:hAnsi="宋体" w:eastAsia="宋体" w:cs="宋体"/>
          <w:color w:val="auto"/>
          <w:sz w:val="72"/>
          <w:szCs w:val="72"/>
          <w:highlight w:val="none"/>
          <w:lang w:eastAsia="zh-CN"/>
        </w:rPr>
        <w:drawing>
          <wp:inline distT="0" distB="0" distL="114300" distR="114300">
            <wp:extent cx="5673090" cy="893445"/>
            <wp:effectExtent l="0" t="0" r="3810" b="1905"/>
            <wp:docPr id="12" name="图片 12" descr="YU}EE0YOVJ4V1)7X7(`{V)F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YU}EE0YOVJ4V1)7X7(`{V)F_01"/>
                    <pic:cNvPicPr>
                      <a:picLocks noChangeAspect="1"/>
                    </pic:cNvPicPr>
                  </pic:nvPicPr>
                  <pic:blipFill>
                    <a:blip r:embed="rId19"/>
                    <a:srcRect l="20121" t="43716" r="19340" b="42802"/>
                    <a:stretch>
                      <a:fillRect/>
                    </a:stretch>
                  </pic:blipFill>
                  <pic:spPr>
                    <a:xfrm>
                      <a:off x="0" y="0"/>
                      <a:ext cx="5673090" cy="893445"/>
                    </a:xfrm>
                    <a:prstGeom prst="rect">
                      <a:avLst/>
                    </a:prstGeom>
                  </pic:spPr>
                </pic:pic>
              </a:graphicData>
            </a:graphic>
          </wp:inline>
        </w:drawing>
      </w:r>
    </w:p>
    <w:bookmarkEnd w:id="0"/>
    <w:p w14:paraId="0D60EBBF">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169545</wp:posOffset>
                </wp:positionV>
                <wp:extent cx="5944235" cy="8255"/>
                <wp:effectExtent l="0" t="0" r="0" b="0"/>
                <wp:wrapNone/>
                <wp:docPr id="1"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0.65pt;margin-top:13.35pt;height:0.65pt;width:468.05pt;z-index:251659264;mso-width-relative:page;mso-height-relative:page;" filled="f" stroked="t" coordsize="21600,21600" o:gfxdata="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Z+Ad1wAAAAgBAAAPAAAAAAAAAAEAIAAAACIAAABkcnMvZG93bnJldi54bWxQSwEC&#10;FAAUAAAACACHTuJACkhh9fUBAAD3AwAADgAAAAAAAAABACAAAAAmAQAAZHJzL2Uyb0RvYy54bWxQ&#10;SwUGAAAAAAYABgBZAQAAjQUAAAAA&#10;">
                <v:fill on="f" focussize="0,0"/>
                <v:stroke weight="2.25pt" color="#000000" joinstyle="round"/>
                <v:imagedata o:title=""/>
                <o:lock v:ext="edit" aspectratio="f"/>
              </v:line>
            </w:pict>
          </mc:Fallback>
        </mc:AlternateContent>
      </w:r>
      <w:r>
        <w:rPr>
          <w:rFonts w:hint="eastAsia" w:ascii="宋体" w:hAnsi="宋体" w:eastAsia="宋体" w:cs="宋体"/>
          <w:b/>
          <w:bCs/>
          <w:color w:val="auto"/>
          <w:sz w:val="10"/>
          <w:highlight w:val="none"/>
        </w:rPr>
        <w:t xml:space="preserve">                                                                         </w:t>
      </w:r>
    </w:p>
    <w:p w14:paraId="296D1DCF">
      <w:pPr>
        <w:pStyle w:val="20"/>
        <w:jc w:val="center"/>
        <w:rPr>
          <w:rFonts w:hint="eastAsia" w:ascii="宋体" w:hAnsi="宋体" w:eastAsia="宋体" w:cs="宋体"/>
          <w:b/>
          <w:bCs/>
          <w:color w:val="auto"/>
          <w:sz w:val="110"/>
          <w:szCs w:val="110"/>
          <w:highlight w:val="none"/>
        </w:rPr>
      </w:pPr>
      <w:r>
        <w:rPr>
          <w:rFonts w:hint="eastAsia" w:ascii="宋体" w:hAnsi="宋体" w:eastAsia="宋体" w:cs="宋体"/>
          <w:color w:val="auto"/>
          <w:sz w:val="110"/>
          <w:szCs w:val="110"/>
          <w:highlight w:val="none"/>
        </w:rPr>
        <w:t>招 标 文 件</w:t>
      </w:r>
    </w:p>
    <w:p w14:paraId="4E4B697F">
      <w:pPr>
        <w:jc w:val="center"/>
        <w:rPr>
          <w:rFonts w:hint="eastAsia" w:ascii="宋体" w:hAnsi="宋体" w:eastAsia="宋体" w:cs="宋体"/>
          <w:b/>
          <w:color w:val="auto"/>
          <w:sz w:val="36"/>
          <w:szCs w:val="36"/>
          <w:highlight w:val="none"/>
        </w:rPr>
      </w:pPr>
    </w:p>
    <w:p w14:paraId="2E66036E">
      <w:pPr>
        <w:pStyle w:val="20"/>
        <w:spacing w:line="360" w:lineRule="auto"/>
        <w:ind w:firstLine="753" w:firstLineChars="250"/>
        <w:jc w:val="left"/>
        <w:rPr>
          <w:rFonts w:hint="eastAsia" w:ascii="宋体" w:hAnsi="宋体" w:eastAsia="宋体" w:cs="宋体"/>
          <w:b/>
          <w:color w:val="auto"/>
          <w:sz w:val="30"/>
          <w:szCs w:val="30"/>
          <w:highlight w:val="none"/>
        </w:rPr>
      </w:pPr>
    </w:p>
    <w:p w14:paraId="5CB03195">
      <w:pPr>
        <w:snapToGrid w:val="0"/>
        <w:spacing w:before="120" w:beforeLines="50"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（全流程电子化采购）</w:t>
      </w:r>
    </w:p>
    <w:p w14:paraId="14259352">
      <w:pPr>
        <w:pStyle w:val="20"/>
        <w:spacing w:line="360" w:lineRule="auto"/>
        <w:ind w:firstLine="753" w:firstLineChars="250"/>
        <w:jc w:val="left"/>
        <w:rPr>
          <w:rFonts w:hint="eastAsia" w:ascii="宋体" w:hAnsi="宋体" w:eastAsia="宋体" w:cs="宋体"/>
          <w:b/>
          <w:color w:val="auto"/>
          <w:sz w:val="30"/>
          <w:szCs w:val="30"/>
          <w:highlight w:val="none"/>
        </w:rPr>
      </w:pPr>
    </w:p>
    <w:p w14:paraId="24C44D14">
      <w:pPr>
        <w:pStyle w:val="20"/>
        <w:spacing w:line="360" w:lineRule="auto"/>
        <w:ind w:firstLine="753" w:firstLineChars="250"/>
        <w:jc w:val="left"/>
        <w:rPr>
          <w:rFonts w:hint="eastAsia" w:ascii="宋体" w:hAnsi="宋体" w:eastAsia="宋体" w:cs="宋体"/>
          <w:b/>
          <w:color w:val="auto"/>
          <w:sz w:val="30"/>
          <w:szCs w:val="30"/>
          <w:highlight w:val="none"/>
        </w:rPr>
      </w:pPr>
    </w:p>
    <w:p w14:paraId="1B694C88">
      <w:pPr>
        <w:pStyle w:val="20"/>
        <w:spacing w:line="360" w:lineRule="auto"/>
        <w:ind w:firstLine="753" w:firstLineChars="250"/>
        <w:jc w:val="left"/>
        <w:rPr>
          <w:rFonts w:hint="eastAsia" w:ascii="宋体" w:hAnsi="宋体" w:eastAsia="宋体" w:cs="宋体"/>
          <w:b/>
          <w:color w:val="auto"/>
          <w:sz w:val="30"/>
          <w:szCs w:val="30"/>
          <w:highlight w:val="none"/>
        </w:rPr>
      </w:pPr>
    </w:p>
    <w:p w14:paraId="21031AB6">
      <w:pPr>
        <w:pStyle w:val="20"/>
        <w:spacing w:line="360" w:lineRule="auto"/>
        <w:ind w:firstLine="753" w:firstLineChars="250"/>
        <w:jc w:val="left"/>
        <w:rPr>
          <w:rFonts w:hint="eastAsia" w:ascii="宋体" w:hAnsi="宋体" w:eastAsia="宋体" w:cs="宋体"/>
          <w:b/>
          <w:color w:val="auto"/>
          <w:sz w:val="30"/>
          <w:szCs w:val="30"/>
          <w:highlight w:val="none"/>
        </w:rPr>
      </w:pPr>
    </w:p>
    <w:p w14:paraId="2198858B">
      <w:pPr>
        <w:pStyle w:val="20"/>
        <w:spacing w:line="360" w:lineRule="auto"/>
        <w:ind w:left="2258" w:leftChars="358" w:hanging="1506" w:hangingChars="500"/>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项目名称：2026年度高速公路网技术状况监测项目－路况检测</w:t>
      </w:r>
      <w:r>
        <w:rPr>
          <w:rFonts w:hint="eastAsia" w:ascii="宋体" w:hAnsi="宋体" w:eastAsia="宋体" w:cs="宋体"/>
          <w:b/>
          <w:color w:val="auto"/>
          <w:sz w:val="30"/>
          <w:szCs w:val="30"/>
          <w:highlight w:val="none"/>
          <w:lang w:eastAsia="zh-CN"/>
        </w:rPr>
        <w:t>服务</w:t>
      </w:r>
    </w:p>
    <w:p w14:paraId="3A83E970">
      <w:pPr>
        <w:pStyle w:val="20"/>
        <w:spacing w:line="360" w:lineRule="auto"/>
        <w:ind w:firstLine="753" w:firstLineChars="250"/>
        <w:jc w:val="left"/>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项目编号：GXZC2026-G3-001380-JGJD</w:t>
      </w:r>
    </w:p>
    <w:p w14:paraId="3C2FE38C">
      <w:pPr>
        <w:spacing w:line="600" w:lineRule="exact"/>
        <w:ind w:left="2"/>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440F9F0C">
      <w:pPr>
        <w:pStyle w:val="20"/>
        <w:spacing w:line="360" w:lineRule="auto"/>
        <w:ind w:firstLine="753" w:firstLineChars="250"/>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采购人：</w:t>
      </w:r>
      <w:r>
        <w:rPr>
          <w:rFonts w:hint="eastAsia" w:ascii="宋体" w:hAnsi="宋体" w:eastAsia="宋体" w:cs="宋体"/>
          <w:b/>
          <w:color w:val="auto"/>
          <w:sz w:val="30"/>
          <w:szCs w:val="30"/>
          <w:highlight w:val="none"/>
          <w:lang w:eastAsia="zh-CN"/>
        </w:rPr>
        <w:t>广西壮族自治区高速公路发展中心</w:t>
      </w:r>
    </w:p>
    <w:p w14:paraId="5223FF41">
      <w:pPr>
        <w:pStyle w:val="20"/>
        <w:spacing w:line="360" w:lineRule="auto"/>
        <w:ind w:firstLine="753" w:firstLineChars="250"/>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采购代理机构：</w:t>
      </w:r>
      <w:r>
        <w:rPr>
          <w:rFonts w:hint="eastAsia" w:ascii="宋体" w:hAnsi="宋体" w:eastAsia="宋体" w:cs="宋体"/>
          <w:b/>
          <w:color w:val="auto"/>
          <w:sz w:val="30"/>
          <w:szCs w:val="30"/>
          <w:highlight w:val="none"/>
          <w:lang w:eastAsia="zh-CN"/>
        </w:rPr>
        <w:t>广西建设工程机电设备招标中心有限公司</w:t>
      </w:r>
    </w:p>
    <w:p w14:paraId="14DE7329">
      <w:pPr>
        <w:pStyle w:val="20"/>
        <w:spacing w:line="360" w:lineRule="auto"/>
        <w:jc w:val="center"/>
        <w:rPr>
          <w:rFonts w:hint="eastAsia" w:ascii="宋体" w:hAnsi="宋体" w:eastAsia="宋体" w:cs="宋体"/>
          <w:b/>
          <w:color w:val="auto"/>
          <w:sz w:val="30"/>
          <w:szCs w:val="30"/>
          <w:highlight w:val="none"/>
        </w:rPr>
      </w:pPr>
    </w:p>
    <w:p w14:paraId="0E41DFE8">
      <w:pPr>
        <w:pStyle w:val="20"/>
        <w:spacing w:line="360" w:lineRule="auto"/>
        <w:jc w:val="center"/>
        <w:rPr>
          <w:rFonts w:hint="eastAsia" w:ascii="宋体" w:hAnsi="宋体" w:eastAsia="宋体" w:cs="宋体"/>
          <w:b/>
          <w:bCs/>
          <w:color w:val="auto"/>
          <w:spacing w:val="-27"/>
          <w:sz w:val="60"/>
          <w:szCs w:val="60"/>
          <w:highlight w:val="none"/>
          <w:lang w:val="en-US" w:eastAsia="zh-CN"/>
        </w:rPr>
      </w:pPr>
      <w:r>
        <w:rPr>
          <w:rFonts w:hint="eastAsia" w:ascii="宋体" w:hAnsi="宋体" w:eastAsia="宋体" w:cs="宋体"/>
          <w:b/>
          <w:color w:val="auto"/>
          <w:sz w:val="30"/>
          <w:szCs w:val="30"/>
          <w:highlight w:val="none"/>
        </w:rPr>
        <w:t>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rPr>
        <w:t>年</w:t>
      </w:r>
      <w:r>
        <w:rPr>
          <w:rFonts w:hint="eastAsia" w:hAnsi="宋体" w:cs="宋体"/>
          <w:b/>
          <w:color w:val="auto"/>
          <w:sz w:val="30"/>
          <w:szCs w:val="30"/>
          <w:highlight w:val="none"/>
          <w:lang w:val="en-US" w:eastAsia="zh-CN"/>
        </w:rPr>
        <w:t>5</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lang w:val="en-US" w:eastAsia="zh-CN"/>
        </w:rPr>
        <w:t xml:space="preserve"> </w:t>
      </w:r>
      <w:r>
        <w:rPr>
          <w:rFonts w:hint="eastAsia" w:hAnsi="宋体" w:cs="宋体"/>
          <w:b/>
          <w:color w:val="auto"/>
          <w:sz w:val="30"/>
          <w:szCs w:val="30"/>
          <w:highlight w:val="none"/>
          <w:lang w:val="en-US" w:eastAsia="zh-CN"/>
        </w:rPr>
        <w:t>26</w:t>
      </w:r>
      <w:r>
        <w:rPr>
          <w:rFonts w:hint="eastAsia" w:ascii="宋体" w:hAnsi="宋体" w:eastAsia="宋体" w:cs="宋体"/>
          <w:b/>
          <w:color w:val="auto"/>
          <w:sz w:val="30"/>
          <w:szCs w:val="30"/>
          <w:highlight w:val="none"/>
          <w:lang w:val="en-US" w:eastAsia="zh-CN"/>
        </w:rPr>
        <w:t xml:space="preserve"> 日</w:t>
      </w:r>
    </w:p>
    <w:p w14:paraId="7F675338">
      <w:pPr>
        <w:pStyle w:val="20"/>
        <w:spacing w:before="120" w:after="120" w:line="360" w:lineRule="auto"/>
        <w:jc w:val="center"/>
        <w:rPr>
          <w:rFonts w:hint="eastAsia" w:ascii="宋体" w:hAnsi="宋体" w:eastAsia="宋体" w:cs="宋体"/>
          <w:b/>
          <w:color w:val="auto"/>
          <w:sz w:val="44"/>
          <w:szCs w:val="44"/>
          <w:highlight w:val="none"/>
        </w:rPr>
        <w:sectPr>
          <w:footerReference r:id="rId6" w:type="first"/>
          <w:headerReference r:id="rId3" w:type="default"/>
          <w:footerReference r:id="rId4" w:type="default"/>
          <w:footerReference r:id="rId5" w:type="even"/>
          <w:pgSz w:w="11906" w:h="16838"/>
          <w:pgMar w:top="1440" w:right="1757" w:bottom="1440" w:left="1803" w:header="850" w:footer="850" w:gutter="0"/>
          <w:pgNumType w:start="0"/>
          <w:cols w:space="720" w:num="1"/>
          <w:titlePg/>
          <w:docGrid w:linePitch="312" w:charSpace="0"/>
        </w:sectPr>
      </w:pPr>
    </w:p>
    <w:p w14:paraId="6CD8211F">
      <w:pPr>
        <w:pStyle w:val="20"/>
        <w:keepNext w:val="0"/>
        <w:keepLines w:val="0"/>
        <w:pageBreakBefore w:val="0"/>
        <w:widowControl w:val="0"/>
        <w:kinsoku/>
        <w:wordWrap/>
        <w:overflowPunct/>
        <w:topLinePunct w:val="0"/>
        <w:autoSpaceDE/>
        <w:autoSpaceDN/>
        <w:bidi w:val="0"/>
        <w:adjustRightInd/>
        <w:spacing w:before="120" w:after="120" w:line="360" w:lineRule="auto"/>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4B8984FE">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5" w:name="OLE_LINK6"/>
      <w:bookmarkStart w:id="6" w:name="OLE_LINK9"/>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TOC \o "1-3" \h \u </w:instrText>
      </w:r>
      <w:r>
        <w:rPr>
          <w:rFonts w:hint="eastAsia" w:ascii="宋体" w:hAnsi="宋体" w:eastAsia="宋体" w:cs="宋体"/>
          <w:b w:val="0"/>
          <w:bCs w:val="0"/>
          <w:color w:val="auto"/>
          <w:highlight w:val="none"/>
        </w:rPr>
        <w:fldChar w:fldCharType="separate"/>
      </w:r>
      <w:r>
        <w:rPr>
          <w:rFonts w:hint="eastAsia" w:ascii="宋体" w:hAnsi="宋体" w:eastAsia="宋体" w:cs="宋体"/>
          <w:bCs w:val="0"/>
          <w:color w:val="auto"/>
          <w:highlight w:val="none"/>
        </w:rPr>
        <w:fldChar w:fldCharType="begin"/>
      </w:r>
      <w:r>
        <w:rPr>
          <w:rFonts w:hint="eastAsia" w:ascii="宋体" w:hAnsi="宋体" w:eastAsia="宋体" w:cs="宋体"/>
          <w:bCs w:val="0"/>
          <w:color w:val="auto"/>
          <w:highlight w:val="none"/>
        </w:rPr>
        <w:instrText xml:space="preserve"> HYPERLINK \l _Toc21030 </w:instrText>
      </w:r>
      <w:r>
        <w:rPr>
          <w:rFonts w:hint="eastAsia" w:ascii="宋体" w:hAnsi="宋体" w:eastAsia="宋体" w:cs="宋体"/>
          <w:bCs w:val="0"/>
          <w:color w:val="auto"/>
          <w:highlight w:val="none"/>
        </w:rPr>
        <w:fldChar w:fldCharType="separate"/>
      </w:r>
      <w:r>
        <w:rPr>
          <w:rFonts w:hint="eastAsia" w:ascii="宋体" w:hAnsi="宋体" w:eastAsia="宋体" w:cs="宋体"/>
          <w:color w:val="auto"/>
          <w:highlight w:val="none"/>
        </w:rPr>
        <w:t>第一章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val="0"/>
          <w:color w:val="auto"/>
          <w:highlight w:val="none"/>
        </w:rPr>
        <w:fldChar w:fldCharType="end"/>
      </w:r>
    </w:p>
    <w:p w14:paraId="28EA0FE2">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_Toc12941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6805159">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A4837B">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_Toc3016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rPr>
        <w:t>投标人须知前附表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DEA786">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_Toc21607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投标人须知正文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_Toc21607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E90D69">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一、总  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FDFCEC">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AF025E">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83030B">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四、开  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579E5A">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五、资格审查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54E5A0">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六、评  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2EFA00">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_Toc12517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七、中标和合同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3C9607">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_Toc17072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八、其他事项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_Toc17072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80C81B">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_Toc15433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评标方法及评标标准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_Toc15433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A7D40D3">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一、评标方法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3BD456">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_Toc29445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二、评标程序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_Toc29445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591876">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_Toc4705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三、评标标准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_Toc4705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914885">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_Toc29253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评分标准（综合评分法）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_Toc29253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93E9A6">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_Toc4130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四、中标候选人推荐原则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FCAA482">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_Toc22428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  拟签订的合同文本</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4</w:t>
      </w:r>
    </w:p>
    <w:p w14:paraId="5DC96D02">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_Toc20718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_Toc20718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F5C174">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_Toc7400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一、报价文件格式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489450">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_Toc23452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_Toc23452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C65BC93">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_Toc6222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三、商务及技术文件格式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5F9C73">
      <w:pPr>
        <w:pStyle w:val="3"/>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eastAsia="宋体" w:cs="宋体"/>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63146AB5">
      <w:pPr>
        <w:pStyle w:val="3"/>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bookmarkEnd w:id="5"/>
      <w:bookmarkEnd w:id="6"/>
      <w:bookmarkStart w:id="7" w:name="_Toc254970630"/>
      <w:bookmarkStart w:id="8" w:name="_Toc254970489"/>
      <w:bookmarkStart w:id="9" w:name="_Toc16993"/>
      <w:bookmarkStart w:id="10" w:name="_Toc21030"/>
      <w:bookmarkStart w:id="11" w:name="_Toc5452"/>
      <w:r>
        <w:rPr>
          <w:rFonts w:hint="eastAsia" w:ascii="宋体" w:hAnsi="宋体" w:eastAsia="宋体" w:cs="宋体"/>
          <w:color w:val="auto"/>
          <w:highlight w:val="none"/>
        </w:rPr>
        <w:t>第一章</w:t>
      </w:r>
      <w:bookmarkEnd w:id="7"/>
      <w:bookmarkEnd w:id="8"/>
      <w:bookmarkStart w:id="12" w:name="_Toc35393789"/>
      <w:bookmarkStart w:id="13" w:name="_Toc28359001"/>
      <w:r>
        <w:rPr>
          <w:rFonts w:hint="eastAsia" w:ascii="宋体" w:hAnsi="宋体" w:eastAsia="宋体" w:cs="宋体"/>
          <w:color w:val="auto"/>
          <w:highlight w:val="none"/>
        </w:rPr>
        <w:t xml:space="preserve">  招标公告</w:t>
      </w:r>
      <w:bookmarkEnd w:id="9"/>
      <w:bookmarkEnd w:id="10"/>
      <w:bookmarkEnd w:id="11"/>
      <w:bookmarkEnd w:id="12"/>
      <w:bookmarkEnd w:id="13"/>
    </w:p>
    <w:p w14:paraId="6ECFC8E0">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3392C90A">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2026年度高速公路网技术状况监测项目－路况检测服务</w:t>
      </w:r>
      <w:r>
        <w:rPr>
          <w:rFonts w:hint="eastAsia" w:ascii="宋体" w:hAnsi="宋体" w:eastAsia="宋体" w:cs="宋体"/>
          <w:color w:val="auto"/>
          <w:szCs w:val="21"/>
          <w:highlight w:val="none"/>
        </w:rPr>
        <w:t>招标项目的潜在投标人应在广西政府采购云平台（</w:t>
      </w:r>
      <w:r>
        <w:rPr>
          <w:rFonts w:hint="eastAsia" w:ascii="宋体" w:hAnsi="宋体" w:eastAsia="宋体" w:cs="宋体"/>
          <w:bCs/>
          <w:color w:val="auto"/>
          <w:szCs w:val="21"/>
          <w:highlight w:val="none"/>
        </w:rPr>
        <w:t>https://www.gcy.zfcg.gxzf.gov.cn/</w:t>
      </w:r>
      <w:r>
        <w:rPr>
          <w:rFonts w:hint="eastAsia" w:ascii="宋体" w:hAnsi="宋体" w:eastAsia="宋体" w:cs="宋体"/>
          <w:color w:val="auto"/>
          <w:szCs w:val="21"/>
          <w:highlight w:val="none"/>
        </w:rPr>
        <w:t>）获取招标文件，并于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bCs/>
          <w:color w:val="auto"/>
          <w:szCs w:val="21"/>
          <w:highlight w:val="none"/>
          <w:u w:val="single"/>
        </w:rPr>
        <w:t>年</w:t>
      </w:r>
      <w:r>
        <w:rPr>
          <w:rFonts w:hint="eastAsia" w:ascii="宋体" w:hAnsi="宋体" w:cs="宋体"/>
          <w:bCs/>
          <w:color w:val="auto"/>
          <w:szCs w:val="21"/>
          <w:highlight w:val="none"/>
          <w:u w:val="single"/>
          <w:lang w:val="en-US" w:eastAsia="zh-CN"/>
        </w:rPr>
        <w:t>6</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lang w:val="en-US" w:eastAsia="zh-CN"/>
        </w:rPr>
        <w:t>16</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日9时30分（</w:t>
      </w:r>
      <w:r>
        <w:rPr>
          <w:rFonts w:hint="eastAsia" w:ascii="宋体" w:hAnsi="宋体" w:eastAsia="宋体" w:cs="宋体"/>
          <w:bCs/>
          <w:color w:val="auto"/>
          <w:szCs w:val="21"/>
          <w:highlight w:val="none"/>
        </w:rPr>
        <w:t>北京时间）前递交投标文件</w:t>
      </w:r>
      <w:r>
        <w:rPr>
          <w:rFonts w:hint="eastAsia" w:ascii="宋体" w:hAnsi="宋体" w:eastAsia="宋体" w:cs="宋体"/>
          <w:color w:val="auto"/>
          <w:szCs w:val="21"/>
          <w:highlight w:val="none"/>
        </w:rPr>
        <w:t>。</w:t>
      </w:r>
    </w:p>
    <w:p w14:paraId="030B4A99">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4"/>
          <w:highlight w:val="none"/>
        </w:rPr>
      </w:pPr>
      <w:bookmarkStart w:id="14" w:name="_Toc35393790"/>
      <w:bookmarkStart w:id="15" w:name="_Toc28359079"/>
      <w:bookmarkStart w:id="16" w:name="_Toc35393621"/>
      <w:bookmarkStart w:id="17" w:name="_Toc28359002"/>
      <w:bookmarkStart w:id="18" w:name="_Hlk24379207"/>
      <w:r>
        <w:rPr>
          <w:rFonts w:hint="eastAsia" w:ascii="宋体" w:hAnsi="宋体" w:eastAsia="宋体" w:cs="宋体"/>
          <w:b/>
          <w:bCs/>
          <w:color w:val="auto"/>
          <w:sz w:val="24"/>
          <w:highlight w:val="none"/>
        </w:rPr>
        <w:t>一、项目基本情况</w:t>
      </w:r>
      <w:bookmarkEnd w:id="14"/>
      <w:bookmarkEnd w:id="15"/>
      <w:bookmarkEnd w:id="16"/>
      <w:bookmarkEnd w:id="17"/>
    </w:p>
    <w:bookmarkEnd w:id="18"/>
    <w:p w14:paraId="04907331">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项目编号：GXZC2026-G3-001380-JGJD</w:t>
      </w:r>
      <w:r>
        <w:rPr>
          <w:rFonts w:hint="eastAsia" w:ascii="宋体" w:hAnsi="宋体" w:eastAsia="宋体" w:cs="宋体"/>
          <w:color w:val="auto"/>
          <w:szCs w:val="21"/>
          <w:highlight w:val="none"/>
          <w:lang w:val="en-US" w:eastAsia="zh-CN"/>
        </w:rPr>
        <w:t xml:space="preserve"> </w:t>
      </w:r>
    </w:p>
    <w:p w14:paraId="120C554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highlight w:val="none"/>
          <w:lang w:eastAsia="zh-CN"/>
        </w:rPr>
        <w:t>2026年度高速公路网技术状况监测项目－路况检测服务</w:t>
      </w:r>
    </w:p>
    <w:p w14:paraId="7E63C023">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预算总金额（元）</w:t>
      </w:r>
      <w:r>
        <w:rPr>
          <w:rFonts w:hint="eastAsia" w:ascii="宋体" w:hAnsi="宋体" w:eastAsia="宋体" w:cs="宋体"/>
          <w:color w:val="auto"/>
          <w:szCs w:val="21"/>
          <w:highlight w:val="none"/>
        </w:rPr>
        <w:t>：70044</w:t>
      </w:r>
      <w:r>
        <w:rPr>
          <w:rFonts w:hint="eastAsia" w:ascii="宋体" w:hAnsi="宋体" w:eastAsia="宋体" w:cs="宋体"/>
          <w:color w:val="auto"/>
          <w:szCs w:val="21"/>
          <w:highlight w:val="none"/>
          <w:lang w:val="en-US" w:eastAsia="zh-CN"/>
        </w:rPr>
        <w:t>00.00</w:t>
      </w:r>
    </w:p>
    <w:p w14:paraId="0C47CD3A">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最高限价（如有）：70044</w:t>
      </w:r>
      <w:r>
        <w:rPr>
          <w:rFonts w:hint="eastAsia" w:ascii="宋体" w:hAnsi="宋体" w:eastAsia="宋体" w:cs="宋体"/>
          <w:color w:val="auto"/>
          <w:szCs w:val="21"/>
          <w:highlight w:val="none"/>
          <w:lang w:val="en-US" w:eastAsia="zh-CN"/>
        </w:rPr>
        <w:t>00.00元</w:t>
      </w:r>
    </w:p>
    <w:p w14:paraId="21477A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采购需求： </w:t>
      </w:r>
    </w:p>
    <w:tbl>
      <w:tblPr>
        <w:tblStyle w:val="40"/>
        <w:tblW w:w="8324"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2"/>
        <w:gridCol w:w="1582"/>
        <w:gridCol w:w="927"/>
        <w:gridCol w:w="5193"/>
      </w:tblGrid>
      <w:tr w14:paraId="067C3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noWrap w:val="0"/>
            <w:vAlign w:val="center"/>
          </w:tcPr>
          <w:p w14:paraId="478EFF3C">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9C46CA6">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376A9943">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w:t>
            </w:r>
          </w:p>
          <w:p w14:paraId="72DCED91">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5193" w:type="dxa"/>
            <w:tcBorders>
              <w:top w:val="single" w:color="auto" w:sz="4" w:space="0"/>
              <w:left w:val="single" w:color="auto" w:sz="4" w:space="0"/>
              <w:bottom w:val="single" w:color="auto" w:sz="4" w:space="0"/>
              <w:right w:val="single" w:color="auto" w:sz="4" w:space="0"/>
            </w:tcBorders>
            <w:noWrap w:val="0"/>
            <w:vAlign w:val="center"/>
          </w:tcPr>
          <w:p w14:paraId="2E3DFB70">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简要技术需求或者服务要求</w:t>
            </w:r>
          </w:p>
        </w:tc>
      </w:tr>
      <w:tr w14:paraId="4E415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noWrap w:val="0"/>
            <w:vAlign w:val="center"/>
          </w:tcPr>
          <w:p w14:paraId="4831388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bookmarkStart w:id="19" w:name="OLE_LINK14" w:colFirst="1" w:colLast="3"/>
            <w:bookmarkStart w:id="20" w:name="OLE_LINK3" w:colFirst="1" w:colLast="2"/>
            <w:bookmarkStart w:id="21" w:name="OLE_LINK2" w:colFirst="1" w:colLast="3"/>
            <w:bookmarkStart w:id="22" w:name="OLE_LINK4" w:colFirst="1" w:colLast="2"/>
            <w:bookmarkStart w:id="23" w:name="OLE_LINK5" w:colFirst="1" w:colLast="2"/>
            <w:r>
              <w:rPr>
                <w:rFonts w:hint="eastAsia" w:ascii="宋体" w:hAnsi="宋体" w:eastAsia="宋体" w:cs="宋体"/>
                <w:color w:val="auto"/>
                <w:szCs w:val="21"/>
                <w:highlight w:val="none"/>
              </w:rPr>
              <w:t>01</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06BD5C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lang w:eastAsia="zh-CN"/>
              </w:rPr>
              <w:t>2026年度高速公路网技术状况监测项目－路况检测服务</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5F8487A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5193" w:type="dxa"/>
            <w:tcBorders>
              <w:top w:val="single" w:color="auto" w:sz="4" w:space="0"/>
              <w:left w:val="single" w:color="auto" w:sz="4" w:space="0"/>
              <w:bottom w:val="single" w:color="auto" w:sz="4" w:space="0"/>
              <w:right w:val="single" w:color="auto" w:sz="4" w:space="0"/>
            </w:tcBorders>
            <w:noWrap w:val="0"/>
            <w:vAlign w:val="center"/>
          </w:tcPr>
          <w:p w14:paraId="2D1E30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val="en-US" w:eastAsia="zh-CN"/>
              </w:rPr>
            </w:pPr>
            <w:bookmarkStart w:id="24" w:name="OLE_LINK16"/>
            <w:r>
              <w:rPr>
                <w:rFonts w:hint="eastAsia" w:ascii="宋体" w:hAnsi="宋体" w:eastAsia="宋体" w:cs="宋体"/>
                <w:color w:val="auto"/>
                <w:szCs w:val="21"/>
                <w:highlight w:val="none"/>
                <w:lang w:val="en-US" w:eastAsia="zh-CN"/>
              </w:rPr>
              <w:t>根据《公路养护工程管理办法》（交公路发〔2018〕33号）、</w:t>
            </w:r>
            <w:bookmarkEnd w:id="24"/>
            <w:r>
              <w:rPr>
                <w:rFonts w:hint="eastAsia" w:ascii="宋体" w:hAnsi="宋体" w:eastAsia="宋体" w:cs="宋体"/>
                <w:color w:val="auto"/>
                <w:szCs w:val="21"/>
                <w:highlight w:val="none"/>
                <w:lang w:val="en-US" w:eastAsia="zh-CN"/>
              </w:rPr>
              <w:t>《公路技术状况评定标准》（JTG 5210—2018）、《2024年度国家公路网技术状况监测实施方案》（交办公路函〔2024〕1201号）、《“十四五”公路养护发展纲要》（交公路发〔2022〕46号）等文件和规范标准的要求，同时为加强广西壮族自治区高速公路养护管理工作，全面及时掌握高速公路工作性能，为高速公路的养护决策提供科学依据，促进养护管理的规范化、信息化、科学化、精细化，保证公路设施经常处于良好状态且道路通行环境安全可控，自治区高速公路发展中心计划委托第三方咨询检测单位对全区高速公路的路面技术状况、沿线设施技术状况指数TCI、标线逆反射系数、交通安全设施实体质量、路基边坡质量进行抽检，并对约50家高速公路运营公司的路况检测记录、交通安全设施管养资料和路基边坡管养资料进行校核。</w:t>
            </w:r>
          </w:p>
          <w:p w14:paraId="496A2C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具体实施内容如下：</w:t>
            </w:r>
          </w:p>
          <w:p w14:paraId="106247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1.依据《公路技术状况评定标准》（JTG 5210-2018）、《多功能路况快速检测设备》（GB/T 26764-2024）、《公路路基路面现场测试规程》（JTG 3450-2019）等规范要求，选取广西全区运营高速公路一个方向上的一个主要行车道进行路面技术状况检测，总检测里程约为10060公里·车道，其中沥青路面检测指标包含路面损坏、路面平整度、路面车辙、路面跳车、路面磨耗和路面抗滑；水泥路面检测指标包含路面损坏、路面平整度、路面跳车和路面抗滑</w:t>
            </w:r>
            <w:bookmarkStart w:id="25" w:name="OLE_LINK21"/>
            <w:r>
              <w:rPr>
                <w:rFonts w:hint="eastAsia" w:ascii="宋体" w:hAnsi="宋体" w:cs="宋体"/>
                <w:color w:val="auto"/>
                <w:szCs w:val="21"/>
                <w:highlight w:val="none"/>
                <w:lang w:val="en-US" w:eastAsia="zh-CN"/>
              </w:rPr>
              <w:t>，抽取2012公里高速公路进行路面弯沉检测。</w:t>
            </w:r>
            <w:bookmarkEnd w:id="25"/>
            <w:r>
              <w:rPr>
                <w:rFonts w:hint="eastAsia" w:ascii="宋体" w:hAnsi="宋体" w:cs="宋体"/>
                <w:szCs w:val="21"/>
                <w:lang w:val="en-US" w:eastAsia="zh-CN"/>
              </w:rPr>
              <w:t>对</w:t>
            </w:r>
            <w:r>
              <w:rPr>
                <w:rFonts w:hint="eastAsia" w:ascii="宋体" w:hAnsi="宋体" w:cs="宋体"/>
                <w:szCs w:val="21"/>
              </w:rPr>
              <w:t>抽检路段的路面技术状况</w:t>
            </w:r>
            <w:r>
              <w:rPr>
                <w:rFonts w:hint="eastAsia" w:ascii="宋体" w:hAnsi="宋体" w:cs="宋体"/>
                <w:szCs w:val="21"/>
                <w:lang w:val="en-US" w:eastAsia="zh-CN"/>
              </w:rPr>
              <w:t>进行</w:t>
            </w:r>
            <w:r>
              <w:rPr>
                <w:rFonts w:hint="eastAsia" w:ascii="宋体" w:hAnsi="宋体" w:cs="宋体"/>
                <w:szCs w:val="21"/>
              </w:rPr>
              <w:t>评定，对抽检结果完成相关数据分析</w:t>
            </w:r>
            <w:r>
              <w:rPr>
                <w:rFonts w:hint="eastAsia" w:ascii="宋体" w:hAnsi="宋体" w:cs="宋体"/>
                <w:szCs w:val="21"/>
                <w:lang w:eastAsia="zh-CN"/>
              </w:rPr>
              <w:t>，</w:t>
            </w:r>
            <w:r>
              <w:rPr>
                <w:rFonts w:hint="eastAsia" w:ascii="宋体" w:hAnsi="宋体" w:cs="宋体"/>
                <w:szCs w:val="21"/>
                <w:lang w:val="en-US" w:eastAsia="zh-CN"/>
              </w:rPr>
              <w:t>包含抽检路段</w:t>
            </w:r>
            <w:r>
              <w:rPr>
                <w:rFonts w:hint="eastAsia" w:ascii="宋体" w:hAnsi="宋体" w:cs="宋体"/>
                <w:szCs w:val="21"/>
              </w:rPr>
              <w:t>路面PQI及分项指标和优等路率，各运营公司路面PQI及分项指标和优等路率，</w:t>
            </w:r>
            <w:r>
              <w:rPr>
                <w:rFonts w:hint="eastAsia" w:ascii="宋体" w:hAnsi="宋体" w:cs="宋体"/>
                <w:szCs w:val="21"/>
                <w:lang w:val="en-US" w:eastAsia="zh-CN"/>
              </w:rPr>
              <w:t>开展路面科学决策分析，</w:t>
            </w:r>
            <w:r>
              <w:rPr>
                <w:rFonts w:hint="eastAsia" w:ascii="宋体" w:hAnsi="宋体" w:cs="宋体"/>
                <w:szCs w:val="21"/>
              </w:rPr>
              <w:t>并结合广西高速公路高质量发展要求对不同技术状况水平的路面提供有针对性的养护建议</w:t>
            </w:r>
            <w:r>
              <w:rPr>
                <w:rFonts w:hint="eastAsia" w:ascii="宋体" w:hAnsi="宋体" w:cs="宋体"/>
                <w:szCs w:val="21"/>
                <w:lang w:eastAsia="zh-CN"/>
              </w:rPr>
              <w:t>。</w:t>
            </w:r>
          </w:p>
          <w:p w14:paraId="7D244922">
            <w:pPr>
              <w:keepNext w:val="0"/>
              <w:keepLines w:val="0"/>
              <w:pageBreakBefore w:val="0"/>
              <w:widowControl w:val="0"/>
              <w:kinsoku/>
              <w:wordWrap/>
              <w:overflowPunct/>
              <w:topLinePunct w:val="0"/>
              <w:autoSpaceDE/>
              <w:autoSpaceDN/>
              <w:bidi w:val="0"/>
              <w:adjustRightIn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szCs w:val="21"/>
              </w:rPr>
              <w:t>依据《公路技术状况评定标准》（JTG 5210-2018）</w:t>
            </w:r>
            <w:r>
              <w:rPr>
                <w:rFonts w:hint="eastAsia" w:ascii="宋体" w:hAnsi="宋体" w:eastAsia="宋体" w:cs="宋体"/>
                <w:szCs w:val="21"/>
                <w:lang w:eastAsia="zh-CN"/>
              </w:rPr>
              <w:t>，</w:t>
            </w:r>
            <w:r>
              <w:rPr>
                <w:rFonts w:hint="eastAsia" w:ascii="宋体" w:hAnsi="宋体" w:eastAsia="宋体" w:cs="宋体"/>
                <w:color w:val="auto"/>
                <w:szCs w:val="21"/>
                <w:highlight w:val="none"/>
                <w:lang w:val="en-US" w:eastAsia="zh-CN"/>
              </w:rPr>
              <w:t>选取广西全区20%的运营高速公路进行沿线设施技术状况TCI</w:t>
            </w:r>
            <w:r>
              <w:rPr>
                <w:rFonts w:hint="eastAsia" w:ascii="宋体" w:hAnsi="宋体" w:cs="宋体"/>
                <w:color w:val="auto"/>
                <w:szCs w:val="21"/>
                <w:highlight w:val="none"/>
                <w:lang w:val="en-US" w:eastAsia="zh-CN"/>
              </w:rPr>
              <w:t>单向</w:t>
            </w:r>
            <w:r>
              <w:rPr>
                <w:rFonts w:hint="eastAsia" w:ascii="宋体" w:hAnsi="宋体" w:eastAsia="宋体" w:cs="宋体"/>
                <w:color w:val="auto"/>
                <w:szCs w:val="21"/>
                <w:highlight w:val="none"/>
                <w:lang w:val="en-US" w:eastAsia="zh-CN"/>
              </w:rPr>
              <w:t>检测，并利用快速检测装备获取路域环境影像资料，检测的项目包含防护设施、隔离栅、标志、标线和绿化带，并对运营公司的自检数据进行校核。本次检测评定分析及校核的高速公路总里程约为2012公里。</w:t>
            </w:r>
          </w:p>
          <w:p w14:paraId="7B331370">
            <w:pPr>
              <w:keepNext w:val="0"/>
              <w:keepLines w:val="0"/>
              <w:pageBreakBefore w:val="0"/>
              <w:widowControl w:val="0"/>
              <w:kinsoku/>
              <w:wordWrap/>
              <w:overflowPunct/>
              <w:topLinePunct w:val="0"/>
              <w:autoSpaceDE/>
              <w:autoSpaceDN/>
              <w:bidi w:val="0"/>
              <w:adjustRightIn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3.利用标线逆反射系数连续快速检测设备，选取广西全区20%的运营高速公路进行标线逆反射系数连续快速检测。本次拟进行标线逆反射系数连续快速检测的高速公路总里程约为2012公里</w:t>
            </w:r>
            <w:r>
              <w:rPr>
                <w:rFonts w:hint="eastAsia" w:ascii="宋体" w:hAnsi="宋体" w:cs="宋体"/>
                <w:color w:val="auto"/>
                <w:szCs w:val="21"/>
                <w:highlight w:val="none"/>
                <w:lang w:val="en-US" w:eastAsia="zh-CN"/>
              </w:rPr>
              <w:t>·条</w:t>
            </w:r>
            <w:r>
              <w:rPr>
                <w:rFonts w:hint="eastAsia" w:ascii="宋体" w:hAnsi="宋体" w:eastAsia="宋体" w:cs="宋体"/>
                <w:color w:val="auto"/>
                <w:szCs w:val="21"/>
                <w:highlight w:val="none"/>
                <w:lang w:val="en-US" w:eastAsia="zh-CN"/>
              </w:rPr>
              <w:t>。</w:t>
            </w:r>
          </w:p>
          <w:p w14:paraId="13DF5D75">
            <w:pPr>
              <w:keepNext w:val="0"/>
              <w:keepLines w:val="0"/>
              <w:pageBreakBefore w:val="0"/>
              <w:widowControl w:val="0"/>
              <w:kinsoku/>
              <w:wordWrap/>
              <w:overflowPunct/>
              <w:topLinePunct w:val="0"/>
              <w:autoSpaceDE/>
              <w:autoSpaceDN/>
              <w:bidi w:val="0"/>
              <w:adjustRightIn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4.抽取广西全区10%的运营高速公路进行交通安全设施资料核查，资料核查高速公路总里程约为1006公里</w:t>
            </w:r>
            <w:r>
              <w:rPr>
                <w:rFonts w:hint="eastAsia" w:ascii="宋体" w:hAnsi="宋体" w:cs="宋体"/>
                <w:szCs w:val="21"/>
                <w:lang w:eastAsia="zh-CN"/>
              </w:rPr>
              <w:t>（</w:t>
            </w:r>
            <w:r>
              <w:rPr>
                <w:rFonts w:hint="eastAsia" w:ascii="宋体" w:hAnsi="宋体" w:cs="宋体"/>
                <w:szCs w:val="21"/>
                <w:lang w:val="en-US" w:eastAsia="zh-CN"/>
              </w:rPr>
              <w:t>单向</w:t>
            </w:r>
            <w:r>
              <w:rPr>
                <w:rFonts w:hint="eastAsia" w:ascii="宋体" w:hAnsi="宋体" w:cs="宋体"/>
                <w:szCs w:val="21"/>
                <w:lang w:eastAsia="zh-CN"/>
              </w:rPr>
              <w:t>）</w:t>
            </w:r>
            <w:r>
              <w:rPr>
                <w:rFonts w:hint="eastAsia" w:ascii="宋体" w:hAnsi="宋体" w:eastAsia="宋体" w:cs="宋体"/>
                <w:color w:val="auto"/>
                <w:szCs w:val="21"/>
                <w:highlight w:val="none"/>
                <w:lang w:val="en-US" w:eastAsia="zh-CN"/>
              </w:rPr>
              <w:t>，并参照《2024年度国家公路网技术状况监测实施方案》（交办公路函〔2024〕1201号）</w:t>
            </w:r>
            <w:bookmarkStart w:id="26" w:name="OLE_LINK19"/>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《公路养护工程质量检验评定标准 第一册 土建工程》（JTG 5220-2020）</w:t>
            </w:r>
            <w:r>
              <w:rPr>
                <w:rFonts w:hint="eastAsia" w:ascii="宋体" w:hAnsi="宋体" w:cs="宋体"/>
                <w:color w:val="auto"/>
                <w:szCs w:val="21"/>
                <w:highlight w:val="none"/>
                <w:lang w:val="en-US" w:eastAsia="zh-CN"/>
              </w:rPr>
              <w:t>等文件和规范标准的</w:t>
            </w:r>
            <w:bookmarkEnd w:id="26"/>
            <w:r>
              <w:rPr>
                <w:rFonts w:hint="eastAsia" w:ascii="宋体" w:hAnsi="宋体" w:eastAsia="宋体" w:cs="宋体"/>
                <w:color w:val="auto"/>
                <w:szCs w:val="21"/>
                <w:highlight w:val="none"/>
                <w:lang w:val="en-US" w:eastAsia="zh-CN"/>
              </w:rPr>
              <w:t>要求，对其中部分路段的标线、标志和护栏实体质量进行检测，检测的项目有波形梁护栏螺栓缺失、波形梁钢护栏托架/防阻块缺损、波形梁钢护栏横梁中心高度、诱导标志逆反射系数、诱导标志厚度、标线厚度、标线逆反射系数（利用手持式标线逆反射系数仪进行检测）等。</w:t>
            </w:r>
          </w:p>
          <w:p w14:paraId="7AFA9A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5.对全区约50家高速公路运营公司的路面检测记录进行校核，核查运营公司的路面技术状况检测是否符合现行标准和文件的要求。</w:t>
            </w:r>
          </w:p>
          <w:p w14:paraId="04EF53FA">
            <w:pPr>
              <w:keepNext w:val="0"/>
              <w:keepLines w:val="0"/>
              <w:pageBreakBefore w:val="0"/>
              <w:widowControl w:val="0"/>
              <w:kinsoku/>
              <w:wordWrap/>
              <w:overflowPunct/>
              <w:topLinePunct w:val="0"/>
              <w:autoSpaceDE/>
              <w:autoSpaceDN/>
              <w:bidi w:val="0"/>
              <w:adjustRightIn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6.依据《自然灾害综合风险公路承灾体普查技术指南》对全区约50家高速公路运营公司的路基边坡</w:t>
            </w:r>
            <w:r>
              <w:rPr>
                <w:rFonts w:hint="eastAsia" w:ascii="宋体" w:hAnsi="宋体" w:cs="宋体"/>
                <w:color w:val="auto"/>
                <w:szCs w:val="21"/>
                <w:highlight w:val="none"/>
                <w:lang w:val="en-US" w:eastAsia="zh-CN"/>
              </w:rPr>
              <w:t>技术状况</w:t>
            </w:r>
            <w:r>
              <w:rPr>
                <w:rFonts w:hint="eastAsia" w:ascii="宋体" w:hAnsi="宋体" w:eastAsia="宋体" w:cs="宋体"/>
                <w:color w:val="auto"/>
                <w:szCs w:val="21"/>
                <w:highlight w:val="none"/>
                <w:lang w:val="en-US" w:eastAsia="zh-CN"/>
              </w:rPr>
              <w:t>进行抽检，共抽查182处路基边坡，并核查路基边坡资料。</w:t>
            </w:r>
            <w:r>
              <w:rPr>
                <w:rFonts w:hint="eastAsia" w:ascii="宋体" w:hAnsi="宋体" w:eastAsia="宋体" w:cs="宋体"/>
                <w:color w:val="auto"/>
                <w:szCs w:val="21"/>
                <w:highlight w:val="none"/>
              </w:rPr>
              <w:t>开展全区高速公路运营领域安全生产监督检查工作</w:t>
            </w:r>
            <w:r>
              <w:rPr>
                <w:rFonts w:hint="eastAsia" w:ascii="宋体" w:hAnsi="宋体" w:eastAsia="宋体" w:cs="宋体"/>
                <w:color w:val="auto"/>
                <w:szCs w:val="21"/>
                <w:highlight w:val="none"/>
                <w:lang w:eastAsia="zh-CN"/>
              </w:rPr>
              <w:t>。</w:t>
            </w:r>
          </w:p>
          <w:p w14:paraId="71CBCB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根据</w:t>
            </w:r>
            <w:r>
              <w:rPr>
                <w:rFonts w:hint="eastAsia" w:ascii="宋体" w:hAnsi="宋体" w:cs="宋体"/>
                <w:lang w:val="en-US" w:eastAsia="zh-CN"/>
              </w:rPr>
              <w:t>现行的</w:t>
            </w:r>
            <w:r>
              <w:rPr>
                <w:rFonts w:hint="eastAsia" w:ascii="宋体" w:hAnsi="宋体" w:eastAsia="宋体" w:cs="宋体"/>
              </w:rPr>
              <w:t>文件和规范标准要求进行抽检路段的路面技术状况评定，并完成交通安全设施和路基边坡的监测评估，对抽检结果完成相关数据分析并提交如下成果：</w:t>
            </w:r>
          </w:p>
          <w:p w14:paraId="570FBB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提供符合采购人要求的</w:t>
            </w:r>
            <w:r>
              <w:rPr>
                <w:rFonts w:hint="eastAsia" w:ascii="宋体" w:hAnsi="宋体" w:eastAsia="宋体" w:cs="宋体"/>
              </w:rPr>
              <w:t>广西高速公路路面技术状况评定及养护分析报告</w:t>
            </w:r>
            <w:r>
              <w:rPr>
                <w:rFonts w:hint="eastAsia" w:ascii="宋体" w:hAnsi="宋体" w:eastAsia="宋体" w:cs="宋体"/>
                <w:lang w:eastAsia="zh-CN"/>
              </w:rPr>
              <w:t>、</w:t>
            </w:r>
            <w:r>
              <w:rPr>
                <w:rFonts w:hint="eastAsia" w:ascii="宋体" w:hAnsi="宋体" w:eastAsia="宋体" w:cs="宋体"/>
              </w:rPr>
              <w:t>交通安全设施和路基边坡监测评估报告；</w:t>
            </w:r>
          </w:p>
          <w:p w14:paraId="23B9C8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rPr>
              <w:t>（2）配合采购人提供相应电子数据，同时可采用综合分析平台进行展示，该平台应集成公路基础数据、路况数据、图像数据、病害识别数据、养护方案等，功能应具有智能搜索、区域路况查询、路线路况查询、公路前方图像查询、病害图像查询、养护方案查询、路况评定查询、检测明细查询、历史数据管理等功能。</w:t>
            </w:r>
          </w:p>
        </w:tc>
      </w:tr>
      <w:bookmarkEnd w:id="19"/>
      <w:bookmarkEnd w:id="20"/>
      <w:bookmarkEnd w:id="21"/>
      <w:bookmarkEnd w:id="22"/>
      <w:bookmarkEnd w:id="23"/>
    </w:tbl>
    <w:p w14:paraId="37F7DBA3">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highlight w:val="none"/>
        </w:rPr>
        <w:t>交付时间：</w:t>
      </w:r>
      <w:r>
        <w:rPr>
          <w:rFonts w:hint="eastAsia" w:ascii="宋体" w:hAnsi="宋体" w:eastAsia="宋体" w:cs="宋体"/>
          <w:color w:val="auto"/>
          <w:highlight w:val="none"/>
        </w:rPr>
        <w:t>2026年12月31日前</w:t>
      </w:r>
      <w:r>
        <w:rPr>
          <w:rFonts w:hint="eastAsia" w:ascii="宋体" w:hAnsi="宋体" w:cs="宋体"/>
          <w:color w:val="auto"/>
          <w:highlight w:val="none"/>
          <w:lang w:eastAsia="zh-CN"/>
        </w:rPr>
        <w:t>。</w:t>
      </w:r>
    </w:p>
    <w:p w14:paraId="7627DCA0">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本项目</w:t>
      </w:r>
      <w:r>
        <w:rPr>
          <w:rFonts w:hint="eastAsia" w:ascii="宋体" w:hAnsi="宋体" w:cs="宋体"/>
          <w:color w:val="auto"/>
          <w:szCs w:val="21"/>
          <w:highlight w:val="none"/>
          <w:lang w:val="en-US" w:eastAsia="zh-CN"/>
        </w:rPr>
        <w:t>不接受</w:t>
      </w:r>
      <w:r>
        <w:rPr>
          <w:rFonts w:hint="eastAsia" w:ascii="宋体" w:hAnsi="宋体" w:eastAsia="宋体" w:cs="宋体"/>
          <w:color w:val="auto"/>
          <w:szCs w:val="21"/>
          <w:highlight w:val="none"/>
          <w:lang w:val="en-US" w:eastAsia="zh-CN"/>
        </w:rPr>
        <w:t>联合体投标</w:t>
      </w:r>
      <w:r>
        <w:rPr>
          <w:rFonts w:hint="eastAsia" w:ascii="宋体" w:hAnsi="宋体" w:eastAsia="宋体" w:cs="宋体"/>
          <w:color w:val="auto"/>
          <w:szCs w:val="21"/>
          <w:highlight w:val="none"/>
        </w:rPr>
        <w:t>。</w:t>
      </w:r>
    </w:p>
    <w:p w14:paraId="4CE75454">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4"/>
          <w:highlight w:val="none"/>
        </w:rPr>
      </w:pPr>
      <w:bookmarkStart w:id="27" w:name="_Toc28359080"/>
      <w:bookmarkStart w:id="28" w:name="_Toc35393791"/>
      <w:bookmarkStart w:id="29" w:name="_Toc35393622"/>
      <w:bookmarkStart w:id="30" w:name="_Toc28359003"/>
      <w:r>
        <w:rPr>
          <w:rFonts w:hint="eastAsia" w:ascii="宋体" w:hAnsi="宋体" w:eastAsia="宋体" w:cs="宋体"/>
          <w:b/>
          <w:bCs/>
          <w:color w:val="auto"/>
          <w:sz w:val="24"/>
          <w:highlight w:val="none"/>
        </w:rPr>
        <w:t>二、申请人的资格要求：</w:t>
      </w:r>
      <w:bookmarkEnd w:id="27"/>
      <w:bookmarkEnd w:id="28"/>
      <w:bookmarkEnd w:id="29"/>
      <w:bookmarkEnd w:id="30"/>
    </w:p>
    <w:p w14:paraId="17193D13">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bookmarkStart w:id="31" w:name="_Hlk51746371"/>
      <w:bookmarkStart w:id="32" w:name="_Toc28359081"/>
      <w:bookmarkStart w:id="33" w:name="_Toc35393792"/>
      <w:bookmarkStart w:id="34" w:name="_Toc28359004"/>
      <w:bookmarkStart w:id="35" w:name="_Toc35393623"/>
      <w:r>
        <w:rPr>
          <w:rFonts w:hint="eastAsia" w:ascii="宋体" w:hAnsi="宋体" w:eastAsia="宋体" w:cs="宋体"/>
          <w:color w:val="auto"/>
          <w:szCs w:val="21"/>
          <w:highlight w:val="none"/>
        </w:rPr>
        <w:t>1.满足《中华人民共和国政府采购法》第二十二条规定；</w:t>
      </w:r>
    </w:p>
    <w:p w14:paraId="15B49378">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62A35513">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r>
        <w:rPr>
          <w:rFonts w:hint="eastAsia" w:ascii="宋体" w:hAnsi="宋体" w:eastAsia="宋体" w:cs="宋体"/>
          <w:color w:val="auto"/>
          <w:szCs w:val="21"/>
          <w:highlight w:val="none"/>
          <w:lang w:eastAsia="zh-CN"/>
        </w:rPr>
        <w:t>；</w:t>
      </w:r>
    </w:p>
    <w:p w14:paraId="5F1572B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r>
        <w:rPr>
          <w:rFonts w:hint="eastAsia" w:ascii="宋体" w:hAnsi="宋体" w:eastAsia="宋体" w:cs="宋体"/>
          <w:color w:val="auto"/>
          <w:highlight w:val="none"/>
        </w:rPr>
        <w:t>；</w:t>
      </w:r>
    </w:p>
    <w:p w14:paraId="731BBB57">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 w:val="21"/>
          <w:szCs w:val="21"/>
          <w:highlight w:val="none"/>
        </w:rPr>
        <w:t>具备省级及以上交通行政主管部门颁发的《公路水运工程试验检测机构资质证书》（公路工程综合甲级）或《公路水运工程质量检测机构资质证书》（公路工程-甲级）；</w:t>
      </w:r>
      <w:r>
        <w:rPr>
          <w:rFonts w:hint="eastAsia" w:ascii="宋体" w:hAnsi="宋体" w:cs="宋体"/>
          <w:color w:val="auto"/>
          <w:sz w:val="21"/>
          <w:szCs w:val="21"/>
          <w:highlight w:val="none"/>
          <w:lang w:val="en-US" w:eastAsia="zh-CN"/>
        </w:rPr>
        <w:t>同时</w:t>
      </w:r>
      <w:r>
        <w:rPr>
          <w:rFonts w:hint="eastAsia" w:ascii="宋体" w:hAnsi="宋体" w:eastAsia="宋体" w:cs="宋体"/>
          <w:color w:val="auto"/>
          <w:sz w:val="21"/>
          <w:szCs w:val="21"/>
          <w:highlight w:val="none"/>
        </w:rPr>
        <w:t>具备省级及以上市场监督管理部门颁发的《检验检测机构资质认定证书》（CMA）</w:t>
      </w:r>
      <w:r>
        <w:rPr>
          <w:rFonts w:hint="eastAsia" w:ascii="宋体" w:hAnsi="宋体" w:eastAsia="宋体" w:cs="宋体"/>
          <w:color w:val="auto"/>
          <w:sz w:val="21"/>
          <w:szCs w:val="21"/>
          <w:highlight w:val="none"/>
          <w:lang w:eastAsia="zh-CN"/>
        </w:rPr>
        <w:t>。</w:t>
      </w:r>
    </w:p>
    <w:bookmarkEnd w:id="31"/>
    <w:p w14:paraId="40923042">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三、获取招标文件</w:t>
      </w:r>
      <w:bookmarkEnd w:id="32"/>
      <w:bookmarkEnd w:id="33"/>
      <w:bookmarkEnd w:id="34"/>
      <w:bookmarkEnd w:id="35"/>
    </w:p>
    <w:p w14:paraId="38090157">
      <w:pPr>
        <w:keepNext w:val="0"/>
        <w:keepLines w:val="0"/>
        <w:pageBreakBefore w:val="0"/>
        <w:kinsoku/>
        <w:overflowPunct/>
        <w:topLinePunct w:val="0"/>
        <w:bidi w:val="0"/>
        <w:spacing w:line="400" w:lineRule="exact"/>
        <w:ind w:firstLine="54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1.时间：202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 xml:space="preserve"> </w:t>
      </w:r>
      <w:r>
        <w:rPr>
          <w:rFonts w:hint="eastAsia" w:ascii="宋体" w:hAnsi="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 xml:space="preserve"> </w:t>
      </w:r>
      <w:r>
        <w:rPr>
          <w:rFonts w:hint="eastAsia" w:ascii="宋体" w:hAnsi="宋体" w:cs="宋体"/>
          <w:bCs/>
          <w:color w:val="auto"/>
          <w:kern w:val="0"/>
          <w:szCs w:val="21"/>
          <w:highlight w:val="none"/>
          <w:lang w:val="en-US" w:eastAsia="zh-CN"/>
        </w:rPr>
        <w:t>26</w:t>
      </w:r>
      <w:bookmarkStart w:id="233" w:name="_GoBack"/>
      <w:bookmarkEnd w:id="233"/>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日至202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 xml:space="preserve"> </w:t>
      </w:r>
      <w:r>
        <w:rPr>
          <w:rFonts w:hint="eastAsia" w:ascii="宋体" w:hAnsi="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 xml:space="preserve"> </w:t>
      </w: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日，每天上午00:00至12:00，下午12:00至23:59（北京时间，法定节假日除外）</w:t>
      </w:r>
    </w:p>
    <w:p w14:paraId="44FFDFB2">
      <w:pPr>
        <w:keepNext w:val="0"/>
        <w:keepLines w:val="0"/>
        <w:pageBreakBefore w:val="0"/>
        <w:kinsoku/>
        <w:overflowPunct/>
        <w:topLinePunct w:val="0"/>
        <w:bidi w:val="0"/>
        <w:spacing w:line="400" w:lineRule="exact"/>
        <w:ind w:firstLine="540"/>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2.地点：</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https://www.gcy.zfcg.gxzf.gov.cn/</w:t>
      </w:r>
      <w:r>
        <w:rPr>
          <w:rFonts w:hint="eastAsia" w:ascii="宋体" w:hAnsi="宋体" w:eastAsia="宋体" w:cs="宋体"/>
          <w:color w:val="auto"/>
          <w:szCs w:val="21"/>
          <w:highlight w:val="none"/>
        </w:rPr>
        <w:t>）</w:t>
      </w:r>
    </w:p>
    <w:p w14:paraId="79A9CD9E">
      <w:pPr>
        <w:keepNext w:val="0"/>
        <w:keepLines w:val="0"/>
        <w:pageBreakBefore w:val="0"/>
        <w:kinsoku/>
        <w:wordWrap w:val="0"/>
        <w:overflowPunct/>
        <w:topLinePunct w:val="0"/>
        <w:bidi w:val="0"/>
        <w:spacing w:line="400" w:lineRule="exact"/>
        <w:ind w:firstLine="539"/>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3.方式：网上下载。本项目不提供纸质文件，潜在供应商需在</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https://www.gcy.zfcg.gxzf.gov.cn/</w:t>
      </w: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-进入“项目采购”应用，在获取采购文件菜单中选择项目，获取招标文件。</w:t>
      </w:r>
      <w:r>
        <w:rPr>
          <w:rFonts w:hint="eastAsia" w:ascii="宋体" w:hAnsi="宋体" w:eastAsia="宋体" w:cs="宋体"/>
          <w:color w:val="auto"/>
          <w:szCs w:val="21"/>
          <w:highlight w:val="none"/>
        </w:rPr>
        <w:t>电子投标文件制作需要基于广西政府采购云平台获取的招标文件编制，</w:t>
      </w:r>
      <w:r>
        <w:rPr>
          <w:rFonts w:hint="eastAsia" w:ascii="宋体" w:hAnsi="宋体" w:eastAsia="宋体" w:cs="宋体"/>
          <w:bCs/>
          <w:color w:val="auto"/>
          <w:kern w:val="0"/>
          <w:szCs w:val="21"/>
          <w:highlight w:val="none"/>
        </w:rPr>
        <w:t>通过其他方式获取招标文件的，将有可能导致供应商无法在</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kern w:val="0"/>
          <w:szCs w:val="21"/>
          <w:highlight w:val="none"/>
        </w:rPr>
        <w:t>编制及上传投标文件。</w:t>
      </w:r>
    </w:p>
    <w:p w14:paraId="4A521972">
      <w:pPr>
        <w:keepNext w:val="0"/>
        <w:keepLines w:val="0"/>
        <w:pageBreakBefore w:val="0"/>
        <w:kinsoku/>
        <w:overflowPunct/>
        <w:topLinePunct w:val="0"/>
        <w:bidi w:val="0"/>
        <w:spacing w:line="400" w:lineRule="exact"/>
        <w:ind w:firstLine="540"/>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4.售价（元）：</w:t>
      </w:r>
      <w:r>
        <w:rPr>
          <w:rFonts w:hint="eastAsia" w:ascii="宋体" w:hAnsi="宋体" w:eastAsia="宋体" w:cs="宋体"/>
          <w:color w:val="auto"/>
          <w:szCs w:val="21"/>
          <w:highlight w:val="none"/>
        </w:rPr>
        <w:t>0</w:t>
      </w:r>
    </w:p>
    <w:p w14:paraId="7916429B">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4"/>
          <w:highlight w:val="none"/>
        </w:rPr>
      </w:pPr>
      <w:bookmarkStart w:id="36" w:name="_Toc28359082"/>
      <w:bookmarkStart w:id="37" w:name="_Toc28359005"/>
      <w:bookmarkStart w:id="38" w:name="_Toc35393624"/>
      <w:bookmarkStart w:id="39" w:name="_Toc35393793"/>
      <w:r>
        <w:rPr>
          <w:rFonts w:hint="eastAsia" w:ascii="宋体" w:hAnsi="宋体" w:eastAsia="宋体" w:cs="宋体"/>
          <w:b/>
          <w:bCs/>
          <w:color w:val="auto"/>
          <w:sz w:val="24"/>
          <w:highlight w:val="none"/>
        </w:rPr>
        <w:t>四、提交投标文件</w:t>
      </w:r>
      <w:bookmarkEnd w:id="36"/>
      <w:bookmarkEnd w:id="37"/>
      <w:r>
        <w:rPr>
          <w:rFonts w:hint="eastAsia" w:ascii="宋体" w:hAnsi="宋体" w:eastAsia="宋体" w:cs="宋体"/>
          <w:b/>
          <w:bCs/>
          <w:color w:val="auto"/>
          <w:sz w:val="24"/>
          <w:highlight w:val="none"/>
        </w:rPr>
        <w:t>截止时间、开标时间和地点</w:t>
      </w:r>
      <w:bookmarkEnd w:id="38"/>
      <w:bookmarkEnd w:id="39"/>
    </w:p>
    <w:p w14:paraId="6213232A">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bCs/>
          <w:color w:val="auto"/>
          <w:kern w:val="0"/>
          <w:szCs w:val="21"/>
          <w:highlight w:val="none"/>
        </w:rPr>
      </w:pPr>
      <w:bookmarkStart w:id="40" w:name="_Toc35393625"/>
      <w:bookmarkStart w:id="41" w:name="_Toc28359084"/>
      <w:bookmarkStart w:id="42" w:name="_Toc28359007"/>
      <w:bookmarkStart w:id="43" w:name="_Toc35393794"/>
      <w:r>
        <w:rPr>
          <w:rFonts w:hint="eastAsia" w:ascii="宋体" w:hAnsi="宋体" w:eastAsia="宋体" w:cs="宋体"/>
          <w:bCs/>
          <w:color w:val="auto"/>
          <w:kern w:val="0"/>
          <w:szCs w:val="21"/>
          <w:highlight w:val="none"/>
        </w:rPr>
        <w:t>1.提交投标文件截止时间：202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 xml:space="preserve"> </w:t>
      </w:r>
      <w:r>
        <w:rPr>
          <w:rFonts w:hint="eastAsia" w:ascii="宋体" w:hAnsi="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lang w:val="en-US" w:eastAsia="zh-CN"/>
        </w:rPr>
        <w:t>16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日9时30分（北京时间）</w:t>
      </w:r>
    </w:p>
    <w:p w14:paraId="4CA336D7">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2.投标地点（网址）：广西政府采购云平台（https://www.gcy.zfcg.gxzf.gov.cn/）</w:t>
      </w:r>
    </w:p>
    <w:p w14:paraId="526881DB">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3.开标时间：</w:t>
      </w:r>
      <w:r>
        <w:rPr>
          <w:rFonts w:hint="eastAsia"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 xml:space="preserve"> </w:t>
      </w:r>
      <w:r>
        <w:rPr>
          <w:rFonts w:hint="eastAsia" w:ascii="宋体" w:hAnsi="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lang w:val="en-US" w:eastAsia="zh-CN"/>
        </w:rPr>
        <w:t>16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bCs/>
          <w:color w:val="auto"/>
          <w:szCs w:val="21"/>
          <w:highlight w:val="none"/>
        </w:rPr>
        <w:t>9时30分</w:t>
      </w:r>
    </w:p>
    <w:p w14:paraId="18130815">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4.开标地点：广西政府采购云平台电子开标大厅开标。</w:t>
      </w:r>
    </w:p>
    <w:p w14:paraId="02D57E68">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五、公告期限</w:t>
      </w:r>
      <w:bookmarkEnd w:id="40"/>
      <w:bookmarkEnd w:id="41"/>
      <w:bookmarkEnd w:id="42"/>
      <w:bookmarkEnd w:id="43"/>
    </w:p>
    <w:p w14:paraId="26DE4E9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8594CB8">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4"/>
          <w:highlight w:val="none"/>
        </w:rPr>
      </w:pPr>
      <w:bookmarkStart w:id="44" w:name="_Toc35393626"/>
      <w:bookmarkStart w:id="45" w:name="_Toc35393795"/>
      <w:r>
        <w:rPr>
          <w:rFonts w:hint="eastAsia" w:ascii="宋体" w:hAnsi="宋体" w:eastAsia="宋体" w:cs="宋体"/>
          <w:b/>
          <w:bCs/>
          <w:color w:val="auto"/>
          <w:sz w:val="24"/>
          <w:highlight w:val="none"/>
        </w:rPr>
        <w:t>六、其他补充事宜</w:t>
      </w:r>
      <w:bookmarkEnd w:id="44"/>
      <w:bookmarkEnd w:id="45"/>
    </w:p>
    <w:p w14:paraId="18C48A19">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bookmarkStart w:id="46" w:name="_Hlk37429585"/>
      <w:bookmarkStart w:id="47" w:name="_Hlk37429595"/>
      <w:bookmarkStart w:id="48" w:name="_Toc35393627"/>
      <w:bookmarkStart w:id="49" w:name="_Toc28359008"/>
      <w:bookmarkStart w:id="50" w:name="_Toc28359085"/>
      <w:bookmarkStart w:id="51" w:name="_Toc35393796"/>
      <w:r>
        <w:rPr>
          <w:rFonts w:hint="eastAsia" w:ascii="宋体" w:hAnsi="宋体" w:eastAsia="宋体" w:cs="宋体"/>
          <w:color w:val="auto"/>
          <w:kern w:val="0"/>
          <w:szCs w:val="21"/>
          <w:highlight w:val="none"/>
        </w:rPr>
        <w:t>1.投标保证金（人民币）：</w:t>
      </w:r>
      <w:r>
        <w:rPr>
          <w:rFonts w:hint="eastAsia" w:ascii="宋体" w:hAnsi="宋体" w:eastAsia="宋体" w:cs="宋体"/>
          <w:color w:val="auto"/>
          <w:kern w:val="0"/>
          <w:szCs w:val="21"/>
          <w:highlight w:val="none"/>
          <w:lang w:val="en-US" w:eastAsia="zh-CN"/>
        </w:rPr>
        <w:t>70000.00</w:t>
      </w:r>
      <w:r>
        <w:rPr>
          <w:rFonts w:hint="eastAsia" w:ascii="宋体" w:hAnsi="宋体" w:eastAsia="宋体" w:cs="宋体"/>
          <w:color w:val="auto"/>
          <w:kern w:val="0"/>
          <w:szCs w:val="21"/>
          <w:highlight w:val="none"/>
        </w:rPr>
        <w:t>元。</w:t>
      </w:r>
    </w:p>
    <w:p w14:paraId="364C2188">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保证金的缴纳方式：以银行转账、支票、汇票、本票或者金融、担保机构出具的保函等非现金形式提交。采用银行转账方式的，在投标截止时间前交至采购代理机构指定账户并且到账。汇款时投标人的汇款单据应注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项目编号）</w:t>
      </w:r>
      <w:r>
        <w:rPr>
          <w:rFonts w:hint="eastAsia" w:ascii="宋体" w:hAnsi="宋体" w:eastAsia="宋体" w:cs="宋体"/>
          <w:color w:val="auto"/>
          <w:kern w:val="0"/>
          <w:szCs w:val="21"/>
          <w:highlight w:val="none"/>
        </w:rPr>
        <w:t>投标保证金”。</w:t>
      </w:r>
    </w:p>
    <w:p w14:paraId="06CEECF4">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rPr>
        <w:t>2</w:t>
      </w:r>
      <w:r>
        <w:rPr>
          <w:rFonts w:hint="eastAsia" w:ascii="宋体" w:hAnsi="宋体" w:eastAsia="宋体" w:cs="宋体"/>
          <w:color w:val="auto"/>
          <w:kern w:val="0"/>
          <w:szCs w:val="21"/>
          <w:highlight w:val="none"/>
        </w:rPr>
        <w:t>.网上查询地址</w:t>
      </w:r>
    </w:p>
    <w:bookmarkEnd w:id="46"/>
    <w:p w14:paraId="47E4F6D8">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eastAsia="宋体" w:cs="宋体"/>
          <w:color w:val="auto"/>
          <w:kern w:val="0"/>
          <w:szCs w:val="21"/>
          <w:highlight w:val="none"/>
          <w:lang w:eastAsia="zh-CN"/>
        </w:rPr>
        <w:t>http://www.guangxibid.com.cn/</w:t>
      </w:r>
      <w:r>
        <w:rPr>
          <w:rFonts w:hint="eastAsia" w:ascii="宋体" w:hAnsi="宋体" w:eastAsia="宋体" w:cs="宋体"/>
          <w:color w:val="auto"/>
          <w:kern w:val="0"/>
          <w:szCs w:val="21"/>
          <w:highlight w:val="none"/>
          <w:lang w:val="en-US" w:eastAsia="zh-CN"/>
        </w:rPr>
        <w:t>（广西招标网）</w:t>
      </w:r>
      <w:r>
        <w:rPr>
          <w:rFonts w:hint="eastAsia" w:ascii="宋体" w:hAnsi="宋体" w:eastAsia="宋体" w:cs="宋体"/>
          <w:color w:val="auto"/>
          <w:kern w:val="0"/>
          <w:szCs w:val="21"/>
          <w:highlight w:val="none"/>
        </w:rPr>
        <w:t>。</w:t>
      </w:r>
    </w:p>
    <w:bookmarkEnd w:id="47"/>
    <w:p w14:paraId="207F0BF3">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kern w:val="0"/>
          <w:szCs w:val="21"/>
          <w:highlight w:val="none"/>
        </w:rPr>
      </w:pPr>
      <w:bookmarkStart w:id="52" w:name="_Hlk37429674"/>
      <w:r>
        <w:rPr>
          <w:rFonts w:hint="default"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bookmarkEnd w:id="52"/>
    <w:p w14:paraId="00F3DC24">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467C6717">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（2）政府采购促进残疾人就业政策。</w:t>
      </w:r>
    </w:p>
    <w:p w14:paraId="4779D90D">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（3）政府采购支持监狱企业发展。</w:t>
      </w:r>
    </w:p>
    <w:p w14:paraId="06F17967">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（4）强制采购节能产品；优先采购节能产品、环境标志产品。</w:t>
      </w:r>
    </w:p>
    <w:p w14:paraId="7C24AA20">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（5）扶持不发达地区和少数民族地区政策。</w:t>
      </w:r>
    </w:p>
    <w:p w14:paraId="178DF95C">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rPr>
        <w:t>4</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E6346A0">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610D91D">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default"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rPr>
        <w:t>投标注意事项</w:t>
      </w:r>
    </w:p>
    <w:p w14:paraId="0485A3A1">
      <w:pPr>
        <w:keepNext w:val="0"/>
        <w:keepLines w:val="0"/>
        <w:pageBreakBefore w:val="0"/>
        <w:widowControl/>
        <w:kinsoku/>
        <w:wordWrap w:val="0"/>
        <w:overflowPunct/>
        <w:topLinePunct w:val="0"/>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（1）本项目为全流程电子化采购项目，通过广西政府采购云平台（</w:t>
      </w:r>
      <w:r>
        <w:rPr>
          <w:rFonts w:hint="eastAsia" w:ascii="宋体" w:hAnsi="宋体" w:eastAsia="宋体" w:cs="宋体"/>
          <w:bCs/>
          <w:color w:val="auto"/>
          <w:szCs w:val="21"/>
          <w:highlight w:val="none"/>
        </w:rPr>
        <w:t>https://www.gcy.zfcg.gxzf.gov.cn/</w:t>
      </w:r>
      <w:r>
        <w:rPr>
          <w:rFonts w:hint="eastAsia" w:ascii="宋体" w:hAnsi="宋体" w:eastAsia="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eastAsia="宋体" w:cs="宋体"/>
          <w:color w:val="auto"/>
          <w:highlight w:val="none"/>
        </w:rPr>
        <w:t>后缀名为“jmbs”的文件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投标人在</w:t>
      </w:r>
      <w:r>
        <w:rPr>
          <w:rFonts w:hint="eastAsia" w:ascii="宋体" w:hAnsi="宋体" w:eastAsia="宋体" w:cs="宋体"/>
          <w:color w:val="auto"/>
          <w:szCs w:val="21"/>
          <w:highlight w:val="none"/>
        </w:rPr>
        <w:t>广西政府采购云平台</w:t>
      </w:r>
      <w:r>
        <w:rPr>
          <w:rFonts w:hint="eastAsia" w:ascii="宋体" w:hAnsi="宋体" w:eastAsia="宋体" w:cs="宋体"/>
          <w:b/>
          <w:color w:val="auto"/>
          <w:szCs w:val="21"/>
          <w:highlight w:val="none"/>
        </w:rPr>
        <w:t>提交电子投标文件时，请填写参加远程开标活动经办人联系方式。</w:t>
      </w:r>
      <w:r>
        <w:rPr>
          <w:rFonts w:hint="eastAsia" w:ascii="宋体" w:hAnsi="宋体" w:eastAsia="宋体" w:cs="宋体"/>
          <w:color w:val="auto"/>
          <w:szCs w:val="21"/>
          <w:highlight w:val="none"/>
        </w:rPr>
        <w:t>投标人登录广西政府采购云平台，依次进入“服务中心-项目采购-操作流程-电子招投标-</w:t>
      </w:r>
      <w:r>
        <w:rPr>
          <w:rFonts w:hint="eastAsia" w:ascii="宋体" w:hAnsi="宋体" w:eastAsia="宋体" w:cs="宋体"/>
          <w:color w:val="auto"/>
          <w:highlight w:val="none"/>
        </w:rPr>
        <w:t>政府采购项目电子交易管理操作指南-供应商</w:t>
      </w:r>
      <w:r>
        <w:rPr>
          <w:rFonts w:hint="eastAsia" w:ascii="宋体" w:hAnsi="宋体" w:eastAsia="宋体" w:cs="宋体"/>
          <w:color w:val="auto"/>
          <w:szCs w:val="21"/>
          <w:highlight w:val="none"/>
        </w:rPr>
        <w:t>”查看电子投标具体操作流程。</w:t>
      </w:r>
    </w:p>
    <w:p w14:paraId="760EAF24">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依次进入“服务中心-入驻与配置”中查看CA数字证书办理操作流程。</w:t>
      </w:r>
      <w:r>
        <w:rPr>
          <w:rFonts w:hint="eastAsia" w:ascii="宋体" w:hAnsi="宋体" w:eastAsia="宋体" w:cs="宋体"/>
          <w:bCs/>
          <w:color w:val="auto"/>
          <w:kern w:val="0"/>
          <w:szCs w:val="21"/>
          <w:highlight w:val="none"/>
        </w:rPr>
        <w:t>如在操作过程中遇到问题或者需要技术支持，请致电客服热线：95763</w:t>
      </w:r>
      <w:r>
        <w:rPr>
          <w:rFonts w:hint="eastAsia" w:ascii="宋体" w:hAnsi="宋体" w:eastAsia="宋体" w:cs="宋体"/>
          <w:color w:val="auto"/>
          <w:szCs w:val="21"/>
          <w:highlight w:val="none"/>
        </w:rPr>
        <w:t>）。</w:t>
      </w:r>
    </w:p>
    <w:p w14:paraId="4DB48D16">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（3）CA证书在线解密：投标人投标时，需凭制作投标文件时用来加密的有效数字证书（CA认证）登录</w:t>
      </w:r>
      <w:r>
        <w:rPr>
          <w:rFonts w:hint="eastAsia" w:ascii="宋体" w:hAnsi="宋体" w:eastAsia="宋体" w:cs="宋体"/>
          <w:color w:val="auto"/>
          <w:szCs w:val="21"/>
          <w:highlight w:val="none"/>
        </w:rPr>
        <w:t>广西政府采购云平台</w:t>
      </w:r>
      <w:r>
        <w:rPr>
          <w:rFonts w:hint="eastAsia" w:ascii="宋体" w:hAnsi="宋体" w:eastAsia="宋体" w:cs="宋体"/>
          <w:color w:val="auto"/>
          <w:kern w:val="0"/>
          <w:szCs w:val="21"/>
          <w:highlight w:val="none"/>
        </w:rPr>
        <w:t>电子开标大厅现场按规定时间对加密的投标文件进行解密，否则后果自负。</w:t>
      </w:r>
    </w:p>
    <w:p w14:paraId="1978A828">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eastAsia="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将予以拒收。</w:t>
      </w:r>
    </w:p>
    <w:p w14:paraId="594666C3">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eastAsia="宋体" w:cs="宋体"/>
          <w:bCs/>
          <w:color w:val="auto"/>
          <w:szCs w:val="21"/>
          <w:highlight w:val="yellow"/>
        </w:rPr>
      </w:pPr>
      <w:r>
        <w:rPr>
          <w:rFonts w:hint="default" w:ascii="宋体" w:hAnsi="宋体" w:eastAsia="宋体" w:cs="宋体"/>
          <w:bCs/>
          <w:color w:val="auto"/>
          <w:szCs w:val="21"/>
          <w:highlight w:val="none"/>
          <w:lang w:val="en-US"/>
        </w:rPr>
        <w:t>7</w:t>
      </w:r>
      <w:r>
        <w:rPr>
          <w:rFonts w:hint="eastAsia" w:ascii="宋体" w:hAnsi="宋体" w:eastAsia="宋体" w:cs="宋体"/>
          <w:bCs/>
          <w:color w:val="auto"/>
          <w:szCs w:val="21"/>
          <w:highlight w:val="none"/>
        </w:rPr>
        <w:t>.采购意向公开链接：https://zfcg.gxzf.gov.cn/site/detail?categoryCode=ZcyAnnouncement&amp;parentId=66485&amp;articleId=00i1h9BDKAF2g2nPQUPeyw==&amp;utm=web-micro-app-back-front.1e6b3faf.0.0.018713402d2711f18dd5b78a6fde6864</w:t>
      </w:r>
    </w:p>
    <w:p w14:paraId="6772CFF3">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七、对本次招标提出询问，请按以下方式联系。</w:t>
      </w:r>
      <w:bookmarkEnd w:id="48"/>
      <w:bookmarkEnd w:id="49"/>
      <w:bookmarkEnd w:id="50"/>
      <w:bookmarkEnd w:id="51"/>
    </w:p>
    <w:p w14:paraId="254DBAB7">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4EE3C02C">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bookmarkStart w:id="53" w:name="_Toc28359009"/>
      <w:bookmarkStart w:id="54" w:name="_Toc28359086"/>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广西壮族自治区高速公路发展中心</w:t>
      </w:r>
    </w:p>
    <w:p w14:paraId="4B92BB8B">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址：南宁市滨湖路66号公路大厦</w:t>
      </w:r>
    </w:p>
    <w:p w14:paraId="66760826">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联系人：龚宇</w:t>
      </w:r>
    </w:p>
    <w:p w14:paraId="7E3B0192">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联系方式：0771-2115927</w:t>
      </w:r>
    </w:p>
    <w:bookmarkEnd w:id="53"/>
    <w:bookmarkEnd w:id="54"/>
    <w:p w14:paraId="48E86C8E">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7AE1279A">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广西建设工程机电设备招标中心有限公司</w:t>
      </w:r>
    </w:p>
    <w:p w14:paraId="30139D5C">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广西南宁市青秀区枫林路18号广西国控大厦（枫林路办公区）裙楼三楼</w:t>
      </w:r>
    </w:p>
    <w:p w14:paraId="2F160605">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eastAsia="zh-CN"/>
        </w:rPr>
        <w:t>0771-</w:t>
      </w:r>
      <w:r>
        <w:rPr>
          <w:rFonts w:hint="eastAsia" w:ascii="宋体" w:hAnsi="宋体" w:eastAsia="宋体" w:cs="宋体"/>
          <w:color w:val="auto"/>
          <w:szCs w:val="21"/>
          <w:highlight w:val="none"/>
          <w:lang w:val="en-US" w:eastAsia="zh-CN" w:bidi="ar"/>
        </w:rPr>
        <w:t>2810302</w:t>
      </w:r>
    </w:p>
    <w:p w14:paraId="76DE1E14">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2AC0BB36">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杨小凤</w:t>
      </w:r>
      <w:r>
        <w:rPr>
          <w:rFonts w:hint="eastAsia" w:ascii="宋体" w:hAnsi="宋体" w:cs="宋体"/>
          <w:color w:val="auto"/>
          <w:szCs w:val="21"/>
          <w:highlight w:val="none"/>
          <w:lang w:eastAsia="zh-CN"/>
        </w:rPr>
        <w:t>、刘玮</w:t>
      </w:r>
    </w:p>
    <w:p w14:paraId="114BA7C4">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eastAsia="zh-CN"/>
        </w:rPr>
        <w:t>0771-</w:t>
      </w:r>
      <w:r>
        <w:rPr>
          <w:rFonts w:hint="eastAsia" w:ascii="宋体" w:hAnsi="宋体" w:eastAsia="宋体" w:cs="宋体"/>
          <w:color w:val="auto"/>
          <w:szCs w:val="21"/>
          <w:highlight w:val="none"/>
          <w:lang w:val="en-US" w:eastAsia="zh-CN" w:bidi="ar"/>
        </w:rPr>
        <w:t>2810302</w:t>
      </w:r>
    </w:p>
    <w:p w14:paraId="392ED42D">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u w:val="single"/>
          <w:lang w:eastAsia="zh-CN"/>
        </w:rPr>
      </w:pPr>
    </w:p>
    <w:p w14:paraId="68156B05">
      <w:pPr>
        <w:keepNext w:val="0"/>
        <w:keepLines w:val="0"/>
        <w:pageBreakBefore w:val="0"/>
        <w:kinsoku/>
        <w:overflowPunct/>
        <w:topLinePunct w:val="0"/>
        <w:bidi w:val="0"/>
        <w:spacing w:line="400" w:lineRule="exact"/>
        <w:textAlignment w:val="auto"/>
        <w:rPr>
          <w:rFonts w:hint="eastAsia" w:ascii="宋体" w:hAnsi="宋体" w:eastAsia="宋体" w:cs="宋体"/>
          <w:color w:val="auto"/>
          <w:szCs w:val="21"/>
          <w:highlight w:val="none"/>
        </w:rPr>
      </w:pPr>
    </w:p>
    <w:p w14:paraId="28D4261C">
      <w:pPr>
        <w:keepNext w:val="0"/>
        <w:keepLines w:val="0"/>
        <w:pageBreakBefore w:val="0"/>
        <w:kinsoku/>
        <w:overflowPunct/>
        <w:topLinePunct w:val="0"/>
        <w:bidi w:val="0"/>
        <w:spacing w:line="400" w:lineRule="exact"/>
        <w:jc w:val="right"/>
        <w:textAlignment w:val="auto"/>
        <w:rPr>
          <w:rFonts w:hint="eastAsia" w:ascii="宋体" w:hAnsi="宋体" w:eastAsia="宋体" w:cs="宋体"/>
          <w:b/>
          <w:bCs/>
          <w:color w:val="auto"/>
          <w:highlight w:val="none"/>
        </w:rPr>
      </w:pP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b/>
          <w:bCs/>
          <w:color w:val="auto"/>
          <w:highlight w:val="none"/>
        </w:rPr>
        <w:t xml:space="preserve"> </w:t>
      </w:r>
    </w:p>
    <w:p w14:paraId="156F017A">
      <w:pPr>
        <w:keepNext w:val="0"/>
        <w:keepLines w:val="0"/>
        <w:pageBreakBefore w:val="0"/>
        <w:kinsoku/>
        <w:overflowPunct/>
        <w:topLinePunct w:val="0"/>
        <w:bidi w:val="0"/>
        <w:spacing w:line="400" w:lineRule="exact"/>
        <w:ind w:firstLine="4095" w:firstLineChars="1950"/>
        <w:jc w:val="right"/>
        <w:textAlignment w:val="auto"/>
        <w:rPr>
          <w:rFonts w:hint="eastAsia" w:ascii="宋体" w:hAnsi="宋体" w:eastAsia="宋体" w:cs="宋体"/>
          <w:b/>
          <w:bCs/>
          <w:color w:val="auto"/>
          <w:highlight w:val="none"/>
        </w:rPr>
      </w:pPr>
      <w:r>
        <w:rPr>
          <w:rFonts w:hint="eastAsia"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 xml:space="preserve"> </w:t>
      </w:r>
      <w:r>
        <w:rPr>
          <w:rFonts w:hint="eastAsia" w:ascii="宋体" w:hAnsi="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 xml:space="preserve"> </w:t>
      </w:r>
      <w:r>
        <w:rPr>
          <w:rFonts w:hint="eastAsia" w:ascii="宋体" w:hAnsi="宋体" w:cs="宋体"/>
          <w:bCs/>
          <w:color w:val="auto"/>
          <w:kern w:val="0"/>
          <w:szCs w:val="21"/>
          <w:highlight w:val="none"/>
          <w:lang w:val="en-US" w:eastAsia="zh-CN"/>
        </w:rPr>
        <w:t>26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日</w:t>
      </w:r>
    </w:p>
    <w:p w14:paraId="7BCFC18E">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sz w:val="24"/>
          <w:szCs w:val="20"/>
          <w:highlight w:val="none"/>
        </w:rPr>
        <w:br w:type="page"/>
      </w:r>
      <w:bookmarkStart w:id="55" w:name="_Toc28054"/>
      <w:bookmarkStart w:id="56" w:name="_Toc12941"/>
      <w:bookmarkStart w:id="57" w:name="_Toc29892"/>
      <w:r>
        <w:rPr>
          <w:rFonts w:hint="eastAsia" w:ascii="宋体" w:hAnsi="宋体" w:eastAsia="宋体" w:cs="宋体"/>
          <w:color w:val="auto"/>
          <w:highlight w:val="none"/>
        </w:rPr>
        <w:t>第二章  采购需求</w:t>
      </w:r>
      <w:bookmarkEnd w:id="55"/>
      <w:bookmarkEnd w:id="56"/>
      <w:bookmarkEnd w:id="57"/>
    </w:p>
    <w:p w14:paraId="760BDEC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一、说明：</w:t>
      </w:r>
    </w:p>
    <w:p w14:paraId="492DBE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1.为落实政府采购政策需满足的要求</w:t>
      </w:r>
    </w:p>
    <w:p w14:paraId="54CF61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本招标文件所称中小企业必须符合《政府采购促进中小企业发展管理办法》（财库〔2020〕46号）的规定。</w:t>
      </w:r>
    </w:p>
    <w:p w14:paraId="55F1F8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2.“实质性要求”是指招标文件中已经指明不满足则投标无效的条款，或者不能负偏离的条款，或者采购需求中带“▲”的条款。</w:t>
      </w:r>
    </w:p>
    <w:p w14:paraId="5F014D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3.投标人必须自行为其投标产品侵犯他人的知识产权或者专利成果的行为承担相应法律责任。</w:t>
      </w:r>
    </w:p>
    <w:p w14:paraId="0B61D15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4.采购内容的中小企业划分标准所属行业名称：</w:t>
      </w:r>
      <w:r>
        <w:rPr>
          <w:rFonts w:hint="eastAsia" w:ascii="宋体" w:hAnsi="宋体" w:eastAsia="宋体" w:cs="宋体"/>
          <w:b/>
          <w:color w:val="auto"/>
          <w:szCs w:val="21"/>
          <w:highlight w:val="none"/>
          <w:u w:val="single"/>
        </w:rPr>
        <w:t>其他未列明行业</w:t>
      </w:r>
      <w:r>
        <w:rPr>
          <w:rFonts w:hint="eastAsia" w:ascii="宋体" w:hAnsi="宋体" w:eastAsia="宋体" w:cs="宋体"/>
          <w:bCs/>
          <w:color w:val="auto"/>
          <w:szCs w:val="21"/>
          <w:highlight w:val="none"/>
        </w:rPr>
        <w:t>。</w:t>
      </w:r>
    </w:p>
    <w:p w14:paraId="58D3D44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5.采购预算</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single"/>
          <w:lang w:val="en-US" w:eastAsia="zh-CN"/>
        </w:rPr>
        <w:t>7004400.00</w:t>
      </w:r>
      <w:r>
        <w:rPr>
          <w:rFonts w:hint="eastAsia" w:ascii="宋体" w:hAnsi="宋体" w:eastAsia="宋体" w:cs="宋体"/>
          <w:color w:val="auto"/>
          <w:szCs w:val="21"/>
          <w:highlight w:val="none"/>
          <w:u w:val="single"/>
        </w:rPr>
        <w:t>元。</w:t>
      </w:r>
    </w:p>
    <w:p w14:paraId="565B36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6.采购需求要求未尽事宜由采购人与中标供应商在采购合同中约定。</w:t>
      </w:r>
    </w:p>
    <w:p w14:paraId="3CA0558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7.</w:t>
      </w:r>
      <w:r>
        <w:rPr>
          <w:rFonts w:hint="eastAsia" w:ascii="宋体" w:hAnsi="宋体" w:eastAsia="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r>
        <w:rPr>
          <w:rFonts w:hint="eastAsia" w:ascii="宋体" w:hAnsi="宋体" w:eastAsia="宋体" w:cs="宋体"/>
          <w:b/>
          <w:bCs/>
          <w:color w:val="auto"/>
          <w:szCs w:val="21"/>
          <w:highlight w:val="none"/>
          <w:lang w:val="en-US" w:eastAsia="zh-CN"/>
        </w:rPr>
        <w:t xml:space="preserve"> </w:t>
      </w:r>
    </w:p>
    <w:p w14:paraId="51C64EC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8.本项目采购需求表中，若有要求提供的证明文件材料或承诺书的，请在《技术要求偏离表》或《商务要求偏离表》中应答时，同时注明相关文件材料或承诺书放置的页码。</w:t>
      </w:r>
    </w:p>
    <w:p w14:paraId="125CC3A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Cs w:val="21"/>
          <w:highlight w:val="none"/>
        </w:rPr>
        <w:t>二、技术及商务要求：</w:t>
      </w:r>
    </w:p>
    <w:tbl>
      <w:tblPr>
        <w:tblStyle w:val="4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122"/>
        <w:gridCol w:w="598"/>
        <w:gridCol w:w="657"/>
        <w:gridCol w:w="5917"/>
      </w:tblGrid>
      <w:tr w14:paraId="4952D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29D39A18">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一、项目要求及技术需求</w:t>
            </w:r>
          </w:p>
        </w:tc>
      </w:tr>
      <w:tr w14:paraId="3F042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26391463">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6821BB58">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67DEC76C">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5BF2F6C4">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7743E5BB">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▲项目要求及技术需求</w:t>
            </w:r>
          </w:p>
        </w:tc>
      </w:tr>
      <w:tr w14:paraId="22F22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0F4E4011">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5ABA6D3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eastAsia="zh-CN"/>
              </w:rPr>
              <w:t>2026年度高速公路网技术状况监测项目－路况检测服务</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6A3C50C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5C03389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45DFE943">
            <w:pPr>
              <w:numPr>
                <w:ilvl w:val="0"/>
                <w:numId w:val="1"/>
              </w:numPr>
              <w:spacing w:line="400" w:lineRule="exact"/>
              <w:ind w:left="-357" w:leftChars="-170" w:right="-512" w:rightChars="-244" w:firstLine="411" w:firstLineChars="196"/>
              <w:rPr>
                <w:rFonts w:hint="eastAsia" w:ascii="宋体" w:hAnsi="宋体" w:eastAsia="宋体" w:cs="宋体"/>
                <w:szCs w:val="21"/>
              </w:rPr>
            </w:pPr>
            <w:r>
              <w:rPr>
                <w:rFonts w:hint="eastAsia" w:ascii="宋体" w:hAnsi="宋体" w:eastAsia="宋体" w:cs="宋体"/>
                <w:szCs w:val="21"/>
              </w:rPr>
              <w:t>基本概况</w:t>
            </w:r>
          </w:p>
          <w:p w14:paraId="572AADF6">
            <w:pPr>
              <w:widowControl w:val="0"/>
              <w:numPr>
                <w:ilvl w:val="0"/>
                <w:numId w:val="0"/>
              </w:numPr>
              <w:spacing w:line="400" w:lineRule="exact"/>
              <w:ind w:firstLine="525" w:firstLineChars="250"/>
              <w:jc w:val="both"/>
              <w:rPr>
                <w:rFonts w:hint="eastAsia" w:ascii="宋体" w:hAnsi="宋体" w:eastAsia="宋体" w:cs="宋体"/>
                <w:szCs w:val="21"/>
              </w:rPr>
            </w:pPr>
            <w:r>
              <w:rPr>
                <w:rFonts w:hint="eastAsia" w:ascii="宋体" w:hAnsi="宋体" w:eastAsia="宋体" w:cs="宋体"/>
                <w:szCs w:val="21"/>
              </w:rPr>
              <w:t>根据《公路养护工程管理办法》（交公路发〔2018〕33号）、《公路技术状况评定标准》（JTG 5210—2018）、《2024年度国家公路网技术状况监测实施方案》（交办公路函〔2024〕1201号）、《“十四五”公路养护发展纲要》（交公路发〔2022〕46号）等文件和规范标准的要求，同时为加强广西壮族自治区高速公路养护管理工作，全面及时掌握高速公路工作性能，为高速公路的养护决策提供科学依据，促进养护管理的规范化、信息化、科学化、精细化，保证公路设施经常处于良好状态且道路通行环境安全可控，自治区高速公路发展中心计划委托第三方咨询检测单位对全区高速公路的路面技术状况、沿线设施技术状况指数TCI、标线逆反射系数、交通安全设施实体质量、路基边坡质量进行抽检，并对约50家高速公路运营公司的路况检测记录、交通安全设施管养资料和路基边坡管养资料进行校核。</w:t>
            </w:r>
          </w:p>
          <w:p w14:paraId="6B9B3BE1">
            <w:pPr>
              <w:spacing w:line="400" w:lineRule="exact"/>
              <w:rPr>
                <w:rFonts w:hint="eastAsia" w:ascii="宋体" w:hAnsi="宋体" w:eastAsia="宋体" w:cs="宋体"/>
                <w:szCs w:val="21"/>
              </w:rPr>
            </w:pPr>
            <w:bookmarkStart w:id="58" w:name="_Toc6715913"/>
            <w:bookmarkStart w:id="59" w:name="_Toc183783703"/>
            <w:r>
              <w:rPr>
                <w:rFonts w:hint="eastAsia" w:ascii="宋体" w:hAnsi="宋体" w:eastAsia="宋体" w:cs="宋体"/>
                <w:szCs w:val="21"/>
              </w:rPr>
              <w:t>（二）执行标准</w:t>
            </w:r>
          </w:p>
          <w:p w14:paraId="5346D0C6">
            <w:pPr>
              <w:spacing w:line="400" w:lineRule="exact"/>
              <w:ind w:firstLine="525" w:firstLineChars="250"/>
              <w:rPr>
                <w:rFonts w:hint="eastAsia" w:ascii="宋体" w:hAnsi="宋体" w:eastAsia="宋体" w:cs="宋体"/>
                <w:szCs w:val="21"/>
              </w:rPr>
            </w:pPr>
            <w:r>
              <w:rPr>
                <w:rFonts w:hint="eastAsia" w:ascii="宋体" w:hAnsi="宋体" w:eastAsia="宋体" w:cs="宋体"/>
                <w:szCs w:val="21"/>
              </w:rPr>
              <w:t>本次高速公路检测分析技术过程中应执行《公路养护技术标准》（JTG 5110-2023）、《公路技术状况评定标准》（JTG 5210-2018）、《多功能路况快速检测设备》（GB/T 26764-20</w:t>
            </w:r>
            <w:r>
              <w:rPr>
                <w:rFonts w:hint="eastAsia" w:ascii="宋体" w:hAnsi="宋体" w:eastAsia="宋体" w:cs="宋体"/>
                <w:szCs w:val="21"/>
                <w:lang w:val="en-US" w:eastAsia="zh-CN"/>
              </w:rPr>
              <w:t>24</w:t>
            </w:r>
            <w:r>
              <w:rPr>
                <w:rFonts w:hint="eastAsia" w:ascii="宋体" w:hAnsi="宋体" w:eastAsia="宋体" w:cs="宋体"/>
                <w:szCs w:val="21"/>
              </w:rPr>
              <w:t>）、《公路路基路面现场测试规程》（JTG 3450-2019）、《公路养护安全作业规程》（JTG H30-2015）、</w:t>
            </w:r>
            <w:r>
              <w:rPr>
                <w:rFonts w:hint="eastAsia" w:ascii="宋体" w:hAnsi="宋体" w:eastAsia="宋体" w:cs="宋体"/>
              </w:rPr>
              <w:t>《公路工程质量检验评定标准 第一册 土建工程》（ JTG F80/1—2017）</w:t>
            </w:r>
            <w:r>
              <w:rPr>
                <w:rFonts w:hint="eastAsia" w:ascii="宋体" w:hAnsi="宋体" w:eastAsia="宋体" w:cs="宋体"/>
                <w:lang w:eastAsia="zh-CN"/>
              </w:rPr>
              <w:t>、</w:t>
            </w:r>
            <w:r>
              <w:rPr>
                <w:rFonts w:hint="eastAsia" w:ascii="宋体" w:hAnsi="宋体" w:eastAsia="宋体" w:cs="宋体"/>
              </w:rPr>
              <w:t>《公路养护工程质量检验评定标准 第一册 土建工程》（JTG 5220-2020）、《公路交通安全设施设计规范》(JTG D81-2017)、《道路交通标线质量要求和检测方法》（GB/T 16311-2024）</w:t>
            </w:r>
            <w:r>
              <w:rPr>
                <w:rFonts w:hint="eastAsia" w:ascii="宋体" w:hAnsi="宋体" w:eastAsia="宋体" w:cs="宋体"/>
                <w:szCs w:val="21"/>
              </w:rPr>
              <w:t>等交通行业规范和其它国家标准。</w:t>
            </w:r>
          </w:p>
          <w:p w14:paraId="22785D91">
            <w:pPr>
              <w:spacing w:line="400" w:lineRule="exact"/>
              <w:rPr>
                <w:rFonts w:hint="eastAsia" w:ascii="宋体" w:hAnsi="宋体" w:eastAsia="宋体" w:cs="宋体"/>
                <w:szCs w:val="21"/>
              </w:rPr>
            </w:pPr>
            <w:r>
              <w:rPr>
                <w:rFonts w:hint="eastAsia" w:ascii="宋体" w:hAnsi="宋体" w:eastAsia="宋体" w:cs="宋体"/>
                <w:szCs w:val="21"/>
              </w:rPr>
              <w:t>（三）</w:t>
            </w:r>
            <w:bookmarkEnd w:id="58"/>
            <w:bookmarkEnd w:id="59"/>
            <w:r>
              <w:rPr>
                <w:rFonts w:hint="eastAsia" w:ascii="宋体" w:hAnsi="宋体" w:eastAsia="宋体" w:cs="宋体"/>
                <w:szCs w:val="21"/>
              </w:rPr>
              <w:t>服务内容（但不限于）及成果：</w:t>
            </w:r>
          </w:p>
          <w:p w14:paraId="4D0725C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bookmarkStart w:id="60" w:name="_Hlk166699846"/>
            <w:r>
              <w:rPr>
                <w:rFonts w:hint="eastAsia" w:ascii="宋体" w:hAnsi="宋体" w:eastAsia="宋体" w:cs="宋体"/>
                <w:szCs w:val="21"/>
                <w:lang w:val="en-US" w:eastAsia="zh-CN"/>
              </w:rPr>
              <w:t>1.依据《公路技术状况评定标准》（JTG 5210-2018）、《多功能路况快速检测设备》（GB/T 26764-2024）、《公路路基路面现场测试规程》（JTG 3450-2019）等规范要求，选取广西全区运营高速公路一个方向上的一个主要行车道进行路面技术状况检测，总检测里程约为10060公里·车道，其中沥青路面检测指标包含路面损坏、路面平整度、路面车辙、路面跳车、路面磨耗和路面抗滑；水泥路面检测指标包含路面损坏、路面平整度、路面跳车和路面抗滑</w:t>
            </w:r>
            <w:r>
              <w:rPr>
                <w:rFonts w:hint="eastAsia" w:ascii="宋体" w:hAnsi="宋体" w:cs="宋体"/>
                <w:color w:val="auto"/>
                <w:szCs w:val="21"/>
                <w:highlight w:val="none"/>
                <w:lang w:val="en-US" w:eastAsia="zh-CN"/>
              </w:rPr>
              <w:t>，抽取2012公里高速公路进行路面弯沉检测。</w:t>
            </w:r>
            <w:r>
              <w:rPr>
                <w:rFonts w:hint="eastAsia" w:ascii="宋体" w:hAnsi="宋体" w:cs="宋体"/>
                <w:szCs w:val="21"/>
                <w:lang w:val="en-US" w:eastAsia="zh-CN"/>
              </w:rPr>
              <w:t>对</w:t>
            </w:r>
            <w:r>
              <w:rPr>
                <w:rFonts w:hint="eastAsia" w:ascii="宋体" w:hAnsi="宋体" w:cs="宋体"/>
                <w:szCs w:val="21"/>
              </w:rPr>
              <w:t>抽检路段的路面技术状况</w:t>
            </w:r>
            <w:r>
              <w:rPr>
                <w:rFonts w:hint="eastAsia" w:ascii="宋体" w:hAnsi="宋体" w:cs="宋体"/>
                <w:szCs w:val="21"/>
                <w:lang w:val="en-US" w:eastAsia="zh-CN"/>
              </w:rPr>
              <w:t>进行</w:t>
            </w:r>
            <w:r>
              <w:rPr>
                <w:rFonts w:hint="eastAsia" w:ascii="宋体" w:hAnsi="宋体" w:cs="宋体"/>
                <w:szCs w:val="21"/>
              </w:rPr>
              <w:t>评定，对抽检结果完成相关数据分析</w:t>
            </w:r>
            <w:r>
              <w:rPr>
                <w:rFonts w:hint="eastAsia" w:ascii="宋体" w:hAnsi="宋体" w:cs="宋体"/>
                <w:szCs w:val="21"/>
                <w:lang w:eastAsia="zh-CN"/>
              </w:rPr>
              <w:t>，</w:t>
            </w:r>
            <w:r>
              <w:rPr>
                <w:rFonts w:hint="eastAsia" w:ascii="宋体" w:hAnsi="宋体" w:cs="宋体"/>
                <w:szCs w:val="21"/>
                <w:lang w:val="en-US" w:eastAsia="zh-CN"/>
              </w:rPr>
              <w:t>包含抽检路段</w:t>
            </w:r>
            <w:r>
              <w:rPr>
                <w:rFonts w:hint="eastAsia" w:ascii="宋体" w:hAnsi="宋体" w:cs="宋体"/>
                <w:szCs w:val="21"/>
              </w:rPr>
              <w:t>路面PQI及分项指标和优等路率，各运营公司路面PQI及分项指标和优等路率，</w:t>
            </w:r>
            <w:r>
              <w:rPr>
                <w:rFonts w:hint="eastAsia" w:ascii="宋体" w:hAnsi="宋体" w:cs="宋体"/>
                <w:szCs w:val="21"/>
                <w:lang w:val="en-US" w:eastAsia="zh-CN"/>
              </w:rPr>
              <w:t>开展路面科学决策分析，</w:t>
            </w:r>
            <w:r>
              <w:rPr>
                <w:rFonts w:hint="eastAsia" w:ascii="宋体" w:hAnsi="宋体" w:cs="宋体"/>
                <w:szCs w:val="21"/>
              </w:rPr>
              <w:t>并结合广西高速公路高质量发展要求对不同技术状况水平的路面提供有针对性的养护建议</w:t>
            </w:r>
            <w:r>
              <w:rPr>
                <w:rFonts w:hint="eastAsia" w:ascii="宋体" w:hAnsi="宋体" w:cs="宋体"/>
                <w:szCs w:val="21"/>
                <w:lang w:eastAsia="zh-CN"/>
              </w:rPr>
              <w:t>。</w:t>
            </w:r>
          </w:p>
          <w:p w14:paraId="6FE6B2C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2.依据《公路技术状况评定标准》（JTG 5210-2018），选取广西全区20%的运营高速公路进行沿线设施技术状况TCI</w:t>
            </w:r>
            <w:r>
              <w:rPr>
                <w:rFonts w:hint="eastAsia" w:ascii="宋体" w:hAnsi="宋体" w:cs="宋体"/>
                <w:szCs w:val="21"/>
                <w:lang w:val="en-US" w:eastAsia="zh-CN"/>
              </w:rPr>
              <w:t>单项</w:t>
            </w:r>
            <w:r>
              <w:rPr>
                <w:rFonts w:hint="eastAsia" w:ascii="宋体" w:hAnsi="宋体" w:eastAsia="宋体" w:cs="宋体"/>
                <w:szCs w:val="21"/>
                <w:lang w:val="en-US" w:eastAsia="zh-CN"/>
              </w:rPr>
              <w:t>检测，并利用快速检测装备获取路域环境影像资料，检测的项目包含防护设施、隔离栅、标志、标线和绿化带，并对运营公司的自检数据进行校核。本次检测评定分析及校核的高速公路总里程约为2012公里。</w:t>
            </w:r>
          </w:p>
          <w:p w14:paraId="1F8B2E9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3.利用标线逆反射系数连续快速检测设备，选取广西全区20%的运营高速公路进行标线逆反射系数连续快速检测。本次拟进行标线逆反射系数连续快速检测的高速公路总里程约为2012公里</w:t>
            </w:r>
            <w:r>
              <w:rPr>
                <w:rFonts w:hint="eastAsia" w:ascii="宋体" w:hAnsi="宋体" w:cs="宋体"/>
                <w:color w:val="auto"/>
                <w:szCs w:val="21"/>
                <w:highlight w:val="none"/>
                <w:lang w:val="en-US" w:eastAsia="zh-CN"/>
              </w:rPr>
              <w:t>·条</w:t>
            </w:r>
            <w:r>
              <w:rPr>
                <w:rFonts w:hint="eastAsia" w:ascii="宋体" w:hAnsi="宋体" w:eastAsia="宋体" w:cs="宋体"/>
                <w:szCs w:val="21"/>
                <w:lang w:val="en-US" w:eastAsia="zh-CN"/>
              </w:rPr>
              <w:t>。</w:t>
            </w:r>
          </w:p>
          <w:p w14:paraId="4414FF8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4.抽取广西全区10%的运营高速公路进行交通安全设施资料核查，资料核查高速公路总里程约为1006公里</w:t>
            </w:r>
            <w:r>
              <w:rPr>
                <w:rFonts w:hint="eastAsia" w:ascii="宋体" w:hAnsi="宋体" w:cs="宋体"/>
                <w:szCs w:val="21"/>
                <w:lang w:eastAsia="zh-CN"/>
              </w:rPr>
              <w:t>（</w:t>
            </w:r>
            <w:r>
              <w:rPr>
                <w:rFonts w:hint="eastAsia" w:ascii="宋体" w:hAnsi="宋体" w:cs="宋体"/>
                <w:szCs w:val="21"/>
                <w:lang w:val="en-US" w:eastAsia="zh-CN"/>
              </w:rPr>
              <w:t>单向</w:t>
            </w:r>
            <w:r>
              <w:rPr>
                <w:rFonts w:hint="eastAsia" w:ascii="宋体" w:hAnsi="宋体" w:cs="宋体"/>
                <w:szCs w:val="21"/>
                <w:lang w:eastAsia="zh-CN"/>
              </w:rPr>
              <w:t>）</w:t>
            </w:r>
            <w:r>
              <w:rPr>
                <w:rFonts w:hint="eastAsia" w:ascii="宋体" w:hAnsi="宋体" w:eastAsia="宋体" w:cs="宋体"/>
                <w:szCs w:val="21"/>
                <w:lang w:val="en-US" w:eastAsia="zh-CN"/>
              </w:rPr>
              <w:t>，并参照《2024年度国家公路网技术状况监测实施方案》（交办公路函〔2024〕1201号）</w:t>
            </w:r>
            <w:r>
              <w:rPr>
                <w:rFonts w:hint="eastAsia" w:ascii="宋体" w:hAnsi="宋体" w:cs="宋体"/>
                <w:szCs w:val="21"/>
              </w:rPr>
              <w:t>、《公路养护工程质量检验评定标准 第一册 土建工程》（JTG 5220-2020）等文件和规范标准</w:t>
            </w:r>
            <w:r>
              <w:rPr>
                <w:rFonts w:hint="eastAsia" w:ascii="宋体" w:hAnsi="宋体" w:eastAsia="宋体" w:cs="宋体"/>
                <w:szCs w:val="21"/>
                <w:lang w:val="en-US" w:eastAsia="zh-CN"/>
              </w:rPr>
              <w:t>的要求，对其中部分路段的标线、标志和护栏实体质量进行检测，检测的项目有波形梁护栏螺栓缺失、波形梁钢护栏托架/防阻块缺损、波形梁钢护栏横梁中心高度、诱导标志逆反射系数、诱导标志厚度、标线厚度、标线逆反射系数（利用手持式标线逆反射系数仪进行检测）等。</w:t>
            </w:r>
          </w:p>
          <w:p w14:paraId="34382E09">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5.对全区约50家高速公路运营公司的路面检测记录进行校核，核查运营公司的路面技术状况检测是否符合现行标准和文件的要求。</w:t>
            </w:r>
          </w:p>
          <w:p w14:paraId="1F6CE3C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6.依据《自然灾害综合风险公路承灾体普查技术指南》对全区约50家高速公路运营公司的路基边坡</w:t>
            </w:r>
            <w:r>
              <w:rPr>
                <w:rFonts w:hint="eastAsia" w:ascii="宋体" w:hAnsi="宋体" w:cs="宋体"/>
                <w:szCs w:val="21"/>
                <w:lang w:val="en-US" w:eastAsia="zh-CN"/>
              </w:rPr>
              <w:t>技术状况</w:t>
            </w:r>
            <w:r>
              <w:rPr>
                <w:rFonts w:hint="eastAsia" w:ascii="宋体" w:hAnsi="宋体" w:eastAsia="宋体" w:cs="宋体"/>
                <w:szCs w:val="21"/>
                <w:lang w:val="en-US" w:eastAsia="zh-CN"/>
              </w:rPr>
              <w:t>进行抽检，共抽查182处路基边坡，并核查路基边坡资料。</w:t>
            </w:r>
            <w:r>
              <w:rPr>
                <w:rFonts w:hint="eastAsia" w:ascii="宋体" w:hAnsi="宋体" w:eastAsia="宋体" w:cs="宋体"/>
                <w:szCs w:val="21"/>
              </w:rPr>
              <w:t>开展全区高速公路运营领域安全生产监督检查工作</w:t>
            </w:r>
            <w:r>
              <w:rPr>
                <w:rFonts w:hint="eastAsia" w:ascii="宋体" w:hAnsi="宋体" w:eastAsia="宋体" w:cs="宋体"/>
                <w:szCs w:val="21"/>
                <w:lang w:eastAsia="zh-CN"/>
              </w:rPr>
              <w:t>。</w:t>
            </w:r>
          </w:p>
          <w:p w14:paraId="7DC333B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7.根据</w:t>
            </w:r>
            <w:r>
              <w:rPr>
                <w:rFonts w:hint="eastAsia" w:ascii="宋体" w:hAnsi="宋体" w:cs="宋体"/>
                <w:szCs w:val="21"/>
                <w:lang w:val="en-US" w:eastAsia="zh-CN"/>
              </w:rPr>
              <w:t>现行的</w:t>
            </w:r>
            <w:r>
              <w:rPr>
                <w:rFonts w:hint="eastAsia" w:ascii="宋体" w:hAnsi="宋体" w:eastAsia="宋体" w:cs="宋体"/>
                <w:szCs w:val="21"/>
                <w:lang w:val="en-US" w:eastAsia="zh-CN"/>
              </w:rPr>
              <w:t>文件和规范标准要求进行抽检路段的路面技术状况评定，并完成交通安全设施和路基边坡的监测评估，对抽检结果完成相关数据分析并提交如下成果：</w:t>
            </w:r>
          </w:p>
          <w:p w14:paraId="6910BC3F">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（1）提供符合采购人要求的广西高速公路路面技术状况评定及养护分析报告、交通安全设施和路基边坡监测评估报告；</w:t>
            </w:r>
          </w:p>
          <w:p w14:paraId="34532310">
            <w:pPr>
              <w:spacing w:line="40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2）配合采购人提供相应电子数据，同时可采用综合分析平台进行展示，该平台应集成公路基础数据、路况数据、图像数据、病害识别数据、养护方案等，功能应具有智能搜索、区域路况查询、路线路况查询、公路前方图像查询、病害图像查询、养护方案查询、路况评定查询、检测明细查询、历史数据管理等功能。</w:t>
            </w:r>
          </w:p>
          <w:bookmarkEnd w:id="60"/>
          <w:p w14:paraId="5829C6D4">
            <w:pPr>
              <w:spacing w:line="400" w:lineRule="exact"/>
              <w:rPr>
                <w:rFonts w:hint="eastAsia" w:ascii="宋体" w:hAnsi="宋体" w:eastAsia="宋体" w:cs="宋体"/>
                <w:szCs w:val="21"/>
              </w:rPr>
            </w:pPr>
            <w:r>
              <w:rPr>
                <w:rFonts w:hint="eastAsia" w:ascii="宋体" w:hAnsi="宋体" w:eastAsia="宋体" w:cs="宋体"/>
                <w:szCs w:val="21"/>
              </w:rPr>
              <w:t>（四）人员要求</w:t>
            </w:r>
          </w:p>
          <w:p w14:paraId="5DE77798">
            <w:pPr>
              <w:widowControl/>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（1）项目负责人：1名，具有</w:t>
            </w:r>
            <w:bookmarkStart w:id="61" w:name="OLE_LINK1"/>
            <w:r>
              <w:rPr>
                <w:rFonts w:hint="eastAsia" w:ascii="宋体" w:hAnsi="宋体" w:cs="宋体"/>
                <w:color w:val="auto"/>
                <w:szCs w:val="21"/>
                <w:highlight w:val="none"/>
                <w:lang w:val="en-US" w:eastAsia="zh-CN"/>
              </w:rPr>
              <w:t>公路工程相关专业</w:t>
            </w:r>
            <w:bookmarkEnd w:id="61"/>
            <w:r>
              <w:rPr>
                <w:rFonts w:hint="eastAsia" w:ascii="宋体" w:hAnsi="宋体" w:cs="宋体"/>
                <w:color w:val="auto"/>
                <w:szCs w:val="21"/>
                <w:highlight w:val="none"/>
                <w:lang w:val="en-US" w:eastAsia="zh-CN"/>
              </w:rPr>
              <w:t>高级工程师（或副教授或副研究员）或以上职称</w:t>
            </w:r>
            <w:r>
              <w:rPr>
                <w:rFonts w:hint="eastAsia" w:ascii="宋体" w:hAnsi="宋体" w:eastAsia="宋体" w:cs="宋体"/>
                <w:color w:val="auto"/>
                <w:szCs w:val="21"/>
                <w:highlight w:val="none"/>
              </w:rPr>
              <w:t>，持有公路水运工程试验检测工程师证书（专业：公路或道路工程），有5年以上试验检测工作经验，作为项目负责人或技术负责人至少完成过1个类似项目；</w:t>
            </w:r>
          </w:p>
          <w:p w14:paraId="06C70457">
            <w:pPr>
              <w:widowControl/>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（2）技术负责人：1名，具有</w:t>
            </w:r>
            <w:r>
              <w:rPr>
                <w:rFonts w:hint="eastAsia" w:ascii="宋体" w:hAnsi="宋体" w:cs="宋体"/>
                <w:color w:val="auto"/>
                <w:szCs w:val="21"/>
                <w:highlight w:val="none"/>
                <w:lang w:val="en-US" w:eastAsia="zh-CN"/>
              </w:rPr>
              <w:t>公路工程相关专业高级工程师（或副教授或副研究员）或以上职称</w:t>
            </w:r>
            <w:r>
              <w:rPr>
                <w:rFonts w:hint="eastAsia" w:ascii="宋体" w:hAnsi="宋体" w:eastAsia="宋体" w:cs="宋体"/>
                <w:color w:val="auto"/>
                <w:szCs w:val="21"/>
                <w:highlight w:val="none"/>
              </w:rPr>
              <w:t>，持有公路水运工程试验检测工程师证书（专业：公路或道路工程），有5年以上试验检测工作经验，作为项目负责人或技术负责人至少完成过1个类似项目；</w:t>
            </w:r>
          </w:p>
          <w:p w14:paraId="0EB94BD0">
            <w:pPr>
              <w:widowControl/>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（3）检测工程师：1名，具有</w:t>
            </w:r>
            <w:r>
              <w:rPr>
                <w:rFonts w:hint="eastAsia" w:ascii="宋体" w:hAnsi="宋体" w:cs="宋体"/>
                <w:color w:val="auto"/>
                <w:szCs w:val="21"/>
                <w:highlight w:val="none"/>
                <w:lang w:val="en-US" w:eastAsia="zh-CN"/>
              </w:rPr>
              <w:t>公路工程相关专业工程师（或讲师或助理研究员）或以上职称</w:t>
            </w:r>
            <w:r>
              <w:rPr>
                <w:rFonts w:hint="eastAsia" w:ascii="宋体" w:hAnsi="宋体" w:eastAsia="宋体" w:cs="宋体"/>
                <w:color w:val="auto"/>
                <w:szCs w:val="21"/>
                <w:highlight w:val="none"/>
              </w:rPr>
              <w:t>，持有公路水运工程试验检测工程师证书（专业：公路或道路工程），有3年以上试验检测经验；</w:t>
            </w:r>
          </w:p>
          <w:p w14:paraId="60983810">
            <w:pPr>
              <w:widowControl/>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（4）检测员：1名，具有</w:t>
            </w:r>
            <w:r>
              <w:rPr>
                <w:rFonts w:hint="eastAsia" w:ascii="宋体" w:hAnsi="宋体" w:cs="宋体"/>
                <w:color w:val="auto"/>
                <w:szCs w:val="21"/>
                <w:highlight w:val="none"/>
                <w:lang w:val="en-US" w:eastAsia="zh-CN"/>
              </w:rPr>
              <w:t>公路工程相关专业助理工程师（或助教或研究实习员）或以上职称</w:t>
            </w:r>
            <w:r>
              <w:rPr>
                <w:rFonts w:hint="eastAsia" w:ascii="宋体" w:hAnsi="宋体" w:eastAsia="宋体" w:cs="宋体"/>
                <w:color w:val="auto"/>
                <w:szCs w:val="21"/>
                <w:highlight w:val="none"/>
              </w:rPr>
              <w:t>，持有公路水运工程</w:t>
            </w:r>
            <w:r>
              <w:rPr>
                <w:rFonts w:hint="eastAsia" w:ascii="宋体" w:hAnsi="宋体" w:cs="宋体"/>
                <w:color w:val="auto"/>
                <w:szCs w:val="21"/>
                <w:highlight w:val="none"/>
                <w:lang w:val="en-US" w:eastAsia="zh-CN"/>
              </w:rPr>
              <w:t>试验检测工程师或</w:t>
            </w:r>
            <w:r>
              <w:rPr>
                <w:rFonts w:hint="eastAsia" w:ascii="宋体" w:hAnsi="宋体" w:eastAsia="宋体" w:cs="宋体"/>
                <w:color w:val="auto"/>
                <w:szCs w:val="21"/>
                <w:highlight w:val="none"/>
              </w:rPr>
              <w:t>助理试验检测工程师或试验检测员证书（专业：公路或道路工程）。</w:t>
            </w:r>
          </w:p>
          <w:p w14:paraId="79B2F353">
            <w:pPr>
              <w:widowControl/>
              <w:spacing w:line="40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color w:val="auto"/>
                <w:szCs w:val="21"/>
                <w:highlight w:val="none"/>
              </w:rPr>
              <w:t>注：（1）试验检测工作经验以公路水运工程质量检测管理信息系统中载明的从事检测工作年限为准</w:t>
            </w:r>
            <w:r>
              <w:rPr>
                <w:rFonts w:hint="eastAsia" w:ascii="宋体" w:hAnsi="宋体" w:cs="宋体"/>
                <w:color w:val="auto"/>
                <w:szCs w:val="21"/>
                <w:highlight w:val="none"/>
                <w:lang w:eastAsia="zh-CN"/>
              </w:rPr>
              <w:t>，提供近一个月内系统查询页面打印件或截图并加盖单位公章</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）人员</w:t>
            </w:r>
            <w:r>
              <w:rPr>
                <w:rFonts w:hint="eastAsia" w:ascii="宋体" w:hAnsi="宋体" w:cs="宋体"/>
                <w:color w:val="auto"/>
                <w:szCs w:val="21"/>
                <w:highlight w:val="none"/>
                <w:lang w:val="en-US" w:eastAsia="zh-CN"/>
              </w:rPr>
              <w:t>类似项目</w:t>
            </w:r>
            <w:r>
              <w:rPr>
                <w:rFonts w:hint="eastAsia" w:ascii="宋体" w:hAnsi="宋体" w:cs="宋体"/>
                <w:szCs w:val="21"/>
                <w:highlight w:val="none"/>
                <w:lang w:eastAsia="zh-CN"/>
              </w:rPr>
              <w:t>经验</w:t>
            </w:r>
            <w:r>
              <w:rPr>
                <w:rFonts w:hint="eastAsia" w:ascii="宋体" w:hAnsi="宋体" w:eastAsia="宋体" w:cs="宋体"/>
                <w:szCs w:val="21"/>
                <w:highlight w:val="none"/>
              </w:rPr>
              <w:t>证明须提供列有以上各岗位人员姓名的合同协议书或委托方出具的证明材料。（</w:t>
            </w:r>
            <w:r>
              <w:rPr>
                <w:rFonts w:hint="eastAsia" w:ascii="宋体" w:hAnsi="宋体" w:cs="宋体"/>
                <w:szCs w:val="21"/>
                <w:highlight w:val="none"/>
                <w:lang w:val="en-US" w:eastAsia="zh-CN"/>
              </w:rPr>
              <w:t>3</w:t>
            </w:r>
            <w:r>
              <w:rPr>
                <w:rFonts w:hint="eastAsia" w:ascii="宋体" w:hAnsi="宋体" w:eastAsia="宋体" w:cs="宋体"/>
                <w:szCs w:val="21"/>
                <w:highlight w:val="none"/>
              </w:rPr>
              <w:t>）须提供近一年内连续3个月的社保缴纳证明</w:t>
            </w:r>
            <w:r>
              <w:rPr>
                <w:rFonts w:hint="eastAsia" w:ascii="宋体" w:hAnsi="宋体" w:eastAsia="宋体" w:cs="宋体"/>
                <w:i w:val="0"/>
                <w:iCs w:val="0"/>
                <w:caps w:val="0"/>
                <w:color w:val="auto"/>
                <w:spacing w:val="0"/>
                <w:sz w:val="21"/>
                <w:szCs w:val="21"/>
                <w:highlight w:val="none"/>
                <w:shd w:val="clear" w:color="auto" w:fill="FFFFFF"/>
              </w:rPr>
              <w:t>或其他属于本单位职工</w:t>
            </w:r>
            <w:r>
              <w:rPr>
                <w:rFonts w:hint="eastAsia" w:ascii="宋体" w:hAnsi="宋体" w:eastAsia="宋体" w:cs="宋体"/>
                <w:color w:val="auto"/>
                <w:szCs w:val="21"/>
                <w:highlight w:val="none"/>
              </w:rPr>
              <w:t>的证明材料复印件</w:t>
            </w:r>
            <w:r>
              <w:rPr>
                <w:rFonts w:hint="eastAsia" w:ascii="宋体" w:hAnsi="宋体" w:eastAsia="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szCs w:val="21"/>
                <w:highlight w:val="none"/>
                <w:lang w:val="en-US" w:eastAsia="zh-CN"/>
              </w:rPr>
              <w:t>公路工程相关专业是指道路工程、公路工程、公路与桥梁工程、公路与城市道路工程、城市道路工程、桥梁工程、隧道工程、交通土建工程、公路试验检测等。</w:t>
            </w:r>
          </w:p>
          <w:p w14:paraId="5F133FA4">
            <w:pPr>
              <w:spacing w:line="400" w:lineRule="exact"/>
              <w:rPr>
                <w:rFonts w:hint="eastAsia" w:ascii="宋体" w:hAnsi="宋体" w:eastAsia="宋体" w:cs="宋体"/>
                <w:szCs w:val="21"/>
              </w:rPr>
            </w:pPr>
            <w:r>
              <w:rPr>
                <w:rFonts w:hint="eastAsia" w:ascii="宋体" w:hAnsi="宋体" w:eastAsia="宋体" w:cs="宋体"/>
                <w:szCs w:val="21"/>
              </w:rPr>
              <w:t>（五）项目范围及指标</w:t>
            </w:r>
          </w:p>
          <w:p w14:paraId="642B311F">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1.选取广西全区运营高速公路一个方向上的一个主要行车道进行路面技术状况检测，总检测里程约为10060公里·车道，其中沥青路面检测指标包含路面损坏、路面平整度、路面车辙、路面跳车、路面磨耗和路面抗滑；水泥路面检测指标包含路面损坏、路面平整度、路面跳车和路面抗滑。</w:t>
            </w:r>
            <w:bookmarkStart w:id="62" w:name="OLE_LINK20"/>
            <w:r>
              <w:rPr>
                <w:rFonts w:hint="eastAsia" w:ascii="宋体" w:hAnsi="宋体" w:cs="宋体"/>
                <w:color w:val="auto"/>
                <w:szCs w:val="21"/>
                <w:highlight w:val="none"/>
                <w:lang w:val="en-US" w:eastAsia="zh-CN"/>
              </w:rPr>
              <w:t>抽取2012公里高速公路进行路面弯沉检测。</w:t>
            </w:r>
            <w:r>
              <w:rPr>
                <w:rFonts w:hint="eastAsia" w:ascii="宋体" w:hAnsi="宋体" w:cs="宋体"/>
                <w:szCs w:val="21"/>
                <w:lang w:val="en-US" w:eastAsia="zh-CN"/>
              </w:rPr>
              <w:t>对</w:t>
            </w:r>
            <w:r>
              <w:rPr>
                <w:rFonts w:hint="eastAsia" w:ascii="宋体" w:hAnsi="宋体" w:cs="宋体"/>
                <w:szCs w:val="21"/>
              </w:rPr>
              <w:t>抽检路段的路面技术状况</w:t>
            </w:r>
            <w:r>
              <w:rPr>
                <w:rFonts w:hint="eastAsia" w:ascii="宋体" w:hAnsi="宋体" w:cs="宋体"/>
                <w:szCs w:val="21"/>
                <w:lang w:val="en-US" w:eastAsia="zh-CN"/>
              </w:rPr>
              <w:t>进行</w:t>
            </w:r>
            <w:r>
              <w:rPr>
                <w:rFonts w:hint="eastAsia" w:ascii="宋体" w:hAnsi="宋体" w:cs="宋体"/>
                <w:szCs w:val="21"/>
              </w:rPr>
              <w:t>评定，对抽检结果完成相关数据分析</w:t>
            </w:r>
            <w:r>
              <w:rPr>
                <w:rFonts w:hint="eastAsia" w:ascii="宋体" w:hAnsi="宋体" w:cs="宋体"/>
                <w:szCs w:val="21"/>
                <w:lang w:eastAsia="zh-CN"/>
              </w:rPr>
              <w:t>，</w:t>
            </w:r>
            <w:r>
              <w:rPr>
                <w:rFonts w:hint="eastAsia" w:ascii="宋体" w:hAnsi="宋体" w:cs="宋体"/>
                <w:szCs w:val="21"/>
                <w:lang w:val="en-US" w:eastAsia="zh-CN"/>
              </w:rPr>
              <w:t>包含抽检路段</w:t>
            </w:r>
            <w:r>
              <w:rPr>
                <w:rFonts w:hint="eastAsia" w:ascii="宋体" w:hAnsi="宋体" w:cs="宋体"/>
                <w:szCs w:val="21"/>
              </w:rPr>
              <w:t>路面PQI及分项指标和优等路率，各运营公司路面PQI及分项指标和优等路率，</w:t>
            </w:r>
            <w:r>
              <w:rPr>
                <w:rFonts w:hint="eastAsia" w:ascii="宋体" w:hAnsi="宋体" w:cs="宋体"/>
                <w:szCs w:val="21"/>
                <w:lang w:val="en-US" w:eastAsia="zh-CN"/>
              </w:rPr>
              <w:t>开展路面科学决策分析，</w:t>
            </w:r>
            <w:r>
              <w:rPr>
                <w:rFonts w:hint="eastAsia" w:ascii="宋体" w:hAnsi="宋体" w:cs="宋体"/>
                <w:szCs w:val="21"/>
              </w:rPr>
              <w:t>并结合广西高速公路高质量发展要求对不同技术状况水平的路面提供有针对性的养护建议</w:t>
            </w:r>
            <w:r>
              <w:rPr>
                <w:rFonts w:hint="eastAsia" w:ascii="宋体" w:hAnsi="宋体" w:cs="宋体"/>
                <w:szCs w:val="21"/>
                <w:lang w:eastAsia="zh-CN"/>
              </w:rPr>
              <w:t>。</w:t>
            </w:r>
            <w:bookmarkEnd w:id="62"/>
          </w:p>
          <w:p w14:paraId="382BC90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2.选取广西全区20%的运营高速公路进行沿线设施技术状况TCI</w:t>
            </w:r>
            <w:r>
              <w:rPr>
                <w:rFonts w:hint="eastAsia" w:ascii="宋体" w:hAnsi="宋体" w:cs="宋体"/>
                <w:szCs w:val="21"/>
                <w:lang w:val="en-US" w:eastAsia="zh-CN"/>
              </w:rPr>
              <w:t>单向</w:t>
            </w:r>
            <w:r>
              <w:rPr>
                <w:rFonts w:hint="eastAsia" w:ascii="宋体" w:hAnsi="宋体" w:eastAsia="宋体" w:cs="宋体"/>
                <w:szCs w:val="21"/>
              </w:rPr>
              <w:t>检测，并利用快速检测装备获取路域环境影像资料，检测的项目包含防护设施、隔离栅、标志、标线和绿化带，并对运营公司的自检数据进行校核。本次检测评定分析及校核的高速公路总里程约为2012公里。</w:t>
            </w:r>
          </w:p>
          <w:p w14:paraId="1F94754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3.利用标线逆反射系数连续快速检测设备，选取广西全区20%的运营高速公路进行标线逆反射系数连续快速检测。本次拟进行标线逆反射系数连续快速检测的高速公路总里程约为2012公里</w:t>
            </w:r>
            <w:r>
              <w:rPr>
                <w:rFonts w:hint="eastAsia" w:ascii="宋体" w:hAnsi="宋体" w:cs="宋体"/>
                <w:color w:val="auto"/>
                <w:szCs w:val="21"/>
                <w:highlight w:val="none"/>
                <w:lang w:val="en-US" w:eastAsia="zh-CN"/>
              </w:rPr>
              <w:t>·条</w:t>
            </w:r>
            <w:r>
              <w:rPr>
                <w:rFonts w:hint="eastAsia" w:ascii="宋体" w:hAnsi="宋体" w:eastAsia="宋体" w:cs="宋体"/>
                <w:szCs w:val="21"/>
              </w:rPr>
              <w:t>。</w:t>
            </w:r>
          </w:p>
          <w:p w14:paraId="348D9C9C">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4.抽取广西全区10%的运营高速公路进行交通安全设施资料核查，资料核查高速公路总里程约为1006公里</w:t>
            </w:r>
            <w:r>
              <w:rPr>
                <w:rFonts w:hint="eastAsia" w:ascii="宋体" w:hAnsi="宋体" w:cs="宋体"/>
                <w:szCs w:val="21"/>
                <w:lang w:eastAsia="zh-CN"/>
              </w:rPr>
              <w:t>（</w:t>
            </w:r>
            <w:r>
              <w:rPr>
                <w:rFonts w:hint="eastAsia" w:ascii="宋体" w:hAnsi="宋体" w:cs="宋体"/>
                <w:szCs w:val="21"/>
                <w:lang w:val="en-US" w:eastAsia="zh-CN"/>
              </w:rPr>
              <w:t>单向</w:t>
            </w:r>
            <w:r>
              <w:rPr>
                <w:rFonts w:hint="eastAsia" w:ascii="宋体" w:hAnsi="宋体" w:cs="宋体"/>
                <w:szCs w:val="21"/>
                <w:lang w:eastAsia="zh-CN"/>
              </w:rPr>
              <w:t>）</w:t>
            </w:r>
            <w:r>
              <w:rPr>
                <w:rFonts w:hint="eastAsia" w:ascii="宋体" w:hAnsi="宋体" w:eastAsia="宋体" w:cs="宋体"/>
                <w:szCs w:val="21"/>
              </w:rPr>
              <w:t>，并对其中部分路段的标线、标志和护栏实体质量进行检测，检测的项目有波形梁护栏螺栓缺失、波形梁钢护栏托架/防阻块缺损、波形梁钢护栏横梁中心高度、诱导标志逆反射系数、诱导标志厚度、标线厚度、标线逆反射系数（利用手持式标线逆反射系数仪进行检测）等。</w:t>
            </w:r>
          </w:p>
          <w:p w14:paraId="54C4B46D">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5.对全区约50家高速公路运营公司的路面检测记录进行校核，核查运营公司的路面技术状况检测是否符合现行标准和文件的要求。</w:t>
            </w:r>
          </w:p>
          <w:p w14:paraId="5926B3D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6.对全区约50家高速公路运营公司的路基边坡</w:t>
            </w:r>
            <w:r>
              <w:rPr>
                <w:rFonts w:hint="eastAsia" w:ascii="宋体" w:hAnsi="宋体" w:cs="宋体"/>
                <w:szCs w:val="21"/>
                <w:lang w:val="en-US" w:eastAsia="zh-CN"/>
              </w:rPr>
              <w:t>技术状况</w:t>
            </w:r>
            <w:r>
              <w:rPr>
                <w:rFonts w:hint="eastAsia" w:ascii="宋体" w:hAnsi="宋体" w:eastAsia="宋体" w:cs="宋体"/>
                <w:szCs w:val="21"/>
              </w:rPr>
              <w:t>进行抽检，共抽查182处路基边坡，并核查路基边坡资料。</w:t>
            </w:r>
            <w:r>
              <w:rPr>
                <w:rFonts w:hint="eastAsia" w:ascii="宋体" w:hAnsi="宋体" w:cs="宋体"/>
                <w:szCs w:val="21"/>
              </w:rPr>
              <w:t>开展全区高速公路运营领域安全生产监督检查工作。</w:t>
            </w:r>
          </w:p>
          <w:p w14:paraId="75A16A92">
            <w:pPr>
              <w:spacing w:line="400" w:lineRule="exact"/>
              <w:ind w:firstLine="105" w:firstLineChars="50"/>
              <w:rPr>
                <w:rFonts w:hint="eastAsia" w:ascii="宋体" w:hAnsi="宋体" w:eastAsia="宋体" w:cs="宋体"/>
                <w:szCs w:val="21"/>
              </w:rPr>
            </w:pPr>
            <w:r>
              <w:rPr>
                <w:rFonts w:hint="eastAsia" w:ascii="宋体" w:hAnsi="宋体" w:eastAsia="宋体" w:cs="宋体"/>
                <w:szCs w:val="21"/>
              </w:rPr>
              <w:t>(六)检测设备要求</w:t>
            </w:r>
          </w:p>
          <w:p w14:paraId="14A86327">
            <w:pPr>
              <w:widowControl/>
              <w:spacing w:line="400" w:lineRule="exact"/>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至少提供</w:t>
            </w:r>
            <w:r>
              <w:rPr>
                <w:rFonts w:hint="eastAsia" w:ascii="宋体" w:hAnsi="宋体" w:eastAsia="宋体" w:cs="宋体"/>
                <w:szCs w:val="21"/>
              </w:rPr>
              <w:t>1台多功能路况快速检测设备和1台路面横向力系数测试车（</w:t>
            </w:r>
            <w:r>
              <w:rPr>
                <w:rFonts w:hint="eastAsia" w:ascii="宋体" w:hAnsi="宋体" w:cs="宋体"/>
                <w:szCs w:val="21"/>
                <w:lang w:val="en-US" w:eastAsia="zh-CN"/>
              </w:rPr>
              <w:t>自有设备</w:t>
            </w:r>
            <w:r>
              <w:rPr>
                <w:rFonts w:hint="eastAsia" w:ascii="宋体" w:hAnsi="宋体" w:eastAsia="宋体" w:cs="宋体"/>
                <w:szCs w:val="21"/>
              </w:rPr>
              <w:t>须提供购置合同或发票、行驶证、检定/校准证书等证明材料</w:t>
            </w:r>
            <w:r>
              <w:rPr>
                <w:rFonts w:hint="eastAsia" w:ascii="宋体" w:hAnsi="宋体" w:cs="宋体"/>
                <w:szCs w:val="21"/>
                <w:lang w:eastAsia="zh-CN"/>
              </w:rPr>
              <w:t>；</w:t>
            </w:r>
            <w:r>
              <w:rPr>
                <w:rFonts w:hint="eastAsia" w:ascii="宋体" w:hAnsi="宋体" w:cs="宋体"/>
                <w:szCs w:val="21"/>
                <w:lang w:val="en-US" w:eastAsia="zh-CN"/>
              </w:rPr>
              <w:t>租赁设备须提供租赁合同</w:t>
            </w:r>
            <w:r>
              <w:rPr>
                <w:rFonts w:hint="eastAsia" w:ascii="宋体" w:hAnsi="宋体" w:eastAsia="宋体" w:cs="宋体"/>
                <w:szCs w:val="21"/>
              </w:rPr>
              <w:t>或发票、行驶证、检定/校准证书等证明材料）。</w:t>
            </w:r>
          </w:p>
          <w:p w14:paraId="4C304F73">
            <w:pPr>
              <w:widowControl/>
              <w:spacing w:line="400" w:lineRule="exact"/>
              <w:ind w:firstLine="420" w:firstLineChars="200"/>
              <w:rPr>
                <w:rFonts w:hint="eastAsia" w:ascii="宋体" w:hAnsi="宋体" w:eastAsia="宋体" w:cs="宋体"/>
                <w:szCs w:val="21"/>
              </w:rPr>
            </w:pPr>
            <w:r>
              <w:rPr>
                <w:rFonts w:hint="eastAsia" w:ascii="宋体" w:hAnsi="宋体" w:eastAsia="宋体" w:cs="宋体"/>
                <w:szCs w:val="21"/>
              </w:rPr>
              <w:t>（2）多功能路况快速检测设备应能够同时检测路面平整度、路面车辙、路面破损、路面跳车、路面磨耗和前方景观图像并能够同步采集GPS信息。</w:t>
            </w:r>
          </w:p>
          <w:p w14:paraId="27494E94">
            <w:pPr>
              <w:widowControl/>
              <w:spacing w:line="400" w:lineRule="exact"/>
              <w:ind w:firstLine="420" w:firstLineChars="200"/>
              <w:rPr>
                <w:rFonts w:hint="eastAsia" w:ascii="宋体" w:hAnsi="宋体" w:eastAsia="宋体" w:cs="宋体"/>
                <w:szCs w:val="21"/>
              </w:rPr>
            </w:pPr>
            <w:r>
              <w:rPr>
                <w:rFonts w:hint="eastAsia" w:ascii="宋体" w:hAnsi="宋体" w:eastAsia="宋体" w:cs="宋体"/>
                <w:szCs w:val="21"/>
              </w:rPr>
              <w:t>（3）路面横向力系数测试车主要技术性能应满足《公路路基路面现场测试规程》（JTG 3450-2019）的技术标准要求。</w:t>
            </w:r>
          </w:p>
          <w:p w14:paraId="202C0597">
            <w:pPr>
              <w:spacing w:line="400" w:lineRule="exact"/>
              <w:ind w:firstLine="105" w:firstLineChars="50"/>
              <w:rPr>
                <w:rFonts w:hint="eastAsia" w:ascii="宋体" w:hAnsi="宋体" w:eastAsia="宋体" w:cs="宋体"/>
                <w:szCs w:val="21"/>
              </w:rPr>
            </w:pPr>
            <w:r>
              <w:rPr>
                <w:rFonts w:hint="eastAsia" w:ascii="宋体" w:hAnsi="宋体" w:eastAsia="宋体" w:cs="宋体"/>
                <w:szCs w:val="21"/>
              </w:rPr>
              <w:t>（七）业绩要求</w:t>
            </w:r>
          </w:p>
          <w:p w14:paraId="6D94D4EC">
            <w:pPr>
              <w:widowControl/>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自</w:t>
            </w:r>
            <w:r>
              <w:rPr>
                <w:rFonts w:hint="default" w:ascii="宋体" w:hAnsi="宋体" w:eastAsia="宋体" w:cs="宋体"/>
                <w:szCs w:val="21"/>
                <w:highlight w:val="none"/>
                <w:lang w:val="en-US"/>
              </w:rPr>
              <w:t>20</w:t>
            </w:r>
            <w:r>
              <w:rPr>
                <w:rFonts w:hint="default" w:ascii="宋体" w:hAnsi="宋体" w:eastAsia="宋体" w:cs="宋体"/>
                <w:szCs w:val="21"/>
                <w:highlight w:val="none"/>
                <w:lang w:val="en-US" w:eastAsia="zh-CN"/>
              </w:rPr>
              <w:t>21</w:t>
            </w:r>
            <w:r>
              <w:rPr>
                <w:rFonts w:hint="eastAsia" w:ascii="宋体" w:hAnsi="宋体" w:eastAsia="宋体" w:cs="宋体"/>
                <w:szCs w:val="21"/>
                <w:highlight w:val="none"/>
              </w:rPr>
              <w:t>年1月1日</w:t>
            </w:r>
            <w:r>
              <w:rPr>
                <w:rFonts w:hint="eastAsia" w:ascii="宋体" w:hAnsi="宋体" w:cs="宋体"/>
                <w:szCs w:val="21"/>
                <w:highlight w:val="none"/>
                <w:lang w:eastAsia="zh-CN"/>
              </w:rPr>
              <w:t>至今</w:t>
            </w:r>
            <w:r>
              <w:rPr>
                <w:rFonts w:hint="eastAsia" w:ascii="宋体" w:hAnsi="宋体" w:eastAsia="宋体" w:cs="宋体"/>
                <w:szCs w:val="21"/>
                <w:highlight w:val="none"/>
              </w:rPr>
              <w:t>，至少完成过1个类似项目。</w:t>
            </w:r>
          </w:p>
          <w:p w14:paraId="65F87D8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szCs w:val="21"/>
                <w:highlight w:val="none"/>
              </w:rPr>
              <w:t>注：（</w:t>
            </w:r>
            <w:r>
              <w:rPr>
                <w:rFonts w:hint="eastAsia" w:ascii="宋体" w:hAnsi="宋体" w:cs="宋体"/>
                <w:szCs w:val="21"/>
                <w:highlight w:val="none"/>
                <w:lang w:val="en-US" w:eastAsia="zh-CN"/>
              </w:rPr>
              <w:t>1</w:t>
            </w:r>
            <w:r>
              <w:rPr>
                <w:rFonts w:hint="eastAsia" w:ascii="宋体" w:hAnsi="宋体" w:eastAsia="宋体" w:cs="宋体"/>
                <w:szCs w:val="21"/>
                <w:highlight w:val="none"/>
              </w:rPr>
              <w:t>）</w:t>
            </w:r>
            <w:bookmarkStart w:id="63" w:name="OLE_LINK30"/>
            <w:r>
              <w:rPr>
                <w:rFonts w:hint="eastAsia" w:ascii="宋体" w:hAnsi="宋体" w:eastAsia="宋体" w:cs="宋体"/>
                <w:szCs w:val="21"/>
                <w:highlight w:val="none"/>
              </w:rPr>
              <w:t>类似项目是指</w:t>
            </w:r>
            <w:r>
              <w:rPr>
                <w:rFonts w:hint="eastAsia" w:ascii="宋体" w:hAnsi="宋体" w:cs="宋体"/>
                <w:szCs w:val="21"/>
                <w:highlight w:val="none"/>
                <w:lang w:val="en-US" w:eastAsia="zh-CN"/>
              </w:rPr>
              <w:t>普通国省干线或高速公路路面技术状况检测</w:t>
            </w:r>
            <w:bookmarkStart w:id="64" w:name="OLE_LINK37"/>
            <w:r>
              <w:rPr>
                <w:rFonts w:hint="eastAsia" w:ascii="宋体" w:hAnsi="宋体" w:cs="宋体"/>
                <w:szCs w:val="21"/>
                <w:highlight w:val="none"/>
                <w:lang w:val="en-US" w:eastAsia="zh-CN"/>
              </w:rPr>
              <w:t>（或</w:t>
            </w:r>
            <w:r>
              <w:rPr>
                <w:rFonts w:hint="eastAsia" w:ascii="宋体" w:hAnsi="宋体" w:eastAsia="宋体" w:cs="宋体"/>
                <w:szCs w:val="21"/>
                <w:highlight w:val="none"/>
              </w:rPr>
              <w:t>路面性能检测</w:t>
            </w:r>
            <w:r>
              <w:rPr>
                <w:rFonts w:hint="eastAsia" w:ascii="宋体" w:hAnsi="宋体" w:cs="宋体"/>
                <w:szCs w:val="21"/>
                <w:highlight w:val="none"/>
                <w:lang w:eastAsia="zh-CN"/>
              </w:rPr>
              <w:t>或</w:t>
            </w:r>
            <w:r>
              <w:rPr>
                <w:rFonts w:hint="eastAsia" w:ascii="宋体" w:hAnsi="宋体" w:eastAsia="宋体" w:cs="宋体"/>
                <w:szCs w:val="21"/>
                <w:highlight w:val="none"/>
              </w:rPr>
              <w:t>路面定期检测</w:t>
            </w:r>
            <w:r>
              <w:rPr>
                <w:rFonts w:hint="eastAsia" w:ascii="宋体" w:hAnsi="宋体" w:cs="宋体"/>
                <w:szCs w:val="21"/>
                <w:highlight w:val="none"/>
                <w:lang w:eastAsia="zh-CN"/>
              </w:rPr>
              <w:t>或</w:t>
            </w:r>
            <w:r>
              <w:rPr>
                <w:rFonts w:hint="eastAsia" w:ascii="宋体" w:hAnsi="宋体" w:eastAsia="宋体" w:cs="宋体"/>
                <w:szCs w:val="21"/>
                <w:highlight w:val="none"/>
              </w:rPr>
              <w:t>公路网技术状况监测等</w:t>
            </w:r>
            <w:r>
              <w:rPr>
                <w:rFonts w:hint="eastAsia" w:ascii="宋体" w:hAnsi="宋体" w:cs="宋体"/>
                <w:szCs w:val="21"/>
                <w:highlight w:val="none"/>
                <w:lang w:val="en-US" w:eastAsia="zh-CN"/>
              </w:rPr>
              <w:t>）</w:t>
            </w:r>
            <w:bookmarkEnd w:id="64"/>
            <w:r>
              <w:rPr>
                <w:rFonts w:hint="eastAsia" w:ascii="宋体" w:hAnsi="宋体" w:cs="宋体"/>
                <w:szCs w:val="21"/>
                <w:highlight w:val="none"/>
                <w:lang w:val="en-US" w:eastAsia="zh-CN"/>
              </w:rPr>
              <w:t>、</w:t>
            </w:r>
            <w:r>
              <w:rPr>
                <w:rFonts w:hint="eastAsia" w:ascii="宋体" w:hAnsi="宋体" w:cs="宋体"/>
                <w:szCs w:val="21"/>
                <w:highlight w:val="none"/>
              </w:rPr>
              <w:t>公路交通安全设施评价</w:t>
            </w:r>
            <w:r>
              <w:rPr>
                <w:rFonts w:hint="eastAsia" w:ascii="宋体" w:hAnsi="宋体" w:cs="宋体"/>
                <w:szCs w:val="21"/>
                <w:highlight w:val="none"/>
                <w:lang w:val="en-US" w:eastAsia="zh-CN"/>
              </w:rPr>
              <w:t>或公路路基检测</w:t>
            </w:r>
            <w:bookmarkStart w:id="65" w:name="OLE_LINK36"/>
            <w:r>
              <w:rPr>
                <w:rFonts w:hint="eastAsia" w:ascii="宋体" w:hAnsi="宋体" w:eastAsia="宋体" w:cs="宋体"/>
                <w:szCs w:val="21"/>
                <w:highlight w:val="none"/>
              </w:rPr>
              <w:t>等</w:t>
            </w:r>
            <w:bookmarkEnd w:id="65"/>
            <w:r>
              <w:rPr>
                <w:rFonts w:hint="eastAsia" w:ascii="宋体" w:hAnsi="宋体" w:eastAsia="宋体" w:cs="宋体"/>
                <w:szCs w:val="21"/>
                <w:highlight w:val="none"/>
              </w:rPr>
              <w:t>，不包括竣（交）工类的质量检测及验证性检测</w:t>
            </w:r>
            <w:r>
              <w:rPr>
                <w:rFonts w:hint="eastAsia" w:ascii="宋体" w:hAnsi="宋体" w:cs="宋体"/>
                <w:szCs w:val="21"/>
                <w:highlight w:val="none"/>
                <w:lang w:eastAsia="zh-CN"/>
              </w:rPr>
              <w:t>或</w:t>
            </w:r>
            <w:r>
              <w:rPr>
                <w:rFonts w:hint="eastAsia" w:ascii="宋体" w:hAnsi="宋体" w:eastAsia="宋体" w:cs="宋体"/>
                <w:szCs w:val="21"/>
                <w:highlight w:val="none"/>
              </w:rPr>
              <w:t>监督抽查检测项目。</w:t>
            </w:r>
            <w:bookmarkEnd w:id="63"/>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w:t>
            </w:r>
            <w:bookmarkStart w:id="66" w:name="OLE_LINK27"/>
            <w:r>
              <w:rPr>
                <w:rFonts w:hint="eastAsia" w:ascii="宋体" w:hAnsi="宋体" w:eastAsia="宋体" w:cs="宋体"/>
                <w:szCs w:val="21"/>
                <w:highlight w:val="none"/>
              </w:rPr>
              <w:t>投标人须在投标文件中提供相关项目</w:t>
            </w:r>
            <w:r>
              <w:rPr>
                <w:rFonts w:hint="eastAsia" w:ascii="宋体" w:hAnsi="宋体" w:cs="宋体"/>
                <w:szCs w:val="21"/>
                <w:highlight w:val="none"/>
                <w:lang w:val="en-US" w:eastAsia="zh-CN"/>
              </w:rPr>
              <w:t>的证明材料：</w:t>
            </w:r>
            <w:r>
              <w:rPr>
                <w:rFonts w:hint="eastAsia" w:ascii="宋体" w:hAnsi="宋体" w:eastAsia="宋体" w:cs="宋体"/>
                <w:szCs w:val="21"/>
                <w:highlight w:val="none"/>
              </w:rPr>
              <w:t>合同</w:t>
            </w:r>
            <w:r>
              <w:rPr>
                <w:rFonts w:hint="eastAsia" w:ascii="宋体" w:hAnsi="宋体" w:cs="宋体"/>
                <w:szCs w:val="21"/>
                <w:highlight w:val="none"/>
                <w:lang w:val="en-US" w:eastAsia="zh-CN"/>
              </w:rPr>
              <w:t>协议书的</w:t>
            </w:r>
            <w:r>
              <w:rPr>
                <w:rFonts w:hint="eastAsia" w:ascii="宋体" w:hAnsi="宋体" w:eastAsia="宋体" w:cs="宋体"/>
                <w:szCs w:val="21"/>
                <w:highlight w:val="none"/>
              </w:rPr>
              <w:t>复印件</w:t>
            </w:r>
            <w:r>
              <w:rPr>
                <w:rFonts w:hint="eastAsia" w:ascii="宋体" w:hAnsi="宋体" w:cs="宋体"/>
                <w:szCs w:val="21"/>
                <w:highlight w:val="none"/>
                <w:lang w:eastAsia="zh-CN"/>
              </w:rPr>
              <w:t>或</w:t>
            </w:r>
            <w:r>
              <w:rPr>
                <w:rFonts w:hint="eastAsia" w:ascii="宋体" w:hAnsi="宋体" w:eastAsia="宋体" w:cs="宋体"/>
                <w:szCs w:val="21"/>
                <w:highlight w:val="none"/>
              </w:rPr>
              <w:t>委托方出具的证明材料</w:t>
            </w:r>
            <w:r>
              <w:rPr>
                <w:rFonts w:hint="eastAsia" w:ascii="宋体" w:hAnsi="宋体" w:cs="宋体"/>
                <w:szCs w:val="21"/>
                <w:highlight w:val="none"/>
                <w:lang w:val="en-US" w:eastAsia="zh-CN"/>
              </w:rPr>
              <w:t>或项目验收资料的复</w:t>
            </w:r>
            <w:r>
              <w:rPr>
                <w:rFonts w:hint="eastAsia" w:ascii="宋体" w:hAnsi="宋体" w:cs="宋体"/>
                <w:szCs w:val="21"/>
                <w:lang w:val="en-US" w:eastAsia="zh-CN"/>
              </w:rPr>
              <w:t>印件。</w:t>
            </w:r>
            <w:bookmarkEnd w:id="66"/>
          </w:p>
        </w:tc>
      </w:tr>
      <w:tr w14:paraId="159D7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13588D5E">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b/>
                <w:bCs/>
                <w:color w:val="auto"/>
                <w:szCs w:val="21"/>
                <w:highlight w:val="none"/>
              </w:rPr>
              <w:t>二、商务要求</w:t>
            </w:r>
          </w:p>
        </w:tc>
      </w:tr>
      <w:tr w14:paraId="4775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1232DE6">
            <w:pPr>
              <w:pStyle w:val="20"/>
              <w:snapToGrid w:val="0"/>
              <w:spacing w:line="400" w:lineRule="exact"/>
              <w:jc w:val="center"/>
              <w:outlineLvl w:val="0"/>
              <w:rPr>
                <w:rFonts w:hint="eastAsia" w:ascii="宋体" w:hAnsi="宋体" w:eastAsia="宋体" w:cs="宋体"/>
                <w:bCs/>
                <w:color w:val="auto"/>
                <w:sz w:val="21"/>
                <w:szCs w:val="21"/>
                <w:highlight w:val="none"/>
                <w:lang w:eastAsia="zh-CN"/>
              </w:rPr>
            </w:pPr>
            <w:r>
              <w:rPr>
                <w:rFonts w:hint="eastAsia" w:ascii="宋体" w:hAnsi="宋体" w:eastAsia="宋体" w:cs="宋体"/>
                <w:color w:val="auto"/>
                <w:szCs w:val="21"/>
                <w:highlight w:val="none"/>
              </w:rPr>
              <w:t>合同签订日期</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2E0AF6">
            <w:pPr>
              <w:pStyle w:val="20"/>
              <w:snapToGrid w:val="0"/>
              <w:spacing w:line="400" w:lineRule="exact"/>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通知书发出后</w:t>
            </w:r>
            <w:r>
              <w:rPr>
                <w:rFonts w:hint="eastAsia" w:ascii="宋体" w:hAnsi="宋体" w:eastAsia="宋体" w:cs="宋体"/>
                <w:color w:val="auto"/>
                <w:szCs w:val="21"/>
                <w:highlight w:val="none"/>
                <w:u w:val="single"/>
                <w:lang w:val="en-US" w:eastAsia="zh-CN"/>
              </w:rPr>
              <w:t xml:space="preserve">  25  </w:t>
            </w:r>
            <w:r>
              <w:rPr>
                <w:rFonts w:hint="eastAsia" w:ascii="宋体" w:hAnsi="宋体" w:eastAsia="宋体" w:cs="宋体"/>
                <w:color w:val="auto"/>
                <w:szCs w:val="21"/>
                <w:highlight w:val="none"/>
              </w:rPr>
              <w:t>日内。</w:t>
            </w:r>
          </w:p>
        </w:tc>
      </w:tr>
      <w:tr w14:paraId="357C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2B7F26C">
            <w:pPr>
              <w:pStyle w:val="20"/>
              <w:snapToGrid w:val="0"/>
              <w:spacing w:line="400" w:lineRule="exact"/>
              <w:jc w:val="center"/>
              <w:outlineLvl w:val="0"/>
              <w:rPr>
                <w:rFonts w:hint="eastAsia" w:ascii="宋体" w:hAnsi="宋体" w:eastAsia="宋体" w:cs="宋体"/>
                <w:kern w:val="2"/>
                <w:sz w:val="21"/>
              </w:rPr>
            </w:pPr>
            <w:r>
              <w:rPr>
                <w:rFonts w:hint="eastAsia" w:ascii="宋体" w:hAnsi="宋体" w:eastAsia="宋体" w:cs="宋体"/>
                <w:kern w:val="2"/>
                <w:sz w:val="21"/>
              </w:rPr>
              <w:t>服务费用</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422CB5C">
            <w:pPr>
              <w:pStyle w:val="20"/>
              <w:snapToGrid w:val="0"/>
              <w:spacing w:line="400" w:lineRule="exact"/>
              <w:ind w:firstLine="420" w:firstLineChars="200"/>
              <w:outlineLvl w:val="0"/>
              <w:rPr>
                <w:rFonts w:hint="eastAsia" w:ascii="宋体" w:hAnsi="宋体" w:eastAsia="宋体" w:cs="宋体"/>
                <w:kern w:val="2"/>
                <w:sz w:val="21"/>
              </w:rPr>
            </w:pPr>
            <w:r>
              <w:rPr>
                <w:rFonts w:hint="eastAsia" w:ascii="宋体" w:hAnsi="宋体" w:eastAsia="宋体" w:cs="宋体"/>
                <w:kern w:val="2"/>
                <w:sz w:val="21"/>
              </w:rPr>
              <w:t>本项目服务费用包含完成本项目所有工作任务（出具成果文件）所需的一切费用（含完成项目过程中所需的劳务、材料、设备、仪器、运输、检测与试验、安全警戒、评审、咨询、会务、管理、保险、税费、利润等费用，含年度组织专家对检测结果验收的费用，以及合同明示或暗示的所有责任、义务和一般风险等的一切费用等各种费用在内）。</w:t>
            </w:r>
          </w:p>
        </w:tc>
      </w:tr>
      <w:tr w14:paraId="171C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E99DD11">
            <w:pPr>
              <w:pStyle w:val="20"/>
              <w:snapToGrid w:val="0"/>
              <w:spacing w:line="400" w:lineRule="exact"/>
              <w:jc w:val="center"/>
              <w:outlineLvl w:val="0"/>
              <w:rPr>
                <w:rFonts w:hint="eastAsia" w:ascii="宋体" w:hAnsi="宋体" w:eastAsia="宋体" w:cs="宋体"/>
                <w:bCs/>
                <w:color w:val="auto"/>
                <w:szCs w:val="21"/>
                <w:highlight w:val="none"/>
              </w:rPr>
            </w:pPr>
            <w:r>
              <w:rPr>
                <w:rFonts w:hint="eastAsia" w:ascii="宋体" w:hAnsi="宋体" w:eastAsia="宋体" w:cs="宋体"/>
                <w:kern w:val="2"/>
                <w:sz w:val="21"/>
              </w:rPr>
              <w:t>交付时间及地点</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C143B0C">
            <w:pPr>
              <w:pStyle w:val="20"/>
              <w:snapToGrid w:val="0"/>
              <w:spacing w:line="400" w:lineRule="exact"/>
              <w:outlineLvl w:val="0"/>
              <w:rPr>
                <w:rFonts w:hint="eastAsia" w:ascii="宋体" w:hAnsi="宋体" w:eastAsia="宋体" w:cs="宋体"/>
                <w:kern w:val="2"/>
                <w:sz w:val="21"/>
                <w:highlight w:val="none"/>
                <w:lang w:eastAsia="zh-CN"/>
              </w:rPr>
            </w:pPr>
            <w:r>
              <w:rPr>
                <w:rFonts w:hint="eastAsia" w:ascii="宋体" w:hAnsi="宋体" w:eastAsia="宋体" w:cs="宋体"/>
                <w:kern w:val="2"/>
                <w:sz w:val="21"/>
              </w:rPr>
              <w:t>1、</w:t>
            </w:r>
            <w:r>
              <w:rPr>
                <w:rFonts w:hint="eastAsia" w:ascii="宋体" w:hAnsi="宋体" w:eastAsia="宋体" w:cs="宋体"/>
                <w:kern w:val="2"/>
                <w:sz w:val="21"/>
                <w:highlight w:val="none"/>
              </w:rPr>
              <w:t>交付时间：</w:t>
            </w:r>
            <w:r>
              <w:rPr>
                <w:rFonts w:hint="eastAsia" w:ascii="宋体" w:hAnsi="宋体" w:eastAsia="宋体" w:cs="宋体"/>
                <w:highlight w:val="none"/>
              </w:rPr>
              <w:t>2026年12月31日前</w:t>
            </w:r>
            <w:r>
              <w:rPr>
                <w:rFonts w:hint="eastAsia" w:hAnsi="宋体" w:cs="宋体"/>
                <w:highlight w:val="none"/>
                <w:lang w:eastAsia="zh-CN"/>
              </w:rPr>
              <w:t>。</w:t>
            </w:r>
          </w:p>
          <w:p w14:paraId="04A7E62A">
            <w:pPr>
              <w:pStyle w:val="20"/>
              <w:snapToGrid w:val="0"/>
              <w:spacing w:line="400" w:lineRule="exact"/>
              <w:outlineLvl w:val="0"/>
              <w:rPr>
                <w:rFonts w:hint="eastAsia" w:ascii="宋体" w:hAnsi="宋体" w:eastAsia="宋体" w:cs="宋体"/>
                <w:color w:val="auto"/>
                <w:szCs w:val="21"/>
                <w:highlight w:val="none"/>
                <w:lang w:val="en-US" w:eastAsia="zh-CN"/>
              </w:rPr>
            </w:pPr>
            <w:r>
              <w:rPr>
                <w:rFonts w:hint="eastAsia" w:ascii="宋体" w:hAnsi="宋体" w:eastAsia="宋体" w:cs="宋体"/>
                <w:kern w:val="2"/>
                <w:sz w:val="21"/>
              </w:rPr>
              <w:t>2、交付地点：采购人指定地点。</w:t>
            </w:r>
          </w:p>
        </w:tc>
      </w:tr>
      <w:tr w14:paraId="6310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4991361">
            <w:pPr>
              <w:pStyle w:val="20"/>
              <w:snapToGrid w:val="0"/>
              <w:spacing w:line="400" w:lineRule="exact"/>
              <w:jc w:val="center"/>
              <w:outlineLvl w:val="0"/>
              <w:rPr>
                <w:rFonts w:hint="eastAsia" w:ascii="宋体" w:hAnsi="宋体" w:eastAsia="宋体" w:cs="宋体"/>
                <w:color w:val="auto"/>
                <w:kern w:val="2"/>
                <w:sz w:val="21"/>
                <w:lang w:eastAsia="zh-CN"/>
              </w:rPr>
            </w:pPr>
            <w:r>
              <w:rPr>
                <w:rFonts w:hint="eastAsia" w:hAnsi="宋体" w:cs="宋体"/>
                <w:color w:val="auto"/>
                <w:kern w:val="2"/>
                <w:sz w:val="21"/>
                <w:lang w:eastAsia="zh-CN"/>
              </w:rPr>
              <w:t>售后服务</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6E6F580">
            <w:pPr>
              <w:pStyle w:val="20"/>
              <w:snapToGrid w:val="0"/>
              <w:spacing w:line="400" w:lineRule="exact"/>
              <w:outlineLvl w:val="0"/>
              <w:rPr>
                <w:rFonts w:hint="eastAsia" w:ascii="宋体" w:hAnsi="宋体" w:eastAsia="宋体" w:cs="宋体"/>
                <w:color w:val="auto"/>
                <w:kern w:val="2"/>
                <w:sz w:val="21"/>
              </w:rPr>
            </w:pPr>
            <w:r>
              <w:rPr>
                <w:rFonts w:hint="eastAsia" w:ascii="宋体" w:hAnsi="宋体" w:cs="宋体"/>
                <w:color w:val="auto"/>
                <w:szCs w:val="21"/>
              </w:rPr>
              <w:t>提交检测成果后的1年内，</w:t>
            </w:r>
            <w:r>
              <w:rPr>
                <w:rFonts w:hint="eastAsia" w:hAnsi="宋体" w:cs="宋体"/>
                <w:color w:val="auto"/>
                <w:szCs w:val="21"/>
                <w:lang w:eastAsia="zh-CN"/>
              </w:rPr>
              <w:t>中标人</w:t>
            </w:r>
            <w:r>
              <w:rPr>
                <w:rFonts w:hint="eastAsia" w:ascii="宋体" w:hAnsi="宋体" w:cs="宋体"/>
                <w:color w:val="auto"/>
                <w:szCs w:val="21"/>
              </w:rPr>
              <w:t>应对</w:t>
            </w:r>
            <w:r>
              <w:rPr>
                <w:rFonts w:hint="eastAsia" w:ascii="宋体" w:hAnsi="宋体" w:cs="宋体"/>
                <w:color w:val="auto"/>
                <w:szCs w:val="21"/>
                <w:lang w:val="en-US" w:eastAsia="zh-CN"/>
              </w:rPr>
              <w:t>高速公路</w:t>
            </w:r>
            <w:r>
              <w:rPr>
                <w:rFonts w:hint="eastAsia" w:ascii="宋体" w:hAnsi="宋体" w:cs="宋体"/>
                <w:color w:val="auto"/>
                <w:szCs w:val="21"/>
              </w:rPr>
              <w:t>养护管理提供免费技术咨询服务。</w:t>
            </w:r>
          </w:p>
        </w:tc>
      </w:tr>
      <w:tr w14:paraId="0C4F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7C03669">
            <w:pPr>
              <w:pStyle w:val="20"/>
              <w:snapToGrid w:val="0"/>
              <w:spacing w:line="400" w:lineRule="exact"/>
              <w:jc w:val="center"/>
              <w:outlineLvl w:val="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2"/>
                <w:sz w:val="21"/>
              </w:rPr>
              <w:t>付款方式</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4515386">
            <w:pPr>
              <w:pStyle w:val="20"/>
              <w:snapToGrid w:val="0"/>
              <w:spacing w:line="400" w:lineRule="exact"/>
              <w:ind w:firstLine="420" w:firstLineChars="200"/>
              <w:outlineLvl w:val="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按项目实施进度分期进行付款：</w:t>
            </w:r>
          </w:p>
          <w:p w14:paraId="0D719772">
            <w:pPr>
              <w:pStyle w:val="20"/>
              <w:snapToGrid w:val="0"/>
              <w:spacing w:line="360" w:lineRule="auto"/>
              <w:ind w:firstLine="420" w:firstLineChars="200"/>
              <w:outlineLvl w:val="0"/>
              <w:rPr>
                <w:rFonts w:hAnsi="宋体"/>
                <w:color w:val="auto"/>
                <w:kern w:val="2"/>
                <w:sz w:val="21"/>
                <w:szCs w:val="21"/>
              </w:rPr>
            </w:pPr>
            <w:r>
              <w:rPr>
                <w:rFonts w:hint="eastAsia" w:hAnsi="宋体"/>
                <w:color w:val="auto"/>
                <w:kern w:val="2"/>
                <w:sz w:val="21"/>
                <w:szCs w:val="21"/>
              </w:rPr>
              <w:t>中标人提交202</w:t>
            </w:r>
            <w:r>
              <w:rPr>
                <w:rFonts w:hint="eastAsia" w:hAnsi="宋体"/>
                <w:color w:val="auto"/>
                <w:kern w:val="2"/>
                <w:sz w:val="21"/>
                <w:szCs w:val="21"/>
                <w:lang w:val="en-US" w:eastAsia="zh-CN"/>
              </w:rPr>
              <w:t>6</w:t>
            </w:r>
            <w:r>
              <w:rPr>
                <w:rFonts w:hint="eastAsia" w:hAnsi="宋体"/>
                <w:color w:val="auto"/>
                <w:kern w:val="2"/>
                <w:sz w:val="21"/>
                <w:szCs w:val="21"/>
              </w:rPr>
              <w:t>年度检测方案并经采购人确认后10个工作日内，采购人支付总中标金额的30%；中标人开工并经采购人同意后10个工作日内，采购人支付总中标金额的20%；中标人完成年度路面技术状况检测后10个工作日内，采购人支付总中标金额的</w:t>
            </w:r>
            <w:r>
              <w:rPr>
                <w:rFonts w:hint="eastAsia" w:hAnsi="宋体"/>
                <w:color w:val="auto"/>
                <w:kern w:val="2"/>
                <w:sz w:val="21"/>
                <w:szCs w:val="21"/>
                <w:lang w:val="en-US" w:eastAsia="zh-CN"/>
              </w:rPr>
              <w:t>40</w:t>
            </w:r>
            <w:r>
              <w:rPr>
                <w:rFonts w:hint="eastAsia" w:hAnsi="宋体"/>
                <w:color w:val="auto"/>
                <w:kern w:val="2"/>
                <w:sz w:val="21"/>
                <w:szCs w:val="21"/>
              </w:rPr>
              <w:t>%；中标人完成年度路面技术状况检测成果并经采购人书面验收合格后10个工作日内，采购人支付总中标金额的</w:t>
            </w:r>
            <w:r>
              <w:rPr>
                <w:rFonts w:hint="eastAsia" w:hAnsi="宋体"/>
                <w:color w:val="auto"/>
                <w:kern w:val="2"/>
                <w:sz w:val="21"/>
                <w:szCs w:val="21"/>
                <w:lang w:val="en-US" w:eastAsia="zh-CN"/>
              </w:rPr>
              <w:t>10</w:t>
            </w:r>
            <w:r>
              <w:rPr>
                <w:rFonts w:hint="eastAsia" w:hAnsi="宋体"/>
                <w:color w:val="auto"/>
                <w:kern w:val="2"/>
                <w:sz w:val="21"/>
                <w:szCs w:val="21"/>
              </w:rPr>
              <w:t>%。</w:t>
            </w:r>
          </w:p>
          <w:p w14:paraId="1D08C8CE">
            <w:pPr>
              <w:snapToGrid w:val="0"/>
              <w:spacing w:line="360" w:lineRule="auto"/>
              <w:ind w:left="-61" w:leftChars="-29" w:firstLine="514" w:firstLineChars="245"/>
              <w:rPr>
                <w:color w:val="auto"/>
                <w:szCs w:val="21"/>
              </w:rPr>
            </w:pPr>
            <w:r>
              <w:rPr>
                <w:rFonts w:hint="eastAsia" w:ascii="Times New Roman" w:hAnsi="Times New Roman"/>
                <w:color w:val="auto"/>
                <w:szCs w:val="21"/>
              </w:rPr>
              <w:t>年度支付金额不超过年度采购</w:t>
            </w:r>
            <w:r>
              <w:rPr>
                <w:rFonts w:hint="eastAsia"/>
                <w:color w:val="auto"/>
                <w:szCs w:val="21"/>
              </w:rPr>
              <w:t>预算金额，当年预算金额不足以支付的，在次年预算金额中支付。</w:t>
            </w:r>
          </w:p>
          <w:p w14:paraId="05F2ED5C">
            <w:pPr>
              <w:pStyle w:val="10"/>
              <w:rPr>
                <w:rFonts w:hint="eastAsia"/>
                <w:color w:val="auto"/>
                <w:szCs w:val="21"/>
              </w:rPr>
            </w:pPr>
            <w:r>
              <w:rPr>
                <w:color w:val="auto"/>
                <w:szCs w:val="21"/>
              </w:rPr>
              <w:t>每次付款前，由</w:t>
            </w:r>
            <w:r>
              <w:rPr>
                <w:rFonts w:hint="eastAsia"/>
                <w:color w:val="auto"/>
                <w:szCs w:val="21"/>
                <w:lang w:eastAsia="zh-CN"/>
              </w:rPr>
              <w:t>中标人</w:t>
            </w:r>
            <w:r>
              <w:rPr>
                <w:color w:val="auto"/>
                <w:szCs w:val="21"/>
              </w:rPr>
              <w:t>向</w:t>
            </w:r>
            <w:r>
              <w:rPr>
                <w:rFonts w:hint="eastAsia"/>
                <w:color w:val="auto"/>
                <w:szCs w:val="21"/>
                <w:lang w:eastAsia="zh-CN"/>
              </w:rPr>
              <w:t>采购人</w:t>
            </w:r>
            <w:r>
              <w:rPr>
                <w:color w:val="auto"/>
                <w:szCs w:val="21"/>
              </w:rPr>
              <w:t>开具等额有效的增值税</w:t>
            </w:r>
            <w:r>
              <w:rPr>
                <w:rFonts w:hint="eastAsia"/>
                <w:color w:val="auto"/>
                <w:szCs w:val="21"/>
              </w:rPr>
              <w:t>普通</w:t>
            </w:r>
            <w:r>
              <w:rPr>
                <w:color w:val="auto"/>
                <w:szCs w:val="21"/>
              </w:rPr>
              <w:t>发票</w:t>
            </w:r>
            <w:r>
              <w:rPr>
                <w:rFonts w:hint="eastAsia"/>
                <w:color w:val="auto"/>
                <w:szCs w:val="21"/>
              </w:rPr>
              <w:t>。</w:t>
            </w:r>
          </w:p>
          <w:p w14:paraId="3DF4E843">
            <w:pPr>
              <w:pStyle w:val="20"/>
              <w:snapToGrid w:val="0"/>
              <w:spacing w:line="400" w:lineRule="exact"/>
              <w:ind w:firstLine="404" w:firstLineChars="200"/>
              <w:outlineLvl w:val="0"/>
              <w:rPr>
                <w:rFonts w:hint="eastAsia" w:ascii="宋体" w:hAnsi="宋体" w:eastAsia="宋体" w:cs="宋体"/>
                <w:bCs/>
                <w:color w:val="auto"/>
                <w:spacing w:val="-4"/>
                <w:sz w:val="21"/>
                <w:szCs w:val="21"/>
                <w:highlight w:val="none"/>
                <w:lang w:val="en-US" w:eastAsia="zh-CN"/>
              </w:rPr>
            </w:pPr>
          </w:p>
        </w:tc>
      </w:tr>
      <w:tr w14:paraId="35AA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DA5AA7D">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kern w:val="2"/>
                <w:sz w:val="21"/>
                <w:lang w:eastAsia="zh-CN"/>
              </w:rPr>
            </w:pPr>
            <w:r>
              <w:rPr>
                <w:rFonts w:hint="eastAsia" w:ascii="宋体" w:hAnsi="宋体" w:eastAsia="宋体" w:cs="宋体"/>
                <w:color w:val="auto"/>
                <w:szCs w:val="21"/>
                <w:highlight w:val="none"/>
              </w:rPr>
              <w:t>知识产权</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A83089">
            <w:pPr>
              <w:keepNext w:val="0"/>
              <w:keepLines w:val="0"/>
              <w:pageBreakBefore w:val="0"/>
              <w:kinsoku/>
              <w:wordWrap/>
              <w:overflowPunct/>
              <w:topLinePunct w:val="0"/>
              <w:autoSpaceDE w:val="0"/>
              <w:autoSpaceDN w:val="0"/>
              <w:bidi w:val="0"/>
              <w:adjustRightInd w:val="0"/>
              <w:snapToGrid w:val="0"/>
              <w:spacing w:line="44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本项目产生成果的版权归采购人所有。</w:t>
            </w:r>
          </w:p>
          <w:p w14:paraId="0FC0FE8A">
            <w:pPr>
              <w:keepNext w:val="0"/>
              <w:keepLines w:val="0"/>
              <w:pageBreakBefore w:val="0"/>
              <w:kinsoku/>
              <w:wordWrap/>
              <w:overflowPunct/>
              <w:topLinePunct w:val="0"/>
              <w:autoSpaceDE w:val="0"/>
              <w:autoSpaceDN w:val="0"/>
              <w:bidi w:val="0"/>
              <w:adjustRightInd w:val="0"/>
              <w:snapToGrid w:val="0"/>
              <w:spacing w:line="44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lang w:eastAsia="zh-CN"/>
              </w:rPr>
              <w:t>中标人</w:t>
            </w:r>
            <w:r>
              <w:rPr>
                <w:rFonts w:hint="eastAsia" w:ascii="宋体" w:hAnsi="宋体" w:eastAsia="宋体" w:cs="宋体"/>
              </w:rPr>
              <w:t>不得在向采购人交付</w:t>
            </w:r>
            <w:r>
              <w:rPr>
                <w:rFonts w:hint="eastAsia" w:ascii="宋体" w:hAnsi="宋体" w:eastAsia="宋体" w:cs="宋体"/>
                <w:lang w:val="en-US" w:eastAsia="zh-CN"/>
              </w:rPr>
              <w:t>服务</w:t>
            </w:r>
            <w:r>
              <w:rPr>
                <w:rFonts w:hint="eastAsia" w:ascii="宋体" w:hAnsi="宋体" w:eastAsia="宋体" w:cs="宋体"/>
              </w:rPr>
              <w:t>成果之前，将</w:t>
            </w:r>
            <w:r>
              <w:rPr>
                <w:rFonts w:hint="eastAsia" w:ascii="宋体" w:hAnsi="宋体" w:eastAsia="宋体" w:cs="宋体"/>
                <w:lang w:val="en-US" w:eastAsia="zh-CN"/>
              </w:rPr>
              <w:t>服务</w:t>
            </w:r>
            <w:r>
              <w:rPr>
                <w:rFonts w:hint="eastAsia" w:ascii="宋体" w:hAnsi="宋体" w:eastAsia="宋体" w:cs="宋体"/>
              </w:rPr>
              <w:t>成果及非专利技术泄露或转让给第三方。</w:t>
            </w:r>
          </w:p>
          <w:p w14:paraId="728BDB6B">
            <w:pPr>
              <w:keepNext w:val="0"/>
              <w:keepLines w:val="0"/>
              <w:pageBreakBefore w:val="0"/>
              <w:kinsoku/>
              <w:wordWrap/>
              <w:overflowPunct/>
              <w:topLinePunct w:val="0"/>
              <w:autoSpaceDE w:val="0"/>
              <w:autoSpaceDN w:val="0"/>
              <w:bidi w:val="0"/>
              <w:adjustRightInd w:val="0"/>
              <w:snapToGrid w:val="0"/>
              <w:spacing w:line="440" w:lineRule="exact"/>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lang w:eastAsia="zh-CN"/>
              </w:rPr>
              <w:t>中标人</w:t>
            </w:r>
            <w:r>
              <w:rPr>
                <w:rFonts w:hint="eastAsia" w:ascii="宋体" w:hAnsi="宋体" w:eastAsia="宋体" w:cs="宋体"/>
              </w:rPr>
              <w:t>保证最终提供给采购人的成果和技术不得包含任何第三方的知识产权或引起任何第三方基于该产品知识产权的指控。如有任何指控，所产生的一切经济损失和法律责任等后果均由</w:t>
            </w:r>
            <w:r>
              <w:rPr>
                <w:rFonts w:hint="eastAsia" w:ascii="宋体" w:hAnsi="宋体" w:cs="宋体"/>
                <w:lang w:eastAsia="zh-CN"/>
              </w:rPr>
              <w:t>中标人</w:t>
            </w:r>
            <w:r>
              <w:rPr>
                <w:rFonts w:hint="eastAsia" w:ascii="宋体" w:hAnsi="宋体" w:eastAsia="宋体" w:cs="宋体"/>
              </w:rPr>
              <w:t>无条件承担。</w:t>
            </w:r>
          </w:p>
          <w:p w14:paraId="6E972736">
            <w:pPr>
              <w:keepNext w:val="0"/>
              <w:keepLines w:val="0"/>
              <w:pageBreakBefore w:val="0"/>
              <w:kinsoku/>
              <w:wordWrap/>
              <w:overflowPunct/>
              <w:topLinePunct w:val="0"/>
              <w:bidi w:val="0"/>
              <w:adjustRightInd w:val="0"/>
              <w:snapToGrid w:val="0"/>
              <w:spacing w:line="440" w:lineRule="exact"/>
              <w:rPr>
                <w:rFonts w:hint="eastAsia" w:ascii="宋体" w:hAnsi="宋体" w:eastAsia="宋体" w:cs="宋体"/>
                <w:bCs/>
                <w:color w:val="auto"/>
                <w:spacing w:val="-4"/>
                <w:sz w:val="21"/>
                <w:szCs w:val="21"/>
                <w:highlight w:val="none"/>
                <w:lang w:val="en-US" w:eastAsia="zh-CN"/>
              </w:rPr>
            </w:pPr>
            <w:r>
              <w:rPr>
                <w:rFonts w:hint="eastAsia" w:ascii="宋体" w:hAnsi="宋体" w:eastAsia="宋体" w:cs="宋体"/>
                <w:lang w:val="en-US" w:eastAsia="zh-CN"/>
              </w:rPr>
              <w:t>4.</w:t>
            </w:r>
            <w:r>
              <w:rPr>
                <w:rFonts w:hint="eastAsia" w:ascii="宋体" w:hAnsi="宋体" w:eastAsia="宋体" w:cs="宋体"/>
                <w:lang w:eastAsia="zh-CN"/>
              </w:rPr>
              <w:t>中标人</w:t>
            </w:r>
            <w:r>
              <w:rPr>
                <w:rFonts w:hint="eastAsia" w:ascii="宋体" w:hAnsi="宋体" w:eastAsia="宋体" w:cs="宋体"/>
              </w:rPr>
              <w:t>必须在规定时限内提交完整的</w:t>
            </w:r>
            <w:r>
              <w:rPr>
                <w:rFonts w:hint="eastAsia" w:ascii="宋体" w:hAnsi="宋体" w:eastAsia="宋体" w:cs="宋体"/>
                <w:lang w:eastAsia="zh-CN"/>
              </w:rPr>
              <w:t>服务成果</w:t>
            </w:r>
            <w:r>
              <w:rPr>
                <w:rFonts w:hint="eastAsia" w:ascii="宋体" w:hAnsi="宋体" w:eastAsia="宋体" w:cs="宋体"/>
              </w:rPr>
              <w:t>，未经采购人同意不得对外发表或出版。</w:t>
            </w:r>
          </w:p>
        </w:tc>
      </w:tr>
    </w:tbl>
    <w:p w14:paraId="46665E98">
      <w:pPr>
        <w:rPr>
          <w:rFonts w:hint="eastAsia" w:ascii="宋体" w:hAnsi="宋体" w:eastAsia="宋体" w:cs="宋体"/>
          <w:b/>
          <w:bCs/>
          <w:color w:val="auto"/>
          <w:sz w:val="44"/>
          <w:szCs w:val="44"/>
          <w:highlight w:val="none"/>
        </w:rPr>
      </w:pPr>
    </w:p>
    <w:p w14:paraId="411298D5">
      <w:pPr>
        <w:pStyle w:val="10"/>
        <w:rPr>
          <w:rFonts w:hint="eastAsia" w:ascii="宋体" w:hAnsi="宋体" w:eastAsia="宋体" w:cs="宋体"/>
          <w:b/>
          <w:bCs/>
          <w:color w:val="auto"/>
          <w:sz w:val="44"/>
          <w:szCs w:val="44"/>
          <w:highlight w:val="none"/>
        </w:rPr>
      </w:pPr>
    </w:p>
    <w:p w14:paraId="596ABAF4">
      <w:pPr>
        <w:pStyle w:val="10"/>
        <w:rPr>
          <w:rFonts w:hint="eastAsia" w:ascii="宋体" w:hAnsi="宋体" w:eastAsia="宋体" w:cs="宋体"/>
          <w:b/>
          <w:bCs/>
          <w:color w:val="auto"/>
          <w:sz w:val="44"/>
          <w:szCs w:val="44"/>
          <w:highlight w:val="none"/>
        </w:rPr>
      </w:pPr>
    </w:p>
    <w:p w14:paraId="17317A8A">
      <w:pPr>
        <w:pStyle w:val="10"/>
        <w:rPr>
          <w:rFonts w:hint="eastAsia" w:ascii="宋体" w:hAnsi="宋体" w:eastAsia="宋体" w:cs="宋体"/>
          <w:b/>
          <w:bCs/>
          <w:color w:val="auto"/>
          <w:sz w:val="40"/>
          <w:szCs w:val="48"/>
          <w:highlight w:val="none"/>
        </w:rPr>
      </w:pPr>
    </w:p>
    <w:p w14:paraId="4B210FF1">
      <w:pPr>
        <w:rPr>
          <w:rFonts w:hint="eastAsia" w:ascii="宋体" w:hAnsi="宋体" w:eastAsia="宋体" w:cs="宋体"/>
          <w:b/>
          <w:bCs/>
          <w:color w:val="auto"/>
          <w:sz w:val="40"/>
          <w:szCs w:val="48"/>
          <w:highlight w:val="none"/>
        </w:rPr>
        <w:sectPr>
          <w:footerReference r:id="rId8" w:type="default"/>
          <w:pgSz w:w="11906" w:h="16838"/>
          <w:pgMar w:top="1440" w:right="1800" w:bottom="1440" w:left="1800" w:header="851" w:footer="992" w:gutter="0"/>
          <w:pgNumType w:fmt="decimal" w:start="1"/>
          <w:cols w:space="720" w:num="1"/>
          <w:docGrid w:type="lines" w:linePitch="312" w:charSpace="0"/>
        </w:sectPr>
      </w:pPr>
    </w:p>
    <w:p w14:paraId="0B3A12A0">
      <w:pPr>
        <w:rPr>
          <w:rFonts w:hint="eastAsia" w:ascii="宋体" w:hAnsi="宋体" w:eastAsia="宋体" w:cs="宋体"/>
          <w:color w:val="auto"/>
          <w:highlight w:val="none"/>
        </w:rPr>
      </w:pPr>
      <w:r>
        <w:rPr>
          <w:rFonts w:hint="eastAsia" w:ascii="宋体" w:hAnsi="宋体" w:eastAsia="宋体" w:cs="宋体"/>
          <w:b/>
          <w:bCs/>
          <w:color w:val="auto"/>
          <w:sz w:val="40"/>
          <w:szCs w:val="48"/>
          <w:highlight w:val="none"/>
        </w:rPr>
        <w:t>附件：</w:t>
      </w:r>
    </w:p>
    <w:p w14:paraId="4F63CFBA">
      <w:pPr>
        <w:spacing w:line="528" w:lineRule="exact"/>
        <w:ind w:left="11" w:hanging="11"/>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40"/>
        <w:tblW w:w="9476" w:type="dxa"/>
        <w:jc w:val="center"/>
        <w:tblLayout w:type="fixed"/>
        <w:tblCellMar>
          <w:top w:w="0" w:type="dxa"/>
          <w:left w:w="108" w:type="dxa"/>
          <w:bottom w:w="0" w:type="dxa"/>
          <w:right w:w="108" w:type="dxa"/>
        </w:tblCellMar>
      </w:tblPr>
      <w:tblGrid>
        <w:gridCol w:w="2020"/>
        <w:gridCol w:w="1642"/>
        <w:gridCol w:w="1084"/>
        <w:gridCol w:w="1923"/>
        <w:gridCol w:w="1709"/>
        <w:gridCol w:w="1098"/>
      </w:tblGrid>
      <w:tr w14:paraId="27DD88E6">
        <w:tblPrEx>
          <w:tblCellMar>
            <w:top w:w="0" w:type="dxa"/>
            <w:left w:w="108" w:type="dxa"/>
            <w:bottom w:w="0" w:type="dxa"/>
            <w:right w:w="108" w:type="dxa"/>
          </w:tblCellMar>
        </w:tblPrEx>
        <w:trPr>
          <w:trHeight w:val="661"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4D0AF348">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17CDF628">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1FEB7684">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0BFE531C">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69B4B5EF">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3DC890D2">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微型</w:t>
            </w:r>
          </w:p>
        </w:tc>
      </w:tr>
      <w:tr w14:paraId="30A34313">
        <w:tblPrEx>
          <w:tblCellMar>
            <w:top w:w="0" w:type="dxa"/>
            <w:left w:w="108" w:type="dxa"/>
            <w:bottom w:w="0" w:type="dxa"/>
            <w:right w:w="108" w:type="dxa"/>
          </w:tblCellMar>
        </w:tblPrEx>
        <w:trPr>
          <w:trHeight w:val="33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576ED04A">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26E6BF8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349BDA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309C80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5917E74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50≤Y＜500</w:t>
            </w:r>
          </w:p>
        </w:tc>
        <w:tc>
          <w:tcPr>
            <w:tcW w:w="1098" w:type="dxa"/>
            <w:tcBorders>
              <w:top w:val="nil"/>
              <w:left w:val="nil"/>
              <w:bottom w:val="single" w:color="auto" w:sz="4" w:space="0"/>
              <w:right w:val="single" w:color="auto" w:sz="4" w:space="0"/>
            </w:tcBorders>
            <w:noWrap w:val="0"/>
            <w:vAlign w:val="center"/>
          </w:tcPr>
          <w:p w14:paraId="3659D9E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3105C99E">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15800AA1">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1C2D98C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8A2375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4F22A6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2F13C4D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37F0DA7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642BCAE6">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58D812F">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EA6E4C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F5E5E6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96064A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2410EC3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300≤Y＜2000</w:t>
            </w:r>
          </w:p>
        </w:tc>
        <w:tc>
          <w:tcPr>
            <w:tcW w:w="1098" w:type="dxa"/>
            <w:tcBorders>
              <w:top w:val="nil"/>
              <w:left w:val="nil"/>
              <w:bottom w:val="single" w:color="auto" w:sz="4" w:space="0"/>
              <w:right w:val="single" w:color="auto" w:sz="4" w:space="0"/>
            </w:tcBorders>
            <w:noWrap w:val="0"/>
            <w:vAlign w:val="center"/>
          </w:tcPr>
          <w:p w14:paraId="2DABA91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68B9159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1D43A980">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45A1BBB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6D6C45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9262FE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675486D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300≤Y＜6000</w:t>
            </w:r>
          </w:p>
        </w:tc>
        <w:tc>
          <w:tcPr>
            <w:tcW w:w="1098" w:type="dxa"/>
            <w:tcBorders>
              <w:top w:val="nil"/>
              <w:left w:val="nil"/>
              <w:bottom w:val="single" w:color="auto" w:sz="4" w:space="0"/>
              <w:right w:val="single" w:color="auto" w:sz="4" w:space="0"/>
            </w:tcBorders>
            <w:noWrap w:val="0"/>
            <w:vAlign w:val="center"/>
          </w:tcPr>
          <w:p w14:paraId="28B4319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426DF6E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F0975E7">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853BB1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587F13A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1DB7AE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5B9F65A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300≤Z＜5000</w:t>
            </w:r>
          </w:p>
        </w:tc>
        <w:tc>
          <w:tcPr>
            <w:tcW w:w="1098" w:type="dxa"/>
            <w:tcBorders>
              <w:top w:val="nil"/>
              <w:left w:val="nil"/>
              <w:bottom w:val="single" w:color="auto" w:sz="4" w:space="0"/>
              <w:right w:val="single" w:color="auto" w:sz="4" w:space="0"/>
            </w:tcBorders>
            <w:noWrap w:val="0"/>
            <w:vAlign w:val="center"/>
          </w:tcPr>
          <w:p w14:paraId="606CA9B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Z＜300</w:t>
            </w:r>
          </w:p>
        </w:tc>
      </w:tr>
      <w:tr w14:paraId="6D09A0E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7DB32BA">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1618361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CEC8D3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C1ECA1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13234C3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5≤X＜20</w:t>
            </w:r>
          </w:p>
        </w:tc>
        <w:tc>
          <w:tcPr>
            <w:tcW w:w="1098" w:type="dxa"/>
            <w:tcBorders>
              <w:top w:val="nil"/>
              <w:left w:val="nil"/>
              <w:bottom w:val="single" w:color="auto" w:sz="4" w:space="0"/>
              <w:right w:val="single" w:color="auto" w:sz="4" w:space="0"/>
            </w:tcBorders>
            <w:noWrap w:val="0"/>
            <w:vAlign w:val="center"/>
          </w:tcPr>
          <w:p w14:paraId="2D1696C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X＜5</w:t>
            </w:r>
          </w:p>
        </w:tc>
      </w:tr>
      <w:tr w14:paraId="5FD34413">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420AE98">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8D9000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E76EA6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A4155A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7378BF5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098" w:type="dxa"/>
            <w:tcBorders>
              <w:top w:val="nil"/>
              <w:left w:val="nil"/>
              <w:bottom w:val="single" w:color="auto" w:sz="4" w:space="0"/>
              <w:right w:val="single" w:color="auto" w:sz="4" w:space="0"/>
            </w:tcBorders>
            <w:noWrap w:val="0"/>
            <w:vAlign w:val="center"/>
          </w:tcPr>
          <w:p w14:paraId="5AF9BF8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Y＜1000</w:t>
            </w:r>
          </w:p>
        </w:tc>
      </w:tr>
      <w:tr w14:paraId="3F1F39E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9F79764">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49893D7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257933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5CE025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14F2399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10≤X＜50</w:t>
            </w:r>
          </w:p>
        </w:tc>
        <w:tc>
          <w:tcPr>
            <w:tcW w:w="1098" w:type="dxa"/>
            <w:tcBorders>
              <w:top w:val="nil"/>
              <w:left w:val="nil"/>
              <w:bottom w:val="single" w:color="auto" w:sz="4" w:space="0"/>
              <w:right w:val="single" w:color="auto" w:sz="4" w:space="0"/>
            </w:tcBorders>
            <w:noWrap w:val="0"/>
            <w:vAlign w:val="center"/>
          </w:tcPr>
          <w:p w14:paraId="2FCBB73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7437FC45">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DB79177">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F3657E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7FC497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5848E9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22011A8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100≤Y＜500</w:t>
            </w:r>
          </w:p>
        </w:tc>
        <w:tc>
          <w:tcPr>
            <w:tcW w:w="1098" w:type="dxa"/>
            <w:tcBorders>
              <w:top w:val="nil"/>
              <w:left w:val="nil"/>
              <w:bottom w:val="single" w:color="auto" w:sz="4" w:space="0"/>
              <w:right w:val="single" w:color="auto" w:sz="4" w:space="0"/>
            </w:tcBorders>
            <w:noWrap w:val="0"/>
            <w:vAlign w:val="center"/>
          </w:tcPr>
          <w:p w14:paraId="7C26945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4F1043A5">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99A8671">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1E10EAE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EFB5A2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AC1366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2E08D72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08B0D8A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06366F96">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7741758">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A4C69D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3DEAEC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DA4867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1220009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200≤Y＜3000</w:t>
            </w:r>
          </w:p>
        </w:tc>
        <w:tc>
          <w:tcPr>
            <w:tcW w:w="1098" w:type="dxa"/>
            <w:tcBorders>
              <w:top w:val="nil"/>
              <w:left w:val="nil"/>
              <w:bottom w:val="single" w:color="auto" w:sz="4" w:space="0"/>
              <w:right w:val="single" w:color="auto" w:sz="4" w:space="0"/>
            </w:tcBorders>
            <w:noWrap w:val="0"/>
            <w:vAlign w:val="center"/>
          </w:tcPr>
          <w:p w14:paraId="3E85355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w:t>
            </w:r>
          </w:p>
        </w:tc>
      </w:tr>
      <w:tr w14:paraId="73B60138">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C05F9B0">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565EF5E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91EB34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209C86A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597276E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20≤X＜100</w:t>
            </w:r>
          </w:p>
        </w:tc>
        <w:tc>
          <w:tcPr>
            <w:tcW w:w="1098" w:type="dxa"/>
            <w:tcBorders>
              <w:top w:val="nil"/>
              <w:left w:val="nil"/>
              <w:bottom w:val="single" w:color="auto" w:sz="4" w:space="0"/>
              <w:right w:val="single" w:color="auto" w:sz="4" w:space="0"/>
            </w:tcBorders>
            <w:noWrap w:val="0"/>
            <w:vAlign w:val="center"/>
          </w:tcPr>
          <w:p w14:paraId="056C9B5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1A404B46">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4C53A23">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D544DD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62689B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7873E7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0B215F0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044EA9E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6609B964">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895D4FE">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6CAC2BC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A450FA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7644E7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488051C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3A629D3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22D8736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88B0452">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5D6956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DDB073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4882F4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3A9D7D1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2AE8B56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6BF17E95">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EC2FD2A">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2FB5FA7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7DFA8D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1F5277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6E0D36F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3C7077E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068678CD">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72F1A77">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1A7CC7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BBE9B7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497251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53FB9A7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52E6BF2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5E201F4C">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198CF98E">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79E0939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B1B946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DE3092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6030D08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256E409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54EEEA02">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3F7F332">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022CEA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FE20D5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3B98AE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255DB34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1290BA6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59626D90">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9C373F4">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037AC34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B3C003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B6C2ED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2BE603D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7813F28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1EA8EF4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C8718C5">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6867D5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27662E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760FD4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361BA20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6A4EFFC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579BE49F">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0E07231">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6C39511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C4FDAE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2059349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9B3273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5F8852B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72E9F890">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20ED51C4">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8B171F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E51A39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E2971D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39A277A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50≤Y＜1000</w:t>
            </w:r>
          </w:p>
        </w:tc>
        <w:tc>
          <w:tcPr>
            <w:tcW w:w="1098" w:type="dxa"/>
            <w:tcBorders>
              <w:top w:val="nil"/>
              <w:left w:val="nil"/>
              <w:bottom w:val="single" w:color="auto" w:sz="4" w:space="0"/>
              <w:right w:val="single" w:color="auto" w:sz="4" w:space="0"/>
            </w:tcBorders>
            <w:noWrap w:val="0"/>
            <w:vAlign w:val="center"/>
          </w:tcPr>
          <w:p w14:paraId="23007A3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53A407F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D401AEF">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4D0F4B5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180E32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FF55B9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60817A8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100≤X＜1000</w:t>
            </w:r>
          </w:p>
        </w:tc>
        <w:tc>
          <w:tcPr>
            <w:tcW w:w="1098" w:type="dxa"/>
            <w:tcBorders>
              <w:top w:val="nil"/>
              <w:left w:val="nil"/>
              <w:bottom w:val="single" w:color="auto" w:sz="4" w:space="0"/>
              <w:right w:val="single" w:color="auto" w:sz="4" w:space="0"/>
            </w:tcBorders>
            <w:noWrap w:val="0"/>
            <w:vAlign w:val="center"/>
          </w:tcPr>
          <w:p w14:paraId="0734C95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48B34DDE">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2C7C8683">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80E5DA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18D64C1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45B451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7E18BA3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2000≤Y＜5000</w:t>
            </w:r>
          </w:p>
        </w:tc>
        <w:tc>
          <w:tcPr>
            <w:tcW w:w="1098" w:type="dxa"/>
            <w:tcBorders>
              <w:top w:val="nil"/>
              <w:left w:val="nil"/>
              <w:bottom w:val="single" w:color="auto" w:sz="4" w:space="0"/>
              <w:right w:val="single" w:color="auto" w:sz="4" w:space="0"/>
            </w:tcBorders>
            <w:noWrap w:val="0"/>
            <w:vAlign w:val="center"/>
          </w:tcPr>
          <w:p w14:paraId="3104AB8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Y＜2000</w:t>
            </w:r>
          </w:p>
        </w:tc>
      </w:tr>
      <w:tr w14:paraId="5774D6E8">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E3D4C86">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4E0ADE9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94DB08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B99E1F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1073E85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098" w:type="dxa"/>
            <w:tcBorders>
              <w:top w:val="nil"/>
              <w:left w:val="nil"/>
              <w:bottom w:val="single" w:color="auto" w:sz="4" w:space="0"/>
              <w:right w:val="single" w:color="auto" w:sz="4" w:space="0"/>
            </w:tcBorders>
            <w:noWrap w:val="0"/>
            <w:vAlign w:val="center"/>
          </w:tcPr>
          <w:p w14:paraId="6B93C8C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262DC391">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16B7B93">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936B3C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515163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08643B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48B9299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500≤Y＜1000</w:t>
            </w:r>
          </w:p>
        </w:tc>
        <w:tc>
          <w:tcPr>
            <w:tcW w:w="1098" w:type="dxa"/>
            <w:tcBorders>
              <w:top w:val="nil"/>
              <w:left w:val="nil"/>
              <w:bottom w:val="single" w:color="auto" w:sz="4" w:space="0"/>
              <w:right w:val="single" w:color="auto" w:sz="4" w:space="0"/>
            </w:tcBorders>
            <w:noWrap w:val="0"/>
            <w:vAlign w:val="center"/>
          </w:tcPr>
          <w:p w14:paraId="1431820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Y＜500</w:t>
            </w:r>
          </w:p>
        </w:tc>
      </w:tr>
      <w:tr w14:paraId="5551300E">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9DAC11B">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097DBFD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92AB6A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E629F9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537EEB9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0FF1DD2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57EE5E0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7F0D687">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4FF6F8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6D5FD78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C14243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16D08C6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100≤Z＜8000</w:t>
            </w:r>
          </w:p>
        </w:tc>
        <w:tc>
          <w:tcPr>
            <w:tcW w:w="1098" w:type="dxa"/>
            <w:tcBorders>
              <w:top w:val="nil"/>
              <w:left w:val="nil"/>
              <w:bottom w:val="single" w:color="auto" w:sz="4" w:space="0"/>
              <w:right w:val="single" w:color="auto" w:sz="4" w:space="0"/>
            </w:tcBorders>
            <w:noWrap w:val="0"/>
            <w:vAlign w:val="center"/>
          </w:tcPr>
          <w:p w14:paraId="0681B08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458D6E60">
        <w:tblPrEx>
          <w:tblCellMar>
            <w:top w:w="0" w:type="dxa"/>
            <w:left w:w="108" w:type="dxa"/>
            <w:bottom w:w="0" w:type="dxa"/>
            <w:right w:w="108" w:type="dxa"/>
          </w:tblCellMar>
        </w:tblPrEx>
        <w:trPr>
          <w:trHeight w:val="34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1C06799A">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1FAE51C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FD456D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DC8399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F9784D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9A51DF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bl>
    <w:p w14:paraId="5E51CA44">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BAB5126">
      <w:pPr>
        <w:pStyle w:val="25"/>
        <w:rPr>
          <w:rFonts w:hint="eastAsia" w:ascii="宋体" w:hAnsi="宋体" w:eastAsia="宋体" w:cs="宋体"/>
          <w:color w:val="auto"/>
          <w:highlight w:val="none"/>
        </w:rPr>
      </w:pPr>
    </w:p>
    <w:p w14:paraId="7A6C5854">
      <w:pPr>
        <w:pStyle w:val="3"/>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eastAsia="宋体" w:cs="宋体"/>
          <w:color w:val="auto"/>
          <w:highlight w:val="none"/>
        </w:rPr>
      </w:pPr>
      <w:bookmarkStart w:id="67" w:name="_Toc6950"/>
      <w:bookmarkStart w:id="68" w:name="_Toc21295"/>
      <w:bookmarkStart w:id="69" w:name="_Toc24453"/>
      <w:r>
        <w:rPr>
          <w:rFonts w:hint="eastAsia" w:ascii="宋体" w:hAnsi="宋体" w:eastAsia="宋体" w:cs="宋体"/>
          <w:color w:val="auto"/>
          <w:highlight w:val="none"/>
        </w:rPr>
        <w:t>第三章  投标人须知</w:t>
      </w:r>
      <w:bookmarkEnd w:id="67"/>
      <w:bookmarkEnd w:id="68"/>
      <w:bookmarkEnd w:id="69"/>
    </w:p>
    <w:p w14:paraId="4D419B6C">
      <w:pPr>
        <w:pStyle w:val="4"/>
        <w:spacing w:line="240" w:lineRule="auto"/>
        <w:jc w:val="center"/>
        <w:rPr>
          <w:rFonts w:hint="eastAsia" w:ascii="宋体" w:hAnsi="宋体" w:eastAsia="宋体" w:cs="宋体"/>
          <w:color w:val="auto"/>
          <w:sz w:val="36"/>
          <w:szCs w:val="36"/>
          <w:highlight w:val="none"/>
        </w:rPr>
      </w:pPr>
      <w:bookmarkStart w:id="70" w:name="_Toc254970667"/>
      <w:bookmarkStart w:id="71" w:name="_Toc4963"/>
      <w:bookmarkStart w:id="72" w:name="_Toc25167"/>
      <w:bookmarkStart w:id="73" w:name="_Toc254970526"/>
      <w:bookmarkStart w:id="74" w:name="_Toc3016"/>
      <w:r>
        <w:rPr>
          <w:rFonts w:hint="eastAsia" w:ascii="宋体" w:hAnsi="宋体" w:eastAsia="宋体" w:cs="宋体"/>
          <w:color w:val="auto"/>
          <w:sz w:val="36"/>
          <w:szCs w:val="36"/>
          <w:highlight w:val="none"/>
        </w:rPr>
        <w:t>投标人须知前附表</w:t>
      </w:r>
      <w:bookmarkEnd w:id="70"/>
      <w:bookmarkEnd w:id="71"/>
      <w:bookmarkEnd w:id="72"/>
      <w:bookmarkEnd w:id="73"/>
      <w:bookmarkEnd w:id="74"/>
    </w:p>
    <w:tbl>
      <w:tblPr>
        <w:tblStyle w:val="40"/>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6B815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E4F8B04">
            <w:pPr>
              <w:keepNext w:val="0"/>
              <w:keepLines w:val="0"/>
              <w:pageBreakBefore w:val="0"/>
              <w:widowControl w:val="0"/>
              <w:kinsoku/>
              <w:overflowPunct/>
              <w:topLinePunct w:val="0"/>
              <w:bidi w:val="0"/>
              <w:spacing w:before="120" w:beforeLines="5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7BA366">
            <w:pPr>
              <w:keepNext w:val="0"/>
              <w:keepLines w:val="0"/>
              <w:pageBreakBefore w:val="0"/>
              <w:widowControl w:val="0"/>
              <w:kinsoku/>
              <w:overflowPunct/>
              <w:topLinePunct w:val="0"/>
              <w:bidi w:val="0"/>
              <w:spacing w:before="120" w:beforeLines="5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18EDF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A649ED0">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571D82">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1.投标人的资格要求详见招标公告。</w:t>
            </w:r>
          </w:p>
          <w:p w14:paraId="1E03EF6E">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2.投标人出现下列情形之一的，不得参加政府采购活动：</w:t>
            </w:r>
          </w:p>
          <w:p w14:paraId="7335B847">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C3D5A7A">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5826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CC5A3C9">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75" w:name="_9.2"/>
            <w:bookmarkEnd w:id="75"/>
            <w:bookmarkStart w:id="76" w:name="_5"/>
            <w:bookmarkEnd w:id="76"/>
            <w:bookmarkStart w:id="77" w:name="_8.1"/>
            <w:bookmarkEnd w:id="77"/>
            <w:r>
              <w:rPr>
                <w:rFonts w:hint="eastAsia" w:ascii="宋体" w:hAnsi="宋体" w:eastAsia="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E608528">
            <w:pPr>
              <w:pStyle w:val="13"/>
              <w:keepNext w:val="0"/>
              <w:keepLines w:val="0"/>
              <w:pageBreakBefore w:val="0"/>
              <w:widowControl w:val="0"/>
              <w:kinsoku/>
              <w:overflowPunct/>
              <w:topLinePunct w:val="0"/>
              <w:bidi w:val="0"/>
              <w:spacing w:line="4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本项目是否接受联合体投标：详见招标公告。</w:t>
            </w:r>
          </w:p>
        </w:tc>
      </w:tr>
      <w:tr w14:paraId="11C96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667C9DF">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93022DF">
            <w:pPr>
              <w:pStyle w:val="13"/>
              <w:keepNext w:val="0"/>
              <w:keepLines w:val="0"/>
              <w:pageBreakBefore w:val="0"/>
              <w:widowControl w:val="0"/>
              <w:kinsoku/>
              <w:overflowPunct/>
              <w:topLinePunct w:val="0"/>
              <w:bidi w:val="0"/>
              <w:spacing w:line="400" w:lineRule="exact"/>
              <w:rPr>
                <w:rFonts w:hint="eastAsia" w:ascii="宋体" w:hAnsi="宋体" w:eastAsia="宋体" w:cs="宋体"/>
                <w:color w:val="auto"/>
                <w:szCs w:val="21"/>
                <w:highlight w:val="none"/>
              </w:rPr>
            </w:pPr>
            <w:bookmarkStart w:id="78" w:name="_Hlk54105293"/>
            <w:r>
              <w:rPr>
                <w:rFonts w:hint="eastAsia" w:ascii="宋体" w:hAnsi="宋体" w:eastAsia="宋体" w:cs="宋体"/>
                <w:color w:val="auto"/>
                <w:szCs w:val="21"/>
                <w:highlight w:val="none"/>
              </w:rPr>
              <w:t>如接受联合体投标，</w:t>
            </w:r>
            <w:bookmarkEnd w:id="78"/>
            <w:r>
              <w:rPr>
                <w:rFonts w:hint="eastAsia" w:ascii="宋体" w:hAnsi="宋体" w:eastAsia="宋体" w:cs="宋体"/>
                <w:color w:val="auto"/>
                <w:szCs w:val="21"/>
                <w:highlight w:val="none"/>
              </w:rPr>
              <w:t>联合体投标要求如下：</w:t>
            </w:r>
          </w:p>
          <w:p w14:paraId="352057C3">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联合体成员最多不超过2家。联合体投标的，须提供《联合体投标协议书》（格式后附）。</w:t>
            </w:r>
          </w:p>
          <w:p w14:paraId="65994BBA">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2.牵头单位必须由</w:t>
            </w:r>
            <w:r>
              <w:rPr>
                <w:rFonts w:hint="eastAsia" w:ascii="宋体" w:hAnsi="宋体" w:cs="宋体"/>
                <w:color w:val="auto"/>
                <w:szCs w:val="21"/>
                <w:highlight w:val="none"/>
                <w:lang w:val="en-US" w:eastAsia="zh-CN"/>
              </w:rPr>
              <w:t xml:space="preserve">   /   </w:t>
            </w:r>
            <w:r>
              <w:rPr>
                <w:rFonts w:hint="eastAsia" w:ascii="宋体" w:hAnsi="宋体" w:eastAsia="宋体" w:cs="宋体"/>
                <w:color w:val="auto"/>
                <w:szCs w:val="21"/>
                <w:highlight w:val="none"/>
              </w:rPr>
              <w:t>担任。</w:t>
            </w:r>
          </w:p>
          <w:p w14:paraId="557CA541">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3.联合体各方之间必须签订联合投标协议，协议书必须明确主体方（或者牵头方）并明确约定联合体各方承担的工作和相应的责任（</w:t>
            </w:r>
            <w:r>
              <w:rPr>
                <w:rFonts w:hint="eastAsia" w:ascii="宋体" w:hAnsi="宋体" w:eastAsia="宋体" w:cs="宋体"/>
                <w:b/>
                <w:color w:val="auto"/>
                <w:szCs w:val="21"/>
                <w:highlight w:val="none"/>
              </w:rPr>
              <w:t>各方承担责任与义务的分工必须符合采购需求，否则，联合体投标无效</w:t>
            </w:r>
            <w:r>
              <w:rPr>
                <w:rFonts w:hint="eastAsia" w:ascii="宋体" w:hAnsi="宋体" w:eastAsia="宋体" w:cs="宋体"/>
                <w:color w:val="auto"/>
                <w:szCs w:val="21"/>
                <w:highlight w:val="none"/>
              </w:rPr>
              <w:t>），并将联合投标协议放入投标文件。联合体各方必须共同与采购人签订采购合同，就采购合同约定的事项对采购人承担连带责任。</w:t>
            </w:r>
          </w:p>
          <w:p w14:paraId="5D5FEBC7">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4.以联合体形式参加政府采购活动的，联合体各方不得再单独参加或者与其他投标人另外组成联合体参加同一合同项下的政府采购活动。</w:t>
            </w:r>
          </w:p>
          <w:p w14:paraId="036B860C">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5.联合体中有同类资质的投标人按照联合体分工承担相同工作的，应当按照资质等级较低的投标人确定资质等级。</w:t>
            </w:r>
          </w:p>
          <w:p w14:paraId="473A4719">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6.联合体投标业绩、履约能力按照联合体各方其中较高的一方认定并计算（招标文件另有规定的除外）。</w:t>
            </w:r>
          </w:p>
          <w:p w14:paraId="15C0E943">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7.投标人为联合体的，可以由联合体中的一方或者多方共同交纳投标保证金，其交纳的保证金对联合体各方均具有约束力。</w:t>
            </w:r>
          </w:p>
          <w:p w14:paraId="1210380E">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8.联合体各方均应按照招标文件的规定提交资格证明文件。</w:t>
            </w:r>
          </w:p>
        </w:tc>
      </w:tr>
      <w:tr w14:paraId="47C10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176C742">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5DAB6A3">
            <w:pPr>
              <w:pStyle w:val="13"/>
              <w:keepNext w:val="0"/>
              <w:keepLines w:val="0"/>
              <w:pageBreakBefore w:val="0"/>
              <w:widowControl w:val="0"/>
              <w:kinsoku/>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☑不允许分包</w:t>
            </w:r>
          </w:p>
          <w:p w14:paraId="3BAA5CAF">
            <w:pPr>
              <w:pStyle w:val="13"/>
              <w:keepNext w:val="0"/>
              <w:keepLines w:val="0"/>
              <w:pageBreakBefore w:val="0"/>
              <w:widowControl w:val="0"/>
              <w:kinsoku/>
              <w:overflowPunct/>
              <w:topLinePunct w:val="0"/>
              <w:bidi w:val="0"/>
              <w:spacing w:line="400" w:lineRule="exact"/>
              <w:rPr>
                <w:rFonts w:hint="eastAsia" w:ascii="宋体" w:hAnsi="宋体" w:eastAsia="宋体" w:cs="宋体"/>
                <w:color w:val="auto"/>
                <w:szCs w:val="21"/>
                <w:highlight w:val="none"/>
              </w:rPr>
            </w:pPr>
            <w:bookmarkStart w:id="79" w:name="OLE_LINK12"/>
            <w:r>
              <w:rPr>
                <w:rFonts w:hint="eastAsia" w:ascii="宋体" w:hAnsi="宋体" w:eastAsia="宋体" w:cs="宋体"/>
                <w:color w:val="auto"/>
                <w:szCs w:val="21"/>
                <w:highlight w:val="none"/>
              </w:rPr>
              <w:t>□</w:t>
            </w:r>
            <w:bookmarkEnd w:id="79"/>
            <w:r>
              <w:rPr>
                <w:rFonts w:hint="eastAsia" w:ascii="宋体" w:hAnsi="宋体" w:eastAsia="宋体" w:cs="宋体"/>
                <w:color w:val="auto"/>
                <w:szCs w:val="21"/>
                <w:highlight w:val="none"/>
              </w:rPr>
              <w:t>允许分包</w:t>
            </w:r>
          </w:p>
          <w:p w14:paraId="692D17E6">
            <w:pPr>
              <w:pStyle w:val="13"/>
              <w:keepNext w:val="0"/>
              <w:keepLines w:val="0"/>
              <w:pageBreakBefore w:val="0"/>
              <w:widowControl w:val="0"/>
              <w:kinsoku/>
              <w:overflowPunct/>
              <w:topLinePunct w:val="0"/>
              <w:bidi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rPr>
              <w:t xml:space="preserve">                                     。</w:t>
            </w:r>
          </w:p>
          <w:p w14:paraId="55838640">
            <w:pPr>
              <w:pStyle w:val="13"/>
              <w:keepNext w:val="0"/>
              <w:keepLines w:val="0"/>
              <w:pageBreakBefore w:val="0"/>
              <w:widowControl w:val="0"/>
              <w:kinsoku/>
              <w:overflowPunct/>
              <w:topLinePunct w:val="0"/>
              <w:bidi w:val="0"/>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rPr>
              <w:t xml:space="preserve">                                     。</w:t>
            </w:r>
          </w:p>
        </w:tc>
      </w:tr>
      <w:tr w14:paraId="30BD3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dxa"/>
            <w:vMerge w:val="restart"/>
            <w:tcBorders>
              <w:top w:val="single" w:color="auto" w:sz="4" w:space="0"/>
              <w:left w:val="single" w:color="auto" w:sz="4" w:space="0"/>
              <w:right w:val="single" w:color="auto" w:sz="4" w:space="0"/>
            </w:tcBorders>
            <w:noWrap w:val="0"/>
            <w:vAlign w:val="center"/>
          </w:tcPr>
          <w:p w14:paraId="5F6998FA">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C093E20">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bookmarkStart w:id="80" w:name="OLE_LINK13"/>
            <w:r>
              <w:rPr>
                <w:rFonts w:hint="eastAsia" w:ascii="宋体" w:hAnsi="宋体" w:eastAsia="宋体" w:cs="宋体"/>
                <w:color w:val="auto"/>
                <w:szCs w:val="21"/>
                <w:highlight w:val="none"/>
              </w:rPr>
              <w:t>☑</w:t>
            </w:r>
            <w:bookmarkEnd w:id="80"/>
            <w:r>
              <w:rPr>
                <w:rFonts w:hint="eastAsia" w:ascii="宋体" w:hAnsi="宋体" w:eastAsia="宋体" w:cs="宋体"/>
                <w:color w:val="auto"/>
                <w:szCs w:val="21"/>
                <w:highlight w:val="none"/>
              </w:rPr>
              <w:t>不组织现场考察</w:t>
            </w:r>
          </w:p>
        </w:tc>
      </w:tr>
      <w:tr w14:paraId="41199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78" w:type="dxa"/>
            <w:vMerge w:val="continue"/>
            <w:tcBorders>
              <w:left w:val="single" w:color="auto" w:sz="4" w:space="0"/>
              <w:bottom w:val="single" w:color="auto" w:sz="4" w:space="0"/>
              <w:right w:val="single" w:color="auto" w:sz="4" w:space="0"/>
            </w:tcBorders>
            <w:noWrap w:val="0"/>
            <w:vAlign w:val="center"/>
          </w:tcPr>
          <w:p w14:paraId="231D5DD4">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C540687">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☑不组织召开开标前答疑会</w:t>
            </w:r>
          </w:p>
        </w:tc>
      </w:tr>
      <w:tr w14:paraId="292E8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213F6C62">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81" w:name="_13.1"/>
            <w:bookmarkEnd w:id="81"/>
            <w:r>
              <w:rPr>
                <w:rFonts w:hint="eastAsia" w:ascii="宋体" w:hAnsi="宋体" w:eastAsia="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E83AC63">
            <w:pPr>
              <w:keepNext w:val="0"/>
              <w:keepLines w:val="0"/>
              <w:pageBreakBefore w:val="0"/>
              <w:widowControl w:val="0"/>
              <w:kinsoku/>
              <w:overflowPunct/>
              <w:topLinePunct w:val="0"/>
              <w:bidi w:val="0"/>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报价文件：</w:t>
            </w:r>
          </w:p>
          <w:p w14:paraId="0E35FFF0">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1.投标函（格式后附）；</w:t>
            </w:r>
            <w:r>
              <w:rPr>
                <w:rFonts w:hint="eastAsia" w:ascii="宋体" w:hAnsi="宋体" w:eastAsia="宋体" w:cs="宋体"/>
                <w:b/>
                <w:color w:val="auto"/>
                <w:szCs w:val="21"/>
                <w:highlight w:val="none"/>
              </w:rPr>
              <w:t>（必须提供，否则按无效投标处理）</w:t>
            </w:r>
          </w:p>
          <w:p w14:paraId="0037DD21">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2.开标一览表（格式后附）；（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00A43DFC">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3.中小企业声明函或监狱企业证明文件或残疾人福利性单位声明函；（如有请提供）</w:t>
            </w:r>
          </w:p>
          <w:p w14:paraId="484A3686">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4.投标人针对报价需要说明的其他文件和说明（格式自拟）。（如有请提供）</w:t>
            </w:r>
          </w:p>
          <w:p w14:paraId="69EEC582">
            <w:pPr>
              <w:keepNext w:val="0"/>
              <w:keepLines w:val="0"/>
              <w:pageBreakBefore w:val="0"/>
              <w:widowControl w:val="0"/>
              <w:tabs>
                <w:tab w:val="left" w:pos="459"/>
              </w:tabs>
              <w:kinsoku/>
              <w:overflowPunct/>
              <w:topLinePunct w:val="0"/>
              <w:bidi w:val="0"/>
              <w:snapToGrid w:val="0"/>
              <w:spacing w:line="400" w:lineRule="exact"/>
              <w:ind w:left="-2" w:leftChars="-1"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注：1.以上标明“必须提供”的材料的，必须加盖投标人电子签章，否则按无效投标处理；</w:t>
            </w:r>
          </w:p>
          <w:p w14:paraId="5E8E5DA7">
            <w:pPr>
              <w:keepNext w:val="0"/>
              <w:keepLines w:val="0"/>
              <w:pageBreakBefore w:val="0"/>
              <w:widowControl w:val="0"/>
              <w:tabs>
                <w:tab w:val="left" w:pos="459"/>
              </w:tabs>
              <w:kinsoku/>
              <w:overflowPunct/>
              <w:topLinePunct w:val="0"/>
              <w:bidi w:val="0"/>
              <w:snapToGrid w:val="0"/>
              <w:spacing w:line="400" w:lineRule="exact"/>
              <w:ind w:left="-2" w:leftChars="-1" w:firstLine="843" w:firstLineChars="4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2.联合体投标时，盖章处须加盖联合体牵头人电子签章，规定签字处签字（或者电子签名），否则响应文件按无效处理。</w:t>
            </w:r>
          </w:p>
        </w:tc>
      </w:tr>
      <w:tr w14:paraId="6D4F0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71A55FA0">
            <w:pPr>
              <w:keepNext w:val="0"/>
              <w:keepLines w:val="0"/>
              <w:pageBreakBefore w:val="0"/>
              <w:widowControl w:val="0"/>
              <w:kinsoku/>
              <w:overflowPunct/>
              <w:topLinePunct w:val="0"/>
              <w:bidi w:val="0"/>
              <w:spacing w:line="400" w:lineRule="exact"/>
              <w:rPr>
                <w:rFonts w:hint="eastAsia" w:ascii="宋体" w:hAnsi="宋体" w:eastAsia="宋体" w:cs="宋体"/>
                <w:color w:val="auto"/>
                <w:szCs w:val="21"/>
                <w:highlight w:val="none"/>
              </w:rPr>
            </w:pPr>
            <w:bookmarkStart w:id="82" w:name="_13.2"/>
            <w:bookmarkEnd w:id="82"/>
          </w:p>
        </w:tc>
        <w:tc>
          <w:tcPr>
            <w:tcW w:w="8175" w:type="dxa"/>
            <w:tcBorders>
              <w:top w:val="single" w:color="auto" w:sz="4" w:space="0"/>
              <w:left w:val="single" w:color="auto" w:sz="4" w:space="0"/>
              <w:bottom w:val="single" w:color="auto" w:sz="4" w:space="0"/>
              <w:right w:val="single" w:color="auto" w:sz="4" w:space="0"/>
            </w:tcBorders>
            <w:noWrap w:val="0"/>
            <w:vAlign w:val="center"/>
          </w:tcPr>
          <w:p w14:paraId="3CB3CC74">
            <w:pPr>
              <w:keepNext w:val="0"/>
              <w:keepLines w:val="0"/>
              <w:pageBreakBefore w:val="0"/>
              <w:widowControl w:val="0"/>
              <w:kinsoku/>
              <w:overflowPunct/>
              <w:topLinePunct w:val="0"/>
              <w:bidi w:val="0"/>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5FFB65C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1.投标人为法人或者其他组织的，提供营业执照等证明文件（如营业执照或者事业单位法人证书或者</w:t>
            </w:r>
            <w:r>
              <w:rPr>
                <w:rStyle w:val="76"/>
                <w:rFonts w:hint="eastAsia" w:ascii="宋体" w:hAnsi="宋体" w:eastAsia="宋体" w:cs="宋体"/>
                <w:color w:val="auto"/>
                <w:sz w:val="21"/>
                <w:szCs w:val="21"/>
                <w:highlight w:val="none"/>
              </w:rPr>
              <w:t>执业许可证</w:t>
            </w:r>
            <w:r>
              <w:rPr>
                <w:rFonts w:hint="eastAsia" w:ascii="宋体" w:hAnsi="宋体" w:eastAsia="宋体" w:cs="宋体"/>
                <w:color w:val="auto"/>
                <w:szCs w:val="21"/>
                <w:highlight w:val="none"/>
              </w:rPr>
              <w:t>或者登记证书等），投标人为自然人的，提供身份证复印件；（</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4262A85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2.投标人依法缴纳税收的相关材料</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eastAsia="zh-CN"/>
              </w:rPr>
              <w:t>2025年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eastAsia="zh-CN"/>
              </w:rPr>
              <w:t>月</w:t>
            </w:r>
            <w:r>
              <w:rPr>
                <w:rFonts w:hint="eastAsia" w:ascii="宋体" w:hAnsi="宋体" w:eastAsia="宋体" w:cs="宋体"/>
                <w:color w:val="auto"/>
                <w:szCs w:val="21"/>
                <w:highlight w:val="none"/>
              </w:rPr>
              <w:t>内任意连续</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个月的依法缴纳税收的证明材料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（格式自拟）；（</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74CAE3AB">
            <w:pPr>
              <w:keepNext w:val="0"/>
              <w:keepLines w:val="0"/>
              <w:pageBreakBefore w:val="0"/>
              <w:widowControl w:val="0"/>
              <w:kinsoku/>
              <w:overflowPunct/>
              <w:topLinePunct w:val="0"/>
              <w:bidi w:val="0"/>
              <w:snapToGrid w:val="0"/>
              <w:spacing w:line="40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3.投标人依法缴纳社会保障资金的相关材料[</w:t>
            </w:r>
            <w:r>
              <w:rPr>
                <w:rFonts w:hint="eastAsia" w:ascii="宋体" w:hAnsi="宋体" w:eastAsia="宋体" w:cs="宋体"/>
                <w:color w:val="auto"/>
                <w:szCs w:val="21"/>
                <w:highlight w:val="none"/>
                <w:u w:val="single"/>
                <w:lang w:eastAsia="zh-CN"/>
              </w:rPr>
              <w:t>2025年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eastAsia="zh-CN"/>
              </w:rPr>
              <w:t>月</w:t>
            </w:r>
            <w:r>
              <w:rPr>
                <w:rFonts w:hint="eastAsia" w:ascii="宋体" w:hAnsi="宋体" w:eastAsia="宋体" w:cs="宋体"/>
                <w:color w:val="auto"/>
                <w:szCs w:val="21"/>
                <w:highlight w:val="none"/>
              </w:rPr>
              <w:t>内任意连续</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个月的依法缴纳社会保障资金的缴费凭证（专用收据或者社会保险缴纳清单或者社保部门的证明）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6CFAA04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4.投标人财务状况报告【</w:t>
            </w:r>
            <w:r>
              <w:rPr>
                <w:rFonts w:hint="eastAsia" w:ascii="宋体" w:hAnsi="宋体" w:eastAsia="宋体" w:cs="宋体"/>
                <w:color w:val="auto"/>
                <w:szCs w:val="21"/>
                <w:highlight w:val="none"/>
                <w:u w:val="single"/>
              </w:rPr>
              <w:t>2024年度</w:t>
            </w:r>
            <w:r>
              <w:rPr>
                <w:rFonts w:hint="eastAsia" w:ascii="宋体" w:hAnsi="宋体" w:eastAsia="宋体" w:cs="宋体"/>
                <w:color w:val="auto"/>
                <w:szCs w:val="21"/>
                <w:highlight w:val="none"/>
                <w:u w:val="single"/>
                <w:lang w:val="en-US" w:eastAsia="zh-CN"/>
              </w:rPr>
              <w:t>或2025年度</w:t>
            </w:r>
            <w:r>
              <w:rPr>
                <w:rFonts w:hint="eastAsia" w:ascii="宋体" w:hAnsi="宋体" w:eastAsia="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6313D7A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5.投标人直接控股、管理关系信息表（格式后附）；（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123CF85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6.投标声明（格式后附）；（</w:t>
            </w:r>
            <w:r>
              <w:rPr>
                <w:rFonts w:hint="eastAsia" w:ascii="宋体" w:hAnsi="宋体" w:eastAsia="宋体" w:cs="宋体"/>
                <w:b/>
                <w:color w:val="auto"/>
                <w:szCs w:val="21"/>
                <w:highlight w:val="none"/>
              </w:rPr>
              <w:t>需法定代表人签字或电子签名，必须提供，否则按无效投标处理</w:t>
            </w:r>
            <w:r>
              <w:rPr>
                <w:rFonts w:hint="eastAsia" w:ascii="宋体" w:hAnsi="宋体" w:eastAsia="宋体" w:cs="宋体"/>
                <w:color w:val="auto"/>
                <w:szCs w:val="21"/>
                <w:highlight w:val="none"/>
              </w:rPr>
              <w:t>）</w:t>
            </w:r>
          </w:p>
          <w:p w14:paraId="04C0C83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7.</w:t>
            </w:r>
            <w:r>
              <w:rPr>
                <w:rFonts w:hint="eastAsia" w:ascii="宋体" w:hAnsi="宋体" w:eastAsia="宋体" w:cs="宋体"/>
                <w:color w:val="auto"/>
                <w:szCs w:val="21"/>
                <w:highlight w:val="none"/>
                <w:u w:val="none"/>
              </w:rPr>
              <w:t>投标人须</w:t>
            </w:r>
            <w:r>
              <w:rPr>
                <w:rFonts w:hint="eastAsia" w:ascii="宋体" w:hAnsi="宋体" w:cs="宋体"/>
                <w:color w:val="auto"/>
                <w:szCs w:val="21"/>
                <w:highlight w:val="none"/>
                <w:u w:val="none"/>
              </w:rPr>
              <w:t>具备省级及以上交通行政主管部门颁发的《公路水运工程试验检测机构资质证书》（公路工程综合甲级）或《公路水运工程质量检测机构资质证书》（公路工程-甲级）；</w:t>
            </w:r>
            <w:r>
              <w:rPr>
                <w:rFonts w:hint="eastAsia" w:ascii="宋体" w:hAnsi="宋体" w:cs="宋体"/>
                <w:color w:val="auto"/>
                <w:szCs w:val="21"/>
                <w:highlight w:val="none"/>
                <w:u w:val="none"/>
                <w:lang w:val="en-US" w:eastAsia="zh-CN"/>
              </w:rPr>
              <w:t>同时</w:t>
            </w:r>
            <w:r>
              <w:rPr>
                <w:rFonts w:hint="eastAsia" w:ascii="宋体" w:hAnsi="宋体" w:cs="宋体"/>
                <w:color w:val="auto"/>
                <w:szCs w:val="21"/>
                <w:highlight w:val="none"/>
                <w:u w:val="none"/>
              </w:rPr>
              <w:t>具备省级及以上市场监督管理部门颁发的《检验检测机构资质认定证书》（CMA）</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6BC49D8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.联合体协议书（格式后附）；（</w:t>
            </w:r>
            <w:r>
              <w:rPr>
                <w:rFonts w:hint="eastAsia" w:ascii="宋体" w:hAnsi="宋体" w:eastAsia="宋体" w:cs="宋体"/>
                <w:b/>
                <w:color w:val="auto"/>
                <w:szCs w:val="21"/>
                <w:highlight w:val="none"/>
              </w:rPr>
              <w:t>联合体投标时必须提供，否则按无效投标处理</w:t>
            </w:r>
            <w:r>
              <w:rPr>
                <w:rFonts w:hint="eastAsia" w:ascii="宋体" w:hAnsi="宋体" w:eastAsia="宋体" w:cs="宋体"/>
                <w:color w:val="auto"/>
                <w:szCs w:val="21"/>
                <w:highlight w:val="none"/>
              </w:rPr>
              <w:t>）</w:t>
            </w:r>
          </w:p>
          <w:p w14:paraId="5DFBF16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.除招标文件规定必须提供以外，投标人认为需要提供的其他证明材料。（如有请提供）</w:t>
            </w:r>
          </w:p>
          <w:p w14:paraId="61ADA64C">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注：1.以上标明“必须提供”的材料的，必须加盖投标人电子签章，否则按无效投标处理。</w:t>
            </w:r>
            <w:r>
              <w:rPr>
                <w:rFonts w:hint="eastAsia" w:ascii="宋体" w:hAnsi="宋体" w:eastAsia="宋体" w:cs="宋体"/>
                <w:b/>
                <w:color w:val="auto"/>
                <w:szCs w:val="21"/>
                <w:highlight w:val="none"/>
              </w:rPr>
              <w:t>格式中有要求法定代表人或者委托代理人签字的，必须按要求签字（或是电子签名），并加盖供应商电子签章，否则响应文件按无效处理。</w:t>
            </w:r>
          </w:p>
          <w:p w14:paraId="785857EC">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2.联合体投标时，第1-5项资格证明文件联合体各方均必须分别提供，</w:t>
            </w:r>
            <w:r>
              <w:rPr>
                <w:rFonts w:hint="eastAsia" w:ascii="宋体" w:hAnsi="宋体" w:eastAsia="宋体" w:cs="宋体"/>
                <w:b/>
                <w:color w:val="auto"/>
                <w:szCs w:val="21"/>
                <w:highlight w:val="none"/>
              </w:rPr>
              <w:t>并由联合体牵头人加盖电子签章，规定签字处签字</w:t>
            </w:r>
            <w:r>
              <w:rPr>
                <w:rFonts w:hint="eastAsia" w:ascii="宋体" w:hAnsi="宋体" w:eastAsia="宋体" w:cs="宋体"/>
                <w:b/>
                <w:bCs/>
                <w:color w:val="auto"/>
                <w:szCs w:val="21"/>
                <w:highlight w:val="none"/>
              </w:rPr>
              <w:t>（或者电子签名），否则按无效投标</w:t>
            </w:r>
            <w:r>
              <w:rPr>
                <w:rFonts w:hint="eastAsia" w:ascii="宋体" w:hAnsi="宋体" w:eastAsia="宋体" w:cs="宋体"/>
                <w:b/>
                <w:color w:val="auto"/>
                <w:szCs w:val="21"/>
                <w:highlight w:val="none"/>
              </w:rPr>
              <w:t>处理</w:t>
            </w:r>
            <w:r>
              <w:rPr>
                <w:rFonts w:hint="eastAsia" w:ascii="宋体" w:hAnsi="宋体" w:eastAsia="宋体" w:cs="宋体"/>
                <w:b/>
                <w:bCs/>
                <w:color w:val="auto"/>
                <w:szCs w:val="21"/>
                <w:highlight w:val="none"/>
              </w:rPr>
              <w:t>。</w:t>
            </w:r>
          </w:p>
        </w:tc>
      </w:tr>
      <w:tr w14:paraId="0B24C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0606E7B3">
            <w:pPr>
              <w:keepNext w:val="0"/>
              <w:keepLines w:val="0"/>
              <w:pageBreakBefore w:val="0"/>
              <w:widowControl w:val="0"/>
              <w:kinsoku/>
              <w:overflowPunct/>
              <w:topLinePunct w:val="0"/>
              <w:bidi w:val="0"/>
              <w:spacing w:line="400" w:lineRule="exact"/>
              <w:rPr>
                <w:rFonts w:hint="eastAsia" w:ascii="宋体" w:hAnsi="宋体" w:eastAsia="宋体" w:cs="宋体"/>
                <w:color w:val="auto"/>
                <w:szCs w:val="21"/>
                <w:highlight w:val="none"/>
              </w:rPr>
            </w:pPr>
            <w:bookmarkStart w:id="83" w:name="_13.3"/>
            <w:bookmarkEnd w:id="83"/>
          </w:p>
        </w:tc>
        <w:tc>
          <w:tcPr>
            <w:tcW w:w="8175" w:type="dxa"/>
            <w:tcBorders>
              <w:top w:val="single" w:color="auto" w:sz="4" w:space="0"/>
              <w:left w:val="single" w:color="auto" w:sz="4" w:space="0"/>
              <w:bottom w:val="single" w:color="auto" w:sz="4" w:space="0"/>
              <w:right w:val="single" w:color="auto" w:sz="4" w:space="0"/>
            </w:tcBorders>
            <w:noWrap w:val="0"/>
            <w:vAlign w:val="center"/>
          </w:tcPr>
          <w:p w14:paraId="4A3D703C">
            <w:pPr>
              <w:keepNext w:val="0"/>
              <w:keepLines w:val="0"/>
              <w:pageBreakBefore w:val="0"/>
              <w:widowControl w:val="0"/>
              <w:kinsoku/>
              <w:overflowPunct/>
              <w:topLinePunct w:val="0"/>
              <w:bidi w:val="0"/>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商务及技术文件</w:t>
            </w:r>
            <w:r>
              <w:rPr>
                <w:rFonts w:hint="eastAsia" w:ascii="宋体" w:hAnsi="宋体" w:eastAsia="宋体" w:cs="宋体"/>
                <w:b/>
                <w:color w:val="auto"/>
                <w:szCs w:val="21"/>
                <w:highlight w:val="none"/>
              </w:rPr>
              <w:t>：</w:t>
            </w:r>
          </w:p>
          <w:p w14:paraId="0D239F9C">
            <w:pPr>
              <w:pStyle w:val="35"/>
              <w:keepNext w:val="0"/>
              <w:keepLines w:val="0"/>
              <w:pageBreakBefore w:val="0"/>
              <w:widowControl w:val="0"/>
              <w:kinsoku/>
              <w:overflowPunct/>
              <w:topLinePunct w:val="0"/>
              <w:bidi w:val="0"/>
              <w:spacing w:line="4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商务文件：</w:t>
            </w:r>
          </w:p>
          <w:p w14:paraId="74FC051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7E7FA5A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2.投标保证金缴纳证明；（</w:t>
            </w:r>
            <w:r>
              <w:rPr>
                <w:rFonts w:hint="eastAsia" w:ascii="宋体" w:hAnsi="宋体" w:eastAsia="宋体" w:cs="宋体"/>
                <w:b/>
                <w:bCs/>
                <w:color w:val="auto"/>
                <w:szCs w:val="21"/>
                <w:highlight w:val="none"/>
              </w:rPr>
              <w:t>如要求提交投标保证金的则必须提供</w:t>
            </w:r>
            <w:r>
              <w:rPr>
                <w:rFonts w:hint="eastAsia" w:ascii="宋体" w:hAnsi="宋体" w:eastAsia="宋体" w:cs="宋体"/>
                <w:b/>
                <w:color w:val="auto"/>
                <w:szCs w:val="21"/>
                <w:highlight w:val="none"/>
              </w:rPr>
              <w:t>，否则按无效投标处理</w:t>
            </w:r>
            <w:r>
              <w:rPr>
                <w:rFonts w:hint="eastAsia" w:ascii="宋体" w:hAnsi="宋体" w:eastAsia="宋体" w:cs="宋体"/>
                <w:color w:val="auto"/>
                <w:szCs w:val="21"/>
                <w:highlight w:val="none"/>
              </w:rPr>
              <w:t>）</w:t>
            </w:r>
          </w:p>
          <w:p w14:paraId="3559C86A">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3.法定代表人身份证明及法定代表人有效身份证正反面复印件（格式后附）；（</w:t>
            </w:r>
            <w:r>
              <w:rPr>
                <w:rFonts w:hint="eastAsia" w:ascii="宋体" w:hAnsi="宋体" w:eastAsia="宋体" w:cs="宋体"/>
                <w:b/>
                <w:bCs/>
                <w:color w:val="auto"/>
                <w:szCs w:val="21"/>
                <w:highlight w:val="none"/>
              </w:rPr>
              <w:t>除自然人投标外</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203C83D1">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4.授权委托书及委托代理人有效身份证正反面复印件（格式后附）；（</w:t>
            </w:r>
            <w:r>
              <w:rPr>
                <w:rFonts w:hint="eastAsia" w:ascii="宋体" w:hAnsi="宋体" w:eastAsia="宋体" w:cs="宋体"/>
                <w:b/>
                <w:color w:val="auto"/>
                <w:szCs w:val="21"/>
                <w:highlight w:val="none"/>
              </w:rPr>
              <w:t>委托时必须提供，否则按无效投标处理</w:t>
            </w:r>
            <w:r>
              <w:rPr>
                <w:rFonts w:hint="eastAsia" w:ascii="宋体" w:hAnsi="宋体" w:eastAsia="宋体" w:cs="宋体"/>
                <w:color w:val="auto"/>
                <w:szCs w:val="21"/>
                <w:highlight w:val="none"/>
              </w:rPr>
              <w:t>）</w:t>
            </w:r>
          </w:p>
          <w:p w14:paraId="0DEB92F1">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5.商务要求偏离表（格式后附）；（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7B5ED4D6">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6.售后服务承诺（格式自拟）；（</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2FD3DB9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7.投标人情况介绍（格式自拟）；（如有请提供）</w:t>
            </w:r>
          </w:p>
          <w:p w14:paraId="454541D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8.投标人业绩证明材料（格式后附）；（如有请提供）</w:t>
            </w:r>
          </w:p>
          <w:p w14:paraId="77D45C3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9.除招标文件规定必须提供以外，投标人认为需要提供的其他证明材料（格式自拟）。（投标人根据“第二章 采购需求”及“第四章 评标方法及评标标准”提供有关证明材料）。（如有请提供）</w:t>
            </w:r>
          </w:p>
          <w:p w14:paraId="49A1B821">
            <w:pPr>
              <w:pStyle w:val="35"/>
              <w:keepNext w:val="0"/>
              <w:keepLines w:val="0"/>
              <w:pageBreakBefore w:val="0"/>
              <w:widowControl w:val="0"/>
              <w:kinsoku/>
              <w:overflowPunct/>
              <w:topLinePunct w:val="0"/>
              <w:bidi w:val="0"/>
              <w:spacing w:line="4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技术文件：</w:t>
            </w:r>
          </w:p>
          <w:p w14:paraId="1200E2E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1.技术要求偏离表（格式后附）；（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393C792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2.服务实施方案（格式自拟）；（</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2D156BCD">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3.项目实施人员一览表（格式后附）；（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60CB34B6">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4.投标人对本项目的合理化建议和改进措施（格式自拟）；（如有请提供）</w:t>
            </w:r>
          </w:p>
          <w:p w14:paraId="1CC3440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5.除招标文件规定必须提供以外，投标人认为需要提供的其他证明材料（格式自拟）。（投标人根据“第二章 采购需求”及“第四章 评标方法及评标标准”提供有关证明材料）。（如有请提供）</w:t>
            </w:r>
          </w:p>
          <w:p w14:paraId="70006B5E">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注：1.以上标明“必须提供”的材料的，必须加盖投标人电子签章，否则按无效投标处理；</w:t>
            </w:r>
          </w:p>
          <w:p w14:paraId="412D88A6">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2.联合体投标时，盖章处须加盖联合体牵头人电子签章，规定签字处签字（或者电子签名），否则响应文件按无效处理。</w:t>
            </w:r>
          </w:p>
        </w:tc>
      </w:tr>
      <w:tr w14:paraId="7FD8F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22E6087">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84" w:name="_13.4"/>
            <w:bookmarkEnd w:id="84"/>
            <w:bookmarkStart w:id="85" w:name="_16.2"/>
            <w:bookmarkEnd w:id="85"/>
            <w:bookmarkStart w:id="86" w:name="_13.5"/>
            <w:bookmarkEnd w:id="86"/>
            <w:r>
              <w:rPr>
                <w:rFonts w:hint="eastAsia" w:ascii="宋体" w:hAnsi="宋体" w:eastAsia="宋体" w:cs="宋体"/>
                <w:color w:val="auto"/>
                <w:szCs w:val="21"/>
                <w:highlight w:val="none"/>
              </w:rPr>
              <w:t>16</w:t>
            </w:r>
            <w:bookmarkStart w:id="87" w:name="_Hlt19693758"/>
            <w:bookmarkStart w:id="88" w:name="_Hlt19194067"/>
            <w:bookmarkStart w:id="89" w:name="_Hlt19693759"/>
            <w:bookmarkStart w:id="90" w:name="_Hlt19194066"/>
            <w:r>
              <w:rPr>
                <w:rFonts w:hint="eastAsia" w:ascii="宋体" w:hAnsi="宋体" w:eastAsia="宋体" w:cs="宋体"/>
                <w:color w:val="auto"/>
                <w:szCs w:val="21"/>
                <w:highlight w:val="none"/>
              </w:rPr>
              <w:t>.</w:t>
            </w:r>
            <w:bookmarkEnd w:id="87"/>
            <w:bookmarkEnd w:id="88"/>
            <w:bookmarkEnd w:id="89"/>
            <w:bookmarkEnd w:id="90"/>
            <w:r>
              <w:rPr>
                <w:rFonts w:hint="eastAsia" w:ascii="宋体" w:hAnsi="宋体" w:eastAsia="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4697360">
            <w:pPr>
              <w:keepNext w:val="0"/>
              <w:keepLines w:val="0"/>
              <w:pageBreakBefore w:val="0"/>
              <w:widowControl w:val="0"/>
              <w:kinsoku/>
              <w:overflowPunct/>
              <w:topLinePunct w:val="0"/>
              <w:bidi w:val="0"/>
              <w:snapToGrid w:val="0"/>
              <w:spacing w:line="400" w:lineRule="exact"/>
              <w:rPr>
                <w:rFonts w:hint="eastAsia" w:ascii="宋体" w:hAnsi="宋体" w:eastAsia="宋体" w:cs="宋体"/>
                <w:b/>
                <w:i/>
                <w:color w:val="auto"/>
                <w:szCs w:val="21"/>
                <w:highlight w:val="none"/>
              </w:rPr>
            </w:pPr>
            <w:r>
              <w:rPr>
                <w:rFonts w:hint="eastAsia" w:ascii="宋体" w:hAnsi="宋体" w:eastAsia="宋体" w:cs="宋体"/>
                <w:color w:val="auto"/>
                <w:szCs w:val="21"/>
                <w:highlight w:val="none"/>
              </w:rPr>
              <w:t>投标报价是履行合同的最终价格。</w:t>
            </w:r>
          </w:p>
        </w:tc>
      </w:tr>
      <w:tr w14:paraId="7190F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FB57B50">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1" w:name="_17.1"/>
            <w:bookmarkEnd w:id="91"/>
            <w:r>
              <w:rPr>
                <w:rFonts w:hint="eastAsia" w:ascii="宋体" w:hAnsi="宋体" w:eastAsia="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901EB02">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投标有效期：自投标截止之日起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w:t>
            </w:r>
          </w:p>
        </w:tc>
      </w:tr>
      <w:tr w14:paraId="1336E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4DDDCAD">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2" w:name="_18"/>
            <w:bookmarkEnd w:id="92"/>
            <w:r>
              <w:rPr>
                <w:rFonts w:hint="eastAsia" w:ascii="宋体" w:hAnsi="宋体" w:eastAsia="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D1B4750">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□本项目不收取投标保证金。</w:t>
            </w:r>
          </w:p>
          <w:p w14:paraId="4CE2C515">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☑本项目收取投标保证金，具体规定</w:t>
            </w:r>
            <w:r>
              <w:rPr>
                <w:rFonts w:hint="eastAsia" w:ascii="宋体" w:hAnsi="宋体" w:eastAsia="宋体" w:cs="宋体"/>
                <w:color w:val="auto"/>
                <w:szCs w:val="21"/>
                <w:highlight w:val="none"/>
                <w:lang w:val="en-US" w:eastAsia="zh-CN"/>
              </w:rPr>
              <w:t>如下：</w:t>
            </w:r>
          </w:p>
          <w:p w14:paraId="2112C72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投标保证金人民币</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single"/>
              </w:rPr>
              <w:t xml:space="preserve"> </w:t>
            </w:r>
            <w:r>
              <w:rPr>
                <w:rFonts w:hint="default" w:ascii="宋体" w:hAnsi="宋体" w:eastAsia="宋体" w:cs="宋体"/>
                <w:color w:val="auto"/>
                <w:kern w:val="0"/>
                <w:szCs w:val="21"/>
                <w:highlight w:val="none"/>
                <w:u w:val="single"/>
                <w:lang w:val="en-US" w:eastAsia="zh-CN"/>
              </w:rPr>
              <w:t>70000</w:t>
            </w:r>
            <w:r>
              <w:rPr>
                <w:rFonts w:hint="default" w:ascii="宋体" w:hAnsi="宋体" w:eastAsia="宋体" w:cs="宋体"/>
                <w:color w:val="auto"/>
                <w:kern w:val="0"/>
                <w:szCs w:val="21"/>
                <w:highlight w:val="none"/>
                <w:u w:val="single"/>
                <w:lang w:val="en-US"/>
              </w:rPr>
              <w:t>.00</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szCs w:val="21"/>
                <w:highlight w:val="none"/>
              </w:rPr>
              <w:t>元。</w:t>
            </w:r>
          </w:p>
          <w:p w14:paraId="2CA75B7D">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银行转账、支票、汇票、本票或者金融、担保机构出具的保函（包含电子保函），禁止采用现钞方式。采用银行转账方式的，在投标截止时间前从投标人账户交至指定账户并且到账【开户银行：</w:t>
            </w:r>
            <w:r>
              <w:rPr>
                <w:rFonts w:hint="eastAsia" w:ascii="宋体" w:hAnsi="宋体" w:eastAsia="宋体" w:cs="宋体"/>
                <w:color w:val="auto"/>
                <w:szCs w:val="21"/>
                <w:highlight w:val="none"/>
                <w:u w:val="single"/>
              </w:rPr>
              <w:t>招商银行南宁分行营业部</w:t>
            </w: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lang w:eastAsia="zh-CN"/>
              </w:rPr>
              <w:t>广西建设工程机电设备招标中心有限公司</w:t>
            </w:r>
            <w:r>
              <w:rPr>
                <w:rFonts w:hint="eastAsia" w:ascii="宋体" w:hAnsi="宋体" w:eastAsia="宋体" w:cs="宋体"/>
                <w:color w:val="auto"/>
                <w:szCs w:val="21"/>
                <w:highlight w:val="none"/>
              </w:rPr>
              <w:t>，银行账号：</w:t>
            </w:r>
            <w:r>
              <w:rPr>
                <w:rFonts w:hint="eastAsia" w:ascii="宋体" w:hAnsi="宋体" w:eastAsia="宋体" w:cs="宋体"/>
                <w:u w:val="single"/>
              </w:rPr>
              <w:t>7719 0142 3310 201</w:t>
            </w:r>
            <w:r>
              <w:rPr>
                <w:rFonts w:hint="eastAsia" w:ascii="宋体" w:hAnsi="宋体" w:eastAsia="宋体" w:cs="宋体"/>
                <w:color w:val="auto"/>
                <w:szCs w:val="21"/>
                <w:highlight w:val="none"/>
              </w:rPr>
              <w:t>】；采用支票、汇票、本票或者保函等方式的，在投标截止时间前，投标人必须递交单独密封的支票、汇票、本票或者保函原件。否则视为无效投标保证金。</w:t>
            </w:r>
          </w:p>
          <w:p w14:paraId="2DADA3F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20F6497A">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lang w:val="en-US" w:eastAsia="zh-CN"/>
              </w:rPr>
              <w:t>。</w:t>
            </w:r>
          </w:p>
          <w:p w14:paraId="4627ADC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出具的保函（包含电子保函）交纳方式的，投标人应将支票、汇票、本票或者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出具的保函（包含电子保函）的复印件作为投标保证金提交凭证，放置于商务及技术文件中，</w:t>
            </w:r>
            <w:r>
              <w:rPr>
                <w:rFonts w:hint="eastAsia" w:ascii="宋体" w:hAnsi="宋体" w:eastAsia="宋体" w:cs="宋体"/>
                <w:b/>
                <w:bCs/>
                <w:color w:val="auto"/>
                <w:szCs w:val="21"/>
                <w:highlight w:val="none"/>
              </w:rPr>
              <w:t>否则投标无效</w:t>
            </w:r>
            <w:r>
              <w:rPr>
                <w:rFonts w:hint="eastAsia" w:ascii="宋体" w:hAnsi="宋体" w:eastAsia="宋体" w:cs="宋体"/>
                <w:color w:val="auto"/>
                <w:szCs w:val="21"/>
                <w:highlight w:val="none"/>
              </w:rPr>
              <w:t>。投标人必须在投标截止时间前采用现场或邮寄方式（现场提交地址：广西壮族自治区公共资源交易中心（广西南宁市青秀区</w:t>
            </w:r>
            <w:r>
              <w:rPr>
                <w:rFonts w:hint="eastAsia" w:ascii="宋体" w:hAnsi="宋体" w:eastAsia="宋体" w:cs="宋体"/>
                <w:color w:val="auto"/>
                <w:szCs w:val="21"/>
                <w:highlight w:val="none"/>
                <w:lang w:eastAsia="zh-CN"/>
              </w:rPr>
              <w:t>星湖路22号开标楼</w:t>
            </w:r>
            <w:r>
              <w:rPr>
                <w:rFonts w:hint="eastAsia" w:ascii="宋体" w:hAnsi="宋体" w:eastAsia="宋体" w:cs="宋体"/>
                <w:color w:val="auto"/>
                <w:szCs w:val="21"/>
                <w:highlight w:val="none"/>
              </w:rPr>
              <w:t>）（具体根据开标当日电子屏幕显示的安排）；邮寄地址：</w:t>
            </w:r>
            <w:r>
              <w:rPr>
                <w:rFonts w:hint="eastAsia" w:ascii="宋体" w:hAnsi="宋体" w:eastAsia="宋体" w:cs="宋体"/>
                <w:color w:val="auto"/>
                <w:szCs w:val="21"/>
                <w:highlight w:val="none"/>
                <w:lang w:eastAsia="zh-CN"/>
              </w:rPr>
              <w:t>南宁市青秀区枫林路18号广西国控集团（枫林路办公区）裙楼三层</w:t>
            </w:r>
            <w:r>
              <w:rPr>
                <w:rFonts w:hint="eastAsia" w:ascii="宋体" w:hAnsi="宋体" w:eastAsia="宋体" w:cs="宋体"/>
                <w:color w:val="auto"/>
                <w:szCs w:val="21"/>
                <w:highlight w:val="none"/>
              </w:rPr>
              <w:t>，收件人：</w:t>
            </w:r>
            <w:r>
              <w:rPr>
                <w:rFonts w:hint="eastAsia" w:ascii="宋体" w:hAnsi="宋体" w:eastAsia="宋体" w:cs="宋体"/>
                <w:color w:val="auto"/>
                <w:szCs w:val="21"/>
                <w:highlight w:val="none"/>
                <w:lang w:val="en-US" w:eastAsia="zh-CN"/>
              </w:rPr>
              <w:t>杨小凤</w:t>
            </w:r>
            <w:r>
              <w:rPr>
                <w:rFonts w:hint="eastAsia" w:ascii="宋体" w:hAnsi="宋体" w:eastAsia="宋体" w:cs="宋体"/>
                <w:color w:val="auto"/>
                <w:szCs w:val="21"/>
                <w:highlight w:val="none"/>
              </w:rPr>
              <w:t>，联系方式：0771-</w:t>
            </w:r>
            <w:r>
              <w:rPr>
                <w:rFonts w:hint="eastAsia" w:ascii="宋体" w:hAnsi="宋体" w:eastAsia="宋体" w:cs="宋体"/>
                <w:color w:val="auto"/>
                <w:szCs w:val="21"/>
                <w:highlight w:val="none"/>
                <w:lang w:val="en-US" w:eastAsia="zh-CN"/>
              </w:rPr>
              <w:t>2810302</w:t>
            </w:r>
            <w:r>
              <w:rPr>
                <w:rFonts w:hint="eastAsia" w:ascii="宋体" w:hAnsi="宋体" w:eastAsia="宋体" w:cs="宋体"/>
                <w:color w:val="auto"/>
                <w:szCs w:val="21"/>
                <w:highlight w:val="none"/>
              </w:rPr>
              <w:t>）将单独密封的支票、汇票、本票或者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出具的保函原件提交给采购人或者采购代理机构，未按时提交的，投标无效，由采购人或者采购代理机构向投标人出具回执（邮寄方式的除外），并妥善保管。</w:t>
            </w:r>
          </w:p>
          <w:p w14:paraId="74F55EE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投标人为联合体的，可以由联合体中的一方或者多方共同交纳投标保证金，其交纳的保证金对联合体各方均具有约束力。</w:t>
            </w:r>
          </w:p>
          <w:p w14:paraId="0A0294F1">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备注： </w:t>
            </w:r>
          </w:p>
          <w:p w14:paraId="41172D25">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1.投标保证金在投标截止时间后提交的，或者不按规定交纳方式交纳的，或者未足额交纳的（包含保函额度不足的），视为无效投标保证金。</w:t>
            </w:r>
          </w:p>
          <w:p w14:paraId="64B492CC">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2.投标人采用现钞方式或者从个人账户（自然人投标除外）转出的投标保证金，视为无效投标保证金。</w:t>
            </w:r>
          </w:p>
          <w:p w14:paraId="60831C2B">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3.支票、汇票或者本票出现无效或者背书情形的，视为无效投标保证金。</w:t>
            </w:r>
          </w:p>
          <w:p w14:paraId="4FF952CE">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4.保函有效期低于投标有效期的，视为无效投标保证金。</w:t>
            </w:r>
          </w:p>
          <w:p w14:paraId="41987F63">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szCs w:val="21"/>
                <w:highlight w:val="none"/>
              </w:rPr>
              <w:t>5.采用</w:t>
            </w:r>
            <w:r>
              <w:rPr>
                <w:rFonts w:hint="eastAsia" w:ascii="宋体" w:hAnsi="宋体" w:cs="宋体"/>
                <w:b/>
                <w:bCs/>
                <w:color w:val="auto"/>
                <w:szCs w:val="21"/>
                <w:highlight w:val="none"/>
                <w:lang w:eastAsia="zh-CN"/>
              </w:rPr>
              <w:t>金融、担保机构</w:t>
            </w:r>
            <w:r>
              <w:rPr>
                <w:rFonts w:hint="eastAsia" w:ascii="宋体" w:hAnsi="宋体" w:eastAsia="宋体" w:cs="宋体"/>
                <w:b/>
                <w:bCs/>
                <w:color w:val="auto"/>
                <w:szCs w:val="21"/>
                <w:highlight w:val="none"/>
              </w:rPr>
              <w:t>出具保函的，必须为无条件保函，否则视为无效投标保证金。</w:t>
            </w:r>
          </w:p>
        </w:tc>
      </w:tr>
      <w:tr w14:paraId="60F89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6FCDF2F">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3" w:name="_21.1"/>
            <w:bookmarkEnd w:id="93"/>
            <w:bookmarkStart w:id="94" w:name="_19.2"/>
            <w:bookmarkEnd w:id="94"/>
            <w:r>
              <w:rPr>
                <w:rFonts w:hint="eastAsia" w:ascii="宋体" w:hAnsi="宋体" w:eastAsia="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434AC3D">
            <w:pPr>
              <w:keepNext w:val="0"/>
              <w:keepLines w:val="0"/>
              <w:pageBreakBefore w:val="0"/>
              <w:widowControl w:val="0"/>
              <w:kinsoku/>
              <w:overflowPunct/>
              <w:topLinePunct w:val="0"/>
              <w:autoSpaceDE w:val="0"/>
              <w:autoSpaceDN w:val="0"/>
              <w:bidi w:val="0"/>
              <w:adjustRightIn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本项目不接受电子备份投标文件 </w:t>
            </w:r>
          </w:p>
        </w:tc>
      </w:tr>
      <w:tr w14:paraId="7EF30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71707A2">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D48607B">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1.提交投标文件截止时间：详见招标公告</w:t>
            </w:r>
          </w:p>
          <w:p w14:paraId="5EC89F1B">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2.投标地点：详见招标公告</w:t>
            </w:r>
          </w:p>
        </w:tc>
      </w:tr>
      <w:tr w14:paraId="2FD8F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0F74E43">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5" w:name="_23"/>
            <w:bookmarkEnd w:id="95"/>
            <w:r>
              <w:rPr>
                <w:rFonts w:hint="eastAsia" w:ascii="宋体" w:hAnsi="宋体" w:eastAsia="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A547B09">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1.开标时间：详见招标公告</w:t>
            </w:r>
          </w:p>
          <w:p w14:paraId="3890D531">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2.开标地点：详见招标公告</w:t>
            </w:r>
          </w:p>
        </w:tc>
      </w:tr>
      <w:tr w14:paraId="5E769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97A44F0">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C1CEDF2">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电子投标文件解密时间：</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分钟</w:t>
            </w:r>
          </w:p>
        </w:tc>
      </w:tr>
      <w:tr w14:paraId="7B70F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6B6ECB9">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6" w:name="_25.3"/>
            <w:bookmarkEnd w:id="96"/>
            <w:r>
              <w:rPr>
                <w:rFonts w:hint="eastAsia" w:ascii="宋体" w:hAnsi="宋体" w:eastAsia="宋体" w:cs="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BC72524">
            <w:pPr>
              <w:keepNext w:val="0"/>
              <w:keepLines w:val="0"/>
              <w:pageBreakBefore w:val="0"/>
              <w:widowControl w:val="0"/>
              <w:kinsoku/>
              <w:wordWrap w:val="0"/>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采购人或者采购代理机构在资格审查结束前，对投标人进行信用查询。</w:t>
            </w:r>
          </w:p>
          <w:p w14:paraId="62A9AA03">
            <w:pPr>
              <w:keepNext w:val="0"/>
              <w:keepLines w:val="0"/>
              <w:pageBreakBefore w:val="0"/>
              <w:widowControl w:val="0"/>
              <w:kinsoku/>
              <w:wordWrap w:val="0"/>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查询渠道：“信用中国”网站（www.creditchina.gov.cn）、中国政府采购网（www.ccgp.gov.cn）。</w:t>
            </w:r>
          </w:p>
          <w:p w14:paraId="76E1F797">
            <w:pPr>
              <w:keepNext w:val="0"/>
              <w:keepLines w:val="0"/>
              <w:pageBreakBefore w:val="0"/>
              <w:widowControl w:val="0"/>
              <w:kinsoku/>
              <w:wordWrap w:val="0"/>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信用查询截止时点：资格审查结束前</w:t>
            </w:r>
          </w:p>
          <w:p w14:paraId="61901215">
            <w:pPr>
              <w:keepNext w:val="0"/>
              <w:keepLines w:val="0"/>
              <w:pageBreakBefore w:val="0"/>
              <w:widowControl w:val="0"/>
              <w:kinsoku/>
              <w:wordWrap w:val="0"/>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查询记录和证据留存方式：在查询网站中直接截图查询记录，截图作为在广西政府采购云平台（</w:t>
            </w:r>
            <w:r>
              <w:rPr>
                <w:rFonts w:hint="eastAsia" w:ascii="宋体" w:hAnsi="宋体" w:eastAsia="宋体" w:cs="宋体"/>
                <w:bCs/>
                <w:color w:val="auto"/>
                <w:szCs w:val="21"/>
                <w:highlight w:val="none"/>
              </w:rPr>
              <w:t>https://www.gcy.zfcg.gxzf.gov.cn/</w:t>
            </w:r>
            <w:r>
              <w:rPr>
                <w:rFonts w:hint="eastAsia" w:ascii="宋体" w:hAnsi="宋体" w:eastAsia="宋体" w:cs="宋体"/>
                <w:color w:val="auto"/>
                <w:szCs w:val="21"/>
                <w:highlight w:val="none"/>
              </w:rPr>
              <w:t>）作为附件上传保存。</w:t>
            </w:r>
          </w:p>
          <w:p w14:paraId="4E6B1C2C">
            <w:pPr>
              <w:keepNext w:val="0"/>
              <w:keepLines w:val="0"/>
              <w:pageBreakBefore w:val="0"/>
              <w:widowControl w:val="0"/>
              <w:kinsoku/>
              <w:wordWrap w:val="0"/>
              <w:overflowPunct/>
              <w:topLinePunct w:val="0"/>
              <w:bidi w:val="0"/>
              <w:snapToGrid w:val="0"/>
              <w:spacing w:line="4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5F9D6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AE994B8">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7" w:name="_26"/>
            <w:bookmarkEnd w:id="97"/>
            <w:r>
              <w:rPr>
                <w:rFonts w:hint="eastAsia" w:ascii="宋体" w:hAnsi="宋体" w:eastAsia="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8FA585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评标委员会的人数：</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人</w:t>
            </w:r>
          </w:p>
        </w:tc>
      </w:tr>
      <w:tr w14:paraId="48764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ECD0E51">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8" w:name="_28.3"/>
            <w:bookmarkEnd w:id="98"/>
            <w:r>
              <w:rPr>
                <w:rFonts w:hint="eastAsia" w:ascii="宋体" w:hAnsi="宋体" w:eastAsia="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1ECEC20">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评标方法：综合评分法</w:t>
            </w:r>
          </w:p>
        </w:tc>
      </w:tr>
      <w:tr w14:paraId="74116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5D6577A">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9" w:name="_29.2.2（2）"/>
            <w:bookmarkEnd w:id="99"/>
            <w:r>
              <w:rPr>
                <w:rFonts w:hint="eastAsia" w:ascii="宋体" w:hAnsi="宋体" w:eastAsia="宋体" w:cs="宋体"/>
                <w:color w:val="auto"/>
                <w:szCs w:val="21"/>
                <w:highlight w:val="none"/>
              </w:rPr>
              <w:t>29.2</w:t>
            </w:r>
          </w:p>
        </w:tc>
        <w:tc>
          <w:tcPr>
            <w:tcW w:w="8175" w:type="dxa"/>
            <w:tcBorders>
              <w:top w:val="single" w:color="auto" w:sz="4" w:space="0"/>
              <w:left w:val="single" w:color="auto" w:sz="4" w:space="0"/>
              <w:right w:val="single" w:color="auto" w:sz="4" w:space="0"/>
            </w:tcBorders>
            <w:noWrap w:val="0"/>
            <w:vAlign w:val="center"/>
          </w:tcPr>
          <w:p w14:paraId="5F2335A7">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商务要求评审中允许负偏离的条款数为</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项。</w:t>
            </w:r>
          </w:p>
          <w:p w14:paraId="19E27568">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技术要求评审中允许负偏离的条款数为</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项。</w:t>
            </w:r>
          </w:p>
        </w:tc>
      </w:tr>
      <w:tr w14:paraId="0FEC4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7D56B117">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1936453F">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中标候选人推荐数量：</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名</w:t>
            </w:r>
          </w:p>
        </w:tc>
      </w:tr>
      <w:tr w14:paraId="10724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49097F0">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9417A5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采用综合评分法的采购项目，采购人确定中标人时，出现中标候选人并列的情形，采购人按以下的方式确定中标人：</w:t>
            </w:r>
            <w:r>
              <w:rPr>
                <w:rFonts w:hint="eastAsia" w:ascii="宋体" w:hAnsi="宋体" w:eastAsia="宋体" w:cs="宋体"/>
                <w:iCs/>
                <w:color w:val="auto"/>
                <w:szCs w:val="21"/>
                <w:highlight w:val="none"/>
              </w:rPr>
              <w:t>依次按投标报价低的优先、投标报价评分得分高的优先、服务方案评分高的顺序确定；按上述方式无法确定的，由采购人随机抽取。</w:t>
            </w:r>
          </w:p>
        </w:tc>
      </w:tr>
      <w:tr w14:paraId="5BC79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FDDEBB7">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100" w:name="_39.1"/>
            <w:bookmarkEnd w:id="100"/>
            <w:r>
              <w:rPr>
                <w:rFonts w:hint="eastAsia" w:ascii="宋体" w:hAnsi="宋体" w:eastAsia="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CBA3053">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sym w:font="Wingdings 2" w:char="0052"/>
            </w:r>
            <w:r>
              <w:rPr>
                <w:rFonts w:hint="eastAsia" w:ascii="宋体" w:hAnsi="宋体" w:eastAsia="宋体" w:cs="宋体"/>
                <w:color w:val="auto"/>
                <w:szCs w:val="21"/>
                <w:highlight w:val="none"/>
              </w:rPr>
              <w:t>本项目不收取履约保证金。</w:t>
            </w:r>
          </w:p>
          <w:p w14:paraId="15553B5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本项目收取履约保证金</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（若为中小企业，则收取中标金额的2%）</w:t>
            </w:r>
          </w:p>
          <w:p w14:paraId="1E49CC38">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提交履约担保的时间：中标人收到中标通知书后7日内。</w:t>
            </w:r>
          </w:p>
          <w:p w14:paraId="34B8D5E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iCs/>
                <w:color w:val="auto"/>
                <w:szCs w:val="21"/>
                <w:highlight w:val="none"/>
                <w:lang w:eastAsia="zh-CN"/>
              </w:rPr>
            </w:pPr>
            <w:r>
              <w:rPr>
                <w:rFonts w:hint="eastAsia" w:ascii="宋体" w:hAnsi="宋体" w:eastAsia="宋体" w:cs="宋体"/>
                <w:color w:val="auto"/>
                <w:szCs w:val="21"/>
                <w:highlight w:val="none"/>
                <w:lang w:eastAsia="zh-CN"/>
              </w:rPr>
              <w:t>履约保证金的形式为：银行转账、支票、汇票、本票或者金融、担保机构出具的保函等。合同履行完毕后（中标人未发生违约行为的）退还。如采用银行保函的，需事先报招标人核准。</w:t>
            </w:r>
          </w:p>
          <w:p w14:paraId="3D5C9AB9">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b/>
                <w:iCs/>
                <w:color w:val="auto"/>
                <w:szCs w:val="21"/>
                <w:highlight w:val="none"/>
              </w:rPr>
            </w:pPr>
            <w:r>
              <w:rPr>
                <w:rFonts w:hint="eastAsia" w:ascii="宋体" w:hAnsi="宋体" w:eastAsia="宋体" w:cs="宋体"/>
                <w:b/>
                <w:iCs/>
                <w:color w:val="auto"/>
                <w:szCs w:val="21"/>
                <w:highlight w:val="none"/>
              </w:rPr>
              <w:t>备注：</w:t>
            </w:r>
          </w:p>
          <w:p w14:paraId="5A415CFB">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b/>
                <w:iCs/>
                <w:color w:val="auto"/>
                <w:szCs w:val="21"/>
                <w:highlight w:val="none"/>
              </w:rPr>
            </w:pPr>
            <w:r>
              <w:rPr>
                <w:rFonts w:hint="eastAsia" w:ascii="宋体" w:hAnsi="宋体" w:eastAsia="宋体" w:cs="宋体"/>
                <w:b/>
                <w:iCs/>
                <w:color w:val="auto"/>
                <w:szCs w:val="21"/>
                <w:highlight w:val="none"/>
              </w:rPr>
              <w:t>1. 根据《广西壮族自治区财政厅关于贯彻落实政府采购优化营商环境百日攻坚行动方案的通知》（桂财采〔2020〕49号）规定、广西壮族自治区财政厅关于规范政府采购货物和服务项目保证金管理的通知（桂财规〔2022〕8号 ）和《广西壮族自治区财政厅关于持续优化政府采购营商环境推动高质量发展的通知》（桂财采〔2024〕55 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12302059">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b/>
                <w:iCs/>
                <w:color w:val="auto"/>
                <w:szCs w:val="21"/>
                <w:highlight w:val="none"/>
              </w:rPr>
            </w:pPr>
            <w:r>
              <w:rPr>
                <w:rFonts w:hint="eastAsia" w:ascii="宋体" w:hAnsi="宋体" w:eastAsia="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A87F6BA">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b/>
                <w:iCs/>
                <w:color w:val="auto"/>
                <w:szCs w:val="21"/>
                <w:highlight w:val="none"/>
              </w:rPr>
            </w:pPr>
            <w:r>
              <w:rPr>
                <w:rFonts w:hint="eastAsia" w:ascii="宋体" w:hAnsi="宋体" w:eastAsia="宋体" w:cs="宋体"/>
                <w:b/>
                <w:iCs/>
                <w:color w:val="auto"/>
                <w:szCs w:val="21"/>
                <w:highlight w:val="none"/>
              </w:rPr>
              <w:t>3.采用</w:t>
            </w:r>
            <w:r>
              <w:rPr>
                <w:rFonts w:hint="eastAsia" w:ascii="宋体" w:hAnsi="宋体" w:cs="宋体"/>
                <w:b/>
                <w:iCs/>
                <w:color w:val="auto"/>
                <w:szCs w:val="21"/>
                <w:highlight w:val="none"/>
                <w:lang w:eastAsia="zh-CN"/>
              </w:rPr>
              <w:t>金融、担保机构</w:t>
            </w:r>
            <w:r>
              <w:rPr>
                <w:rFonts w:hint="eastAsia" w:ascii="宋体" w:hAnsi="宋体" w:eastAsia="宋体" w:cs="宋体"/>
                <w:b/>
                <w:iCs/>
                <w:color w:val="auto"/>
                <w:szCs w:val="21"/>
                <w:highlight w:val="none"/>
              </w:rPr>
              <w:t>出具的保函的，必须为无条件保函，否则不予签订合同。</w:t>
            </w:r>
          </w:p>
          <w:p w14:paraId="00AA8D3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b/>
                <w:iCs/>
                <w:color w:val="auto"/>
                <w:szCs w:val="21"/>
                <w:highlight w:val="none"/>
              </w:rPr>
              <w:t>4.投标人为联合体的，由联合体其中一方按规定提交的履约保证金，视为有效履约保证金。</w:t>
            </w:r>
          </w:p>
        </w:tc>
      </w:tr>
      <w:tr w14:paraId="59438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87D01E8">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101" w:name="_40.1"/>
            <w:bookmarkEnd w:id="101"/>
            <w:r>
              <w:rPr>
                <w:rFonts w:hint="eastAsia" w:ascii="宋体" w:hAnsi="宋体" w:eastAsia="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116195B">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签订合同携带的证明材料：</w:t>
            </w:r>
          </w:p>
          <w:p w14:paraId="129DCB3D">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委托代理人负责签订合同的，须携带授权委托书及委托代理人身份证原件等其他资格证件。</w:t>
            </w:r>
          </w:p>
          <w:p w14:paraId="42F70AED">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法定代表人负责签订合同的，须携带法定代表人身份证明原件及身份证原件等其他证明材料。</w:t>
            </w:r>
          </w:p>
        </w:tc>
      </w:tr>
      <w:tr w14:paraId="1E672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B82152B">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5DE9BF1">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40A92E24">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w:t>
            </w:r>
            <w:r>
              <w:rPr>
                <w:rFonts w:hint="eastAsia" w:ascii="宋体" w:hAnsi="宋体" w:eastAsia="宋体" w:cs="宋体"/>
                <w:color w:val="auto"/>
                <w:szCs w:val="21"/>
                <w:highlight w:val="none"/>
                <w:lang w:val="en-US" w:eastAsia="zh-CN"/>
              </w:rPr>
              <w:t>2810302</w:t>
            </w: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广西南宁市青秀区枫林路18号广西国控大厦（枫林路办公区）裙楼三楼</w:t>
            </w:r>
            <w:r>
              <w:rPr>
                <w:rFonts w:hint="eastAsia" w:ascii="宋体" w:hAnsi="宋体" w:eastAsia="宋体" w:cs="宋体"/>
                <w:color w:val="auto"/>
                <w:szCs w:val="21"/>
                <w:highlight w:val="none"/>
              </w:rPr>
              <w:t>）</w:t>
            </w:r>
          </w:p>
          <w:p w14:paraId="1AE9193E">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业务时间：工作日每天上午8时30分到12时00分，下午</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0分到</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0分。</w:t>
            </w:r>
          </w:p>
        </w:tc>
      </w:tr>
      <w:tr w14:paraId="006A2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1835331">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102" w:name="_42"/>
            <w:bookmarkEnd w:id="102"/>
            <w:bookmarkStart w:id="103" w:name="_41"/>
            <w:bookmarkEnd w:id="103"/>
            <w:bookmarkStart w:id="104" w:name="_Hlt17709148"/>
            <w:r>
              <w:rPr>
                <w:rFonts w:hint="eastAsia" w:ascii="宋体" w:hAnsi="宋体" w:eastAsia="宋体" w:cs="宋体"/>
                <w:color w:val="auto"/>
                <w:szCs w:val="21"/>
                <w:highlight w:val="none"/>
              </w:rPr>
              <w:t>3</w:t>
            </w:r>
            <w:bookmarkEnd w:id="104"/>
            <w:r>
              <w:rPr>
                <w:rFonts w:hint="eastAsia" w:ascii="宋体" w:hAnsi="宋体" w:eastAsia="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C9744E1">
            <w:pPr>
              <w:pStyle w:val="20"/>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1.采购代理费支付方式：</w:t>
            </w:r>
          </w:p>
          <w:p w14:paraId="071A4E02">
            <w:pPr>
              <w:pStyle w:val="20"/>
              <w:snapToGrid w:val="0"/>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highlight w:val="none"/>
              </w:rPr>
              <w:t>本项目代理服务费由</w:t>
            </w:r>
            <w:r>
              <w:rPr>
                <w:rFonts w:hint="eastAsia" w:ascii="宋体" w:hAnsi="宋体" w:eastAsia="宋体" w:cs="宋体"/>
                <w:color w:val="auto"/>
                <w:highlight w:val="none"/>
                <w:u w:val="single"/>
              </w:rPr>
              <w:t>中标人</w:t>
            </w:r>
            <w:r>
              <w:rPr>
                <w:rFonts w:hint="eastAsia" w:ascii="宋体" w:hAnsi="宋体" w:eastAsia="宋体" w:cs="宋体"/>
                <w:color w:val="auto"/>
                <w:highlight w:val="none"/>
              </w:rPr>
              <w:t>在领取中标通知书前，一次性向采购代理机构支付。</w:t>
            </w:r>
          </w:p>
          <w:p w14:paraId="4CD7A31A">
            <w:pPr>
              <w:pStyle w:val="20"/>
              <w:snapToGrid w:val="0"/>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□采购人支付。</w:t>
            </w:r>
            <w:r>
              <w:rPr>
                <w:rFonts w:hint="eastAsia" w:ascii="宋体" w:hAnsi="宋体" w:eastAsia="宋体" w:cs="宋体"/>
                <w:color w:val="auto"/>
                <w:highlight w:val="none"/>
                <w:lang w:val="en-US" w:eastAsia="zh-CN"/>
              </w:rPr>
              <w:t xml:space="preserve"> </w:t>
            </w:r>
          </w:p>
          <w:p w14:paraId="4299290B">
            <w:pPr>
              <w:pStyle w:val="20"/>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2.采购代理费收取标准：</w:t>
            </w:r>
          </w:p>
          <w:p w14:paraId="46F7F48E">
            <w:pPr>
              <w:pStyle w:val="20"/>
              <w:snapToGrid w:val="0"/>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highlight w:val="none"/>
              </w:rPr>
              <w:t>以分标（</w:t>
            </w:r>
            <w:r>
              <w:rPr>
                <w:rFonts w:hint="eastAsia" w:hAnsi="宋体" w:cs="宋体"/>
                <w:color w:val="auto"/>
                <w:highlight w:val="none"/>
                <w:lang w:eastAsia="zh-CN"/>
              </w:rPr>
              <w:t>□</w:t>
            </w:r>
            <w:r>
              <w:rPr>
                <w:rFonts w:hint="eastAsia" w:ascii="宋体" w:hAnsi="宋体" w:eastAsia="宋体" w:cs="宋体"/>
                <w:color w:val="auto"/>
                <w:highlight w:val="none"/>
              </w:rPr>
              <w:t>中标金额/</w:t>
            </w:r>
            <w:r>
              <w:rPr>
                <w:rFonts w:hint="eastAsia" w:hAnsi="宋体" w:cs="宋体"/>
                <w:color w:val="auto"/>
                <w:highlight w:val="none"/>
                <w:lang w:eastAsia="zh-CN"/>
              </w:rPr>
              <w:t>☑</w:t>
            </w:r>
            <w:r>
              <w:rPr>
                <w:rFonts w:hint="eastAsia" w:ascii="宋体" w:hAnsi="宋体" w:eastAsia="宋体" w:cs="宋体"/>
                <w:color w:val="auto"/>
                <w:highlight w:val="none"/>
              </w:rPr>
              <w:t>采购预算/□暂定中标金额/□其他</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）为计费额，按本须知正文第39.</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条规定的收费计算标准（</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highlight w:val="none"/>
              </w:rPr>
              <w:t>货物招标/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服务招标/□工程招标）采用差额定率累进法计算出收费基准价格，采购代理收费以（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收费基准价格/</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highlight w:val="none"/>
              </w:rPr>
              <w:t>收费基准价格下浮</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rPr>
              <w:t>/□收费基准价格上浮</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szCs w:val="21"/>
                <w:highlight w:val="none"/>
                <w:lang w:eastAsia="zh-CN"/>
              </w:rPr>
              <w:t>收取。</w:t>
            </w:r>
          </w:p>
          <w:p w14:paraId="66FB3C7D">
            <w:pPr>
              <w:pStyle w:val="20"/>
              <w:snapToGrid w:val="0"/>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□固定采购代理收费</w:t>
            </w:r>
            <w:r>
              <w:rPr>
                <w:rFonts w:hint="eastAsia" w:ascii="宋体" w:hAnsi="宋体" w:eastAsia="宋体" w:cs="宋体"/>
                <w:color w:val="auto"/>
                <w:highlight w:val="none"/>
                <w:u w:val="single"/>
              </w:rPr>
              <w:t xml:space="preserve">              。</w:t>
            </w:r>
          </w:p>
          <w:p w14:paraId="1ED70CC2">
            <w:pPr>
              <w:pStyle w:val="20"/>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3.广西建设工程机电设备招标中心有限公司 </w:t>
            </w:r>
          </w:p>
          <w:p w14:paraId="7FA99BFF">
            <w:pPr>
              <w:pStyle w:val="20"/>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开户银行：招商银行南宁分行营业部</w:t>
            </w:r>
          </w:p>
          <w:p w14:paraId="0F9F4747">
            <w:pPr>
              <w:pStyle w:val="20"/>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账    号：7719  0142  3310  201</w:t>
            </w:r>
          </w:p>
          <w:p w14:paraId="2900C06D">
            <w:pPr>
              <w:keepNext w:val="0"/>
              <w:keepLines w:val="0"/>
              <w:pageBreakBefore w:val="0"/>
              <w:kinsoku/>
              <w:overflowPunct/>
              <w:topLinePunct w:val="0"/>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（投标人转账时，须在银行转账底单上备注标识如“【</w:t>
            </w:r>
            <w:r>
              <w:rPr>
                <w:rFonts w:hint="eastAsia" w:ascii="宋体" w:hAnsi="宋体" w:eastAsia="宋体" w:cs="宋体"/>
                <w:color w:val="auto"/>
                <w:szCs w:val="21"/>
                <w:highlight w:val="none"/>
                <w:lang w:val="en-US" w:eastAsia="zh-CN"/>
              </w:rPr>
              <w:t>项目编号</w:t>
            </w:r>
            <w:r>
              <w:rPr>
                <w:rFonts w:hint="eastAsia" w:ascii="宋体" w:hAnsi="宋体" w:eastAsia="宋体" w:cs="宋体"/>
                <w:color w:val="auto"/>
                <w:highlight w:val="none"/>
              </w:rPr>
              <w:t>】代理服务费”）</w:t>
            </w:r>
          </w:p>
        </w:tc>
      </w:tr>
      <w:tr w14:paraId="7C3AE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E6EC0B4">
            <w:pPr>
              <w:keepNext w:val="0"/>
              <w:keepLines w:val="0"/>
              <w:pageBreakBefore w:val="0"/>
              <w:widowControl w:val="0"/>
              <w:kinsoku/>
              <w:overflowPunct/>
              <w:topLinePunct w:val="0"/>
              <w:bidi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326D83D">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B739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C40A52D">
            <w:pPr>
              <w:keepNext w:val="0"/>
              <w:keepLines w:val="0"/>
              <w:pageBreakBefore w:val="0"/>
              <w:widowControl w:val="0"/>
              <w:kinsoku/>
              <w:overflowPunct/>
              <w:topLinePunct w:val="0"/>
              <w:bidi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B9CFAC">
            <w:pPr>
              <w:pStyle w:val="20"/>
              <w:keepNext w:val="0"/>
              <w:keepLines w:val="0"/>
              <w:pageBreakBefore w:val="0"/>
              <w:widowControl w:val="0"/>
              <w:kinsoku/>
              <w:overflowPunct/>
              <w:topLinePunct w:val="0"/>
              <w:bidi w:val="0"/>
              <w:snapToGrid w:val="0"/>
              <w:spacing w:line="400" w:lineRule="exact"/>
              <w:rPr>
                <w:rFonts w:hint="eastAsia" w:ascii="宋体" w:hAnsi="宋体" w:eastAsia="宋体" w:cs="宋体"/>
                <w:bCs/>
                <w:color w:val="auto"/>
                <w:highlight w:val="none"/>
              </w:rPr>
            </w:pPr>
            <w:r>
              <w:rPr>
                <w:rFonts w:hint="eastAsia" w:ascii="宋体" w:hAnsi="宋体" w:eastAsia="宋体" w:cs="宋体"/>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508FE84">
            <w:pPr>
              <w:pStyle w:val="20"/>
              <w:keepNext w:val="0"/>
              <w:keepLines w:val="0"/>
              <w:pageBreakBefore w:val="0"/>
              <w:widowControl w:val="0"/>
              <w:kinsoku/>
              <w:overflowPunct/>
              <w:topLinePunct w:val="0"/>
              <w:bidi w:val="0"/>
              <w:snapToGrid w:val="0"/>
              <w:spacing w:line="400" w:lineRule="exact"/>
              <w:rPr>
                <w:rFonts w:hint="eastAsia" w:ascii="宋体" w:hAnsi="宋体" w:eastAsia="宋体" w:cs="宋体"/>
                <w:bCs/>
                <w:color w:val="auto"/>
                <w:highlight w:val="none"/>
              </w:rPr>
            </w:pPr>
            <w:r>
              <w:rPr>
                <w:rFonts w:hint="eastAsia" w:ascii="宋体" w:hAnsi="宋体" w:eastAsia="宋体" w:cs="宋体"/>
                <w:bCs/>
                <w:color w:val="auto"/>
                <w:highlight w:val="none"/>
              </w:rPr>
              <w:t>2.本招标文件所称的“</w:t>
            </w:r>
            <w:r>
              <w:rPr>
                <w:rFonts w:hint="eastAsia" w:ascii="宋体" w:hAnsi="宋体" w:eastAsia="宋体" w:cs="宋体"/>
                <w:color w:val="auto"/>
                <w:highlight w:val="none"/>
              </w:rPr>
              <w:t>电子签章</w:t>
            </w:r>
            <w:r>
              <w:rPr>
                <w:rFonts w:hint="eastAsia" w:ascii="宋体" w:hAnsi="宋体" w:eastAsia="宋体" w:cs="宋体"/>
                <w:bCs/>
                <w:color w:val="auto"/>
                <w:highlight w:val="none"/>
              </w:rPr>
              <w:t>”、“电子签名”</w:t>
            </w:r>
            <w:r>
              <w:rPr>
                <w:rFonts w:hint="eastAsia" w:ascii="宋体" w:hAnsi="宋体" w:eastAsia="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3D770181">
            <w:pPr>
              <w:pStyle w:val="20"/>
              <w:keepNext w:val="0"/>
              <w:keepLines w:val="0"/>
              <w:pageBreakBefore w:val="0"/>
              <w:widowControl w:val="0"/>
              <w:kinsoku/>
              <w:overflowPunct/>
              <w:topLinePunct w:val="0"/>
              <w:bidi w:val="0"/>
              <w:snapToGrid w:val="0"/>
              <w:spacing w:line="400" w:lineRule="exact"/>
              <w:rPr>
                <w:rFonts w:hint="eastAsia" w:ascii="宋体" w:hAnsi="宋体" w:eastAsia="宋体" w:cs="宋体"/>
                <w:bCs/>
                <w:color w:val="auto"/>
                <w:highlight w:val="none"/>
              </w:rPr>
            </w:pPr>
            <w:r>
              <w:rPr>
                <w:rFonts w:hint="eastAsia" w:ascii="宋体" w:hAnsi="宋体" w:eastAsia="宋体" w:cs="宋体"/>
                <w:bCs/>
                <w:color w:val="auto"/>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797B3365">
            <w:pPr>
              <w:pStyle w:val="20"/>
              <w:keepNext w:val="0"/>
              <w:keepLines w:val="0"/>
              <w:pageBreakBefore w:val="0"/>
              <w:widowControl w:val="0"/>
              <w:kinsoku/>
              <w:overflowPunct/>
              <w:topLinePunct w:val="0"/>
              <w:bidi w:val="0"/>
              <w:snapToGrid w:val="0"/>
              <w:spacing w:line="400" w:lineRule="exact"/>
              <w:rPr>
                <w:rFonts w:hint="eastAsia" w:ascii="宋体" w:hAnsi="宋体" w:eastAsia="宋体" w:cs="宋体"/>
                <w:bCs/>
                <w:color w:val="auto"/>
                <w:highlight w:val="none"/>
              </w:rPr>
            </w:pPr>
            <w:r>
              <w:rPr>
                <w:rFonts w:hint="eastAsia" w:ascii="宋体" w:hAnsi="宋体" w:eastAsia="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2E53E3A3">
            <w:pPr>
              <w:keepNext w:val="0"/>
              <w:keepLines w:val="0"/>
              <w:pageBreakBefore w:val="0"/>
              <w:widowControl w:val="0"/>
              <w:kinsoku/>
              <w:overflowPunct/>
              <w:topLinePunct w:val="0"/>
              <w:bidi w:val="0"/>
              <w:spacing w:line="40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kern w:val="0"/>
                <w:szCs w:val="21"/>
                <w:highlight w:val="none"/>
              </w:rPr>
              <w:t>本招标文件所称的“以上”“以下”“以内”“届满”，包括本数；所称的“不满”“超过”“以外”，不包括本数。</w:t>
            </w:r>
          </w:p>
        </w:tc>
      </w:tr>
    </w:tbl>
    <w:p w14:paraId="340FACD9">
      <w:pPr>
        <w:snapToGrid w:val="0"/>
        <w:rPr>
          <w:rFonts w:hint="eastAsia" w:ascii="宋体" w:hAnsi="宋体" w:eastAsia="宋体" w:cs="宋体"/>
          <w:color w:val="auto"/>
          <w:sz w:val="24"/>
          <w:szCs w:val="20"/>
          <w:highlight w:val="none"/>
        </w:rPr>
      </w:pPr>
    </w:p>
    <w:p w14:paraId="0D36E2D9">
      <w:pPr>
        <w:snapToGrid w:val="0"/>
        <w:rPr>
          <w:rFonts w:hint="eastAsia" w:ascii="宋体" w:hAnsi="宋体" w:eastAsia="宋体" w:cs="宋体"/>
          <w:color w:val="auto"/>
          <w:sz w:val="24"/>
          <w:szCs w:val="20"/>
          <w:highlight w:val="none"/>
        </w:rPr>
      </w:pPr>
    </w:p>
    <w:p w14:paraId="424BB835">
      <w:pPr>
        <w:pStyle w:val="4"/>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05" w:name="_Toc21607"/>
      <w:bookmarkStart w:id="106" w:name="_Toc4106"/>
      <w:bookmarkStart w:id="107" w:name="_Toc978"/>
      <w:r>
        <w:rPr>
          <w:rFonts w:hint="eastAsia" w:ascii="宋体" w:hAnsi="宋体" w:eastAsia="宋体" w:cs="宋体"/>
          <w:color w:val="auto"/>
          <w:highlight w:val="none"/>
        </w:rPr>
        <w:t>投标人须知正文</w:t>
      </w:r>
      <w:bookmarkEnd w:id="105"/>
      <w:bookmarkEnd w:id="106"/>
      <w:bookmarkEnd w:id="107"/>
    </w:p>
    <w:p w14:paraId="4DD3A543">
      <w:pPr>
        <w:pStyle w:val="5"/>
        <w:keepNext w:val="0"/>
        <w:keepLines w:val="0"/>
        <w:jc w:val="center"/>
        <w:rPr>
          <w:rFonts w:hint="eastAsia" w:ascii="宋体" w:hAnsi="宋体" w:eastAsia="宋体" w:cs="宋体"/>
          <w:color w:val="auto"/>
          <w:highlight w:val="none"/>
        </w:rPr>
      </w:pPr>
      <w:bookmarkStart w:id="108" w:name="_Toc1149"/>
      <w:bookmarkStart w:id="109" w:name="_Toc7551"/>
      <w:r>
        <w:rPr>
          <w:rFonts w:hint="eastAsia" w:ascii="宋体" w:hAnsi="宋体" w:eastAsia="宋体" w:cs="宋体"/>
          <w:color w:val="auto"/>
          <w:highlight w:val="none"/>
        </w:rPr>
        <w:t>一、总  则</w:t>
      </w:r>
      <w:bookmarkEnd w:id="108"/>
      <w:bookmarkEnd w:id="109"/>
    </w:p>
    <w:p w14:paraId="362522F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10" w:name="_Toc254970668"/>
      <w:bookmarkStart w:id="111" w:name="_Toc254970527"/>
      <w:r>
        <w:rPr>
          <w:rFonts w:hint="eastAsia" w:ascii="宋体" w:hAnsi="宋体" w:eastAsia="宋体" w:cs="宋体"/>
          <w:b/>
          <w:color w:val="auto"/>
          <w:sz w:val="24"/>
          <w:highlight w:val="none"/>
        </w:rPr>
        <w:t>1.适用范围</w:t>
      </w:r>
      <w:bookmarkEnd w:id="110"/>
      <w:bookmarkEnd w:id="111"/>
    </w:p>
    <w:p w14:paraId="15FCCFB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756D73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1745CAF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12" w:name="_Toc254970669"/>
      <w:bookmarkStart w:id="113" w:name="_Toc254970528"/>
      <w:r>
        <w:rPr>
          <w:rFonts w:hint="eastAsia" w:ascii="宋体" w:hAnsi="宋体" w:eastAsia="宋体" w:cs="宋体"/>
          <w:b/>
          <w:color w:val="auto"/>
          <w:sz w:val="24"/>
          <w:highlight w:val="none"/>
        </w:rPr>
        <w:t>2.定义</w:t>
      </w:r>
      <w:bookmarkEnd w:id="112"/>
      <w:bookmarkEnd w:id="113"/>
    </w:p>
    <w:p w14:paraId="00990F6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17A068B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14:paraId="3C716C1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6B00011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2.4“投标人”是指响应招标、参加投标竞争的法人、其他组织或者自然人。</w:t>
      </w:r>
    </w:p>
    <w:p w14:paraId="3351948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2.5“服务”是指除货物和工程以外的其他政府采购对象。</w:t>
      </w:r>
    </w:p>
    <w:p w14:paraId="678D9DF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14:paraId="6C8BFBB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2.7“实质性要求”是指招标文件中已经指明不满足则投标无效的条款，或者不能负偏离的条款，或者采购需求中带“▲”的条款。</w:t>
      </w:r>
    </w:p>
    <w:p w14:paraId="31BC9AD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2.8“正偏离”，是指投标文件对招标文件“采购需求”中有关条款作出的响应优于条款要求并有利于采购人的情形。</w:t>
      </w:r>
    </w:p>
    <w:p w14:paraId="3579BC9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5A4ECB3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bookmarkStart w:id="114" w:name="_Toc254970670"/>
      <w:bookmarkStart w:id="115" w:name="_Toc254970529"/>
    </w:p>
    <w:p w14:paraId="19E1690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bookmarkEnd w:id="114"/>
      <w:bookmarkEnd w:id="115"/>
      <w:r>
        <w:rPr>
          <w:rFonts w:hint="eastAsia" w:ascii="宋体" w:hAnsi="宋体" w:eastAsia="宋体" w:cs="宋体"/>
          <w:b/>
          <w:color w:val="auto"/>
          <w:sz w:val="24"/>
          <w:highlight w:val="none"/>
        </w:rPr>
        <w:t>投标人的资格要求</w:t>
      </w:r>
    </w:p>
    <w:p w14:paraId="5DE320C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投标人的资格要求详见“投标人须知前附表”。</w:t>
      </w:r>
    </w:p>
    <w:p w14:paraId="0322A5B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16" w:name="_Toc254970530"/>
      <w:bookmarkStart w:id="117" w:name="_Toc254970671"/>
      <w:r>
        <w:rPr>
          <w:rFonts w:hint="eastAsia" w:ascii="宋体" w:hAnsi="宋体" w:eastAsia="宋体" w:cs="宋体"/>
          <w:b/>
          <w:color w:val="auto"/>
          <w:sz w:val="24"/>
          <w:highlight w:val="none"/>
        </w:rPr>
        <w:t>4.投标委托</w:t>
      </w:r>
      <w:bookmarkEnd w:id="116"/>
      <w:bookmarkEnd w:id="117"/>
    </w:p>
    <w:p w14:paraId="6DCC8BF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投标人代表参加投标活动过程中必须携带个人有效身份证件。如投标人代表不是法定代表人，须持有授权委托书（按第六章要求格式填写）。</w:t>
      </w:r>
    </w:p>
    <w:p w14:paraId="5DC83A0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18" w:name="_5.投标费用"/>
      <w:bookmarkEnd w:id="118"/>
      <w:bookmarkStart w:id="119" w:name="_Toc254970531"/>
      <w:bookmarkStart w:id="120" w:name="_Toc254970672"/>
      <w:r>
        <w:rPr>
          <w:rFonts w:hint="eastAsia" w:ascii="宋体" w:hAnsi="宋体" w:eastAsia="宋体" w:cs="宋体"/>
          <w:b/>
          <w:color w:val="auto"/>
          <w:sz w:val="24"/>
          <w:highlight w:val="none"/>
        </w:rPr>
        <w:t>5.投标费用</w:t>
      </w:r>
      <w:bookmarkEnd w:id="119"/>
      <w:bookmarkEnd w:id="120"/>
    </w:p>
    <w:p w14:paraId="71CC7C2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FDA8B9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6.联合体投标</w:t>
      </w:r>
    </w:p>
    <w:p w14:paraId="6D7A434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35CAF9D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1BB26CE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6.3</w:t>
      </w:r>
      <w:r>
        <w:rPr>
          <w:rFonts w:hint="eastAsia" w:ascii="宋体" w:hAnsi="宋体" w:eastAsia="宋体" w:cs="宋体"/>
          <w:color w:val="auto"/>
          <w:szCs w:val="21"/>
          <w:highlight w:val="none"/>
        </w:rPr>
        <w:t>根据《政府采购促进中小企业发展管理办法》（财库〔2020〕46号）第九条第二款、《财政部关于进一步加大政府采购支持中小企业力度的通知》（财库〔2022〕19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69E5880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7.转包与分包</w:t>
      </w:r>
    </w:p>
    <w:p w14:paraId="3AA5052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bookmarkStart w:id="121" w:name="_Toc254970673"/>
      <w:bookmarkStart w:id="122" w:name="_Toc254970532"/>
      <w:r>
        <w:rPr>
          <w:rFonts w:hint="eastAsia" w:ascii="宋体" w:hAnsi="宋体" w:eastAsia="宋体" w:cs="宋体"/>
          <w:color w:val="auto"/>
          <w:szCs w:val="21"/>
          <w:highlight w:val="none"/>
        </w:rPr>
        <w:t>7.1本项目不允许转包。</w:t>
      </w:r>
    </w:p>
    <w:p w14:paraId="66AAAD7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A3C948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5D08AC4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8.特别说明</w:t>
      </w:r>
      <w:bookmarkEnd w:id="121"/>
      <w:bookmarkEnd w:id="122"/>
    </w:p>
    <w:p w14:paraId="0D9F695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2E414D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8.2投标人应仔细阅读招标文件的所有内容，按照招标文件的要求提交投标文件，并对所提供的全部资料的真实性承担法律责任。</w:t>
      </w:r>
    </w:p>
    <w:p w14:paraId="645447D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7C150FE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9.回避与串通投标</w:t>
      </w:r>
    </w:p>
    <w:p w14:paraId="62A66E1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9.1在政府采购活动中，采购人员及相关人员与供应商有下列利害关系之一的，应当回避：</w:t>
      </w:r>
    </w:p>
    <w:p w14:paraId="0EBF2FC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69C107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5591A05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D74439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52D4D4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416D258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9683023">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9.2有下列情形之一的视为投标人相互串通投标，投标文件将被视为无效：</w:t>
      </w:r>
    </w:p>
    <w:p w14:paraId="373B44F4">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015FF2F1">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（2）不同投标人委托同一单位或者个人办理投标事宜；</w:t>
      </w:r>
    </w:p>
    <w:p w14:paraId="25F37CB7">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（3）不同的投标人的投标文件载明的项目管理员为同一个人；</w:t>
      </w:r>
    </w:p>
    <w:p w14:paraId="7E16CAF0">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（4）不同投标人的投标文件异常一致或者投标报价呈规律性差异；</w:t>
      </w:r>
    </w:p>
    <w:p w14:paraId="60F10789">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（5）不同投标人的投标文件相互混装；</w:t>
      </w:r>
    </w:p>
    <w:p w14:paraId="1AEBFDCA">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（6）不同投标人的投标保证金从同一单位或者个人账户转出。</w:t>
      </w:r>
    </w:p>
    <w:p w14:paraId="4BA68C1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29A08C7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（1）供应商直接或者间接从采购人或者采购代理机构处获得其他供应商的相关信息并修改其投标文件或者响应文件；</w:t>
      </w:r>
    </w:p>
    <w:p w14:paraId="4718CAB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（2）供应商按照采购人或者采购代理机构的授意撤换、修改投标文件或者响应文件；</w:t>
      </w:r>
    </w:p>
    <w:p w14:paraId="58FFE29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（3）供应商之间协商报价、技术方案等投标文件或者响应文件的实质性内容；</w:t>
      </w:r>
    </w:p>
    <w:p w14:paraId="65A8775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0942AAA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0881AF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（6）供应商之间商定部分供应商放弃参加政府采购活动或者放弃中标；</w:t>
      </w:r>
    </w:p>
    <w:p w14:paraId="4EDB61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（7）供应商与采购人或者采购代理机构之间、供应商相互之间，为谋求特定供应商中标或者排斥其他供应商的其他串通行为。</w:t>
      </w:r>
    </w:p>
    <w:p w14:paraId="61AD04B1">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rPr>
      </w:pPr>
      <w:bookmarkStart w:id="123" w:name="_Toc30666"/>
      <w:bookmarkStart w:id="124" w:name="_Toc254970675"/>
      <w:bookmarkStart w:id="125" w:name="_Toc16733"/>
      <w:bookmarkStart w:id="126" w:name="_Toc254970534"/>
      <w:r>
        <w:rPr>
          <w:rFonts w:hint="eastAsia" w:ascii="宋体" w:hAnsi="宋体" w:eastAsia="宋体" w:cs="宋体"/>
          <w:color w:val="auto"/>
          <w:highlight w:val="none"/>
        </w:rPr>
        <w:t>二、招标文件</w:t>
      </w:r>
      <w:bookmarkEnd w:id="123"/>
      <w:bookmarkEnd w:id="124"/>
      <w:bookmarkEnd w:id="125"/>
      <w:bookmarkEnd w:id="126"/>
    </w:p>
    <w:p w14:paraId="760496E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10.招标文件的组成</w:t>
      </w:r>
    </w:p>
    <w:p w14:paraId="7F321A48">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650BB7F3">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（2）采购需求； </w:t>
      </w:r>
    </w:p>
    <w:p w14:paraId="616C8EFA">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（3）投标人须知；</w:t>
      </w:r>
    </w:p>
    <w:p w14:paraId="4BBAEFE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（4）评标方法及评标标准；</w:t>
      </w:r>
    </w:p>
    <w:p w14:paraId="064F1802">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（5）拟签订的合同文本；</w:t>
      </w:r>
    </w:p>
    <w:p w14:paraId="459CE0BA">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14:paraId="084756C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11.招标文件的澄清、修改 、现场考察和答疑会</w:t>
      </w:r>
    </w:p>
    <w:p w14:paraId="7D3ABC2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B580D2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413244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11.2</w:t>
      </w:r>
      <w:bookmarkStart w:id="127" w:name="_Hlk53134511"/>
      <w:r>
        <w:rPr>
          <w:rFonts w:hint="eastAsia" w:ascii="宋体" w:hAnsi="宋体" w:eastAsia="宋体" w:cs="宋体"/>
          <w:color w:val="auto"/>
          <w:highlight w:val="none"/>
        </w:rPr>
        <w:t>采购人或者采购代理机构可以在招标文件提供期限截止后，组织已获取招标文件的潜在投标人现场考察或者召开开标前答疑会，具体详见“投标人须知前附表”。</w:t>
      </w:r>
      <w:bookmarkEnd w:id="127"/>
      <w:bookmarkStart w:id="128" w:name="_Toc254970535"/>
      <w:bookmarkStart w:id="129" w:name="_Toc254970676"/>
      <w:bookmarkStart w:id="130" w:name="_Toc28609"/>
      <w:bookmarkStart w:id="131" w:name="_Toc11493"/>
    </w:p>
    <w:p w14:paraId="5E6A9686">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三、投标文件的编制</w:t>
      </w:r>
      <w:bookmarkEnd w:id="128"/>
      <w:bookmarkEnd w:id="129"/>
      <w:bookmarkEnd w:id="130"/>
      <w:bookmarkEnd w:id="131"/>
    </w:p>
    <w:p w14:paraId="4D929DB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32" w:name="_Toc254970677"/>
      <w:bookmarkStart w:id="133" w:name="_Toc254970536"/>
      <w:r>
        <w:rPr>
          <w:rFonts w:hint="eastAsia" w:ascii="宋体" w:hAnsi="宋体" w:eastAsia="宋体" w:cs="宋体"/>
          <w:b/>
          <w:color w:val="auto"/>
          <w:sz w:val="24"/>
          <w:highlight w:val="none"/>
        </w:rPr>
        <w:t>12.投标文件的编制原则</w:t>
      </w:r>
    </w:p>
    <w:p w14:paraId="46055AE5">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投标人必须按照招标文件的要求编制投标文件。投标文件必须对招标文件提出的要求和条件作出明确响应。</w:t>
      </w:r>
    </w:p>
    <w:p w14:paraId="5910836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13.投标文件的组成</w:t>
      </w:r>
      <w:bookmarkEnd w:id="132"/>
      <w:bookmarkEnd w:id="133"/>
    </w:p>
    <w:p w14:paraId="29417FD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投标文件由报价文件、资格证明文件、商务及技术文件三部分组成。</w:t>
      </w:r>
    </w:p>
    <w:p w14:paraId="6057D67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bookmarkStart w:id="134" w:name="_13.1报价文件:_具体材料见“投标人须知前附表”。"/>
      <w:bookmarkEnd w:id="134"/>
      <w:r>
        <w:rPr>
          <w:rFonts w:hint="eastAsia" w:ascii="宋体" w:hAnsi="宋体" w:eastAsia="宋体" w:cs="宋体"/>
          <w:color w:val="auto"/>
          <w:szCs w:val="21"/>
          <w:highlight w:val="none"/>
        </w:rPr>
        <w:t>（1）报价文件：具体材料见“投标人须知前附表”。</w:t>
      </w:r>
    </w:p>
    <w:p w14:paraId="734FB93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bookmarkStart w:id="135" w:name="_13.2资格证明文件：具体材料见“投标人须知前附表”。"/>
      <w:bookmarkEnd w:id="135"/>
      <w:r>
        <w:rPr>
          <w:rFonts w:hint="eastAsia" w:ascii="宋体" w:hAnsi="宋体" w:eastAsia="宋体" w:cs="宋体"/>
          <w:color w:val="auto"/>
          <w:szCs w:val="21"/>
          <w:highlight w:val="none"/>
        </w:rPr>
        <w:t>（2）资格证明文件：具体材料见“投标人须知前附表”。</w:t>
      </w:r>
    </w:p>
    <w:p w14:paraId="0C481DE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bookmarkStart w:id="136" w:name="_13.3商务文件:_具体材料见“投标人须知前附表”。"/>
      <w:bookmarkEnd w:id="136"/>
      <w:r>
        <w:rPr>
          <w:rFonts w:hint="eastAsia" w:ascii="宋体" w:hAnsi="宋体" w:eastAsia="宋体" w:cs="宋体"/>
          <w:color w:val="auto"/>
          <w:szCs w:val="21"/>
          <w:highlight w:val="none"/>
        </w:rPr>
        <w:t>（3）商务及技术文件：具体材料见“投标人须知前附表”。</w:t>
      </w:r>
    </w:p>
    <w:p w14:paraId="3C172C3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37" w:name="_13.5投标文件电子版：具体材料见“投标人须知前附表”。"/>
      <w:bookmarkEnd w:id="137"/>
      <w:bookmarkStart w:id="138" w:name="_13.4技术文件：具体材料见“投标人须知前附表”。"/>
      <w:bookmarkEnd w:id="138"/>
      <w:bookmarkStart w:id="139" w:name="_Toc254970678"/>
      <w:bookmarkStart w:id="140" w:name="_Toc254970537"/>
      <w:r>
        <w:rPr>
          <w:rFonts w:hint="eastAsia" w:ascii="宋体" w:hAnsi="宋体" w:eastAsia="宋体" w:cs="宋体"/>
          <w:b/>
          <w:color w:val="auto"/>
          <w:sz w:val="24"/>
          <w:highlight w:val="none"/>
        </w:rPr>
        <w:t>14.投标文件的语言及计量</w:t>
      </w:r>
      <w:bookmarkEnd w:id="139"/>
      <w:bookmarkEnd w:id="140"/>
    </w:p>
    <w:p w14:paraId="6480FF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14.1语言文字</w:t>
      </w:r>
    </w:p>
    <w:p w14:paraId="6C829F9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579FA7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14.2投标计量单位</w:t>
      </w:r>
    </w:p>
    <w:p w14:paraId="40A4E1C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eastAsia="宋体" w:cs="宋体"/>
          <w:b/>
          <w:color w:val="auto"/>
          <w:szCs w:val="21"/>
          <w:highlight w:val="none"/>
        </w:rPr>
        <w:t>否则视同未响应</w:t>
      </w:r>
      <w:r>
        <w:rPr>
          <w:rFonts w:hint="eastAsia" w:ascii="宋体" w:hAnsi="宋体" w:eastAsia="宋体" w:cs="宋体"/>
          <w:color w:val="auto"/>
          <w:szCs w:val="21"/>
          <w:highlight w:val="none"/>
        </w:rPr>
        <w:t>。</w:t>
      </w:r>
    </w:p>
    <w:p w14:paraId="38DBFC4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15.投标的风险</w:t>
      </w:r>
    </w:p>
    <w:p w14:paraId="5EEFCC5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投标人没有按照招标文件要求提供全部资料，或者投标人没有对招标文件作出实质性响应是投标人的风险，并可能导致其投标被拒绝。</w:t>
      </w:r>
    </w:p>
    <w:p w14:paraId="3C61024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41" w:name="_Toc254970538"/>
      <w:bookmarkStart w:id="142" w:name="_Toc254970679"/>
      <w:r>
        <w:rPr>
          <w:rFonts w:hint="eastAsia" w:ascii="宋体" w:hAnsi="宋体" w:eastAsia="宋体" w:cs="宋体"/>
          <w:b/>
          <w:color w:val="auto"/>
          <w:sz w:val="24"/>
          <w:highlight w:val="none"/>
        </w:rPr>
        <w:t>16.投标报价</w:t>
      </w:r>
      <w:bookmarkEnd w:id="141"/>
      <w:bookmarkEnd w:id="142"/>
    </w:p>
    <w:p w14:paraId="3286A5B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16.1投标报价应按“第六章　投标文件格式”中“开标一览表”格式填写。</w:t>
      </w:r>
    </w:p>
    <w:p w14:paraId="64E2105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bookmarkStart w:id="143" w:name="_16.2投标报价具体定义见投标人须知前附表。"/>
      <w:bookmarkEnd w:id="143"/>
      <w:r>
        <w:rPr>
          <w:rFonts w:hint="eastAsia" w:ascii="宋体" w:hAnsi="宋体" w:eastAsia="宋体" w:cs="宋体"/>
          <w:color w:val="auto"/>
          <w:szCs w:val="21"/>
          <w:highlight w:val="none"/>
        </w:rPr>
        <w:t>16.2投标报价具体包括内容详见“投标人须知前附表”。</w:t>
      </w:r>
    </w:p>
    <w:p w14:paraId="3EB65DF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16.3投标人必须就所投每个分标的全部内容分别作完整唯一总价报价，不得存在漏项报价；投标人必须就所投分标的单项内容作唯一报价。</w:t>
      </w:r>
    </w:p>
    <w:p w14:paraId="11FB00B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17.投标有效期</w:t>
      </w:r>
    </w:p>
    <w:p w14:paraId="03A426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bookmarkStart w:id="144" w:name="_17.1投标有效期应按“投标人须知中的前附表”规定的期限。"/>
      <w:bookmarkEnd w:id="144"/>
      <w:r>
        <w:rPr>
          <w:rFonts w:hint="eastAsia" w:ascii="宋体" w:hAnsi="宋体" w:eastAsia="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619EAC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w:t>
      </w:r>
      <w:bookmarkStart w:id="145" w:name="_Toc254970540"/>
      <w:bookmarkStart w:id="146" w:name="_Toc254970681"/>
      <w:r>
        <w:rPr>
          <w:rFonts w:hint="eastAsia" w:ascii="宋体" w:hAnsi="宋体" w:eastAsia="宋体" w:cs="宋体"/>
          <w:color w:val="auto"/>
          <w:szCs w:val="21"/>
          <w:highlight w:val="none"/>
        </w:rPr>
        <w:t xml:space="preserve"> 投标有效期应按招标文件规定的期限作出承诺，具体详见“投标人须知前附表”。</w:t>
      </w:r>
      <w:r>
        <w:rPr>
          <w:rFonts w:hint="eastAsia" w:ascii="宋体" w:hAnsi="宋体" w:eastAsia="宋体" w:cs="宋体"/>
          <w:b/>
          <w:color w:val="auto"/>
          <w:szCs w:val="21"/>
          <w:highlight w:val="none"/>
        </w:rPr>
        <w:t>承诺的投标有效期低于招标文件规定期限的，按无效投标处理</w:t>
      </w:r>
      <w:r>
        <w:rPr>
          <w:rFonts w:hint="eastAsia" w:ascii="宋体" w:hAnsi="宋体" w:eastAsia="宋体" w:cs="宋体"/>
          <w:color w:val="auto"/>
          <w:szCs w:val="21"/>
          <w:highlight w:val="none"/>
        </w:rPr>
        <w:t>。</w:t>
      </w:r>
    </w:p>
    <w:p w14:paraId="32C029B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17.3投标人的投标文件在投标有效期内均保持有效。</w:t>
      </w:r>
      <w:bookmarkEnd w:id="145"/>
      <w:bookmarkEnd w:id="146"/>
    </w:p>
    <w:p w14:paraId="2ADDF5C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47" w:name="_18.投标保证金"/>
      <w:bookmarkEnd w:id="147"/>
      <w:bookmarkStart w:id="148" w:name="_Toc254970541"/>
      <w:bookmarkStart w:id="149" w:name="_Toc254970682"/>
      <w:r>
        <w:rPr>
          <w:rFonts w:hint="eastAsia" w:ascii="宋体" w:hAnsi="宋体" w:eastAsia="宋体" w:cs="宋体"/>
          <w:b/>
          <w:color w:val="auto"/>
          <w:sz w:val="24"/>
          <w:highlight w:val="none"/>
        </w:rPr>
        <w:t>18.投标保证金</w:t>
      </w:r>
      <w:bookmarkEnd w:id="148"/>
      <w:bookmarkEnd w:id="149"/>
    </w:p>
    <w:p w14:paraId="1C390E3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18.1投标人须按“投标人须知前附表” 的规定提交投标保证金。</w:t>
      </w:r>
    </w:p>
    <w:p w14:paraId="6F9C5CB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18.2投标保证金的退还</w:t>
      </w:r>
    </w:p>
    <w:p w14:paraId="3FAC6A5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未中标人的投标保证金自中标通知书发出之日起5个工作日内退还；中标人的投标保证金自政府采购合同签订之日起5个工作日内退还。 </w:t>
      </w:r>
    </w:p>
    <w:p w14:paraId="3CDC0A4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18.3除逾期退还投标保证金和终止招标的情形以外，投标保证金不计息。</w:t>
      </w:r>
    </w:p>
    <w:p w14:paraId="12B70D0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18.4投标人有下列情形之一的，投标保证金将不予退还：</w:t>
      </w:r>
    </w:p>
    <w:p w14:paraId="2CF4BC3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6B50B12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4B821D0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2866A65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4929B08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bookmarkStart w:id="150" w:name="_Toc254970542"/>
      <w:bookmarkStart w:id="151" w:name="_Toc254970683"/>
      <w:r>
        <w:rPr>
          <w:rFonts w:hint="eastAsia" w:ascii="宋体" w:hAnsi="宋体" w:eastAsia="宋体" w:cs="宋体"/>
          <w:color w:val="auto"/>
          <w:szCs w:val="21"/>
          <w:highlight w:val="none"/>
        </w:rPr>
        <w:t>（5）投标人出现本章第9.2、9.3情形的；</w:t>
      </w:r>
    </w:p>
    <w:p w14:paraId="4E03435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bookmarkEnd w:id="150"/>
    <w:bookmarkEnd w:id="151"/>
    <w:p w14:paraId="09B0AC5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19.投标文件的编制</w:t>
      </w:r>
    </w:p>
    <w:p w14:paraId="7612983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68B16D7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bookmarkStart w:id="152" w:name="_19.2投标文件应按报价文件、资格证明文件、商务文件、技术文件分别编制"/>
      <w:bookmarkEnd w:id="152"/>
      <w:r>
        <w:rPr>
          <w:rFonts w:hint="eastAsia" w:ascii="宋体" w:hAnsi="宋体" w:eastAsia="宋体" w:cs="宋体"/>
          <w:color w:val="auto"/>
          <w:highlight w:val="none"/>
        </w:rPr>
        <w:t>19.2为确保网上操作合法、有效和安全，投标人应当在投标截止时间前完成在广西政府采购云平台的身份认证，确保在电子投标过程中能够对相关数据电文进行加密和使用电子签章。</w:t>
      </w:r>
    </w:p>
    <w:p w14:paraId="3C256A0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19.3投标文件须由投标人在规定位置签字（或者电子签名）、盖章（具体以投标人须知前附表或投标文件格式规定为准），</w:t>
      </w:r>
      <w:r>
        <w:rPr>
          <w:rFonts w:hint="eastAsia" w:ascii="宋体" w:hAnsi="宋体" w:eastAsia="宋体" w:cs="宋体"/>
          <w:b/>
          <w:color w:val="auto"/>
          <w:highlight w:val="none"/>
        </w:rPr>
        <w:t>否则按无效投标处理</w:t>
      </w:r>
      <w:r>
        <w:rPr>
          <w:rFonts w:hint="eastAsia" w:ascii="宋体" w:hAnsi="宋体" w:eastAsia="宋体" w:cs="宋体"/>
          <w:color w:val="auto"/>
          <w:highlight w:val="none"/>
        </w:rPr>
        <w:t>。</w:t>
      </w:r>
    </w:p>
    <w:p w14:paraId="02CD4708">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eastAsia="宋体" w:cs="宋体"/>
          <w:b/>
          <w:color w:val="auto"/>
          <w:highlight w:val="none"/>
        </w:rPr>
        <w:t>否则按无效投标处理</w:t>
      </w:r>
      <w:r>
        <w:rPr>
          <w:rFonts w:hint="eastAsia" w:ascii="宋体" w:hAnsi="宋体" w:eastAsia="宋体" w:cs="宋体"/>
          <w:color w:val="auto"/>
          <w:highlight w:val="none"/>
        </w:rPr>
        <w:t>。</w:t>
      </w:r>
    </w:p>
    <w:p w14:paraId="682798F8">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A81EDF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20.电子备份投标文件</w:t>
      </w:r>
    </w:p>
    <w:p w14:paraId="3470D1D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电子备份投标文件是指通过“广西政府采购云电子投标客户端”在线编制生成且后缀名为“bfbs”的文件，是否接受电子备份投标文件详见“投标人须知前附表”。</w:t>
      </w:r>
    </w:p>
    <w:p w14:paraId="2FBECCE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21.投标文件的提交</w:t>
      </w:r>
    </w:p>
    <w:p w14:paraId="17876BA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color w:val="auto"/>
          <w:highlight w:val="none"/>
        </w:rPr>
      </w:pPr>
      <w:bookmarkStart w:id="153" w:name="_21.1投标人必须在“投标人须知中的前附表”规定的投标文件接收时间和投"/>
      <w:bookmarkEnd w:id="153"/>
      <w:r>
        <w:rPr>
          <w:rFonts w:hint="eastAsia" w:ascii="宋体" w:hAnsi="宋体" w:eastAsia="宋体" w:cs="宋体"/>
          <w:bCs/>
          <w:color w:val="auto"/>
          <w:szCs w:val="21"/>
          <w:highlight w:val="none"/>
        </w:rPr>
        <w:t>21.1投标人必须在“投标人须知前附表”规定的</w:t>
      </w:r>
      <w:r>
        <w:rPr>
          <w:rFonts w:hint="eastAsia" w:ascii="宋体" w:hAnsi="宋体" w:eastAsia="宋体" w:cs="宋体"/>
          <w:color w:val="auto"/>
          <w:szCs w:val="21"/>
          <w:highlight w:val="none"/>
        </w:rPr>
        <w:t>提交投标文件截止时间前将</w:t>
      </w:r>
      <w:r>
        <w:rPr>
          <w:rFonts w:hint="eastAsia" w:ascii="宋体" w:hAnsi="宋体" w:eastAsia="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eastAsia="宋体" w:cs="宋体"/>
          <w:b/>
          <w:color w:val="auto"/>
          <w:szCs w:val="21"/>
          <w:highlight w:val="none"/>
        </w:rPr>
        <w:t>广西政府采购云平台</w:t>
      </w:r>
      <w:r>
        <w:rPr>
          <w:rFonts w:hint="eastAsia" w:ascii="宋体" w:hAnsi="宋体" w:eastAsia="宋体" w:cs="宋体"/>
          <w:bCs/>
          <w:color w:val="auto"/>
          <w:szCs w:val="21"/>
          <w:highlight w:val="none"/>
        </w:rPr>
        <w:t>。</w:t>
      </w:r>
    </w:p>
    <w:p w14:paraId="3893382F">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21.2未在规定时间内提交或者未按照招标文件要求加密的电子投标文件，广西政府采购云平台将拒收。</w:t>
      </w:r>
    </w:p>
    <w:p w14:paraId="1141C98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投标文件的补充、修改、撤回与退回</w:t>
      </w:r>
    </w:p>
    <w:p w14:paraId="463AF75F">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bookmarkStart w:id="154" w:name="_Toc254970684"/>
      <w:bookmarkStart w:id="155" w:name="_Toc254970543"/>
      <w:r>
        <w:rPr>
          <w:rFonts w:hint="eastAsia" w:ascii="宋体" w:hAnsi="宋体" w:eastAsia="宋体" w:cs="宋体"/>
          <w:color w:val="auto"/>
          <w:szCs w:val="21"/>
          <w:highlight w:val="none"/>
        </w:rPr>
        <w:t>22.1</w:t>
      </w:r>
      <w:r>
        <w:rPr>
          <w:rFonts w:hint="eastAsia" w:ascii="宋体" w:hAnsi="宋体" w:eastAsia="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eastAsia="宋体" w:cs="宋体"/>
          <w:color w:val="auto"/>
          <w:szCs w:val="21"/>
          <w:highlight w:val="none"/>
        </w:rPr>
        <w:t>（补充、修改或者撤回方式可登录</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依次进入“服务中心”中查看 “电子投标文件制作与投送教程”）</w:t>
      </w:r>
    </w:p>
    <w:bookmarkEnd w:id="154"/>
    <w:bookmarkEnd w:id="155"/>
    <w:p w14:paraId="31D0385D">
      <w:pPr>
        <w:pStyle w:val="80"/>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54EC07C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22.3在投标截止时间后，采购人和采购代理机构对已提交的投标文件概不退回。</w:t>
      </w:r>
    </w:p>
    <w:p w14:paraId="6E1F7CDD">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rPr>
      </w:pPr>
      <w:bookmarkStart w:id="156" w:name="_Toc254970685"/>
      <w:bookmarkStart w:id="157" w:name="_Toc23160"/>
      <w:bookmarkStart w:id="158" w:name="_Toc21393"/>
      <w:bookmarkStart w:id="159" w:name="_Toc254970544"/>
      <w:r>
        <w:rPr>
          <w:rFonts w:hint="eastAsia" w:ascii="宋体" w:hAnsi="宋体" w:eastAsia="宋体" w:cs="宋体"/>
          <w:color w:val="auto"/>
          <w:highlight w:val="none"/>
        </w:rPr>
        <w:t>四、开  标</w:t>
      </w:r>
      <w:bookmarkEnd w:id="156"/>
      <w:bookmarkEnd w:id="157"/>
      <w:bookmarkEnd w:id="158"/>
      <w:bookmarkEnd w:id="159"/>
    </w:p>
    <w:p w14:paraId="09BC774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60" w:name="_23.开标时间和地点"/>
      <w:bookmarkEnd w:id="160"/>
      <w:r>
        <w:rPr>
          <w:rFonts w:hint="eastAsia" w:ascii="宋体" w:hAnsi="宋体" w:eastAsia="宋体" w:cs="宋体"/>
          <w:b/>
          <w:color w:val="auto"/>
          <w:sz w:val="24"/>
          <w:highlight w:val="none"/>
        </w:rPr>
        <w:t>23.开标时间和地点</w:t>
      </w:r>
    </w:p>
    <w:p w14:paraId="4E89F97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开标时间及地点详见“投标人须知前附表”</w:t>
      </w:r>
    </w:p>
    <w:p w14:paraId="6200935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24.开标程序</w:t>
      </w:r>
    </w:p>
    <w:p w14:paraId="0161DA2E">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24.1提交投标文件截止时间止，投标人不足3家的，不得开标。</w:t>
      </w:r>
    </w:p>
    <w:p w14:paraId="0D77F646">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28097C9C">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24.3开标程序</w:t>
      </w:r>
    </w:p>
    <w:p w14:paraId="26C00243">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eastAsia="宋体" w:cs="宋体"/>
          <w:bCs/>
          <w:color w:val="auto"/>
          <w:szCs w:val="21"/>
          <w:highlight w:val="none"/>
        </w:rPr>
        <w:t>“投标人须知前附表”</w:t>
      </w:r>
      <w:r>
        <w:rPr>
          <w:rFonts w:hint="eastAsia" w:ascii="宋体" w:hAnsi="宋体" w:eastAsia="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eastAsia="宋体" w:cs="宋体"/>
          <w:b/>
          <w:color w:val="auto"/>
          <w:highlight w:val="none"/>
        </w:rPr>
        <w:t>投标人未在规定的时间内解密投标文件或者解密失败的，</w:t>
      </w:r>
      <w:r>
        <w:rPr>
          <w:rFonts w:hint="eastAsia" w:ascii="宋体" w:hAnsi="宋体" w:eastAsia="宋体" w:cs="宋体"/>
          <w:b/>
          <w:color w:val="auto"/>
          <w:szCs w:val="21"/>
          <w:highlight w:val="none"/>
        </w:rPr>
        <w:t>投标人的投标文件作无效处理</w:t>
      </w:r>
      <w:r>
        <w:rPr>
          <w:rFonts w:hint="eastAsia" w:ascii="宋体" w:hAnsi="宋体" w:eastAsia="宋体" w:cs="宋体"/>
          <w:b/>
          <w:color w:val="auto"/>
          <w:highlight w:val="none"/>
        </w:rPr>
        <w:t>。</w:t>
      </w:r>
    </w:p>
    <w:p w14:paraId="2AAD3B74">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（2）电子唱标。投标文件解密结束，宣布的内容均在广西政府采购云平台远程开标大厅展示，具体详见</w:t>
      </w:r>
      <w:r>
        <w:rPr>
          <w:rFonts w:hint="eastAsia" w:ascii="宋体" w:hAnsi="宋体" w:eastAsia="宋体" w:cs="宋体"/>
          <w:bCs/>
          <w:color w:val="auto"/>
          <w:highlight w:val="none"/>
        </w:rPr>
        <w:t>“投标人须知前附表”</w:t>
      </w:r>
      <w:r>
        <w:rPr>
          <w:rFonts w:hint="eastAsia" w:ascii="宋体" w:hAnsi="宋体" w:eastAsia="宋体" w:cs="宋体"/>
          <w:color w:val="auto"/>
          <w:highlight w:val="none"/>
        </w:rPr>
        <w:t>；</w:t>
      </w:r>
    </w:p>
    <w:p w14:paraId="16DA8350">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547B3471">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ADFC6EA">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（5）开标结束。</w:t>
      </w:r>
    </w:p>
    <w:p w14:paraId="1F2424F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特别说明：如遇广西政府采购云平台电子化开标或评审程序调整的，按调整后执行。</w:t>
      </w:r>
    </w:p>
    <w:p w14:paraId="4778789A">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ascii="宋体" w:hAnsi="宋体" w:eastAsia="宋体" w:cs="宋体"/>
          <w:color w:val="auto"/>
          <w:highlight w:val="none"/>
        </w:rPr>
      </w:pPr>
    </w:p>
    <w:p w14:paraId="243BE8ED">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rPr>
      </w:pPr>
      <w:bookmarkStart w:id="161" w:name="_Toc2525"/>
      <w:bookmarkStart w:id="162" w:name="_Toc6086"/>
      <w:r>
        <w:rPr>
          <w:rFonts w:hint="eastAsia" w:ascii="宋体" w:hAnsi="宋体" w:eastAsia="宋体" w:cs="宋体"/>
          <w:color w:val="auto"/>
          <w:highlight w:val="none"/>
        </w:rPr>
        <w:t>五、资格审查</w:t>
      </w:r>
      <w:bookmarkEnd w:id="161"/>
      <w:bookmarkEnd w:id="162"/>
    </w:p>
    <w:p w14:paraId="441F8A9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25.资格审查</w:t>
      </w:r>
    </w:p>
    <w:p w14:paraId="41BCDE2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25.1开标结束后，采购人或者采购代理机构通过电子开评标系统依据招标文件对电子投标文件进行线上资格审查。</w:t>
      </w:r>
    </w:p>
    <w:p w14:paraId="045424D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25.2资格审查标准为本招标文件中载明对投标人资格要求的条件。本项目资格审查采用合格制，凡符合招标文件规定的投标人资格要求的投标人均通过资格审查。</w:t>
      </w:r>
    </w:p>
    <w:p w14:paraId="1330B9F3">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bookmarkStart w:id="163" w:name="_25.3_投标人有下列情形之一的，资格审查不通过而导致其投标无效："/>
      <w:bookmarkEnd w:id="163"/>
      <w:r>
        <w:rPr>
          <w:rFonts w:hint="eastAsia" w:ascii="宋体" w:hAnsi="宋体" w:eastAsia="宋体" w:cs="宋体"/>
          <w:b/>
          <w:color w:val="auto"/>
          <w:highlight w:val="none"/>
        </w:rPr>
        <w:t>25.3 投标人有下列情形之一的，资格审查不通过，作无效投标处理：</w:t>
      </w:r>
    </w:p>
    <w:p w14:paraId="32B8D38C">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（1）不具备招标文件中规定的资格要求的；</w:t>
      </w:r>
    </w:p>
    <w:p w14:paraId="185ACC1F">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09E0BFA5">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81ED696">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（4）投标文件中的资格证明文件缺少任一项“投标人须知前附表”资格证明文件规定“必须提供”的文件资料的；</w:t>
      </w:r>
    </w:p>
    <w:p w14:paraId="0BE3F91B">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（5）投标文件中的资格证明文件出现任一项不符合“投标人须知前附表”资格证明文件规定“必须提供”的文件资料要求或者无效的。</w:t>
      </w:r>
    </w:p>
    <w:p w14:paraId="1FB6D2CC">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25.4合格投标人不足3家的，不得评标。</w:t>
      </w:r>
    </w:p>
    <w:p w14:paraId="2E9AC26D">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ascii="宋体" w:hAnsi="宋体" w:eastAsia="宋体" w:cs="宋体"/>
          <w:color w:val="auto"/>
          <w:highlight w:val="none"/>
        </w:rPr>
      </w:pPr>
    </w:p>
    <w:p w14:paraId="7A4305BF">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rPr>
      </w:pPr>
      <w:bookmarkStart w:id="164" w:name="_Toc17386"/>
      <w:bookmarkStart w:id="165" w:name="_Toc31107"/>
      <w:r>
        <w:rPr>
          <w:rFonts w:hint="eastAsia" w:ascii="宋体" w:hAnsi="宋体" w:eastAsia="宋体" w:cs="宋体"/>
          <w:color w:val="auto"/>
          <w:highlight w:val="none"/>
        </w:rPr>
        <w:t>六、评  标</w:t>
      </w:r>
      <w:bookmarkEnd w:id="164"/>
      <w:bookmarkEnd w:id="165"/>
    </w:p>
    <w:p w14:paraId="7D0DBD5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66" w:name="_26.组建评标委员会"/>
      <w:bookmarkEnd w:id="166"/>
      <w:r>
        <w:rPr>
          <w:rFonts w:hint="eastAsia" w:ascii="宋体" w:hAnsi="宋体" w:eastAsia="宋体" w:cs="宋体"/>
          <w:b/>
          <w:color w:val="auto"/>
          <w:sz w:val="24"/>
          <w:highlight w:val="none"/>
        </w:rPr>
        <w:t>26.组建评标委员会</w:t>
      </w:r>
    </w:p>
    <w:p w14:paraId="2227C9D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26.1评标委员会由采购人代表和评审专家组成，具体人数详见“投标人须知前附表”，其中评审专家不得少于成员总数的三分之二。</w:t>
      </w:r>
    </w:p>
    <w:p w14:paraId="5AA25BC2">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26.2参加过采购项目前期咨询论证的专家，不得参加该采购项目的评审活动。</w:t>
      </w:r>
    </w:p>
    <w:p w14:paraId="1AF36BD6">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26.3</w:t>
      </w:r>
      <w:r>
        <w:rPr>
          <w:rFonts w:hint="eastAsia" w:ascii="宋体" w:hAnsi="宋体" w:eastAsia="宋体" w:cs="宋体"/>
          <w:bCs/>
          <w:color w:val="auto"/>
          <w:highlight w:val="none"/>
        </w:rPr>
        <w:t>采购代理机构应当基于广西政府采购云平台抽（选）取评审专家。</w:t>
      </w:r>
    </w:p>
    <w:p w14:paraId="310AD42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27.评标的依据</w:t>
      </w:r>
    </w:p>
    <w:p w14:paraId="76BA0FF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评标委员会以“第四章 评标方法和评标标准”为依据对投标文件进行评审，没有规定的方法、评审因素和标准，不作为评标依据。</w:t>
      </w:r>
    </w:p>
    <w:p w14:paraId="1884B32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28.评标原则</w:t>
      </w:r>
    </w:p>
    <w:p w14:paraId="539599E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4B70F1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28.2</w:t>
      </w:r>
      <w:bookmarkStart w:id="167" w:name="_28.3评标方法。本项目将按须知前附表规定的评标办法进行评标，具体评标"/>
      <w:bookmarkEnd w:id="167"/>
      <w:r>
        <w:rPr>
          <w:rFonts w:hint="eastAsia" w:ascii="宋体" w:hAnsi="宋体" w:eastAsia="宋体" w:cs="宋体"/>
          <w:color w:val="auto"/>
          <w:highlight w:val="none"/>
        </w:rPr>
        <w:t>评委表决。评标委员会成员对需要共同认定的事项存在争议的，应当按照少数服从多数的原则作出结论。</w:t>
      </w:r>
    </w:p>
    <w:p w14:paraId="13D55B53">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006303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28.4评标过程的监控。本项目电子评标过程实行网上留痕、全程录音、录像监控，</w:t>
      </w:r>
      <w:r>
        <w:rPr>
          <w:rFonts w:hint="eastAsia" w:ascii="宋体" w:hAnsi="宋体" w:eastAsia="宋体" w:cs="宋体"/>
          <w:b/>
          <w:color w:val="auto"/>
          <w:highlight w:val="none"/>
        </w:rPr>
        <w:t>投标人在评标过程中所进行的试图影响评标结果的不公正活动，可能导致其投标按无效处理。</w:t>
      </w:r>
    </w:p>
    <w:p w14:paraId="446A783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29.评标方法及中标候选人推荐</w:t>
      </w:r>
    </w:p>
    <w:p w14:paraId="4495FE2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511CE8D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29.2 商务/技术要求允许负偏离的条款数详见“投标人须知前附表”。</w:t>
      </w:r>
    </w:p>
    <w:p w14:paraId="2A7106F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29.3 中标候选人推荐数量详见“投标人须知前附表”。</w:t>
      </w:r>
    </w:p>
    <w:p w14:paraId="4CFB9D9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29.4 电子交易活动的中止。采购过程中出现以下情形，导致电子交易平台无法正常运行，或者无法保证电子交易的公平、公正和安全时，采购代理机构可以中止电子交易活动：</w:t>
      </w:r>
    </w:p>
    <w:p w14:paraId="57BCE20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10A0E23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1BF22F9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668CC1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3A59AFD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4BDFF09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4B198C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29.5出现下列情形之一的，应予废标：</w:t>
      </w:r>
    </w:p>
    <w:p w14:paraId="2B4C0F73">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（1）符合专业条件的供应商或者对招标文件作实质响应的供应商不足三家的；</w:t>
      </w:r>
    </w:p>
    <w:p w14:paraId="6E59D46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1846212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（3）投标人的报价均超过了采购预算，采购人不能支付的；</w:t>
      </w:r>
    </w:p>
    <w:p w14:paraId="292D22A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3A8FD34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废标后，采购人应当将废标理由通知所有投标人。</w:t>
      </w:r>
    </w:p>
    <w:p w14:paraId="3DF704E8">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highlight w:val="none"/>
        </w:rPr>
      </w:pPr>
    </w:p>
    <w:p w14:paraId="0E6A72DB">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rPr>
      </w:pPr>
      <w:bookmarkStart w:id="168" w:name="_Toc254970687"/>
      <w:bookmarkStart w:id="169" w:name="_Toc254970546"/>
      <w:bookmarkStart w:id="170" w:name="_Toc3006"/>
      <w:bookmarkStart w:id="171" w:name="_Toc12517"/>
      <w:r>
        <w:rPr>
          <w:rFonts w:hint="eastAsia" w:ascii="宋体" w:hAnsi="宋体" w:eastAsia="宋体" w:cs="宋体"/>
          <w:color w:val="auto"/>
          <w:highlight w:val="none"/>
        </w:rPr>
        <w:t>七、</w:t>
      </w:r>
      <w:bookmarkEnd w:id="168"/>
      <w:bookmarkEnd w:id="169"/>
      <w:r>
        <w:rPr>
          <w:rFonts w:hint="eastAsia" w:ascii="宋体" w:hAnsi="宋体" w:eastAsia="宋体" w:cs="宋体"/>
          <w:color w:val="auto"/>
          <w:highlight w:val="none"/>
        </w:rPr>
        <w:t>中标和合同</w:t>
      </w:r>
      <w:bookmarkEnd w:id="170"/>
      <w:bookmarkEnd w:id="171"/>
    </w:p>
    <w:p w14:paraId="7655790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 确定中标人</w:t>
      </w:r>
    </w:p>
    <w:p w14:paraId="6BF832B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6B422D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30.2采购人在收到评标报告5个工作日内未按评标报告推荐的中标候选人顺序确定中标人，又不能说明合法理由的，视同按评标报告推荐的顺序确定排名第一的中标候选人为中标人。</w:t>
      </w:r>
    </w:p>
    <w:p w14:paraId="01FC307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31.结果公告</w:t>
      </w:r>
    </w:p>
    <w:p w14:paraId="089F9FF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8690E6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以上信息查询记录及相关证据与招标文件一并保存。</w:t>
      </w:r>
    </w:p>
    <w:p w14:paraId="05B5A3D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31.2中标供应商享受《政府采购促进中小企业发展管理办法》（财库〔2020〕46号）规定的中小企业扶持政策的，采购人、采购代理机构应当随中标结果公开中标供应商的《中小企业声明函》。</w:t>
      </w:r>
    </w:p>
    <w:p w14:paraId="37FDF7F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32.发出中标通知书</w:t>
      </w:r>
    </w:p>
    <w:p w14:paraId="1B8EAC5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6541FF1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33.无义务解释未中标原因</w:t>
      </w:r>
    </w:p>
    <w:p w14:paraId="0E96DBE8">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采购代理机构无义务向未中标的投标人解释未中标原因。</w:t>
      </w:r>
    </w:p>
    <w:p w14:paraId="6B15811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34.合同授予标准</w:t>
      </w:r>
    </w:p>
    <w:p w14:paraId="2ECD0AF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合同将授予被确定实质上响应招标文件要求，具备履行合同能力的中标人。</w:t>
      </w:r>
    </w:p>
    <w:p w14:paraId="0755808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35.履约保证金</w:t>
      </w:r>
    </w:p>
    <w:p w14:paraId="7B72139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bookmarkStart w:id="172" w:name="_39.1中标人须于签订合同前按本须知前附表规定的金额转账或电汇到指定账"/>
      <w:bookmarkEnd w:id="172"/>
      <w:r>
        <w:rPr>
          <w:rFonts w:hint="eastAsia" w:ascii="宋体" w:hAnsi="宋体" w:eastAsia="宋体" w:cs="宋体"/>
          <w:color w:val="auto"/>
          <w:highlight w:val="none"/>
        </w:rPr>
        <w:t>35.1 履约保证金的金额、提交方式、缴纳期限、退付的时间和条件详见 “投标人须知前附表”。中标人未按规定提交履约保证金的，视为拒绝与采购人签订合同。</w:t>
      </w:r>
    </w:p>
    <w:p w14:paraId="7CAC1C9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35.2在履约保证金退还日期前，若中标人的开户名称、开户银行、账号有变动的，请以书面形式通知履约保证金收取单位，否则由此产生的后果由中标人自行承担。</w:t>
      </w:r>
    </w:p>
    <w:p w14:paraId="0BC63AB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36.签订合同</w:t>
      </w:r>
    </w:p>
    <w:p w14:paraId="400D927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bookmarkStart w:id="173" w:name="_40.1投标人接到中标通知书后，按须知前附表规定向采购人出示相关资格证"/>
      <w:bookmarkEnd w:id="173"/>
      <w:r>
        <w:rPr>
          <w:rFonts w:hint="eastAsia" w:ascii="宋体" w:hAnsi="宋体" w:eastAsia="宋体" w:cs="宋体"/>
          <w:color w:val="auto"/>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2705A079">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线下签订纸质合同：投标人领取中标通知书后，按“投标人须知前附表”规定向采购人出示相关证明材料，经采购人核验合格后方可签订合同。</w:t>
      </w:r>
    </w:p>
    <w:p w14:paraId="68931F7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36.2签订合同时间：按中标通知书规定的时间与采购人签订合同。</w:t>
      </w:r>
    </w:p>
    <w:p w14:paraId="13AA2C3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55C985C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111F96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7ACCAD4F">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36.6如签订合同并生效后，供应商无故拒绝或延期，除按照合同条款处理外，将承担相应的法律责任。</w:t>
      </w:r>
    </w:p>
    <w:p w14:paraId="4513C189">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708DB4F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74" w:name="_41.政府采购合同公告"/>
      <w:bookmarkEnd w:id="174"/>
      <w:r>
        <w:rPr>
          <w:rFonts w:hint="eastAsia" w:ascii="宋体" w:hAnsi="宋体" w:eastAsia="宋体" w:cs="宋体"/>
          <w:b/>
          <w:color w:val="auto"/>
          <w:sz w:val="24"/>
          <w:highlight w:val="none"/>
        </w:rPr>
        <w:t>37.政府采购合同公告</w:t>
      </w:r>
    </w:p>
    <w:p w14:paraId="63DE88D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03F90F0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38.询问、质疑和投诉</w:t>
      </w:r>
    </w:p>
    <w:p w14:paraId="214EDDBE">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27FCDBBF">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1B95C12E">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（1）对可以质疑的招标文件提出质疑的，为收到招标文件之日或者招标文件公告期限届满之日；</w:t>
      </w:r>
    </w:p>
    <w:p w14:paraId="57137343">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3DEAE960">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（3）对中标结果提出质疑的，为中标结果公告期限届满之日。</w:t>
      </w:r>
    </w:p>
    <w:p w14:paraId="3E264879">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bookmarkStart w:id="175" w:name="_9.2质疑、投诉应当采用书面形式，质疑函、投诉书均应明确阐述招标文件、"/>
      <w:bookmarkEnd w:id="175"/>
      <w:r>
        <w:rPr>
          <w:rFonts w:hint="eastAsia" w:ascii="宋体" w:hAnsi="宋体" w:eastAsia="宋体" w:cs="宋体"/>
          <w:color w:val="auto"/>
          <w:highlight w:val="none"/>
        </w:rPr>
        <w:t>38.3供应商提出质疑应当提交质疑函和必要的证明材料，针对同一采购程序环节的质疑必须在法定质疑期内一次性提出。质疑函应当包括下列内容（质疑函格式后附）：</w:t>
      </w:r>
    </w:p>
    <w:p w14:paraId="5260418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3554594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5C20B94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4237F6B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（4）事实依据；</w:t>
      </w:r>
    </w:p>
    <w:p w14:paraId="4C3DC170">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2EE2741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2ECFC0A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供应商为自然人的，应当由本人签字；供应商为法人或者其他组织的，应当由法定代表人、主要负责人，或者其委托代理人签字或者盖章，并加盖公章。</w:t>
      </w:r>
    </w:p>
    <w:p w14:paraId="1802EA20">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38.4采购人、采购代理机构认为供应商质疑不成立，或者成立但未对中标结果构成影响的，继续开展采购活动；认为供应商质疑成立且影响或者可能影响中标结果的，按照下列情况处理：</w:t>
      </w:r>
    </w:p>
    <w:p w14:paraId="533DFACE">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3E57009B">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7C965C73">
      <w:pPr>
        <w:pStyle w:val="20"/>
        <w:keepNext w:val="0"/>
        <w:keepLines w:val="0"/>
        <w:pageBreakBefore w:val="0"/>
        <w:widowControl w:val="0"/>
        <w:kinsoku/>
        <w:wordWrap/>
        <w:overflowPunct/>
        <w:topLinePunct w:val="0"/>
        <w:autoSpaceDE/>
        <w:autoSpaceDN/>
        <w:bidi w:val="0"/>
        <w:snapToGrid w:val="0"/>
        <w:spacing w:line="400" w:lineRule="exact"/>
        <w:ind w:firstLine="42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质疑答复导致中标结果改变的，采购人或者采购代理机构应当将有关情况书面报告本级财政部门。</w:t>
      </w:r>
    </w:p>
    <w:p w14:paraId="3E10446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5CC25CB">
      <w:pPr>
        <w:pStyle w:val="5"/>
        <w:keepNext w:val="0"/>
        <w:keepLines w:val="0"/>
        <w:pageBreakBefore w:val="0"/>
        <w:widowControl w:val="0"/>
        <w:kinsoku/>
        <w:wordWrap/>
        <w:overflowPunct/>
        <w:topLinePunct w:val="0"/>
        <w:autoSpaceDE/>
        <w:autoSpaceDN/>
        <w:bidi w:val="0"/>
        <w:spacing w:before="240" w:after="240" w:line="400" w:lineRule="exact"/>
        <w:jc w:val="center"/>
        <w:textAlignment w:val="auto"/>
        <w:rPr>
          <w:rFonts w:hint="eastAsia" w:ascii="宋体" w:hAnsi="宋体" w:eastAsia="宋体" w:cs="宋体"/>
          <w:color w:val="auto"/>
          <w:highlight w:val="none"/>
        </w:rPr>
      </w:pPr>
      <w:bookmarkStart w:id="176" w:name="_八、其他事项"/>
      <w:bookmarkEnd w:id="176"/>
      <w:bookmarkStart w:id="177" w:name="_Toc17072"/>
      <w:bookmarkStart w:id="178" w:name="_Toc24956"/>
      <w:r>
        <w:rPr>
          <w:rFonts w:hint="eastAsia" w:ascii="宋体" w:hAnsi="宋体" w:eastAsia="宋体" w:cs="宋体"/>
          <w:color w:val="auto"/>
          <w:highlight w:val="none"/>
        </w:rPr>
        <w:t>八、其他事项</w:t>
      </w:r>
      <w:bookmarkEnd w:id="177"/>
      <w:bookmarkEnd w:id="178"/>
    </w:p>
    <w:p w14:paraId="163AB67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79" w:name="_42.代理服务费"/>
      <w:bookmarkEnd w:id="179"/>
      <w:r>
        <w:rPr>
          <w:rFonts w:hint="eastAsia" w:ascii="宋体" w:hAnsi="宋体" w:eastAsia="宋体" w:cs="宋体"/>
          <w:b/>
          <w:color w:val="auto"/>
          <w:sz w:val="24"/>
          <w:highlight w:val="none"/>
        </w:rPr>
        <w:t>39.代理服务费</w:t>
      </w:r>
    </w:p>
    <w:p w14:paraId="383CD3A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39.1代理服务费收取标准参照国家发展计划委员会《招标代理服务费管理暂行办法》（计价格（2002）1980号、《国家发展改革委关于降低部分建设项目收费标准规范收费行为等有关问题的通知》（发改价格[2011]534号）收费标准（服务类）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收取，供应商为联合体的，可以由联合体中的一方或者多方共同交纳代理服务费。代理服务费缴费账户详见“投标人须知前附表”。</w:t>
      </w:r>
    </w:p>
    <w:p w14:paraId="3EBBB02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代理服务费收取标准附表：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9"/>
        <w:gridCol w:w="1720"/>
        <w:gridCol w:w="1749"/>
        <w:gridCol w:w="1454"/>
      </w:tblGrid>
      <w:tr w14:paraId="6CD3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tcBorders>
              <w:tl2br w:val="single" w:color="auto" w:sz="4" w:space="0"/>
            </w:tcBorders>
            <w:noWrap w:val="0"/>
            <w:vAlign w:val="center"/>
          </w:tcPr>
          <w:p w14:paraId="3D746DD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费率</w:t>
            </w:r>
          </w:p>
          <w:p w14:paraId="610FC31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009" w:type="pct"/>
            <w:noWrap w:val="0"/>
            <w:vAlign w:val="center"/>
          </w:tcPr>
          <w:p w14:paraId="7E7E7A71">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026" w:type="pct"/>
            <w:noWrap w:val="0"/>
            <w:vAlign w:val="center"/>
          </w:tcPr>
          <w:p w14:paraId="4DE3996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853" w:type="pct"/>
            <w:noWrap w:val="0"/>
            <w:vAlign w:val="center"/>
          </w:tcPr>
          <w:p w14:paraId="3070550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361E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6A83BBF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009" w:type="pct"/>
            <w:noWrap w:val="0"/>
            <w:vAlign w:val="center"/>
          </w:tcPr>
          <w:p w14:paraId="6492D97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026" w:type="pct"/>
            <w:noWrap w:val="0"/>
            <w:vAlign w:val="center"/>
          </w:tcPr>
          <w:p w14:paraId="50F7E1F7">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853" w:type="pct"/>
            <w:noWrap w:val="0"/>
            <w:vAlign w:val="center"/>
          </w:tcPr>
          <w:p w14:paraId="0234397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r>
      <w:tr w14:paraId="3879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8BF901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100万元～500万元</w:t>
            </w:r>
          </w:p>
        </w:tc>
        <w:tc>
          <w:tcPr>
            <w:tcW w:w="1009" w:type="pct"/>
            <w:noWrap w:val="0"/>
            <w:vAlign w:val="center"/>
          </w:tcPr>
          <w:p w14:paraId="7575969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026" w:type="pct"/>
            <w:noWrap w:val="0"/>
            <w:vAlign w:val="center"/>
          </w:tcPr>
          <w:p w14:paraId="6460BB69">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853" w:type="pct"/>
            <w:noWrap w:val="0"/>
            <w:vAlign w:val="center"/>
          </w:tcPr>
          <w:p w14:paraId="6FC175B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w:t>
            </w:r>
          </w:p>
        </w:tc>
      </w:tr>
      <w:tr w14:paraId="64D4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6F79C9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500万元～1000万元</w:t>
            </w:r>
          </w:p>
        </w:tc>
        <w:tc>
          <w:tcPr>
            <w:tcW w:w="1009" w:type="pct"/>
            <w:noWrap w:val="0"/>
            <w:vAlign w:val="center"/>
          </w:tcPr>
          <w:p w14:paraId="2A204A7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026" w:type="pct"/>
            <w:noWrap w:val="0"/>
            <w:vAlign w:val="center"/>
          </w:tcPr>
          <w:p w14:paraId="62290E44">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853" w:type="pct"/>
            <w:noWrap w:val="0"/>
            <w:vAlign w:val="center"/>
          </w:tcPr>
          <w:p w14:paraId="259FB614">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2B83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8B824F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1000万元～5000万元</w:t>
            </w:r>
          </w:p>
        </w:tc>
        <w:tc>
          <w:tcPr>
            <w:tcW w:w="1009" w:type="pct"/>
            <w:noWrap w:val="0"/>
            <w:vAlign w:val="center"/>
          </w:tcPr>
          <w:p w14:paraId="57AD95E8">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w:t>
            </w:r>
          </w:p>
        </w:tc>
        <w:tc>
          <w:tcPr>
            <w:tcW w:w="1026" w:type="pct"/>
            <w:noWrap w:val="0"/>
            <w:vAlign w:val="center"/>
          </w:tcPr>
          <w:p w14:paraId="7DC53D27">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853" w:type="pct"/>
            <w:noWrap w:val="0"/>
            <w:vAlign w:val="center"/>
          </w:tcPr>
          <w:p w14:paraId="7CA5D364">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0.35%</w:t>
            </w:r>
          </w:p>
        </w:tc>
      </w:tr>
      <w:tr w14:paraId="139A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0FBD225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009" w:type="pct"/>
            <w:noWrap w:val="0"/>
            <w:vAlign w:val="center"/>
          </w:tcPr>
          <w:p w14:paraId="66054E95">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026" w:type="pct"/>
            <w:noWrap w:val="0"/>
            <w:vAlign w:val="center"/>
          </w:tcPr>
          <w:p w14:paraId="61F90189">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853" w:type="pct"/>
            <w:noWrap w:val="0"/>
            <w:vAlign w:val="center"/>
          </w:tcPr>
          <w:p w14:paraId="2AB50B7A">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72D5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C591A6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1亿元～5亿元</w:t>
            </w:r>
          </w:p>
        </w:tc>
        <w:tc>
          <w:tcPr>
            <w:tcW w:w="1009" w:type="pct"/>
            <w:noWrap w:val="0"/>
            <w:vAlign w:val="center"/>
          </w:tcPr>
          <w:p w14:paraId="764E7F05">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026" w:type="pct"/>
            <w:noWrap w:val="0"/>
            <w:vAlign w:val="center"/>
          </w:tcPr>
          <w:p w14:paraId="5BB1281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853" w:type="pct"/>
            <w:noWrap w:val="0"/>
            <w:vAlign w:val="center"/>
          </w:tcPr>
          <w:p w14:paraId="14688E0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14:paraId="3B8B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6C9EEF2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5亿元～10亿元</w:t>
            </w:r>
          </w:p>
        </w:tc>
        <w:tc>
          <w:tcPr>
            <w:tcW w:w="1009" w:type="pct"/>
            <w:noWrap w:val="0"/>
            <w:vAlign w:val="center"/>
          </w:tcPr>
          <w:p w14:paraId="39262D12">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026" w:type="pct"/>
            <w:noWrap w:val="0"/>
            <w:vAlign w:val="center"/>
          </w:tcPr>
          <w:p w14:paraId="3B9F01C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853" w:type="pct"/>
            <w:noWrap w:val="0"/>
            <w:vAlign w:val="center"/>
          </w:tcPr>
          <w:p w14:paraId="62895110">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5CDA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2CD0E9A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10亿元～50亿元</w:t>
            </w:r>
          </w:p>
        </w:tc>
        <w:tc>
          <w:tcPr>
            <w:tcW w:w="1009" w:type="pct"/>
            <w:noWrap w:val="0"/>
            <w:vAlign w:val="center"/>
          </w:tcPr>
          <w:p w14:paraId="26FEE497">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026" w:type="pct"/>
            <w:noWrap w:val="0"/>
            <w:vAlign w:val="center"/>
          </w:tcPr>
          <w:p w14:paraId="11A55E95">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853" w:type="pct"/>
            <w:noWrap w:val="0"/>
            <w:vAlign w:val="center"/>
          </w:tcPr>
          <w:p w14:paraId="344E6853">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A1B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88BE01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50亿元～100亿元</w:t>
            </w:r>
          </w:p>
        </w:tc>
        <w:tc>
          <w:tcPr>
            <w:tcW w:w="1009" w:type="pct"/>
            <w:noWrap w:val="0"/>
            <w:vAlign w:val="center"/>
          </w:tcPr>
          <w:p w14:paraId="6BB4D55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026" w:type="pct"/>
            <w:noWrap w:val="0"/>
            <w:vAlign w:val="center"/>
          </w:tcPr>
          <w:p w14:paraId="29FB2A27">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853" w:type="pct"/>
            <w:noWrap w:val="0"/>
            <w:vAlign w:val="center"/>
          </w:tcPr>
          <w:p w14:paraId="60A64B70">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1227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6B058E5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009" w:type="pct"/>
            <w:noWrap w:val="0"/>
            <w:vAlign w:val="center"/>
          </w:tcPr>
          <w:p w14:paraId="0FE0B8E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026" w:type="pct"/>
            <w:noWrap w:val="0"/>
            <w:vAlign w:val="center"/>
          </w:tcPr>
          <w:p w14:paraId="3AC2FA2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853" w:type="pct"/>
            <w:noWrap w:val="0"/>
            <w:vAlign w:val="center"/>
          </w:tcPr>
          <w:p w14:paraId="21CF545E">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6518238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BDFFFC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0D262A4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41F093C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7608592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7939B11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（200－100）万元 ×0.8%＝0.8万元</w:t>
      </w:r>
    </w:p>
    <w:p w14:paraId="683AAD03">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合计收费＝ 1.5+0.8＝ 2.3（万元）</w:t>
      </w:r>
    </w:p>
    <w:p w14:paraId="16CFC35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40. 需要补充的其他内容</w:t>
      </w:r>
    </w:p>
    <w:p w14:paraId="6521953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40.1本招标文件解释规则详见“投标人须知前附表”。</w:t>
      </w:r>
    </w:p>
    <w:p w14:paraId="546F519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40.2 其他事项详见“投标人须知前附表”。</w:t>
      </w:r>
    </w:p>
    <w:p w14:paraId="6E729A7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16D228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6EDDAFB9">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（2）在工程采购项目中，工程由中小企业承建，即工程施工单位为中小企业，不对其中涉及的货物的制造商和服务的承接商作出要求；</w:t>
      </w:r>
    </w:p>
    <w:p w14:paraId="61C7DFC8">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D1FD62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C3B0680">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依据本招标文件规定享受扶持政策获得政府采购合同的，小微企业不得将合同分包给大中型企业，中型企业不得将合同分包给大型企业。</w:t>
      </w:r>
    </w:p>
    <w:p w14:paraId="37160BC4">
      <w:pPr>
        <w:pStyle w:val="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6"/>
          <w:szCs w:val="36"/>
          <w:highlight w:val="none"/>
        </w:rPr>
        <w:t>附件1：</w:t>
      </w:r>
    </w:p>
    <w:p w14:paraId="46D45E54">
      <w:pPr>
        <w:widowControl/>
        <w:shd w:val="clear" w:color="auto" w:fill="FFFFFF"/>
        <w:spacing w:line="360" w:lineRule="auto"/>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广西壮族自治区政府采购项目合同验收书</w:t>
      </w:r>
    </w:p>
    <w:p w14:paraId="2983A223">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（格式）</w:t>
      </w:r>
    </w:p>
    <w:p w14:paraId="459D6016">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根据政府采购项目（</w:t>
      </w:r>
      <w:r>
        <w:rPr>
          <w:rFonts w:hint="eastAsia" w:ascii="宋体" w:hAnsi="宋体" w:eastAsia="宋体" w:cs="宋体"/>
          <w:color w:val="auto"/>
          <w:kern w:val="0"/>
          <w:highlight w:val="none"/>
          <w:u w:val="single"/>
        </w:rPr>
        <w:t>采购合同编号：</w:t>
      </w:r>
      <w:r>
        <w:rPr>
          <w:rFonts w:hint="eastAsia" w:ascii="宋体" w:hAnsi="宋体" w:eastAsia="宋体" w:cs="宋体"/>
          <w:color w:val="auto"/>
          <w:kern w:val="0"/>
          <w:highlight w:val="none"/>
          <w:u w:val="single"/>
        </w:rPr>
        <w:softHyphen/>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）的约定，我单位对（</w:t>
      </w:r>
      <w:r>
        <w:rPr>
          <w:rFonts w:hint="eastAsia" w:ascii="宋体" w:hAnsi="宋体" w:eastAsia="宋体" w:cs="宋体"/>
          <w:color w:val="auto"/>
          <w:kern w:val="0"/>
          <w:highlight w:val="none"/>
          <w:u w:val="single"/>
        </w:rPr>
        <w:t xml:space="preserve"> 项目名称 </w:t>
      </w:r>
      <w:r>
        <w:rPr>
          <w:rFonts w:hint="eastAsia" w:ascii="宋体" w:hAnsi="宋体" w:eastAsia="宋体" w:cs="宋体"/>
          <w:color w:val="auto"/>
          <w:kern w:val="0"/>
          <w:highlight w:val="none"/>
        </w:rPr>
        <w:t>） 政府采购项目中标（或成交）供应商（</w:t>
      </w:r>
      <w:r>
        <w:rPr>
          <w:rFonts w:hint="eastAsia" w:ascii="宋体" w:hAnsi="宋体" w:eastAsia="宋体" w:cs="宋体"/>
          <w:color w:val="auto"/>
          <w:kern w:val="0"/>
          <w:highlight w:val="none"/>
          <w:u w:val="single"/>
        </w:rPr>
        <w:t xml:space="preserve"> 公司名称 </w:t>
      </w:r>
      <w:r>
        <w:rPr>
          <w:rFonts w:hint="eastAsia" w:ascii="宋体" w:hAnsi="宋体" w:eastAsia="宋体" w:cs="宋体"/>
          <w:color w:val="auto"/>
          <w:kern w:val="0"/>
          <w:highlight w:val="none"/>
        </w:rPr>
        <w:t>） 提供的货物（或工程、服务）进行了验收，验收情况如下：</w:t>
      </w:r>
    </w:p>
    <w:tbl>
      <w:tblPr>
        <w:tblStyle w:val="40"/>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08C845ED">
        <w:tblPrEx>
          <w:tblCellMar>
            <w:top w:w="0" w:type="dxa"/>
            <w:left w:w="0" w:type="dxa"/>
            <w:bottom w:w="0" w:type="dxa"/>
            <w:right w:w="0" w:type="dxa"/>
          </w:tblCellMar>
        </w:tblPrEx>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211F60C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4DFEE350">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□自行验收 □委托验收</w:t>
            </w:r>
          </w:p>
        </w:tc>
      </w:tr>
      <w:tr w14:paraId="52F6CC52">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4696617">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5F535463">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23CDF8C0">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13DDAC9C">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45B575F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金 额</w:t>
            </w:r>
          </w:p>
        </w:tc>
      </w:tr>
      <w:tr w14:paraId="18AB73EE">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6D579A2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2A77EDB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2193DB2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7D592E0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11516606">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r>
      <w:tr w14:paraId="6770642C">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053F8077">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BA0F2F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132AE24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r>
      <w:tr w14:paraId="09AE08C5">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201C926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合计大写金额： 仟 佰 拾 万 仟 佰 拾 元</w:t>
            </w:r>
          </w:p>
        </w:tc>
      </w:tr>
      <w:tr w14:paraId="44D7C7E9">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5217136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7FDCA3E9">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60C44E47">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6"/>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1F94E90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r>
      <w:tr w14:paraId="68049A8D">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E0021B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52006B23">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1851D321">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79A361CB">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r>
      <w:tr w14:paraId="14C398F2">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9138A2">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100B83">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w:t>
            </w:r>
            <w:r>
              <w:rPr>
                <w:rFonts w:hint="eastAsia" w:ascii="宋体" w:hAnsi="宋体" w:eastAsia="宋体" w:cs="宋体"/>
                <w:color w:val="auto"/>
                <w:kern w:val="0"/>
                <w:highlight w:val="none"/>
                <w:lang w:eastAsia="zh-CN"/>
              </w:rPr>
              <w:t>见附件</w:t>
            </w:r>
            <w:r>
              <w:rPr>
                <w:rFonts w:hint="eastAsia" w:ascii="宋体" w:hAnsi="宋体" w:eastAsia="宋体" w:cs="宋体"/>
                <w:color w:val="auto"/>
                <w:kern w:val="0"/>
                <w:highlight w:val="none"/>
              </w:rPr>
              <w:t>）</w:t>
            </w:r>
          </w:p>
        </w:tc>
      </w:tr>
      <w:tr w14:paraId="3596E4E4">
        <w:tblPrEx>
          <w:tblCellMar>
            <w:top w:w="0" w:type="dxa"/>
            <w:left w:w="0" w:type="dxa"/>
            <w:bottom w:w="0" w:type="dxa"/>
            <w:right w:w="0" w:type="dxa"/>
          </w:tblCellMar>
        </w:tblPrEx>
        <w:trPr>
          <w:trHeight w:val="510"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26B31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39807AA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验收结论性意见：</w:t>
            </w:r>
          </w:p>
        </w:tc>
      </w:tr>
      <w:tr w14:paraId="5FFBD690">
        <w:tblPrEx>
          <w:tblCellMar>
            <w:top w:w="0" w:type="dxa"/>
            <w:left w:w="0" w:type="dxa"/>
            <w:bottom w:w="0" w:type="dxa"/>
            <w:right w:w="0" w:type="dxa"/>
          </w:tblCellMar>
        </w:tblPrEx>
        <w:trPr>
          <w:trHeight w:val="424"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609DA2C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7EBC031E">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96"/>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有异议的意见和说明理由：</w:t>
            </w:r>
          </w:p>
          <w:p w14:paraId="56794D5F">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签字：</w:t>
            </w:r>
          </w:p>
        </w:tc>
      </w:tr>
      <w:tr w14:paraId="52128BFB">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C20E1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验收小组成员签字：</w:t>
            </w:r>
          </w:p>
        </w:tc>
      </w:tr>
      <w:tr w14:paraId="09755408">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B587E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监督人员或其他相关人员签字：</w:t>
            </w:r>
          </w:p>
          <w:p w14:paraId="3D40FE45">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或受邀机构的意见（盖章）：</w:t>
            </w:r>
          </w:p>
        </w:tc>
      </w:tr>
      <w:tr w14:paraId="04F11201">
        <w:tblPrEx>
          <w:tblCellMar>
            <w:top w:w="0" w:type="dxa"/>
            <w:left w:w="0" w:type="dxa"/>
            <w:bottom w:w="0" w:type="dxa"/>
            <w:right w:w="0" w:type="dxa"/>
          </w:tblCellMar>
        </w:tblPrEx>
        <w:trPr>
          <w:trHeight w:val="986"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5032D71E">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中标或者</w:t>
            </w:r>
            <w:r>
              <w:rPr>
                <w:rFonts w:hint="eastAsia" w:ascii="宋体" w:hAnsi="宋体" w:eastAsia="宋体" w:cs="宋体"/>
                <w:color w:val="auto"/>
                <w:kern w:val="0"/>
                <w:highlight w:val="none"/>
                <w:lang w:eastAsia="zh-CN"/>
              </w:rPr>
              <w:t>中标人</w:t>
            </w:r>
            <w:r>
              <w:rPr>
                <w:rFonts w:hint="eastAsia" w:ascii="宋体" w:hAnsi="宋体" w:eastAsia="宋体" w:cs="宋体"/>
                <w:color w:val="auto"/>
                <w:kern w:val="0"/>
                <w:highlight w:val="none"/>
              </w:rPr>
              <w:t xml:space="preserve">负责人签字或盖章：      </w:t>
            </w:r>
          </w:p>
          <w:p w14:paraId="2AF1C8F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0727C3AF">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采购人或受托机构的意见（盖章）：</w:t>
            </w:r>
          </w:p>
          <w:p w14:paraId="6CDF2696">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联系电话： 年 月 日</w:t>
            </w:r>
          </w:p>
        </w:tc>
      </w:tr>
    </w:tbl>
    <w:p w14:paraId="6CA6C433">
      <w:pPr>
        <w:pStyle w:val="20"/>
        <w:snapToGrid w:val="0"/>
        <w:spacing w:before="120" w:after="120"/>
        <w:rPr>
          <w:rFonts w:hint="eastAsia" w:ascii="宋体" w:hAnsi="宋体" w:eastAsia="宋体" w:cs="宋体"/>
          <w:color w:val="auto"/>
          <w:highlight w:val="none"/>
        </w:rPr>
      </w:pPr>
    </w:p>
    <w:p w14:paraId="76BC5E18">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8"/>
          <w:szCs w:val="36"/>
          <w:highlight w:val="none"/>
        </w:rPr>
        <w:t>附件2：</w:t>
      </w:r>
    </w:p>
    <w:p w14:paraId="448E8EDF">
      <w:pPr>
        <w:widowControl/>
        <w:shd w:val="clear" w:color="auto" w:fill="FFFFFF"/>
        <w:spacing w:line="360" w:lineRule="auto"/>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政府采购项目履约保证金退付意见书（参考）</w:t>
      </w:r>
    </w:p>
    <w:tbl>
      <w:tblPr>
        <w:tblStyle w:val="40"/>
        <w:tblW w:w="86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10"/>
      </w:tblGrid>
      <w:tr w14:paraId="5E04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84E17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52C3DB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275234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584ADA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2503C8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7610" w:type="dxa"/>
            <w:noWrap w:val="0"/>
            <w:vAlign w:val="center"/>
          </w:tcPr>
          <w:p w14:paraId="2119A2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2A4B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B4DE7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tc>
        <w:tc>
          <w:tcPr>
            <w:tcW w:w="7610" w:type="dxa"/>
            <w:noWrap w:val="0"/>
            <w:vAlign w:val="center"/>
          </w:tcPr>
          <w:p w14:paraId="48ABFF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37EE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7E8536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tc>
        <w:tc>
          <w:tcPr>
            <w:tcW w:w="7610" w:type="dxa"/>
            <w:noWrap w:val="0"/>
            <w:vAlign w:val="top"/>
          </w:tcPr>
          <w:p w14:paraId="3D3CC2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42094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w:t>
            </w:r>
          </w:p>
          <w:p w14:paraId="308C4E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（小写）退付到达以下账户。</w:t>
            </w:r>
          </w:p>
          <w:p w14:paraId="3F1AE4E9">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0A2E6706">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264330DD">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p w14:paraId="2F9357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334530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p w14:paraId="3C7D1B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14:paraId="5454D5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5ED2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2649CB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51A8AC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5D34FD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11047D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3A0743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7610" w:type="dxa"/>
            <w:noWrap w:val="0"/>
            <w:vAlign w:val="top"/>
          </w:tcPr>
          <w:p w14:paraId="70F23C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p w14:paraId="5B7338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0710FD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p w14:paraId="427B9F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p w14:paraId="77B101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p w14:paraId="12E70B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p w14:paraId="470DF5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14:paraId="21B956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7B84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2B60E0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610" w:type="dxa"/>
            <w:noWrap w:val="0"/>
            <w:vAlign w:val="top"/>
          </w:tcPr>
          <w:p w14:paraId="68C865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tc>
      </w:tr>
    </w:tbl>
    <w:p w14:paraId="00613B0A">
      <w:pPr>
        <w:pStyle w:val="2"/>
        <w:keepNext w:val="0"/>
        <w:keepLines w:val="0"/>
        <w:pageBreakBefore w:val="0"/>
        <w:widowControl w:val="0"/>
        <w:kinsoku/>
        <w:wordWrap/>
        <w:overflowPunct/>
        <w:topLinePunct w:val="0"/>
        <w:autoSpaceDE/>
        <w:autoSpaceDN/>
        <w:bidi w:val="0"/>
        <w:adjustRightInd/>
        <w:snapToGrid/>
        <w:spacing w:line="400" w:lineRule="exact"/>
        <w:ind w:left="450" w:leftChars="114" w:hanging="211" w:hangingChars="1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注：投标人凭经采购人审批的退付意见书到保证金收取单位办理履约保证金退付事宜。</w:t>
      </w:r>
    </w:p>
    <w:p w14:paraId="13A4B8C2">
      <w:pPr>
        <w:pStyle w:val="20"/>
        <w:snapToGrid w:val="0"/>
        <w:spacing w:before="120" w:after="120"/>
        <w:rPr>
          <w:rFonts w:hint="eastAsia" w:ascii="宋体" w:hAnsi="宋体" w:eastAsia="宋体" w:cs="宋体"/>
          <w:color w:val="auto"/>
          <w:highlight w:val="none"/>
        </w:rPr>
      </w:pPr>
    </w:p>
    <w:p w14:paraId="12CD14EF">
      <w:pPr>
        <w:pStyle w:val="3"/>
        <w:spacing w:before="0" w:after="0" w:line="360" w:lineRule="auto"/>
        <w:jc w:val="center"/>
        <w:rPr>
          <w:rFonts w:hint="eastAsia" w:ascii="宋体" w:hAnsi="宋体" w:eastAsia="宋体" w:cs="宋体"/>
          <w:color w:val="auto"/>
          <w:highlight w:val="none"/>
        </w:rPr>
      </w:pPr>
      <w:bookmarkStart w:id="180" w:name="_Toc254970689"/>
      <w:bookmarkStart w:id="181" w:name="_Toc254970548"/>
      <w:bookmarkStart w:id="182" w:name="_Toc330456896"/>
      <w:bookmarkStart w:id="183" w:name="_Toc2178"/>
      <w:bookmarkStart w:id="184" w:name="_Toc15433"/>
      <w:bookmarkStart w:id="185" w:name="_Toc27431"/>
      <w:r>
        <w:rPr>
          <w:rFonts w:hint="eastAsia" w:ascii="宋体" w:hAnsi="宋体" w:eastAsia="宋体" w:cs="宋体"/>
          <w:color w:val="auto"/>
          <w:highlight w:val="none"/>
        </w:rPr>
        <w:t>第四章  评标方法及评标标准</w:t>
      </w:r>
      <w:bookmarkEnd w:id="180"/>
      <w:bookmarkEnd w:id="181"/>
      <w:bookmarkEnd w:id="182"/>
      <w:bookmarkEnd w:id="183"/>
      <w:bookmarkEnd w:id="184"/>
      <w:bookmarkEnd w:id="185"/>
    </w:p>
    <w:p w14:paraId="7C45EC18">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86" w:name="_Toc23781"/>
      <w:bookmarkStart w:id="187" w:name="_Toc22273"/>
      <w:r>
        <w:rPr>
          <w:rFonts w:hint="eastAsia" w:ascii="宋体" w:hAnsi="宋体" w:eastAsia="宋体" w:cs="宋体"/>
          <w:color w:val="auto"/>
          <w:highlight w:val="none"/>
        </w:rPr>
        <w:t>一、评标方法</w:t>
      </w:r>
      <w:bookmarkEnd w:id="186"/>
      <w:bookmarkEnd w:id="187"/>
    </w:p>
    <w:p w14:paraId="625C8424">
      <w:pPr>
        <w:pStyle w:val="20"/>
        <w:pageBreakBefore w:val="0"/>
        <w:kinsoku/>
        <w:wordWrap/>
        <w:overflowPunct/>
        <w:topLinePunct w:val="0"/>
        <w:autoSpaceDE/>
        <w:autoSpaceDN/>
        <w:bidi w:val="0"/>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15E1F5A5">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88" w:name="_Toc29445"/>
      <w:bookmarkStart w:id="189" w:name="_Toc3353"/>
      <w:r>
        <w:rPr>
          <w:rFonts w:hint="eastAsia" w:ascii="宋体" w:hAnsi="宋体" w:eastAsia="宋体" w:cs="宋体"/>
          <w:color w:val="auto"/>
          <w:highlight w:val="none"/>
        </w:rPr>
        <w:t>二、评标程序</w:t>
      </w:r>
      <w:bookmarkEnd w:id="188"/>
      <w:bookmarkEnd w:id="189"/>
    </w:p>
    <w:p w14:paraId="599FE4CA">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1.符合性审查</w:t>
      </w:r>
    </w:p>
    <w:p w14:paraId="42DE168E">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评标委员会应当对符合资格的投标人的投标文件进行投标报价、商务、技术等实质性内容符合性审查，以确定其是否满足招标文件的实质性要求。</w:t>
      </w:r>
    </w:p>
    <w:p w14:paraId="65653AAE">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2.符合性审查不通过而导致投标无效的情形</w:t>
      </w:r>
    </w:p>
    <w:p w14:paraId="40FD4407">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投标人的投标文件中存在对招标文件的任何实质性要求和条件的负偏离，将被视为投标无效。</w:t>
      </w:r>
    </w:p>
    <w:p w14:paraId="008BF8FF">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2.1在报价评审时，如发现下列情形之一的，将被视为投标无效：</w:t>
      </w:r>
    </w:p>
    <w:p w14:paraId="48247398">
      <w:pPr>
        <w:pStyle w:val="10"/>
        <w:pageBreakBefore w:val="0"/>
        <w:numPr>
          <w:ilvl w:val="0"/>
          <w:numId w:val="2"/>
        </w:numPr>
        <w:kinsoku/>
        <w:wordWrap/>
        <w:overflowPunct/>
        <w:topLinePunct w:val="0"/>
        <w:autoSpaceDE/>
        <w:autoSpaceDN/>
        <w:bidi w:val="0"/>
        <w:spacing w:line="400" w:lineRule="exact"/>
        <w:ind w:firstLine="398" w:firstLineChars="200"/>
        <w:textAlignment w:val="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报价文件未提供“投标人须知前附表”第13条</w:t>
      </w:r>
      <w:r>
        <w:rPr>
          <w:rFonts w:hint="eastAsia" w:ascii="宋体" w:hAnsi="宋体" w:eastAsia="宋体" w:cs="宋体"/>
          <w:b/>
          <w:color w:val="auto"/>
          <w:szCs w:val="21"/>
          <w:highlight w:val="none"/>
        </w:rPr>
        <w:t>“报价文件”</w:t>
      </w:r>
      <w:r>
        <w:rPr>
          <w:rFonts w:hint="eastAsia" w:ascii="宋体" w:hAnsi="宋体" w:eastAsia="宋体" w:cs="宋体"/>
          <w:b/>
          <w:color w:val="auto"/>
          <w:spacing w:val="-6"/>
          <w:szCs w:val="21"/>
          <w:highlight w:val="none"/>
        </w:rPr>
        <w:t>规定中“必须提供”的文件资料的；</w:t>
      </w:r>
    </w:p>
    <w:p w14:paraId="066050EC">
      <w:pPr>
        <w:pStyle w:val="10"/>
        <w:pageBreakBefore w:val="0"/>
        <w:numPr>
          <w:ilvl w:val="0"/>
          <w:numId w:val="2"/>
        </w:numPr>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未采用人民币报价或者未按照招标文件标明的币种报价的；</w:t>
      </w:r>
    </w:p>
    <w:p w14:paraId="7D65EAB8">
      <w:pPr>
        <w:pStyle w:val="10"/>
        <w:pageBreakBefore w:val="0"/>
        <w:numPr>
          <w:ilvl w:val="0"/>
          <w:numId w:val="2"/>
        </w:numPr>
        <w:kinsoku/>
        <w:wordWrap/>
        <w:overflowPunct/>
        <w:topLinePunct w:val="0"/>
        <w:autoSpaceDE/>
        <w:autoSpaceDN/>
        <w:bidi w:val="0"/>
        <w:spacing w:line="400" w:lineRule="exact"/>
        <w:ind w:firstLine="422"/>
        <w:textAlignment w:val="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各分标报价超出招标文件相应分标规定最高限价，或者超出相应分标采购预算金额的；</w:t>
      </w:r>
    </w:p>
    <w:p w14:paraId="47499534">
      <w:pPr>
        <w:pStyle w:val="10"/>
        <w:pageBreakBefore w:val="0"/>
        <w:numPr>
          <w:ilvl w:val="0"/>
          <w:numId w:val="2"/>
        </w:numPr>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1F61A326">
      <w:pPr>
        <w:pStyle w:val="10"/>
        <w:pageBreakBefore w:val="0"/>
        <w:numPr>
          <w:ilvl w:val="0"/>
          <w:numId w:val="2"/>
        </w:numPr>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修正后的报价，投标人不确认的；</w:t>
      </w:r>
    </w:p>
    <w:p w14:paraId="238F1928">
      <w:pPr>
        <w:pStyle w:val="10"/>
        <w:pageBreakBefore w:val="0"/>
        <w:numPr>
          <w:ilvl w:val="0"/>
          <w:numId w:val="2"/>
        </w:numPr>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投标人属于本章第5.1条（2）项情形的。</w:t>
      </w:r>
    </w:p>
    <w:p w14:paraId="7AC0A1FB">
      <w:pPr>
        <w:pStyle w:val="10"/>
        <w:pageBreakBefore w:val="0"/>
        <w:numPr>
          <w:ilvl w:val="0"/>
          <w:numId w:val="2"/>
        </w:numPr>
        <w:kinsoku/>
        <w:wordWrap/>
        <w:overflowPunct/>
        <w:topLinePunct w:val="0"/>
        <w:autoSpaceDE/>
        <w:autoSpaceDN/>
        <w:bidi w:val="0"/>
        <w:spacing w:line="400" w:lineRule="exact"/>
        <w:ind w:firstLine="398"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pacing w:val="-6"/>
          <w:szCs w:val="21"/>
          <w:highlight w:val="none"/>
        </w:rPr>
        <w:t>报价文件</w:t>
      </w:r>
      <w:r>
        <w:rPr>
          <w:rFonts w:hint="eastAsia" w:ascii="宋体" w:hAnsi="宋体" w:eastAsia="宋体" w:cs="宋体"/>
          <w:b/>
          <w:color w:val="auto"/>
          <w:szCs w:val="21"/>
          <w:highlight w:val="none"/>
        </w:rPr>
        <w:t>响应的标的数量及单位与招标文件要求实质性不一致的。</w:t>
      </w:r>
    </w:p>
    <w:p w14:paraId="33687408">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2.2在商务评审时，如发现下列情形之一的，将被视为投标无效：</w:t>
      </w:r>
    </w:p>
    <w:p w14:paraId="2C15CF4E">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投标文件未按招标文件要求签署、盖章的；</w:t>
      </w:r>
    </w:p>
    <w:p w14:paraId="08F61A98">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委托代理人未能出具有效身份证或者出具的身份证与授权委托书中的信息不符的； </w:t>
      </w:r>
    </w:p>
    <w:p w14:paraId="63304C34">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为无效投标保证金的或者未按照招标文件的规定提交投标保证金的；</w:t>
      </w:r>
    </w:p>
    <w:p w14:paraId="674CF2AA">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投标文件未提供“投标人须知前附表”第13.1条规定中“必须提供”或者“委托时必须提供”的文件资料的；</w:t>
      </w:r>
    </w:p>
    <w:p w14:paraId="2711CCBA">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商务要求评审允许负偏离的条款数超过“投标人须知前附表”规定项数的；</w:t>
      </w:r>
    </w:p>
    <w:p w14:paraId="075221D4">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投标文件的实质性内容未使用中文表述、使用计量单位不符合招标文件要求的；</w:t>
      </w:r>
    </w:p>
    <w:p w14:paraId="2EEAF4EF">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投标文件中的文件资料因填写不齐全或者内容虚假或者出现其他情形而导致被评标委员会认定无效的；</w:t>
      </w:r>
    </w:p>
    <w:p w14:paraId="68D659D2">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投标文件含有采购人不能接受的附加条件的；</w:t>
      </w:r>
    </w:p>
    <w:p w14:paraId="77953E5E">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属于投标人须知正文第9.2条情形的；</w:t>
      </w:r>
    </w:p>
    <w:p w14:paraId="6BC1C80F">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投标文件标注的项目名称或者项目编号与招标文件标注的项目名称或者项目编号不一致的；</w:t>
      </w:r>
    </w:p>
    <w:p w14:paraId="77760461">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招标文件明确不允许分包，投标文件拟分包的；</w:t>
      </w:r>
    </w:p>
    <w:p w14:paraId="09BF7F65">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未响应招标文件实质性要求的；</w:t>
      </w:r>
    </w:p>
    <w:p w14:paraId="0315EEA1">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法律、法规和招标文件规定的其他无效情形。</w:t>
      </w:r>
    </w:p>
    <w:p w14:paraId="23DC1770">
      <w:pPr>
        <w:pageBreakBefore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2.3在技术评审时，如发现下列情形之一的，将被视为投标无效：</w:t>
      </w:r>
    </w:p>
    <w:p w14:paraId="13DAF46B">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（1）技术要求评审允许负偏离的条款数超过“投标人须知前附表”规定项数的；</w:t>
      </w:r>
    </w:p>
    <w:p w14:paraId="393C93D1">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（2）投标文件未提供“投标人须知前附表”第13.1条规定中“必须提供”的文件资料的；</w:t>
      </w:r>
    </w:p>
    <w:p w14:paraId="20A50AC3">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（3）虚假投标，或者出现其他情形而导致被评标委员会认定无效的；</w:t>
      </w:r>
    </w:p>
    <w:p w14:paraId="2817C267">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bookmarkStart w:id="190" w:name="_Hlk71706244"/>
      <w:r>
        <w:rPr>
          <w:rFonts w:hint="eastAsia" w:ascii="宋体" w:hAnsi="宋体" w:eastAsia="宋体" w:cs="宋体"/>
          <w:b/>
          <w:color w:val="auto"/>
          <w:sz w:val="21"/>
          <w:szCs w:val="21"/>
          <w:highlight w:val="none"/>
        </w:rPr>
        <w:t>招标文件未载明允许提供备选（替代）投标方案或明确不允许提供备选（替代）投标方案时，投标人提供了备选（替代）投标方案的；</w:t>
      </w:r>
      <w:bookmarkEnd w:id="190"/>
    </w:p>
    <w:p w14:paraId="61535AB7">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t>（5）未响应招标文件实质性要求的。</w:t>
      </w:r>
    </w:p>
    <w:p w14:paraId="7A5A0D2C">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2.4其他投标无效的情形：</w:t>
      </w:r>
    </w:p>
    <w:p w14:paraId="585B5C37">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（1）投标文件未按招标文件要求签署或CA电子签章的；</w:t>
      </w:r>
    </w:p>
    <w:p w14:paraId="21CE7862">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（2）投标人提交两份或两份以上内容不同的投标文件；</w:t>
      </w:r>
    </w:p>
    <w:p w14:paraId="244C3636">
      <w:pPr>
        <w:pStyle w:val="16"/>
        <w:pageBreakBefore w:val="0"/>
        <w:kinsoku/>
        <w:wordWrap/>
        <w:overflowPunct/>
        <w:topLinePunct w:val="0"/>
        <w:autoSpaceDE/>
        <w:autoSpaceDN/>
        <w:bidi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（3）投标人在线制作投标文件时填写的报价金额与解密后“电子加密投标文件”中《开标一览表》填写的金额不一致并拒绝按招标文件要求接受调整的；</w:t>
      </w:r>
    </w:p>
    <w:p w14:paraId="01A7E940">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（4）法律、法规和招标文件规定的其他无效情形（或出现重大偏差）。</w:t>
      </w:r>
    </w:p>
    <w:p w14:paraId="20E2E903">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3.澄清补正</w:t>
      </w:r>
    </w:p>
    <w:p w14:paraId="283F9E0C">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0A82EEB">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6721093">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未按评标委员会的要求作出明确澄清、说明或者更正的投标人的投标文件将按照有利于采购人的原则由评标委员会进行判定。</w:t>
      </w:r>
    </w:p>
    <w:p w14:paraId="4797E688">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4.投标文件修正</w:t>
      </w:r>
    </w:p>
    <w:p w14:paraId="7FB9C989">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4.1投标文件报价出现前后不一致的，按照下列规定修正：</w:t>
      </w:r>
    </w:p>
    <w:p w14:paraId="76EB9677">
      <w:pPr>
        <w:pStyle w:val="2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（1）投标文件中开标一览表（报价表）内容与投标文件中相应内容不一致的，以开标一览表（报价表）为准；</w:t>
      </w:r>
    </w:p>
    <w:p w14:paraId="157A0530">
      <w:pPr>
        <w:pStyle w:val="2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79B9404C">
      <w:pPr>
        <w:pStyle w:val="2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0B867D62">
      <w:pPr>
        <w:pStyle w:val="2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1BA6055A">
      <w:pPr>
        <w:pStyle w:val="2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w:t>
      </w:r>
    </w:p>
    <w:p w14:paraId="43CE525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4.2经投标人确认修正后的报价若超过采购预算金额或者最高限价，</w:t>
      </w:r>
      <w:r>
        <w:rPr>
          <w:rFonts w:hint="eastAsia" w:ascii="宋体" w:hAnsi="宋体" w:eastAsia="宋体" w:cs="宋体"/>
          <w:b/>
          <w:color w:val="auto"/>
          <w:szCs w:val="21"/>
          <w:highlight w:val="none"/>
        </w:rPr>
        <w:t>投标人的投标文件作无效投标处理</w:t>
      </w:r>
      <w:r>
        <w:rPr>
          <w:rFonts w:hint="eastAsia" w:ascii="宋体" w:hAnsi="宋体" w:eastAsia="宋体" w:cs="宋体"/>
          <w:color w:val="auto"/>
          <w:szCs w:val="21"/>
          <w:highlight w:val="none"/>
        </w:rPr>
        <w:t>。</w:t>
      </w:r>
    </w:p>
    <w:p w14:paraId="1022AA85">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093150A7">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5.比较与评价</w:t>
      </w:r>
    </w:p>
    <w:p w14:paraId="5FAB070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5.1采用综合评分法的</w:t>
      </w:r>
    </w:p>
    <w:p w14:paraId="5575EA4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（1）评标委员会按照招标文件中规定的评标方法及评标标准，对符合性审查合格的投标文件进行商务和技术评估，综合比较与评价。</w:t>
      </w:r>
    </w:p>
    <w:p w14:paraId="011AECBC">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（2）评标委员会独立对每个投标人的投标文件进行评价，并汇总每个投标人的得分。</w:t>
      </w:r>
    </w:p>
    <w:p w14:paraId="09EF328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（3）评标委员会按照招标文件中规定的评标方法和标准计算各投标人的报价得分。在计算过程中，不得去掉最高报价或者最低报价。</w:t>
      </w:r>
    </w:p>
    <w:p w14:paraId="2CD37C6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（4）各投标人的得分为所有评委的有效评分的算术平均数。</w:t>
      </w:r>
    </w:p>
    <w:p w14:paraId="4769DBC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（5）评标委员会按照招标文件中的规定推荐中标候选人。</w:t>
      </w:r>
    </w:p>
    <w:p w14:paraId="2939909C">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E1AEE0A">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 xml:space="preserve">6.异常低价审查 </w:t>
      </w:r>
    </w:p>
    <w:p w14:paraId="74AD6B5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2F3EA4B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lang w:val="en-US" w:eastAsia="zh-CN"/>
        </w:rPr>
        <w:t xml:space="preserve">50   </w:t>
      </w:r>
      <w:r>
        <w:rPr>
          <w:rFonts w:hint="eastAsia" w:ascii="宋体" w:hAnsi="宋体" w:eastAsia="宋体" w:cs="宋体"/>
          <w:color w:val="auto"/>
          <w:szCs w:val="21"/>
          <w:highlight w:val="none"/>
        </w:rPr>
        <w:t>％的（注：此处由采购人根据项目实际情况填写，填写范围不得低于50％，最高不得超过65％）；</w:t>
      </w:r>
    </w:p>
    <w:p w14:paraId="63AA062D">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lang w:val="en-US" w:eastAsia="zh-CN"/>
        </w:rPr>
        <w:t xml:space="preserve">50   </w:t>
      </w:r>
      <w:r>
        <w:rPr>
          <w:rFonts w:hint="eastAsia" w:ascii="宋体" w:hAnsi="宋体" w:eastAsia="宋体" w:cs="宋体"/>
          <w:color w:val="auto"/>
          <w:szCs w:val="21"/>
          <w:highlight w:val="none"/>
        </w:rPr>
        <w:t>％的（注：此处由采购人根据项目实际情况填写，填写范围不得低于50％，最高不得超过65％）；</w:t>
      </w:r>
    </w:p>
    <w:p w14:paraId="17A9D33A">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％的（注：此处由采购人根据项目实际情况填写，填写范围不得低于45％，最高不得超过65％）；</w:t>
      </w:r>
    </w:p>
    <w:p w14:paraId="22247CC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6547AE1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0D87C55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69E3995">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0880F64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55B934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记录及归档:异常低价投标审查的启动原因、审查意见和审查结果应当在评审报告中记录，并随供应商提供的相关书面说明及证明材料，以及评审委员会有关互联网浏览、查询历史一并归档。</w:t>
      </w:r>
    </w:p>
    <w:p w14:paraId="62950D9F">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91" w:name="_Toc4705"/>
      <w:bookmarkStart w:id="192" w:name="_Toc5924"/>
      <w:r>
        <w:rPr>
          <w:rFonts w:hint="eastAsia" w:ascii="宋体" w:hAnsi="宋体" w:eastAsia="宋体" w:cs="宋体"/>
          <w:color w:val="auto"/>
          <w:highlight w:val="none"/>
        </w:rPr>
        <w:t>三、评标标准</w:t>
      </w:r>
      <w:bookmarkEnd w:id="191"/>
      <w:bookmarkEnd w:id="192"/>
    </w:p>
    <w:p w14:paraId="77065004">
      <w:pPr>
        <w:pageBreakBefore w:val="0"/>
        <w:widowControl/>
        <w:kinsoku/>
        <w:wordWrap/>
        <w:overflowPunct/>
        <w:topLinePunct w:val="0"/>
        <w:autoSpaceDE/>
        <w:autoSpaceDN/>
        <w:bidi w:val="0"/>
        <w:adjustRightInd w:val="0"/>
        <w:snapToGrid w:val="0"/>
        <w:spacing w:line="400" w:lineRule="exact"/>
        <w:ind w:firstLine="42"/>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一、评标原则</w:t>
      </w:r>
    </w:p>
    <w:p w14:paraId="0AEE198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（一）评委构成：《政府采购货物和服务招标投标管理办法》第四十七条 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7D7A78A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（二）</w:t>
      </w:r>
      <w:r>
        <w:rPr>
          <w:rFonts w:hint="eastAsia" w:ascii="宋体" w:hAnsi="宋体" w:eastAsia="宋体" w:cs="宋体"/>
          <w:color w:val="auto"/>
          <w:kern w:val="0"/>
          <w:szCs w:val="21"/>
          <w:highlight w:val="none"/>
        </w:rPr>
        <w:t>评标依据：</w:t>
      </w:r>
      <w:r>
        <w:rPr>
          <w:rFonts w:hint="eastAsia" w:ascii="宋体" w:hAnsi="宋体" w:eastAsia="宋体" w:cs="宋体"/>
          <w:bCs/>
          <w:color w:val="auto"/>
          <w:kern w:val="0"/>
          <w:szCs w:val="21"/>
          <w:highlight w:val="none"/>
        </w:rPr>
        <w:t>评委将以招投标文件为评标依据，对投标人的内容按百分制打分。</w:t>
      </w:r>
    </w:p>
    <w:p w14:paraId="5F307B4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（三）评标方式：以封闭方式进行。</w:t>
      </w:r>
    </w:p>
    <w:p w14:paraId="0F761116">
      <w:pPr>
        <w:pageBreakBefore w:val="0"/>
        <w:kinsoku/>
        <w:wordWrap/>
        <w:overflowPunct/>
        <w:topLinePunct w:val="0"/>
        <w:autoSpaceDE/>
        <w:autoSpaceDN/>
        <w:bidi w:val="0"/>
        <w:adjustRightInd w:val="0"/>
        <w:snapToGrid w:val="0"/>
        <w:spacing w:line="400" w:lineRule="exact"/>
        <w:ind w:firstLine="42" w:firstLineChars="2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二、评标方法</w:t>
      </w:r>
    </w:p>
    <w:p w14:paraId="4715E9F0">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（一）对进入详评的，采用百分制综合评分法。</w:t>
      </w:r>
    </w:p>
    <w:p w14:paraId="00CD84B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（二）计分办法（按四舍五入取至百分位）：</w:t>
      </w:r>
    </w:p>
    <w:p w14:paraId="0D5D31A6">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93" w:name="_Toc29253"/>
      <w:bookmarkStart w:id="194" w:name="_Toc26687"/>
      <w:bookmarkStart w:id="195" w:name="_Toc1515"/>
    </w:p>
    <w:p w14:paraId="595C24C2">
      <w:pPr>
        <w:rPr>
          <w:rFonts w:hint="eastAsia" w:ascii="宋体" w:hAnsi="宋体" w:eastAsia="宋体" w:cs="宋体"/>
          <w:color w:val="auto"/>
          <w:highlight w:val="none"/>
        </w:rPr>
      </w:pPr>
    </w:p>
    <w:p w14:paraId="30F6A2DD">
      <w:pPr>
        <w:pStyle w:val="2"/>
        <w:rPr>
          <w:rFonts w:hint="eastAsia" w:ascii="宋体" w:hAnsi="宋体" w:eastAsia="宋体" w:cs="宋体"/>
        </w:rPr>
      </w:pPr>
    </w:p>
    <w:p w14:paraId="5E5D260C">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评分标准（综合评分法）</w:t>
      </w:r>
      <w:bookmarkEnd w:id="193"/>
      <w:bookmarkEnd w:id="194"/>
      <w:bookmarkEnd w:id="195"/>
    </w:p>
    <w:p w14:paraId="2FF793F2">
      <w:pPr>
        <w:rPr>
          <w:rFonts w:hint="eastAsia" w:ascii="宋体" w:hAnsi="宋体" w:eastAsia="宋体" w:cs="宋体"/>
        </w:rPr>
      </w:pPr>
    </w:p>
    <w:tbl>
      <w:tblPr>
        <w:tblStyle w:val="40"/>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5808A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3C9719DF">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评标项目</w:t>
            </w:r>
          </w:p>
        </w:tc>
        <w:tc>
          <w:tcPr>
            <w:tcW w:w="781" w:type="dxa"/>
            <w:noWrap w:val="0"/>
            <w:vAlign w:val="bottom"/>
          </w:tcPr>
          <w:p w14:paraId="56BA52CF">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评标分值</w:t>
            </w:r>
          </w:p>
        </w:tc>
        <w:tc>
          <w:tcPr>
            <w:tcW w:w="7142" w:type="dxa"/>
            <w:noWrap w:val="0"/>
            <w:vAlign w:val="bottom"/>
          </w:tcPr>
          <w:p w14:paraId="37314B62">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评标方法描述</w:t>
            </w:r>
          </w:p>
        </w:tc>
      </w:tr>
      <w:tr w14:paraId="64ACD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5E9DACD9">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（一）价格分（满分10分）</w:t>
            </w:r>
          </w:p>
        </w:tc>
      </w:tr>
      <w:tr w14:paraId="364EF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2547F3CF">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投标报价</w:t>
            </w:r>
          </w:p>
        </w:tc>
        <w:tc>
          <w:tcPr>
            <w:tcW w:w="781" w:type="dxa"/>
            <w:noWrap w:val="0"/>
            <w:vAlign w:val="center"/>
          </w:tcPr>
          <w:p w14:paraId="7A59755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10分</w:t>
            </w:r>
          </w:p>
        </w:tc>
        <w:tc>
          <w:tcPr>
            <w:tcW w:w="7142" w:type="dxa"/>
            <w:noWrap w:val="0"/>
            <w:vAlign w:val="center"/>
          </w:tcPr>
          <w:p w14:paraId="5A65C60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（1）评标报价为投标人的投标报价进行政策性扣除后的价格，评标报价只是作为评标时使用。最终中标人的中标金额等于投标报价。</w:t>
            </w:r>
          </w:p>
          <w:p w14:paraId="076FFC8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55</w:t>
            </w:r>
            <w:r>
              <w:rPr>
                <w:rFonts w:hint="eastAsia" w:ascii="宋体" w:hAnsi="宋体" w:eastAsia="宋体" w:cs="宋体"/>
                <w:bCs/>
                <w:color w:val="auto"/>
                <w:kern w:val="0"/>
                <w:szCs w:val="21"/>
                <w:highlight w:val="none"/>
              </w:rPr>
              <w:t>号）的规定</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对其最后报价给予</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0%</w:t>
            </w:r>
            <w:r>
              <w:rPr>
                <w:rFonts w:hint="eastAsia" w:ascii="宋体" w:hAnsi="宋体" w:eastAsia="宋体" w:cs="宋体"/>
                <w:bCs/>
                <w:color w:val="auto"/>
                <w:kern w:val="0"/>
                <w:szCs w:val="21"/>
                <w:highlight w:val="none"/>
                <w:lang w:eastAsia="zh-CN"/>
              </w:rPr>
              <w:t>（范围为</w:t>
            </w:r>
            <w:r>
              <w:rPr>
                <w:rFonts w:hint="eastAsia" w:ascii="宋体" w:hAnsi="宋体" w:eastAsia="宋体" w:cs="宋体"/>
                <w:bCs/>
                <w:color w:val="auto"/>
                <w:kern w:val="0"/>
                <w:szCs w:val="21"/>
                <w:highlight w:val="none"/>
                <w:lang w:val="en-US" w:eastAsia="zh-CN"/>
              </w:rPr>
              <w:t>10-20%）</w:t>
            </w:r>
            <w:r>
              <w:rPr>
                <w:rFonts w:hint="eastAsia" w:ascii="宋体" w:hAnsi="宋体" w:eastAsia="宋体" w:cs="宋体"/>
                <w:bCs/>
                <w:color w:val="auto"/>
                <w:kern w:val="0"/>
                <w:szCs w:val="21"/>
                <w:highlight w:val="none"/>
              </w:rPr>
              <w:t>的扣除。</w:t>
            </w:r>
          </w:p>
          <w:p w14:paraId="0C8DDAE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DD91F31">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C7C9E2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（5）政策性扣除计算方法。</w:t>
            </w:r>
          </w:p>
          <w:p w14:paraId="63EC6FD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在服务采购项目中，服务由小微企业承接；对符合上述要求的投标人的投标报价给予</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0%的扣除，扣除后的价格为评标报价，即评标报价=投标报价×（1-</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%（范围为4%-6%）的扣除，用扣除后的价格参加评审，扣除后的价格为评标报价，即评标报价=投标报价×（1-</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%）。除上述情况外，评标报价=投标报价。</w:t>
            </w:r>
          </w:p>
          <w:p w14:paraId="070C21AF">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（6）满足招标文件要求且评标报价最低的评标报价为评标基准价，其价格分为满分。</w:t>
            </w:r>
          </w:p>
          <w:p w14:paraId="2371A8C5">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（7）价格分计算公式：</w:t>
            </w:r>
          </w:p>
          <w:p w14:paraId="3B069FE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价格分=(评标基准价／评标报价)×10分</w:t>
            </w:r>
            <w:r>
              <w:rPr>
                <w:rFonts w:hint="eastAsia" w:ascii="宋体" w:hAnsi="宋体" w:eastAsia="宋体" w:cs="宋体"/>
                <w:bCs/>
                <w:color w:val="auto"/>
                <w:kern w:val="0"/>
                <w:szCs w:val="21"/>
                <w:highlight w:val="none"/>
                <w:lang w:eastAsia="zh-CN"/>
              </w:rPr>
              <w:t>。</w:t>
            </w:r>
          </w:p>
          <w:p w14:paraId="7209808C">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eastAsia="zh-CN"/>
              </w:rPr>
              <w:t>（</w:t>
            </w:r>
            <w:r>
              <w:rPr>
                <w:rFonts w:hint="eastAsia" w:ascii="宋体" w:hAnsi="宋体" w:eastAsia="宋体" w:cs="宋体"/>
                <w:b/>
                <w:bCs w:val="0"/>
                <w:color w:val="auto"/>
                <w:kern w:val="0"/>
                <w:szCs w:val="21"/>
                <w:highlight w:val="none"/>
                <w:lang w:val="en-US" w:eastAsia="zh-CN"/>
              </w:rPr>
              <w:t>8）异常低价说明。</w:t>
            </w:r>
          </w:p>
          <w:p w14:paraId="60393F77">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1E3F9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4EB6DB69">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eastAsia="zh-CN"/>
              </w:rPr>
              <w:t>（</w:t>
            </w:r>
            <w:r>
              <w:rPr>
                <w:rFonts w:hint="eastAsia" w:ascii="宋体" w:hAnsi="宋体" w:eastAsia="宋体" w:cs="宋体"/>
                <w:b/>
                <w:bCs w:val="0"/>
                <w:color w:val="auto"/>
                <w:kern w:val="0"/>
                <w:szCs w:val="21"/>
                <w:highlight w:val="none"/>
                <w:lang w:val="en-US" w:eastAsia="zh-CN"/>
              </w:rPr>
              <w:t>二</w:t>
            </w:r>
            <w:r>
              <w:rPr>
                <w:rFonts w:hint="eastAsia" w:ascii="宋体" w:hAnsi="宋体" w:eastAsia="宋体" w:cs="宋体"/>
                <w:b/>
                <w:bCs w:val="0"/>
                <w:color w:val="auto"/>
                <w:kern w:val="0"/>
                <w:szCs w:val="21"/>
                <w:highlight w:val="none"/>
                <w:lang w:eastAsia="zh-CN"/>
              </w:rPr>
              <w:t>）</w:t>
            </w:r>
            <w:r>
              <w:rPr>
                <w:rFonts w:hint="eastAsia" w:ascii="宋体" w:hAnsi="宋体" w:eastAsia="宋体" w:cs="宋体"/>
                <w:b/>
                <w:bCs w:val="0"/>
                <w:color w:val="auto"/>
                <w:kern w:val="0"/>
                <w:szCs w:val="21"/>
                <w:highlight w:val="none"/>
                <w:lang w:val="en-US" w:eastAsia="zh-CN"/>
              </w:rPr>
              <w:t>技术分（满分40分）</w:t>
            </w:r>
          </w:p>
        </w:tc>
      </w:tr>
      <w:tr w14:paraId="0AEC4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5685E1AD">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szCs w:val="21"/>
              </w:rPr>
              <w:t>项目理解、技术建议及检测评价方法分</w:t>
            </w:r>
          </w:p>
        </w:tc>
        <w:tc>
          <w:tcPr>
            <w:tcW w:w="781" w:type="dxa"/>
            <w:noWrap w:val="0"/>
            <w:vAlign w:val="center"/>
          </w:tcPr>
          <w:p w14:paraId="43B221EB">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12分</w:t>
            </w:r>
          </w:p>
        </w:tc>
        <w:tc>
          <w:tcPr>
            <w:tcW w:w="7142" w:type="dxa"/>
            <w:noWrap w:val="0"/>
            <w:vAlign w:val="center"/>
          </w:tcPr>
          <w:p w14:paraId="43CBFB4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不提供相关方案的不得分。</w:t>
            </w:r>
          </w:p>
          <w:p w14:paraId="3D17039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一档（4分）：对项目的理解基本合理</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项目的特点、难点、重点针对性不强，技术建议可行性</w:t>
            </w:r>
            <w:r>
              <w:rPr>
                <w:rFonts w:hint="eastAsia" w:ascii="宋体" w:hAnsi="宋体" w:cs="宋体"/>
                <w:bCs/>
                <w:color w:val="auto"/>
                <w:kern w:val="0"/>
                <w:szCs w:val="21"/>
                <w:highlight w:val="none"/>
                <w:lang w:val="en-US" w:eastAsia="zh-CN"/>
              </w:rPr>
              <w:t>不强</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路面、路基边坡和交安检测方法和评价分析方法对本项目针对</w:t>
            </w:r>
            <w:r>
              <w:rPr>
                <w:rFonts w:hint="eastAsia" w:ascii="宋体" w:hAnsi="宋体" w:cs="宋体"/>
                <w:bCs/>
                <w:color w:val="auto"/>
                <w:kern w:val="0"/>
                <w:szCs w:val="21"/>
                <w:highlight w:val="none"/>
                <w:lang w:val="en-US" w:eastAsia="zh-CN"/>
              </w:rPr>
              <w:t>性不强</w:t>
            </w:r>
            <w:r>
              <w:rPr>
                <w:rFonts w:hint="eastAsia" w:ascii="宋体" w:hAnsi="宋体" w:eastAsia="宋体" w:cs="宋体"/>
                <w:bCs/>
                <w:color w:val="auto"/>
                <w:kern w:val="0"/>
                <w:szCs w:val="21"/>
                <w:highlight w:val="none"/>
              </w:rPr>
              <w:t>。</w:t>
            </w:r>
          </w:p>
          <w:p w14:paraId="53B9891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二档（8分）：对项目的理解较合理，考虑了持续性发展要求</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项目的特点、难点、重点针对性较好，技术建议基本可行</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路面、路基边坡和交安检测方法和评价分析方法基本适合本项目</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实施过程的可控性</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保密性措施基本可行。</w:t>
            </w:r>
          </w:p>
          <w:p w14:paraId="24A533F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三档（12分）：对项目的理解合理，充分考虑了持续性发展要求；项目的特点、难点、重点针对性强，技术建议</w:t>
            </w:r>
            <w:r>
              <w:rPr>
                <w:rFonts w:hint="eastAsia" w:ascii="宋体" w:hAnsi="宋体" w:cs="宋体"/>
                <w:bCs/>
                <w:color w:val="auto"/>
                <w:kern w:val="0"/>
                <w:szCs w:val="21"/>
                <w:highlight w:val="none"/>
                <w:lang w:val="en-US" w:eastAsia="zh-CN"/>
              </w:rPr>
              <w:t>可行性强</w:t>
            </w:r>
            <w:r>
              <w:rPr>
                <w:rFonts w:hint="eastAsia" w:ascii="宋体" w:hAnsi="宋体" w:eastAsia="宋体" w:cs="宋体"/>
                <w:bCs/>
                <w:color w:val="auto"/>
                <w:kern w:val="0"/>
                <w:szCs w:val="21"/>
                <w:highlight w:val="none"/>
              </w:rPr>
              <w:t>；路面、路基边坡和交安检测方法和评价分析方法充分适合本项目；能够借助信息化等科学手段确保项目实施过程的可控性</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保密措施充分适宜</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针对性强，具有保密、涉密信息相关资质，</w:t>
            </w:r>
            <w:r>
              <w:rPr>
                <w:rFonts w:hint="eastAsia" w:ascii="宋体" w:hAnsi="宋体" w:cs="宋体"/>
                <w:bCs/>
                <w:color w:val="auto"/>
                <w:kern w:val="0"/>
                <w:szCs w:val="21"/>
                <w:highlight w:val="none"/>
                <w:lang w:val="en-US" w:eastAsia="zh-CN"/>
              </w:rPr>
              <w:t>能</w:t>
            </w:r>
            <w:r>
              <w:rPr>
                <w:rFonts w:hint="eastAsia" w:ascii="宋体" w:hAnsi="宋体" w:eastAsia="宋体" w:cs="宋体"/>
                <w:bCs/>
                <w:color w:val="auto"/>
                <w:kern w:val="0"/>
                <w:szCs w:val="21"/>
                <w:highlight w:val="none"/>
              </w:rPr>
              <w:t>确保项目数据、成果安全。</w:t>
            </w:r>
          </w:p>
        </w:tc>
      </w:tr>
      <w:tr w14:paraId="47568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8DB8D8F">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szCs w:val="21"/>
              </w:rPr>
              <w:t>实施方案分</w:t>
            </w:r>
          </w:p>
        </w:tc>
        <w:tc>
          <w:tcPr>
            <w:tcW w:w="781" w:type="dxa"/>
            <w:noWrap w:val="0"/>
            <w:vAlign w:val="center"/>
          </w:tcPr>
          <w:p w14:paraId="21CB8BC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12分</w:t>
            </w:r>
          </w:p>
        </w:tc>
        <w:tc>
          <w:tcPr>
            <w:tcW w:w="7142" w:type="dxa"/>
            <w:noWrap w:val="0"/>
            <w:vAlign w:val="center"/>
          </w:tcPr>
          <w:p w14:paraId="332DE09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不提供相关方案的不得分。</w:t>
            </w:r>
          </w:p>
          <w:p w14:paraId="254DB768">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一档（4分）：项目组织机构及主要人员安排基本合理，工作内容、工作方案及工作进度计划基本合理，关键问题和特殊状况处理方案基本合理。</w:t>
            </w:r>
          </w:p>
          <w:p w14:paraId="3D8935DE">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w:t>
            </w:r>
            <w:r>
              <w:rPr>
                <w:rFonts w:hint="eastAsia" w:ascii="宋体" w:hAnsi="宋体" w:eastAsia="宋体" w:cs="宋体"/>
                <w:bCs/>
                <w:color w:val="auto"/>
                <w:kern w:val="0"/>
                <w:szCs w:val="21"/>
                <w:highlight w:val="none"/>
              </w:rPr>
              <w:t>档</w:t>
            </w:r>
            <w:r>
              <w:rPr>
                <w:rFonts w:hint="eastAsia" w:ascii="宋体" w:hAnsi="宋体" w:eastAsia="宋体" w:cs="宋体"/>
                <w:szCs w:val="21"/>
                <w:highlight w:val="none"/>
              </w:rPr>
              <w:t>（8分）：项目组织机构及主要人员安排较合理，工作内容、工作方案及工作进度计划较合理，关键问题和特殊状况处理方案较合理；数据科学分析工作较合理，工作进度相关保障措施较为完善。</w:t>
            </w:r>
          </w:p>
          <w:p w14:paraId="0F55334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szCs w:val="21"/>
                <w:highlight w:val="none"/>
              </w:rPr>
              <w:t>三</w:t>
            </w:r>
            <w:r>
              <w:rPr>
                <w:rFonts w:hint="eastAsia" w:ascii="宋体" w:hAnsi="宋体" w:eastAsia="宋体" w:cs="宋体"/>
                <w:bCs/>
                <w:color w:val="auto"/>
                <w:kern w:val="0"/>
                <w:szCs w:val="21"/>
                <w:highlight w:val="none"/>
              </w:rPr>
              <w:t>档</w:t>
            </w:r>
            <w:r>
              <w:rPr>
                <w:rFonts w:hint="eastAsia" w:ascii="宋体" w:hAnsi="宋体" w:eastAsia="宋体" w:cs="宋体"/>
                <w:szCs w:val="21"/>
                <w:highlight w:val="none"/>
              </w:rPr>
              <w:t>（12分）：项目组织机构及主要人员安排明确、完善、合理；工作内容明确且工作方案合理完善，工作流程清晰严谨，内外业衔接紧密；工作进度安排合理且进度保障措施完善；能够结合项目特点，对项目数据进行分析，分析合理且进行</w:t>
            </w:r>
            <w:r>
              <w:rPr>
                <w:rFonts w:hint="eastAsia" w:ascii="宋体" w:hAnsi="宋体" w:cs="宋体"/>
                <w:szCs w:val="21"/>
                <w:highlight w:val="none"/>
                <w:lang w:val="en-US" w:eastAsia="zh-CN"/>
              </w:rPr>
              <w:t>了</w:t>
            </w:r>
            <w:r>
              <w:rPr>
                <w:rFonts w:hint="eastAsia" w:ascii="宋体" w:hAnsi="宋体" w:eastAsia="宋体" w:cs="宋体"/>
                <w:szCs w:val="21"/>
                <w:highlight w:val="none"/>
              </w:rPr>
              <w:t xml:space="preserve">养护决策科学分析；有较好的技术研究基础及技术方案组织实施能力，确保项目质量；对一些可能遇到的关键问题和特殊状况提出详细具体的处理方案，理念先进，手段科学。 </w:t>
            </w:r>
          </w:p>
        </w:tc>
      </w:tr>
      <w:tr w14:paraId="13366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44A7DB2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rPr>
            </w:pPr>
            <w:r>
              <w:rPr>
                <w:rFonts w:hint="eastAsia" w:ascii="宋体" w:hAnsi="宋体" w:eastAsia="宋体" w:cs="宋体"/>
                <w:b/>
                <w:bCs/>
                <w:szCs w:val="21"/>
              </w:rPr>
              <w:t>质量保障措施及售后服务方案分</w:t>
            </w:r>
          </w:p>
          <w:p w14:paraId="114870E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rPr>
            </w:pPr>
          </w:p>
        </w:tc>
        <w:tc>
          <w:tcPr>
            <w:tcW w:w="781" w:type="dxa"/>
            <w:noWrap w:val="0"/>
            <w:vAlign w:val="center"/>
          </w:tcPr>
          <w:p w14:paraId="543ED77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6</w:t>
            </w:r>
            <w:r>
              <w:rPr>
                <w:rFonts w:hint="eastAsia" w:ascii="宋体" w:hAnsi="宋体" w:eastAsia="宋体" w:cs="宋体"/>
                <w:b/>
                <w:bCs w:val="0"/>
                <w:color w:val="auto"/>
                <w:kern w:val="0"/>
                <w:szCs w:val="21"/>
                <w:highlight w:val="none"/>
                <w:lang w:val="en-US" w:eastAsia="zh-CN"/>
              </w:rPr>
              <w:t>分</w:t>
            </w:r>
          </w:p>
        </w:tc>
        <w:tc>
          <w:tcPr>
            <w:tcW w:w="7142" w:type="dxa"/>
            <w:noWrap w:val="0"/>
            <w:vAlign w:val="center"/>
          </w:tcPr>
          <w:p w14:paraId="4F9A0FC9">
            <w:pPr>
              <w:ind w:firstLine="420" w:firstLineChars="200"/>
              <w:rPr>
                <w:rFonts w:ascii="宋体" w:hAnsi="Courier New"/>
                <w:szCs w:val="21"/>
              </w:rPr>
            </w:pPr>
            <w:r>
              <w:rPr>
                <w:rFonts w:hint="eastAsia" w:ascii="宋体" w:hAnsi="Courier New"/>
                <w:szCs w:val="21"/>
              </w:rPr>
              <w:t>不提供相关方案的不得分。</w:t>
            </w:r>
          </w:p>
          <w:p w14:paraId="48715595">
            <w:pPr>
              <w:ind w:firstLine="420" w:firstLineChars="200"/>
              <w:rPr>
                <w:rFonts w:ascii="宋体" w:hAnsi="Courier New"/>
                <w:szCs w:val="21"/>
              </w:rPr>
            </w:pPr>
            <w:r>
              <w:rPr>
                <w:rFonts w:ascii="宋体" w:hAnsi="Courier New"/>
                <w:szCs w:val="21"/>
              </w:rPr>
              <w:t>一档（</w:t>
            </w:r>
            <w:r>
              <w:rPr>
                <w:rFonts w:hint="eastAsia" w:ascii="宋体" w:hAnsi="Courier New"/>
                <w:szCs w:val="21"/>
                <w:lang w:val="en-US" w:eastAsia="zh-CN"/>
              </w:rPr>
              <w:t>2</w:t>
            </w:r>
            <w:r>
              <w:rPr>
                <w:rFonts w:ascii="宋体" w:hAnsi="Courier New"/>
                <w:szCs w:val="21"/>
              </w:rPr>
              <w:t>分）：提供项目</w:t>
            </w:r>
            <w:r>
              <w:rPr>
                <w:rFonts w:hint="eastAsia" w:ascii="宋体" w:hAnsi="Courier New"/>
                <w:szCs w:val="21"/>
              </w:rPr>
              <w:t>质量和项目安全及售后服务</w:t>
            </w:r>
            <w:r>
              <w:rPr>
                <w:rFonts w:ascii="宋体" w:hAnsi="Courier New"/>
                <w:szCs w:val="21"/>
              </w:rPr>
              <w:t>方案，且方案可行；</w:t>
            </w:r>
          </w:p>
          <w:p w14:paraId="18AC0F4B">
            <w:pPr>
              <w:ind w:firstLine="420" w:firstLineChars="200"/>
              <w:rPr>
                <w:rFonts w:ascii="宋体" w:hAnsi="Courier New"/>
                <w:szCs w:val="21"/>
              </w:rPr>
            </w:pPr>
            <w:r>
              <w:rPr>
                <w:rFonts w:ascii="宋体" w:hAnsi="Courier New"/>
                <w:szCs w:val="21"/>
              </w:rPr>
              <w:t>二</w:t>
            </w:r>
            <w:r>
              <w:rPr>
                <w:rFonts w:hint="eastAsia" w:ascii="宋体" w:hAnsi="宋体" w:eastAsia="宋体" w:cs="宋体"/>
                <w:bCs/>
                <w:color w:val="auto"/>
                <w:kern w:val="0"/>
                <w:szCs w:val="21"/>
                <w:highlight w:val="none"/>
              </w:rPr>
              <w:t>档</w:t>
            </w:r>
            <w:r>
              <w:rPr>
                <w:rFonts w:ascii="宋体" w:hAnsi="Courier New"/>
                <w:szCs w:val="21"/>
              </w:rPr>
              <w:t>（</w:t>
            </w:r>
            <w:r>
              <w:rPr>
                <w:rFonts w:hint="eastAsia" w:ascii="宋体" w:hAnsi="Courier New"/>
                <w:szCs w:val="21"/>
                <w:lang w:val="en-US" w:eastAsia="zh-CN"/>
              </w:rPr>
              <w:t>4</w:t>
            </w:r>
            <w:r>
              <w:rPr>
                <w:rFonts w:ascii="宋体" w:hAnsi="Courier New"/>
                <w:szCs w:val="21"/>
              </w:rPr>
              <w:t>分）：提供项目</w:t>
            </w:r>
            <w:r>
              <w:rPr>
                <w:rFonts w:hint="eastAsia" w:ascii="宋体" w:hAnsi="Courier New"/>
                <w:szCs w:val="21"/>
              </w:rPr>
              <w:t>质量和项目安全及售后服务</w:t>
            </w:r>
            <w:r>
              <w:rPr>
                <w:rFonts w:ascii="宋体" w:hAnsi="Courier New"/>
                <w:szCs w:val="21"/>
              </w:rPr>
              <w:t>方案，且</w:t>
            </w:r>
            <w:r>
              <w:rPr>
                <w:rFonts w:hint="eastAsia" w:ascii="宋体" w:hAnsi="Courier New"/>
                <w:szCs w:val="21"/>
              </w:rPr>
              <w:t>提出了相关保障措施和方法，措施基本合理，方法基本可行</w:t>
            </w:r>
            <w:r>
              <w:rPr>
                <w:rFonts w:ascii="宋体" w:hAnsi="Courier New"/>
                <w:szCs w:val="21"/>
              </w:rPr>
              <w:t>；</w:t>
            </w:r>
          </w:p>
          <w:p w14:paraId="6E7E1AAF">
            <w:pPr>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kern w:val="0"/>
                <w:szCs w:val="21"/>
                <w:highlight w:val="none"/>
              </w:rPr>
            </w:pPr>
            <w:r>
              <w:rPr>
                <w:rFonts w:ascii="宋体" w:hAnsi="Courier New"/>
                <w:szCs w:val="21"/>
              </w:rPr>
              <w:t>三</w:t>
            </w:r>
            <w:r>
              <w:rPr>
                <w:rFonts w:hint="eastAsia" w:ascii="宋体" w:hAnsi="宋体" w:eastAsia="宋体" w:cs="宋体"/>
                <w:bCs/>
                <w:color w:val="auto"/>
                <w:kern w:val="0"/>
                <w:szCs w:val="21"/>
                <w:highlight w:val="none"/>
              </w:rPr>
              <w:t>档</w:t>
            </w:r>
            <w:r>
              <w:rPr>
                <w:rFonts w:ascii="宋体" w:hAnsi="Courier New"/>
                <w:szCs w:val="21"/>
              </w:rPr>
              <w:t>（</w:t>
            </w:r>
            <w:r>
              <w:rPr>
                <w:rFonts w:hint="eastAsia" w:ascii="宋体" w:hAnsi="Courier New"/>
                <w:szCs w:val="21"/>
                <w:lang w:val="en-US" w:eastAsia="zh-CN"/>
              </w:rPr>
              <w:t>6</w:t>
            </w:r>
            <w:r>
              <w:rPr>
                <w:rFonts w:ascii="宋体" w:hAnsi="Courier New"/>
                <w:szCs w:val="21"/>
              </w:rPr>
              <w:t>分）：</w:t>
            </w:r>
            <w:r>
              <w:rPr>
                <w:rFonts w:hint="eastAsia" w:ascii="宋体" w:hAnsi="Courier New"/>
                <w:szCs w:val="21"/>
              </w:rPr>
              <w:t>针对本项目建立项目质量和项目安全保障体系且体系完整，目标明确，制度健全，保障措施完善且针对性强；提供项目售后服务方案，且</w:t>
            </w:r>
            <w:r>
              <w:rPr>
                <w:rFonts w:ascii="宋体" w:hAnsi="Courier New"/>
                <w:szCs w:val="21"/>
              </w:rPr>
              <w:t>服务</w:t>
            </w:r>
            <w:r>
              <w:rPr>
                <w:rFonts w:hint="eastAsia" w:ascii="宋体" w:hAnsi="Courier New"/>
                <w:szCs w:val="21"/>
              </w:rPr>
              <w:t>方案</w:t>
            </w:r>
            <w:r>
              <w:rPr>
                <w:rFonts w:ascii="宋体" w:hAnsi="Courier New"/>
                <w:szCs w:val="21"/>
              </w:rPr>
              <w:t>和保障措施考虑周全完整</w:t>
            </w:r>
            <w:r>
              <w:rPr>
                <w:rFonts w:hint="eastAsia" w:ascii="宋体" w:hAnsi="Courier New"/>
                <w:szCs w:val="21"/>
              </w:rPr>
              <w:t>，售后服务内容明确，方法合理。</w:t>
            </w:r>
          </w:p>
        </w:tc>
      </w:tr>
      <w:tr w14:paraId="5A2BC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4B16804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rPr>
            </w:pPr>
            <w:r>
              <w:rPr>
                <w:rFonts w:hint="eastAsia" w:ascii="宋体" w:hAnsi="宋体" w:eastAsia="宋体" w:cs="宋体"/>
                <w:b/>
                <w:bCs/>
                <w:szCs w:val="21"/>
              </w:rPr>
              <w:t>服务承诺方案分</w:t>
            </w:r>
          </w:p>
        </w:tc>
        <w:tc>
          <w:tcPr>
            <w:tcW w:w="781" w:type="dxa"/>
            <w:noWrap w:val="0"/>
            <w:vAlign w:val="center"/>
          </w:tcPr>
          <w:p w14:paraId="5D969396">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6分</w:t>
            </w:r>
          </w:p>
        </w:tc>
        <w:tc>
          <w:tcPr>
            <w:tcW w:w="7142" w:type="dxa"/>
            <w:noWrap w:val="0"/>
            <w:vAlign w:val="center"/>
          </w:tcPr>
          <w:p w14:paraId="48C0BD84">
            <w:pPr>
              <w:ind w:firstLine="420" w:firstLineChars="200"/>
              <w:rPr>
                <w:rFonts w:hint="eastAsia" w:ascii="宋体" w:hAnsi="宋体" w:eastAsia="宋体" w:cs="宋体"/>
                <w:szCs w:val="21"/>
              </w:rPr>
            </w:pPr>
            <w:r>
              <w:rPr>
                <w:rFonts w:hint="eastAsia" w:ascii="宋体" w:hAnsi="宋体" w:eastAsia="宋体" w:cs="宋体"/>
                <w:szCs w:val="21"/>
              </w:rPr>
              <w:t>不提供相关方案的不得分。</w:t>
            </w:r>
          </w:p>
          <w:p w14:paraId="4081C870">
            <w:pPr>
              <w:ind w:firstLine="420" w:firstLineChars="200"/>
              <w:rPr>
                <w:rFonts w:hint="eastAsia" w:ascii="宋体" w:hAnsi="宋体" w:eastAsia="宋体" w:cs="宋体"/>
                <w:szCs w:val="21"/>
              </w:rPr>
            </w:pPr>
            <w:r>
              <w:rPr>
                <w:rFonts w:hint="eastAsia" w:ascii="宋体" w:hAnsi="宋体" w:eastAsia="宋体" w:cs="宋体"/>
                <w:szCs w:val="21"/>
              </w:rPr>
              <w:t>一档（2分）：服务承诺基本满足</w:t>
            </w:r>
            <w:r>
              <w:rPr>
                <w:rFonts w:hint="eastAsia" w:ascii="宋体" w:hAnsi="宋体" w:cs="宋体"/>
                <w:szCs w:val="21"/>
                <w:lang w:val="en-US" w:eastAsia="zh-CN"/>
              </w:rPr>
              <w:t>项目实施过程中的</w:t>
            </w:r>
            <w:r>
              <w:rPr>
                <w:rFonts w:hint="eastAsia" w:ascii="宋体" w:hAnsi="宋体" w:eastAsia="宋体" w:cs="宋体"/>
                <w:szCs w:val="21"/>
              </w:rPr>
              <w:t>要求，针对本项目有简单的</w:t>
            </w:r>
            <w:r>
              <w:rPr>
                <w:rFonts w:hint="eastAsia" w:ascii="宋体" w:hAnsi="宋体" w:cs="宋体"/>
                <w:szCs w:val="21"/>
                <w:lang w:val="en-US" w:eastAsia="zh-CN"/>
              </w:rPr>
              <w:t>服务措施</w:t>
            </w:r>
            <w:r>
              <w:rPr>
                <w:rFonts w:hint="eastAsia" w:ascii="宋体" w:hAnsi="宋体" w:eastAsia="宋体" w:cs="宋体"/>
                <w:szCs w:val="21"/>
              </w:rPr>
              <w:t>。</w:t>
            </w:r>
          </w:p>
          <w:p w14:paraId="410375A7">
            <w:pPr>
              <w:ind w:firstLine="420" w:firstLineChars="200"/>
              <w:rPr>
                <w:rFonts w:hint="eastAsia" w:ascii="宋体" w:hAnsi="宋体" w:cs="宋体"/>
                <w:szCs w:val="21"/>
                <w:lang w:eastAsia="zh-CN"/>
              </w:rPr>
            </w:pPr>
            <w:r>
              <w:rPr>
                <w:rFonts w:hint="eastAsia" w:ascii="宋体" w:hAnsi="宋体" w:eastAsia="宋体" w:cs="宋体"/>
                <w:szCs w:val="21"/>
              </w:rPr>
              <w:t>二</w:t>
            </w:r>
            <w:r>
              <w:rPr>
                <w:rFonts w:hint="eastAsia" w:ascii="宋体" w:hAnsi="宋体" w:eastAsia="宋体" w:cs="宋体"/>
                <w:bCs/>
                <w:color w:val="auto"/>
                <w:kern w:val="0"/>
                <w:szCs w:val="21"/>
                <w:highlight w:val="none"/>
              </w:rPr>
              <w:t>档</w:t>
            </w:r>
            <w:r>
              <w:rPr>
                <w:rFonts w:hint="eastAsia" w:ascii="宋体" w:hAnsi="宋体" w:eastAsia="宋体" w:cs="宋体"/>
                <w:szCs w:val="21"/>
              </w:rPr>
              <w:t>（4分）：服务承诺较为详细，表达比较充分，服务措施基本到位，可行性和针对性一般；保证技术服务的方案措施，保证检测质量的服务方案措施，定期回访措施等全面且较为完善</w:t>
            </w:r>
            <w:r>
              <w:rPr>
                <w:rFonts w:hint="eastAsia" w:ascii="宋体" w:hAnsi="宋体" w:cs="宋体"/>
                <w:szCs w:val="21"/>
                <w:lang w:eastAsia="zh-CN"/>
              </w:rPr>
              <w:t>。</w:t>
            </w:r>
          </w:p>
          <w:p w14:paraId="1829441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szCs w:val="21"/>
              </w:rPr>
              <w:t>三</w:t>
            </w:r>
            <w:r>
              <w:rPr>
                <w:rFonts w:hint="eastAsia" w:ascii="宋体" w:hAnsi="宋体" w:eastAsia="宋体" w:cs="宋体"/>
                <w:bCs/>
                <w:color w:val="auto"/>
                <w:kern w:val="0"/>
                <w:szCs w:val="21"/>
                <w:highlight w:val="none"/>
              </w:rPr>
              <w:t>档</w:t>
            </w:r>
            <w:r>
              <w:rPr>
                <w:rFonts w:hint="eastAsia" w:ascii="宋体" w:hAnsi="宋体" w:eastAsia="宋体" w:cs="宋体"/>
                <w:szCs w:val="21"/>
              </w:rPr>
              <w:t>（6分）：服务承诺详细、具体、有效且服务措施到位，具有可行性和针对性，同时有利于项目的执行；建立针对本项目的服务体系，技术服务、检测质量、定期回访和安全生产等承诺措施</w:t>
            </w:r>
            <w:r>
              <w:rPr>
                <w:rFonts w:hint="eastAsia" w:ascii="宋体" w:hAnsi="宋体" w:cs="宋体"/>
                <w:szCs w:val="21"/>
                <w:lang w:val="en-US" w:eastAsia="zh-CN"/>
              </w:rPr>
              <w:t>完善</w:t>
            </w:r>
            <w:r>
              <w:rPr>
                <w:rFonts w:hint="eastAsia" w:ascii="宋体" w:hAnsi="宋体" w:eastAsia="宋体" w:cs="宋体"/>
                <w:szCs w:val="21"/>
              </w:rPr>
              <w:t>；服务及时，态度良好，有</w:t>
            </w:r>
            <w:r>
              <w:rPr>
                <w:rFonts w:hint="eastAsia" w:ascii="宋体" w:hAnsi="宋体" w:eastAsia="宋体" w:cs="宋体"/>
                <w:szCs w:val="21"/>
                <w:highlight w:val="none"/>
              </w:rPr>
              <w:t>优惠服务承诺。</w:t>
            </w:r>
          </w:p>
        </w:tc>
      </w:tr>
      <w:tr w14:paraId="27F94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32C09A6E">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Cs w:val="21"/>
              </w:rPr>
            </w:pPr>
            <w:r>
              <w:rPr>
                <w:rFonts w:hint="eastAsia" w:ascii="宋体" w:hAnsi="宋体" w:eastAsia="宋体" w:cs="宋体"/>
                <w:b/>
                <w:bCs/>
                <w:szCs w:val="21"/>
              </w:rPr>
              <w:t>拟投入设备分</w:t>
            </w:r>
          </w:p>
        </w:tc>
        <w:tc>
          <w:tcPr>
            <w:tcW w:w="781" w:type="dxa"/>
            <w:noWrap w:val="0"/>
            <w:vAlign w:val="center"/>
          </w:tcPr>
          <w:p w14:paraId="2FD3A93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szCs w:val="21"/>
              </w:rPr>
              <w:t>4分</w:t>
            </w:r>
          </w:p>
        </w:tc>
        <w:tc>
          <w:tcPr>
            <w:tcW w:w="7142" w:type="dxa"/>
            <w:noWrap w:val="0"/>
            <w:vAlign w:val="center"/>
          </w:tcPr>
          <w:p w14:paraId="33CD56A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投标人每增加1台自有或租赁的多功能路况快速检测设备得</w:t>
            </w: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分，本小项最多得</w:t>
            </w: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分；每增加1台自有或租赁的路面横向力系数测试车得</w:t>
            </w: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分，本小项最多得</w:t>
            </w: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分。</w:t>
            </w:r>
            <w:r>
              <w:rPr>
                <w:rFonts w:hint="eastAsia" w:ascii="宋体" w:hAnsi="宋体" w:cs="宋体"/>
                <w:bCs/>
                <w:color w:val="auto"/>
                <w:kern w:val="0"/>
                <w:szCs w:val="21"/>
                <w:highlight w:val="none"/>
                <w:lang w:val="en-US" w:eastAsia="zh-CN"/>
              </w:rPr>
              <w:t>本项满分4分。</w:t>
            </w:r>
            <w:r>
              <w:rPr>
                <w:rFonts w:hint="eastAsia" w:ascii="宋体" w:hAnsi="宋体" w:eastAsia="宋体" w:cs="宋体"/>
                <w:szCs w:val="21"/>
              </w:rPr>
              <w:t>（</w:t>
            </w:r>
            <w:r>
              <w:rPr>
                <w:rFonts w:hint="eastAsia" w:ascii="宋体" w:hAnsi="宋体" w:cs="宋体"/>
                <w:szCs w:val="21"/>
                <w:lang w:val="en-US" w:eastAsia="zh-CN"/>
              </w:rPr>
              <w:t>自有设备</w:t>
            </w:r>
            <w:r>
              <w:rPr>
                <w:rFonts w:hint="eastAsia" w:ascii="宋体" w:hAnsi="宋体" w:eastAsia="宋体" w:cs="宋体"/>
                <w:szCs w:val="21"/>
              </w:rPr>
              <w:t>须提供购置合同或发票、行驶证、检定/校准证书等证明材料</w:t>
            </w:r>
            <w:r>
              <w:rPr>
                <w:rFonts w:hint="eastAsia" w:ascii="宋体" w:hAnsi="宋体" w:cs="宋体"/>
                <w:szCs w:val="21"/>
                <w:lang w:eastAsia="zh-CN"/>
              </w:rPr>
              <w:t>；</w:t>
            </w:r>
            <w:r>
              <w:rPr>
                <w:rFonts w:hint="eastAsia" w:ascii="宋体" w:hAnsi="宋体" w:cs="宋体"/>
                <w:szCs w:val="21"/>
                <w:lang w:val="en-US" w:eastAsia="zh-CN"/>
              </w:rPr>
              <w:t>租赁设备须提供租赁合同</w:t>
            </w:r>
            <w:r>
              <w:rPr>
                <w:rFonts w:hint="eastAsia" w:ascii="宋体" w:hAnsi="宋体" w:eastAsia="宋体" w:cs="宋体"/>
                <w:szCs w:val="21"/>
              </w:rPr>
              <w:t>或发票、行驶证、检定/校准证书等证明材料）。</w:t>
            </w:r>
          </w:p>
        </w:tc>
      </w:tr>
      <w:tr w14:paraId="7E8BB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02DD189E">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（三）商务分（满分</w:t>
            </w:r>
            <w:r>
              <w:rPr>
                <w:rFonts w:hint="eastAsia" w:ascii="宋体" w:hAnsi="宋体" w:cs="宋体"/>
                <w:b/>
                <w:bCs w:val="0"/>
                <w:color w:val="auto"/>
                <w:kern w:val="0"/>
                <w:szCs w:val="21"/>
                <w:highlight w:val="none"/>
                <w:lang w:val="en-US" w:eastAsia="zh-CN"/>
              </w:rPr>
              <w:t>50</w:t>
            </w:r>
            <w:r>
              <w:rPr>
                <w:rFonts w:hint="eastAsia" w:ascii="宋体" w:hAnsi="宋体" w:eastAsia="宋体" w:cs="宋体"/>
                <w:b/>
                <w:bCs w:val="0"/>
                <w:color w:val="auto"/>
                <w:kern w:val="0"/>
                <w:szCs w:val="21"/>
                <w:highlight w:val="none"/>
                <w:lang w:val="en-US" w:eastAsia="zh-CN"/>
              </w:rPr>
              <w:t>分）</w:t>
            </w:r>
          </w:p>
        </w:tc>
      </w:tr>
      <w:tr w14:paraId="42553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D96C305">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bookmarkStart w:id="196" w:name="_Toc9520"/>
            <w:r>
              <w:rPr>
                <w:rFonts w:hint="eastAsia" w:ascii="宋体" w:hAnsi="宋体" w:eastAsia="宋体" w:cs="宋体"/>
                <w:b/>
                <w:sz w:val="21"/>
              </w:rPr>
              <w:t>拟投入本项目人员情况分</w:t>
            </w:r>
          </w:p>
        </w:tc>
        <w:tc>
          <w:tcPr>
            <w:tcW w:w="781" w:type="dxa"/>
            <w:noWrap w:val="0"/>
            <w:vAlign w:val="center"/>
          </w:tcPr>
          <w:p w14:paraId="71B87148">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cs="宋体"/>
                <w:b/>
                <w:sz w:val="21"/>
                <w:lang w:val="en-US" w:eastAsia="zh-CN"/>
              </w:rPr>
              <w:t>20</w:t>
            </w:r>
            <w:r>
              <w:rPr>
                <w:rFonts w:hint="eastAsia" w:ascii="宋体" w:hAnsi="宋体" w:eastAsia="宋体" w:cs="宋体"/>
                <w:b/>
                <w:sz w:val="21"/>
              </w:rPr>
              <w:t>分</w:t>
            </w:r>
          </w:p>
        </w:tc>
        <w:tc>
          <w:tcPr>
            <w:tcW w:w="7142" w:type="dxa"/>
            <w:noWrap w:val="0"/>
            <w:vAlign w:val="center"/>
          </w:tcPr>
          <w:p w14:paraId="2E4303E7">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（1）</w:t>
            </w:r>
            <w:r>
              <w:rPr>
                <w:rFonts w:hint="eastAsia" w:ascii="宋体" w:hAnsi="宋体" w:eastAsia="宋体" w:cs="宋体"/>
                <w:bCs/>
                <w:color w:val="auto"/>
                <w:kern w:val="0"/>
                <w:szCs w:val="21"/>
                <w:highlight w:val="none"/>
                <w:lang w:val="en-US" w:eastAsia="zh-CN"/>
              </w:rPr>
              <w:t>拟投入的项目负责人具有</w:t>
            </w:r>
            <w:bookmarkStart w:id="197" w:name="OLE_LINK17"/>
            <w:r>
              <w:rPr>
                <w:rFonts w:hint="eastAsia" w:ascii="宋体" w:hAnsi="宋体" w:cs="宋体"/>
                <w:bCs/>
                <w:color w:val="auto"/>
                <w:kern w:val="0"/>
                <w:szCs w:val="21"/>
                <w:highlight w:val="none"/>
                <w:lang w:val="en-US" w:eastAsia="zh-CN"/>
              </w:rPr>
              <w:t>公路工程相关专业</w:t>
            </w:r>
            <w:bookmarkEnd w:id="197"/>
            <w:r>
              <w:rPr>
                <w:rFonts w:hint="eastAsia" w:ascii="宋体" w:hAnsi="宋体" w:cs="宋体"/>
                <w:bCs/>
                <w:color w:val="auto"/>
                <w:kern w:val="0"/>
                <w:szCs w:val="21"/>
                <w:highlight w:val="none"/>
                <w:lang w:val="en-US" w:eastAsia="zh-CN"/>
              </w:rPr>
              <w:t>正</w:t>
            </w:r>
            <w:r>
              <w:rPr>
                <w:rFonts w:hint="eastAsia" w:ascii="宋体" w:hAnsi="宋体" w:cs="宋体"/>
                <w:szCs w:val="21"/>
                <w:highlight w:val="none"/>
                <w:lang w:val="en-US" w:eastAsia="zh-CN"/>
              </w:rPr>
              <w:t>高级工程师（或教授级高级工程师或教授或研究员）职称</w:t>
            </w:r>
            <w:r>
              <w:rPr>
                <w:rFonts w:hint="eastAsia" w:ascii="宋体" w:hAnsi="宋体" w:eastAsia="宋体" w:cs="宋体"/>
                <w:bCs/>
                <w:color w:val="auto"/>
                <w:kern w:val="0"/>
                <w:szCs w:val="21"/>
                <w:highlight w:val="none"/>
                <w:lang w:val="en-US" w:eastAsia="zh-CN"/>
              </w:rPr>
              <w:t>的，得</w:t>
            </w:r>
            <w:r>
              <w:rPr>
                <w:rFonts w:hint="default"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lang w:val="en-US" w:eastAsia="zh-CN"/>
              </w:rPr>
              <w:t>分；参与过公路相关标准规范编制</w:t>
            </w:r>
            <w:r>
              <w:rPr>
                <w:rFonts w:hint="eastAsia" w:ascii="宋体" w:hAnsi="宋体" w:cs="宋体"/>
                <w:bCs/>
                <w:color w:val="auto"/>
                <w:kern w:val="0"/>
                <w:szCs w:val="21"/>
                <w:highlight w:val="none"/>
                <w:lang w:val="en-US" w:eastAsia="zh-CN"/>
              </w:rPr>
              <w:t>且相关标准规范</w:t>
            </w:r>
            <w:r>
              <w:rPr>
                <w:rFonts w:hint="eastAsia" w:ascii="宋体" w:hAnsi="宋体" w:eastAsia="宋体" w:cs="宋体"/>
                <w:sz w:val="21"/>
                <w:szCs w:val="21"/>
                <w:highlight w:val="none"/>
                <w:lang w:val="en-US" w:eastAsia="zh-CN"/>
              </w:rPr>
              <w:t>已发布和实施</w:t>
            </w:r>
            <w:r>
              <w:rPr>
                <w:rFonts w:hint="eastAsia" w:ascii="宋体" w:hAnsi="宋体" w:eastAsia="宋体" w:cs="宋体"/>
                <w:bCs/>
                <w:color w:val="auto"/>
                <w:kern w:val="0"/>
                <w:szCs w:val="21"/>
                <w:highlight w:val="none"/>
                <w:lang w:val="en-US" w:eastAsia="zh-CN"/>
              </w:rPr>
              <w:t>的，</w:t>
            </w:r>
            <w:r>
              <w:rPr>
                <w:rFonts w:hint="eastAsia" w:ascii="宋体" w:hAnsi="宋体" w:cs="宋体"/>
                <w:bCs/>
                <w:color w:val="auto"/>
                <w:kern w:val="0"/>
                <w:szCs w:val="21"/>
                <w:highlight w:val="none"/>
                <w:lang w:val="en-US" w:eastAsia="zh-CN"/>
              </w:rPr>
              <w:t>1项</w:t>
            </w:r>
            <w:r>
              <w:rPr>
                <w:rFonts w:hint="eastAsia" w:ascii="宋体" w:hAnsi="宋体" w:eastAsia="宋体" w:cs="宋体"/>
                <w:bCs/>
                <w:color w:val="auto"/>
                <w:kern w:val="0"/>
                <w:szCs w:val="21"/>
                <w:highlight w:val="none"/>
                <w:lang w:val="en-US" w:eastAsia="zh-CN"/>
              </w:rPr>
              <w:t>得</w:t>
            </w: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lang w:val="en-US" w:eastAsia="zh-CN"/>
              </w:rPr>
              <w:t>分</w:t>
            </w:r>
            <w:r>
              <w:rPr>
                <w:rFonts w:hint="eastAsia" w:ascii="宋体" w:hAnsi="宋体" w:cs="宋体"/>
                <w:bCs/>
                <w:color w:val="auto"/>
                <w:kern w:val="0"/>
                <w:szCs w:val="21"/>
                <w:highlight w:val="none"/>
                <w:lang w:val="en-US" w:eastAsia="zh-CN"/>
              </w:rPr>
              <w:t>，最高得4分；</w:t>
            </w:r>
            <w:bookmarkStart w:id="198" w:name="OLE_LINK25"/>
            <w:r>
              <w:rPr>
                <w:rFonts w:hint="eastAsia" w:ascii="宋体" w:hAnsi="宋体" w:cs="宋体"/>
                <w:bCs/>
                <w:color w:val="auto"/>
                <w:kern w:val="0"/>
                <w:szCs w:val="21"/>
                <w:highlight w:val="none"/>
                <w:lang w:val="en-US" w:eastAsia="zh-CN"/>
              </w:rPr>
              <w:t>主持或组织管理</w:t>
            </w:r>
            <w:bookmarkEnd w:id="198"/>
            <w:r>
              <w:rPr>
                <w:rFonts w:hint="eastAsia" w:ascii="宋体" w:hAnsi="宋体" w:eastAsia="宋体" w:cs="宋体"/>
                <w:bCs/>
                <w:color w:val="auto"/>
                <w:kern w:val="0"/>
                <w:szCs w:val="21"/>
                <w:highlight w:val="none"/>
                <w:lang w:val="en-US" w:eastAsia="zh-CN"/>
              </w:rPr>
              <w:t>过与路面相关的技术研究</w:t>
            </w:r>
            <w:r>
              <w:rPr>
                <w:rFonts w:hint="eastAsia" w:ascii="宋体" w:hAnsi="宋体" w:cs="宋体"/>
                <w:bCs/>
                <w:color w:val="auto"/>
                <w:kern w:val="0"/>
                <w:szCs w:val="21"/>
                <w:highlight w:val="none"/>
                <w:lang w:val="en-US" w:eastAsia="zh-CN"/>
              </w:rPr>
              <w:t>的，得2分</w:t>
            </w:r>
            <w:r>
              <w:rPr>
                <w:rFonts w:hint="eastAsia" w:ascii="宋体" w:hAnsi="宋体" w:eastAsia="宋体" w:cs="宋体"/>
                <w:bCs/>
                <w:color w:val="auto"/>
                <w:kern w:val="0"/>
                <w:szCs w:val="21"/>
                <w:highlight w:val="none"/>
                <w:lang w:val="en-US" w:eastAsia="zh-CN"/>
              </w:rPr>
              <w:t>。本小项满分</w:t>
            </w:r>
            <w:r>
              <w:rPr>
                <w:rFonts w:hint="eastAsia" w:ascii="宋体" w:hAnsi="宋体" w:cs="宋体"/>
                <w:bCs/>
                <w:color w:val="auto"/>
                <w:kern w:val="0"/>
                <w:szCs w:val="21"/>
                <w:highlight w:val="none"/>
                <w:lang w:val="en-US" w:eastAsia="zh-CN"/>
              </w:rPr>
              <w:t>8</w:t>
            </w:r>
            <w:r>
              <w:rPr>
                <w:rFonts w:hint="eastAsia" w:ascii="宋体" w:hAnsi="宋体" w:eastAsia="宋体" w:cs="宋体"/>
                <w:bCs/>
                <w:color w:val="auto"/>
                <w:kern w:val="0"/>
                <w:szCs w:val="21"/>
                <w:highlight w:val="none"/>
                <w:lang w:val="en-US" w:eastAsia="zh-CN"/>
              </w:rPr>
              <w:t>分。</w:t>
            </w:r>
          </w:p>
          <w:p w14:paraId="06AA6E2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lang w:val="en-US" w:eastAsia="zh-CN"/>
              </w:rPr>
              <w:t>拟投入的技术负责人具有</w:t>
            </w:r>
            <w:r>
              <w:rPr>
                <w:rFonts w:hint="eastAsia" w:ascii="宋体" w:hAnsi="宋体" w:cs="宋体"/>
                <w:bCs/>
                <w:color w:val="auto"/>
                <w:kern w:val="0"/>
                <w:szCs w:val="21"/>
                <w:highlight w:val="none"/>
                <w:lang w:val="en-US" w:eastAsia="zh-CN"/>
              </w:rPr>
              <w:t>公路工程相关专业正</w:t>
            </w:r>
            <w:r>
              <w:rPr>
                <w:rFonts w:hint="eastAsia" w:ascii="宋体" w:hAnsi="宋体" w:cs="宋体"/>
                <w:szCs w:val="21"/>
                <w:highlight w:val="none"/>
                <w:lang w:val="en-US" w:eastAsia="zh-CN"/>
              </w:rPr>
              <w:t>高级工程师（或教授级高级工程师或教授或研究员）职称</w:t>
            </w:r>
            <w:r>
              <w:rPr>
                <w:rFonts w:hint="eastAsia" w:ascii="宋体" w:hAnsi="宋体" w:eastAsia="宋体" w:cs="宋体"/>
                <w:bCs/>
                <w:color w:val="auto"/>
                <w:kern w:val="0"/>
                <w:szCs w:val="21"/>
                <w:highlight w:val="none"/>
                <w:lang w:val="en-US" w:eastAsia="zh-CN"/>
              </w:rPr>
              <w:t>的，得2分；参与过公路相关标准规范编制</w:t>
            </w:r>
            <w:r>
              <w:rPr>
                <w:rFonts w:hint="eastAsia" w:ascii="宋体" w:hAnsi="宋体" w:cs="宋体"/>
                <w:bCs/>
                <w:color w:val="auto"/>
                <w:kern w:val="0"/>
                <w:szCs w:val="21"/>
                <w:highlight w:val="none"/>
                <w:lang w:val="en-US" w:eastAsia="zh-CN"/>
              </w:rPr>
              <w:t>且相关标准规范</w:t>
            </w:r>
            <w:r>
              <w:rPr>
                <w:rFonts w:hint="eastAsia" w:ascii="宋体" w:hAnsi="宋体" w:eastAsia="宋体" w:cs="宋体"/>
                <w:sz w:val="21"/>
                <w:szCs w:val="21"/>
                <w:highlight w:val="none"/>
                <w:lang w:val="en-US" w:eastAsia="zh-CN"/>
              </w:rPr>
              <w:t>已发布和实施</w:t>
            </w:r>
            <w:r>
              <w:rPr>
                <w:rFonts w:hint="eastAsia" w:ascii="宋体" w:hAnsi="宋体" w:cs="宋体"/>
                <w:sz w:val="21"/>
                <w:szCs w:val="21"/>
                <w:highlight w:val="none"/>
                <w:lang w:val="en-US" w:eastAsia="zh-CN"/>
              </w:rPr>
              <w:t>的，1项得2分，最高得4分；</w:t>
            </w:r>
            <w:bookmarkStart w:id="199" w:name="OLE_LINK24"/>
            <w:r>
              <w:rPr>
                <w:rFonts w:hint="eastAsia" w:ascii="宋体" w:hAnsi="宋体" w:cs="宋体"/>
                <w:bCs/>
                <w:color w:val="auto"/>
                <w:kern w:val="0"/>
                <w:szCs w:val="21"/>
                <w:highlight w:val="none"/>
                <w:lang w:val="en-US" w:eastAsia="zh-CN"/>
              </w:rPr>
              <w:t>主持或组织管理</w:t>
            </w:r>
            <w:r>
              <w:rPr>
                <w:rFonts w:hint="eastAsia" w:ascii="宋体" w:hAnsi="宋体" w:eastAsia="宋体" w:cs="宋体"/>
                <w:bCs/>
                <w:color w:val="auto"/>
                <w:kern w:val="0"/>
                <w:szCs w:val="21"/>
                <w:highlight w:val="none"/>
                <w:lang w:val="en-US" w:eastAsia="zh-CN"/>
              </w:rPr>
              <w:t>过与路面相关的技术研究</w:t>
            </w:r>
            <w:bookmarkEnd w:id="199"/>
            <w:r>
              <w:rPr>
                <w:rFonts w:hint="eastAsia" w:ascii="宋体" w:hAnsi="宋体" w:eastAsia="宋体" w:cs="宋体"/>
                <w:bCs/>
                <w:color w:val="auto"/>
                <w:kern w:val="0"/>
                <w:szCs w:val="21"/>
                <w:highlight w:val="none"/>
                <w:lang w:val="en-US" w:eastAsia="zh-CN"/>
              </w:rPr>
              <w:t>，得</w:t>
            </w: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lang w:val="en-US" w:eastAsia="zh-CN"/>
              </w:rPr>
              <w:t>分；本小项满分</w:t>
            </w:r>
            <w:r>
              <w:rPr>
                <w:rFonts w:hint="eastAsia" w:ascii="宋体" w:hAnsi="宋体" w:cs="宋体"/>
                <w:bCs/>
                <w:color w:val="auto"/>
                <w:kern w:val="0"/>
                <w:szCs w:val="21"/>
                <w:highlight w:val="none"/>
                <w:lang w:val="en-US" w:eastAsia="zh-CN"/>
              </w:rPr>
              <w:t>8</w:t>
            </w:r>
            <w:r>
              <w:rPr>
                <w:rFonts w:hint="eastAsia" w:ascii="宋体" w:hAnsi="宋体" w:eastAsia="宋体" w:cs="宋体"/>
                <w:bCs/>
                <w:color w:val="auto"/>
                <w:kern w:val="0"/>
                <w:szCs w:val="21"/>
                <w:highlight w:val="none"/>
                <w:lang w:val="en-US" w:eastAsia="zh-CN"/>
              </w:rPr>
              <w:t>分。</w:t>
            </w:r>
          </w:p>
          <w:p w14:paraId="5C6D2795">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eastAsia="宋体" w:cs="宋体"/>
                <w:bCs/>
                <w:color w:val="auto"/>
                <w:kern w:val="0"/>
                <w:szCs w:val="21"/>
                <w:highlight w:val="none"/>
                <w:lang w:val="en-US" w:eastAsia="zh-CN"/>
              </w:rPr>
              <w:t>拟投入</w:t>
            </w:r>
            <w:r>
              <w:rPr>
                <w:rFonts w:hint="eastAsia" w:ascii="宋体" w:hAnsi="宋体" w:cs="宋体"/>
                <w:bCs/>
                <w:color w:val="auto"/>
                <w:kern w:val="0"/>
                <w:szCs w:val="21"/>
                <w:highlight w:val="none"/>
                <w:lang w:val="en-US" w:eastAsia="zh-CN"/>
              </w:rPr>
              <w:t>的</w:t>
            </w:r>
            <w:r>
              <w:rPr>
                <w:rFonts w:hint="eastAsia" w:ascii="宋体" w:hAnsi="宋体" w:eastAsia="宋体" w:cs="宋体"/>
                <w:bCs/>
                <w:color w:val="auto"/>
                <w:kern w:val="0"/>
                <w:szCs w:val="21"/>
                <w:highlight w:val="none"/>
                <w:lang w:val="en-US" w:eastAsia="zh-CN"/>
              </w:rPr>
              <w:t>检测工程师或检测员具有</w:t>
            </w:r>
            <w:r>
              <w:rPr>
                <w:rFonts w:hint="eastAsia" w:ascii="宋体" w:hAnsi="宋体" w:cs="宋体"/>
                <w:bCs/>
                <w:color w:val="auto"/>
                <w:kern w:val="0"/>
                <w:szCs w:val="21"/>
                <w:highlight w:val="none"/>
                <w:lang w:val="en-US" w:eastAsia="zh-CN"/>
              </w:rPr>
              <w:t>公路工程相关专业</w:t>
            </w:r>
            <w:r>
              <w:rPr>
                <w:rFonts w:hint="eastAsia" w:ascii="宋体" w:hAnsi="宋体" w:cs="宋体"/>
                <w:szCs w:val="21"/>
                <w:highlight w:val="none"/>
                <w:lang w:val="en-US" w:eastAsia="zh-CN"/>
              </w:rPr>
              <w:t>高级工程师（或副教授或副研究员）或以上职称</w:t>
            </w:r>
            <w:r>
              <w:rPr>
                <w:rFonts w:hint="eastAsia" w:ascii="宋体" w:hAnsi="宋体" w:eastAsia="宋体" w:cs="宋体"/>
                <w:bCs/>
                <w:color w:val="auto"/>
                <w:kern w:val="0"/>
                <w:szCs w:val="21"/>
                <w:highlight w:val="none"/>
                <w:lang w:val="en-US" w:eastAsia="zh-CN"/>
              </w:rPr>
              <w:t>的，</w:t>
            </w:r>
            <w:r>
              <w:rPr>
                <w:rFonts w:hint="eastAsia" w:ascii="宋体" w:hAnsi="宋体" w:cs="宋体"/>
                <w:bCs/>
                <w:color w:val="auto"/>
                <w:kern w:val="0"/>
                <w:szCs w:val="21"/>
                <w:highlight w:val="none"/>
                <w:lang w:val="en-US" w:eastAsia="zh-CN"/>
              </w:rPr>
              <w:t>每人</w:t>
            </w:r>
            <w:r>
              <w:rPr>
                <w:rFonts w:hint="eastAsia" w:ascii="宋体" w:hAnsi="宋体" w:eastAsia="宋体" w:cs="宋体"/>
                <w:bCs/>
                <w:color w:val="auto"/>
                <w:kern w:val="0"/>
                <w:szCs w:val="21"/>
                <w:highlight w:val="none"/>
                <w:lang w:val="en-US" w:eastAsia="zh-CN"/>
              </w:rPr>
              <w:t>得1分，</w:t>
            </w:r>
            <w:r>
              <w:rPr>
                <w:rFonts w:hint="eastAsia" w:ascii="宋体" w:hAnsi="宋体" w:cs="宋体"/>
                <w:bCs/>
                <w:color w:val="auto"/>
                <w:kern w:val="0"/>
                <w:szCs w:val="21"/>
                <w:highlight w:val="none"/>
                <w:lang w:val="en-US" w:eastAsia="zh-CN"/>
              </w:rPr>
              <w:t>本小项</w:t>
            </w:r>
            <w:r>
              <w:rPr>
                <w:rFonts w:hint="eastAsia" w:ascii="宋体" w:hAnsi="宋体" w:eastAsia="宋体" w:cs="宋体"/>
                <w:bCs/>
                <w:color w:val="auto"/>
                <w:kern w:val="0"/>
                <w:szCs w:val="21"/>
                <w:highlight w:val="none"/>
                <w:lang w:val="en-US" w:eastAsia="zh-CN"/>
              </w:rPr>
              <w:t>满分</w:t>
            </w:r>
            <w:r>
              <w:rPr>
                <w:rFonts w:hint="eastAsia" w:ascii="宋体" w:hAnsi="宋体" w:cs="宋体"/>
                <w:bCs/>
                <w:color w:val="auto"/>
                <w:kern w:val="0"/>
                <w:szCs w:val="21"/>
                <w:highlight w:val="none"/>
                <w:lang w:val="en-US" w:eastAsia="zh-CN"/>
              </w:rPr>
              <w:t>4</w:t>
            </w:r>
            <w:r>
              <w:rPr>
                <w:rFonts w:hint="eastAsia" w:ascii="宋体" w:hAnsi="宋体" w:eastAsia="宋体" w:cs="宋体"/>
                <w:bCs/>
                <w:color w:val="auto"/>
                <w:kern w:val="0"/>
                <w:szCs w:val="21"/>
                <w:highlight w:val="none"/>
                <w:lang w:val="en-US" w:eastAsia="zh-CN"/>
              </w:rPr>
              <w:t>分。</w:t>
            </w:r>
          </w:p>
          <w:p w14:paraId="5D369CD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注：</w:t>
            </w:r>
            <w:r>
              <w:rPr>
                <w:rFonts w:hint="eastAsia" w:ascii="宋体" w:hAnsi="宋体" w:cs="宋体"/>
                <w:bCs/>
                <w:color w:val="auto"/>
                <w:kern w:val="0"/>
                <w:szCs w:val="21"/>
                <w:highlight w:val="none"/>
                <w:lang w:val="en-US" w:eastAsia="zh-CN"/>
              </w:rPr>
              <w:t>①</w:t>
            </w:r>
            <w:r>
              <w:rPr>
                <w:rFonts w:hint="eastAsia" w:ascii="宋体" w:hAnsi="宋体" w:eastAsia="宋体" w:cs="宋体"/>
                <w:bCs/>
                <w:color w:val="auto"/>
                <w:kern w:val="0"/>
                <w:szCs w:val="21"/>
                <w:highlight w:val="none"/>
                <w:lang w:val="en-US" w:eastAsia="zh-CN"/>
              </w:rPr>
              <w:t>须提供以上人员的毕业证书、职称证书、近一年内连续3个月的社保缴纳证明</w:t>
            </w:r>
            <w:r>
              <w:rPr>
                <w:rFonts w:hint="eastAsia" w:ascii="宋体" w:hAnsi="宋体" w:cs="宋体"/>
                <w:i w:val="0"/>
                <w:iCs w:val="0"/>
                <w:caps w:val="0"/>
                <w:color w:val="auto"/>
                <w:spacing w:val="0"/>
                <w:sz w:val="21"/>
                <w:szCs w:val="21"/>
                <w:highlight w:val="none"/>
                <w:shd w:val="clear" w:color="auto" w:fill="FFFFFF"/>
                <w:lang w:val="en-US" w:eastAsia="zh-CN"/>
              </w:rPr>
              <w:t>或</w:t>
            </w:r>
            <w:r>
              <w:rPr>
                <w:rFonts w:hint="eastAsia" w:ascii="宋体" w:hAnsi="宋体" w:eastAsia="宋体" w:cs="宋体"/>
                <w:i w:val="0"/>
                <w:iCs w:val="0"/>
                <w:caps w:val="0"/>
                <w:color w:val="auto"/>
                <w:spacing w:val="0"/>
                <w:sz w:val="21"/>
                <w:szCs w:val="21"/>
                <w:highlight w:val="none"/>
                <w:shd w:val="clear" w:color="auto" w:fill="FFFFFF"/>
              </w:rPr>
              <w:t>其他属于本单位职工</w:t>
            </w:r>
            <w:r>
              <w:rPr>
                <w:rFonts w:hint="eastAsia" w:ascii="宋体" w:hAnsi="宋体" w:eastAsia="宋体" w:cs="宋体"/>
                <w:color w:val="auto"/>
                <w:szCs w:val="21"/>
                <w:highlight w:val="none"/>
              </w:rPr>
              <w:t>的证明材料复印件</w:t>
            </w:r>
            <w:r>
              <w:rPr>
                <w:rFonts w:hint="eastAsia" w:ascii="宋体" w:hAnsi="宋体" w:cs="宋体"/>
                <w:bCs/>
                <w:color w:val="auto"/>
                <w:kern w:val="0"/>
                <w:szCs w:val="21"/>
                <w:highlight w:val="none"/>
                <w:lang w:val="en-US" w:eastAsia="zh-CN"/>
              </w:rPr>
              <w:t>；</w:t>
            </w:r>
          </w:p>
          <w:p w14:paraId="23E374BD">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②提供项目负责人和技术负责人参与编写的标准规范复印件、参与技术研究的合同协议书或任务书或验收材料复印件。</w:t>
            </w:r>
          </w:p>
        </w:tc>
      </w:tr>
      <w:tr w14:paraId="71C1F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F30D116">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sz w:val="21"/>
              </w:rPr>
              <w:t>信誉实力分</w:t>
            </w:r>
          </w:p>
        </w:tc>
        <w:tc>
          <w:tcPr>
            <w:tcW w:w="781" w:type="dxa"/>
            <w:noWrap w:val="0"/>
            <w:vAlign w:val="center"/>
          </w:tcPr>
          <w:p w14:paraId="0A64BFA3">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cs="宋体"/>
                <w:b/>
                <w:sz w:val="21"/>
                <w:highlight w:val="none"/>
                <w:lang w:val="en-US" w:eastAsia="zh-CN"/>
              </w:rPr>
              <w:t>10</w:t>
            </w:r>
            <w:r>
              <w:rPr>
                <w:rFonts w:hint="eastAsia" w:ascii="宋体" w:hAnsi="宋体" w:eastAsia="宋体" w:cs="宋体"/>
                <w:b/>
                <w:sz w:val="21"/>
                <w:highlight w:val="none"/>
              </w:rPr>
              <w:t>分</w:t>
            </w:r>
          </w:p>
        </w:tc>
        <w:tc>
          <w:tcPr>
            <w:tcW w:w="7142" w:type="dxa"/>
            <w:noWrap w:val="0"/>
            <w:vAlign w:val="center"/>
          </w:tcPr>
          <w:p w14:paraId="12F62F0E">
            <w:pPr>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eastAsia="宋体" w:cs="宋体"/>
                <w:szCs w:val="21"/>
                <w:highlight w:val="none"/>
              </w:rPr>
              <w:t>投标人获得省级或以上交通主管部门认定的交通运输行业有关的技术研发中心，得</w:t>
            </w:r>
            <w:r>
              <w:rPr>
                <w:rFonts w:hint="eastAsia" w:ascii="宋体" w:hAnsi="宋体" w:cs="宋体"/>
                <w:szCs w:val="21"/>
                <w:highlight w:val="none"/>
                <w:lang w:val="en-US" w:eastAsia="zh-CN"/>
              </w:rPr>
              <w:t>4</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提供</w:t>
            </w:r>
            <w:r>
              <w:rPr>
                <w:rFonts w:hint="eastAsia" w:ascii="宋体" w:hAnsi="宋体" w:cs="宋体"/>
                <w:szCs w:val="21"/>
                <w:highlight w:val="none"/>
                <w:lang w:val="en-US" w:eastAsia="zh-CN"/>
              </w:rPr>
              <w:t>证明</w:t>
            </w:r>
            <w:r>
              <w:rPr>
                <w:rFonts w:hint="eastAsia" w:ascii="宋体" w:hAnsi="宋体" w:eastAsia="宋体" w:cs="宋体"/>
                <w:szCs w:val="21"/>
                <w:highlight w:val="none"/>
                <w:lang w:val="en-US" w:eastAsia="zh-CN"/>
              </w:rPr>
              <w:t>文件或证书</w:t>
            </w:r>
            <w:r>
              <w:rPr>
                <w:rFonts w:hint="eastAsia" w:ascii="宋体" w:hAnsi="宋体" w:cs="宋体"/>
                <w:szCs w:val="21"/>
                <w:highlight w:val="none"/>
                <w:lang w:val="en-US" w:eastAsia="zh-CN"/>
              </w:rPr>
              <w:t>复印件</w:t>
            </w:r>
            <w:r>
              <w:rPr>
                <w:rFonts w:hint="eastAsia" w:ascii="宋体" w:hAnsi="宋体" w:eastAsia="宋体" w:cs="宋体"/>
                <w:szCs w:val="21"/>
                <w:highlight w:val="none"/>
                <w:lang w:eastAsia="zh-CN"/>
              </w:rPr>
              <w:t>）</w:t>
            </w:r>
          </w:p>
          <w:p w14:paraId="4A1E8860">
            <w:pPr>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cs="宋体"/>
                <w:szCs w:val="21"/>
                <w:highlight w:val="none"/>
                <w:lang w:val="en-US" w:eastAsia="zh-CN"/>
              </w:rPr>
              <w:t>（2）</w:t>
            </w:r>
            <w:r>
              <w:rPr>
                <w:rFonts w:hint="eastAsia" w:ascii="宋体" w:hAnsi="宋体" w:eastAsia="宋体" w:cs="宋体"/>
                <w:szCs w:val="21"/>
                <w:highlight w:val="none"/>
              </w:rPr>
              <w:t>投标人</w:t>
            </w:r>
            <w:r>
              <w:rPr>
                <w:rFonts w:hint="eastAsia" w:ascii="宋体" w:hAnsi="宋体" w:cs="宋体"/>
                <w:szCs w:val="21"/>
                <w:highlight w:val="none"/>
                <w:lang w:val="en-US" w:eastAsia="zh-CN"/>
              </w:rPr>
              <w:t>参与</w:t>
            </w:r>
            <w:r>
              <w:rPr>
                <w:rFonts w:hint="eastAsia" w:ascii="宋体" w:hAnsi="宋体" w:eastAsia="宋体" w:cs="宋体"/>
                <w:szCs w:val="21"/>
                <w:highlight w:val="none"/>
              </w:rPr>
              <w:t>公路相关</w:t>
            </w:r>
            <w:r>
              <w:rPr>
                <w:rFonts w:hint="eastAsia" w:ascii="宋体" w:hAnsi="宋体" w:cs="宋体"/>
                <w:szCs w:val="21"/>
                <w:highlight w:val="none"/>
                <w:lang w:val="en-US" w:eastAsia="zh-CN"/>
              </w:rPr>
              <w:t>标准规范（</w:t>
            </w:r>
            <w:r>
              <w:rPr>
                <w:rFonts w:hint="eastAsia" w:ascii="宋体" w:hAnsi="宋体" w:eastAsia="宋体" w:cs="宋体"/>
                <w:szCs w:val="21"/>
                <w:highlight w:val="none"/>
              </w:rPr>
              <w:t>国家标准或公路行业标准或地方标准或团体标准</w:t>
            </w:r>
            <w:r>
              <w:rPr>
                <w:rFonts w:hint="eastAsia" w:ascii="宋体" w:hAnsi="宋体" w:cs="宋体"/>
                <w:szCs w:val="21"/>
                <w:highlight w:val="none"/>
                <w:lang w:val="en-US" w:eastAsia="zh-CN"/>
              </w:rPr>
              <w:t>）的编写，</w:t>
            </w:r>
            <w:r>
              <w:rPr>
                <w:rFonts w:hint="eastAsia" w:ascii="宋体" w:hAnsi="宋体" w:eastAsia="宋体" w:cs="宋体"/>
                <w:sz w:val="21"/>
                <w:szCs w:val="21"/>
                <w:highlight w:val="none"/>
                <w:lang w:val="en-US" w:eastAsia="zh-CN"/>
              </w:rPr>
              <w:t>且相关标准规范已发布和实施的</w:t>
            </w:r>
            <w:r>
              <w:rPr>
                <w:rFonts w:hint="eastAsia" w:ascii="宋体" w:hAnsi="宋体" w:cs="宋体"/>
                <w:sz w:val="21"/>
                <w:szCs w:val="21"/>
                <w:highlight w:val="none"/>
                <w:lang w:val="en-US" w:eastAsia="zh-CN"/>
              </w:rPr>
              <w:t>，</w:t>
            </w:r>
            <w:r>
              <w:rPr>
                <w:rFonts w:hint="eastAsia" w:ascii="宋体" w:hAnsi="宋体" w:cs="宋体"/>
                <w:szCs w:val="21"/>
                <w:highlight w:val="none"/>
                <w:lang w:val="en-US" w:eastAsia="zh-CN"/>
              </w:rPr>
              <w:t>每个</w:t>
            </w:r>
            <w:r>
              <w:rPr>
                <w:rFonts w:hint="eastAsia" w:ascii="宋体" w:hAnsi="宋体" w:eastAsia="宋体" w:cs="宋体"/>
                <w:szCs w:val="21"/>
                <w:highlight w:val="none"/>
              </w:rPr>
              <w:t>得</w:t>
            </w:r>
            <w:r>
              <w:rPr>
                <w:rFonts w:hint="eastAsia" w:ascii="宋体" w:hAnsi="宋体" w:cs="宋体"/>
                <w:szCs w:val="21"/>
                <w:highlight w:val="none"/>
                <w:lang w:val="en-US" w:eastAsia="zh-CN"/>
              </w:rPr>
              <w:t>2</w:t>
            </w:r>
            <w:r>
              <w:rPr>
                <w:rFonts w:hint="eastAsia" w:ascii="宋体" w:hAnsi="宋体" w:eastAsia="宋体" w:cs="宋体"/>
                <w:szCs w:val="21"/>
                <w:highlight w:val="none"/>
              </w:rPr>
              <w:t>分，满分</w:t>
            </w:r>
            <w:r>
              <w:rPr>
                <w:rFonts w:hint="eastAsia" w:ascii="宋体" w:hAnsi="宋体" w:cs="宋体"/>
                <w:szCs w:val="21"/>
                <w:highlight w:val="none"/>
                <w:lang w:val="en-US" w:eastAsia="zh-CN"/>
              </w:rPr>
              <w:t>6</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提供规范</w:t>
            </w:r>
            <w:r>
              <w:rPr>
                <w:rFonts w:hint="eastAsia" w:ascii="宋体" w:hAnsi="宋体" w:cs="宋体"/>
                <w:szCs w:val="21"/>
                <w:highlight w:val="none"/>
                <w:lang w:val="en-US" w:eastAsia="zh-CN"/>
              </w:rPr>
              <w:t>复印件</w:t>
            </w:r>
            <w:r>
              <w:rPr>
                <w:rFonts w:hint="eastAsia" w:ascii="宋体" w:hAnsi="宋体" w:eastAsia="宋体" w:cs="宋体"/>
                <w:szCs w:val="21"/>
                <w:highlight w:val="none"/>
                <w:lang w:eastAsia="zh-CN"/>
              </w:rPr>
              <w:t>）</w:t>
            </w:r>
          </w:p>
        </w:tc>
      </w:tr>
      <w:tr w14:paraId="1AD35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6EB9611B">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sz w:val="21"/>
              </w:rPr>
              <w:t>业绩分</w:t>
            </w:r>
          </w:p>
        </w:tc>
        <w:tc>
          <w:tcPr>
            <w:tcW w:w="781" w:type="dxa"/>
            <w:noWrap w:val="0"/>
            <w:vAlign w:val="center"/>
          </w:tcPr>
          <w:p w14:paraId="4C9FD418">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cs="宋体"/>
                <w:b/>
                <w:sz w:val="21"/>
                <w:lang w:val="en-US" w:eastAsia="zh-CN"/>
              </w:rPr>
              <w:t>20</w:t>
            </w:r>
            <w:r>
              <w:rPr>
                <w:rFonts w:hint="eastAsia" w:ascii="宋体" w:hAnsi="宋体" w:eastAsia="宋体" w:cs="宋体"/>
                <w:b/>
                <w:sz w:val="21"/>
              </w:rPr>
              <w:t>分</w:t>
            </w:r>
          </w:p>
        </w:tc>
        <w:tc>
          <w:tcPr>
            <w:tcW w:w="7142" w:type="dxa"/>
            <w:noWrap w:val="0"/>
            <w:vAlign w:val="center"/>
          </w:tcPr>
          <w:p w14:paraId="7585619E">
            <w:pPr>
              <w:widowControl/>
              <w:adjustRightInd w:val="0"/>
              <w:snapToGrid w:val="0"/>
              <w:spacing w:line="400" w:lineRule="exact"/>
              <w:ind w:firstLine="378" w:firstLineChars="180"/>
              <w:rPr>
                <w:rFonts w:hint="eastAsia" w:ascii="宋体" w:hAnsi="宋体" w:cs="宋体"/>
                <w:szCs w:val="21"/>
                <w:highlight w:val="none"/>
                <w:lang w:val="en-US" w:eastAsia="zh-CN"/>
              </w:rPr>
            </w:pPr>
            <w:r>
              <w:rPr>
                <w:rFonts w:hint="eastAsia" w:ascii="宋体" w:hAnsi="宋体" w:cs="宋体"/>
                <w:szCs w:val="21"/>
                <w:highlight w:val="none"/>
                <w:lang w:val="en-US" w:eastAsia="zh-CN"/>
              </w:rPr>
              <w:t>（1）路面技术状况检测</w:t>
            </w:r>
            <w:bookmarkStart w:id="200" w:name="OLE_LINK23"/>
          </w:p>
          <w:p w14:paraId="0A3E0DBD">
            <w:pPr>
              <w:widowControl/>
              <w:adjustRightInd w:val="0"/>
              <w:snapToGrid w:val="0"/>
              <w:spacing w:line="400" w:lineRule="exact"/>
              <w:ind w:firstLine="378" w:firstLineChars="180"/>
              <w:rPr>
                <w:rFonts w:hint="eastAsia" w:ascii="宋体" w:hAnsi="宋体" w:eastAsia="宋体" w:cs="宋体"/>
                <w:szCs w:val="21"/>
                <w:highlight w:val="none"/>
                <w:lang w:eastAsia="zh-CN"/>
              </w:rPr>
            </w:pPr>
            <w:bookmarkStart w:id="201" w:name="OLE_LINK18"/>
            <w:r>
              <w:rPr>
                <w:rFonts w:hint="eastAsia" w:ascii="宋体" w:hAnsi="宋体" w:eastAsia="宋体" w:cs="宋体"/>
                <w:szCs w:val="21"/>
                <w:highlight w:val="none"/>
              </w:rPr>
              <w:t>投标人自20</w:t>
            </w:r>
            <w:r>
              <w:rPr>
                <w:rFonts w:hint="eastAsia" w:ascii="宋体" w:hAnsi="宋体" w:eastAsia="宋体" w:cs="宋体"/>
                <w:szCs w:val="21"/>
                <w:highlight w:val="none"/>
                <w:lang w:val="en-US" w:eastAsia="zh-CN"/>
              </w:rPr>
              <w:t>21</w:t>
            </w:r>
            <w:r>
              <w:rPr>
                <w:rFonts w:hint="eastAsia" w:ascii="宋体" w:hAnsi="宋体" w:eastAsia="宋体" w:cs="宋体"/>
                <w:szCs w:val="21"/>
                <w:highlight w:val="none"/>
              </w:rPr>
              <w:t>年1月1日</w:t>
            </w:r>
            <w:r>
              <w:rPr>
                <w:rFonts w:hint="eastAsia" w:ascii="宋体" w:hAnsi="宋体" w:cs="宋体"/>
                <w:szCs w:val="21"/>
                <w:highlight w:val="none"/>
                <w:lang w:eastAsia="zh-CN"/>
              </w:rPr>
              <w:t>至今</w:t>
            </w:r>
            <w:r>
              <w:rPr>
                <w:rFonts w:hint="eastAsia" w:ascii="宋体" w:hAnsi="宋体" w:eastAsia="宋体" w:cs="宋体"/>
                <w:szCs w:val="21"/>
                <w:highlight w:val="none"/>
              </w:rPr>
              <w:t>，</w:t>
            </w:r>
            <w:bookmarkEnd w:id="200"/>
            <w:bookmarkStart w:id="202" w:name="OLE_LINK26"/>
            <w:r>
              <w:rPr>
                <w:rFonts w:hint="eastAsia" w:ascii="宋体" w:hAnsi="宋体" w:cs="宋体"/>
                <w:szCs w:val="21"/>
                <w:highlight w:val="none"/>
                <w:lang w:val="en-US" w:eastAsia="zh-CN"/>
              </w:rPr>
              <w:t>承担普通</w:t>
            </w:r>
            <w:bookmarkEnd w:id="202"/>
            <w:bookmarkStart w:id="203" w:name="OLE_LINK32"/>
            <w:r>
              <w:rPr>
                <w:rFonts w:hint="eastAsia" w:ascii="宋体" w:hAnsi="宋体" w:cs="宋体"/>
                <w:szCs w:val="21"/>
                <w:highlight w:val="none"/>
              </w:rPr>
              <w:t>国省干线</w:t>
            </w:r>
            <w:r>
              <w:rPr>
                <w:rFonts w:hint="eastAsia" w:ascii="宋体" w:hAnsi="宋体" w:cs="宋体"/>
                <w:szCs w:val="21"/>
                <w:highlight w:val="none"/>
                <w:lang w:val="en-US" w:eastAsia="zh-CN"/>
              </w:rPr>
              <w:t>或高速公路</w:t>
            </w:r>
            <w:bookmarkEnd w:id="203"/>
            <w:r>
              <w:rPr>
                <w:rFonts w:hint="eastAsia" w:ascii="宋体" w:hAnsi="宋体" w:cs="宋体"/>
                <w:szCs w:val="21"/>
                <w:highlight w:val="none"/>
                <w:lang w:val="en-US" w:eastAsia="zh-CN"/>
              </w:rPr>
              <w:t>路面技术状况</w:t>
            </w:r>
            <w:r>
              <w:rPr>
                <w:rFonts w:hint="eastAsia" w:ascii="宋体" w:hAnsi="宋体" w:cs="宋体"/>
                <w:szCs w:val="21"/>
                <w:highlight w:val="none"/>
              </w:rPr>
              <w:t>检测</w:t>
            </w:r>
            <w:r>
              <w:rPr>
                <w:rFonts w:hint="eastAsia" w:ascii="宋体" w:hAnsi="宋体" w:cs="宋体"/>
                <w:szCs w:val="21"/>
                <w:highlight w:val="none"/>
                <w:lang w:val="en-US" w:eastAsia="zh-CN"/>
              </w:rPr>
              <w:t>（或</w:t>
            </w:r>
            <w:r>
              <w:rPr>
                <w:rFonts w:hint="eastAsia" w:ascii="宋体" w:hAnsi="宋体" w:eastAsia="宋体" w:cs="宋体"/>
                <w:szCs w:val="21"/>
                <w:highlight w:val="none"/>
              </w:rPr>
              <w:t>路面性能检测</w:t>
            </w:r>
            <w:r>
              <w:rPr>
                <w:rFonts w:hint="eastAsia" w:ascii="宋体" w:hAnsi="宋体" w:cs="宋体"/>
                <w:szCs w:val="21"/>
                <w:highlight w:val="none"/>
                <w:lang w:eastAsia="zh-CN"/>
              </w:rPr>
              <w:t>或</w:t>
            </w:r>
            <w:r>
              <w:rPr>
                <w:rFonts w:hint="eastAsia" w:ascii="宋体" w:hAnsi="宋体" w:eastAsia="宋体" w:cs="宋体"/>
                <w:szCs w:val="21"/>
                <w:highlight w:val="none"/>
              </w:rPr>
              <w:t>路面定期检测</w:t>
            </w:r>
            <w:r>
              <w:rPr>
                <w:rFonts w:hint="eastAsia" w:ascii="宋体" w:hAnsi="宋体" w:cs="宋体"/>
                <w:szCs w:val="21"/>
                <w:highlight w:val="none"/>
                <w:lang w:eastAsia="zh-CN"/>
              </w:rPr>
              <w:t>或</w:t>
            </w:r>
            <w:r>
              <w:rPr>
                <w:rFonts w:hint="eastAsia" w:ascii="宋体" w:hAnsi="宋体" w:eastAsia="宋体" w:cs="宋体"/>
                <w:szCs w:val="21"/>
                <w:highlight w:val="none"/>
              </w:rPr>
              <w:t>公路网技术状况监测等</w:t>
            </w:r>
            <w:r>
              <w:rPr>
                <w:rFonts w:hint="eastAsia" w:ascii="宋体" w:hAnsi="宋体" w:cs="宋体"/>
                <w:szCs w:val="21"/>
                <w:highlight w:val="none"/>
                <w:lang w:val="en-US" w:eastAsia="zh-CN"/>
              </w:rPr>
              <w:t>）累计里程不低于10000</w:t>
            </w:r>
            <w:r>
              <w:rPr>
                <w:rFonts w:hint="eastAsia" w:ascii="宋体" w:hAnsi="宋体" w:cs="宋体"/>
                <w:szCs w:val="21"/>
                <w:highlight w:val="none"/>
              </w:rPr>
              <w:t>公里</w:t>
            </w:r>
            <w:r>
              <w:rPr>
                <w:rFonts w:hint="eastAsia" w:ascii="宋体" w:hAnsi="宋体" w:cs="宋体"/>
                <w:szCs w:val="21"/>
                <w:highlight w:val="none"/>
                <w:lang w:val="en-US" w:eastAsia="zh-CN"/>
              </w:rPr>
              <w:t>·车道，得1分，累计里程每增加5000</w:t>
            </w:r>
            <w:r>
              <w:rPr>
                <w:rFonts w:hint="eastAsia" w:ascii="宋体" w:hAnsi="宋体" w:cs="宋体"/>
                <w:szCs w:val="21"/>
                <w:highlight w:val="none"/>
              </w:rPr>
              <w:t>公里</w:t>
            </w:r>
            <w:r>
              <w:rPr>
                <w:rFonts w:hint="eastAsia" w:ascii="宋体" w:hAnsi="宋体" w:cs="宋体"/>
                <w:szCs w:val="21"/>
                <w:highlight w:val="none"/>
                <w:lang w:val="en-US" w:eastAsia="zh-CN"/>
              </w:rPr>
              <w:t>·车道加0.5</w:t>
            </w:r>
            <w:r>
              <w:rPr>
                <w:rFonts w:hint="eastAsia" w:ascii="宋体" w:hAnsi="宋体" w:eastAsia="宋体" w:cs="宋体"/>
                <w:szCs w:val="21"/>
                <w:highlight w:val="none"/>
              </w:rPr>
              <w:t>分，</w:t>
            </w:r>
            <w:bookmarkStart w:id="204" w:name="OLE_LINK29"/>
            <w:r>
              <w:rPr>
                <w:rFonts w:hint="eastAsia" w:ascii="宋体" w:hAnsi="宋体" w:cs="宋体"/>
                <w:szCs w:val="21"/>
                <w:highlight w:val="none"/>
                <w:lang w:eastAsia="zh-CN"/>
              </w:rPr>
              <w:t>最多加</w:t>
            </w:r>
            <w:r>
              <w:rPr>
                <w:rFonts w:hint="eastAsia" w:ascii="宋体" w:hAnsi="宋体" w:cs="宋体"/>
                <w:szCs w:val="21"/>
                <w:highlight w:val="none"/>
                <w:lang w:val="en-US" w:eastAsia="zh-CN"/>
              </w:rPr>
              <w:t>9分。</w:t>
            </w:r>
            <w:r>
              <w:rPr>
                <w:rFonts w:hint="eastAsia" w:ascii="宋体" w:hAnsi="宋体" w:eastAsia="宋体" w:cs="宋体"/>
                <w:szCs w:val="21"/>
                <w:highlight w:val="none"/>
              </w:rPr>
              <w:t>该项</w:t>
            </w:r>
            <w:bookmarkEnd w:id="204"/>
            <w:r>
              <w:rPr>
                <w:rFonts w:hint="eastAsia" w:ascii="宋体" w:hAnsi="宋体" w:eastAsia="宋体" w:cs="宋体"/>
                <w:szCs w:val="21"/>
                <w:highlight w:val="none"/>
              </w:rPr>
              <w:t>满分</w:t>
            </w:r>
            <w:r>
              <w:rPr>
                <w:rFonts w:hint="eastAsia" w:ascii="宋体" w:hAnsi="宋体" w:cs="宋体"/>
                <w:szCs w:val="21"/>
                <w:highlight w:val="none"/>
                <w:lang w:val="en-US" w:eastAsia="zh-CN"/>
              </w:rPr>
              <w:t>10</w:t>
            </w:r>
            <w:r>
              <w:rPr>
                <w:rFonts w:hint="eastAsia" w:ascii="宋体" w:hAnsi="宋体" w:eastAsia="宋体" w:cs="宋体"/>
                <w:szCs w:val="21"/>
                <w:highlight w:val="none"/>
              </w:rPr>
              <w:t>分</w:t>
            </w:r>
            <w:bookmarkEnd w:id="201"/>
            <w:r>
              <w:rPr>
                <w:rFonts w:hint="eastAsia" w:ascii="宋体" w:hAnsi="宋体" w:cs="宋体"/>
                <w:szCs w:val="21"/>
                <w:highlight w:val="none"/>
              </w:rPr>
              <w:t>。</w:t>
            </w:r>
          </w:p>
          <w:p w14:paraId="59749024">
            <w:pPr>
              <w:widowControl/>
              <w:adjustRightInd w:val="0"/>
              <w:snapToGrid w:val="0"/>
              <w:spacing w:line="400" w:lineRule="exact"/>
              <w:ind w:firstLine="378" w:firstLineChars="180"/>
              <w:rPr>
                <w:rFonts w:hint="eastAsia" w:ascii="宋体" w:hAnsi="宋体" w:cs="宋体"/>
                <w:szCs w:val="21"/>
                <w:highlight w:val="none"/>
              </w:rPr>
            </w:pPr>
            <w:r>
              <w:rPr>
                <w:rFonts w:hint="eastAsia" w:ascii="宋体" w:hAnsi="宋体" w:cs="宋体"/>
                <w:szCs w:val="21"/>
                <w:highlight w:val="none"/>
                <w:lang w:val="en-US" w:eastAsia="zh-CN"/>
              </w:rPr>
              <w:t>（2）</w:t>
            </w:r>
            <w:bookmarkStart w:id="205" w:name="OLE_LINK35"/>
            <w:r>
              <w:rPr>
                <w:rFonts w:hint="eastAsia" w:ascii="宋体" w:hAnsi="宋体" w:cs="宋体"/>
                <w:szCs w:val="21"/>
                <w:highlight w:val="none"/>
              </w:rPr>
              <w:t>公路交通安全设施评价</w:t>
            </w:r>
            <w:bookmarkEnd w:id="205"/>
          </w:p>
          <w:p w14:paraId="7A6AF903">
            <w:pPr>
              <w:widowControl/>
              <w:adjustRightInd w:val="0"/>
              <w:snapToGrid w:val="0"/>
              <w:spacing w:line="400" w:lineRule="exact"/>
              <w:ind w:firstLine="378" w:firstLineChars="180"/>
              <w:rPr>
                <w:rFonts w:hint="eastAsia" w:ascii="宋体" w:hAnsi="宋体" w:cs="宋体"/>
                <w:szCs w:val="21"/>
                <w:highlight w:val="none"/>
              </w:rPr>
            </w:pPr>
            <w:bookmarkStart w:id="206" w:name="OLE_LINK28"/>
            <w:r>
              <w:rPr>
                <w:rFonts w:hint="eastAsia" w:ascii="宋体" w:hAnsi="宋体" w:cs="宋体"/>
                <w:szCs w:val="21"/>
                <w:highlight w:val="none"/>
              </w:rPr>
              <w:t>投标人自2021年1月1日</w:t>
            </w:r>
            <w:r>
              <w:rPr>
                <w:rFonts w:hint="eastAsia" w:ascii="宋体" w:hAnsi="宋体" w:cs="宋体"/>
                <w:szCs w:val="21"/>
                <w:highlight w:val="none"/>
                <w:lang w:eastAsia="zh-CN"/>
              </w:rPr>
              <w:t>至今</w:t>
            </w:r>
            <w:r>
              <w:rPr>
                <w:rFonts w:hint="eastAsia" w:ascii="宋体" w:hAnsi="宋体" w:cs="宋体"/>
                <w:szCs w:val="21"/>
                <w:highlight w:val="none"/>
              </w:rPr>
              <w:t>，</w:t>
            </w:r>
            <w:bookmarkEnd w:id="206"/>
            <w:r>
              <w:rPr>
                <w:rFonts w:hint="eastAsia" w:ascii="宋体" w:hAnsi="宋体" w:cs="宋体"/>
                <w:szCs w:val="21"/>
                <w:highlight w:val="none"/>
                <w:lang w:val="en-US" w:eastAsia="zh-CN"/>
              </w:rPr>
              <w:t>承担</w:t>
            </w:r>
            <w:bookmarkStart w:id="207" w:name="OLE_LINK34"/>
            <w:r>
              <w:rPr>
                <w:rFonts w:hint="eastAsia" w:ascii="宋体" w:hAnsi="宋体" w:cs="宋体"/>
                <w:szCs w:val="21"/>
                <w:highlight w:val="none"/>
                <w:lang w:val="en-US" w:eastAsia="zh-CN"/>
              </w:rPr>
              <w:t>普通</w:t>
            </w:r>
            <w:bookmarkEnd w:id="207"/>
            <w:r>
              <w:rPr>
                <w:rFonts w:hint="eastAsia" w:ascii="宋体" w:hAnsi="宋体" w:cs="宋体"/>
                <w:szCs w:val="21"/>
                <w:highlight w:val="none"/>
              </w:rPr>
              <w:t>国省干线</w:t>
            </w:r>
            <w:r>
              <w:rPr>
                <w:rFonts w:hint="eastAsia" w:ascii="宋体" w:hAnsi="宋体" w:cs="宋体"/>
                <w:szCs w:val="21"/>
                <w:highlight w:val="none"/>
                <w:lang w:val="en-US" w:eastAsia="zh-CN"/>
              </w:rPr>
              <w:t>或高速公路</w:t>
            </w:r>
            <w:r>
              <w:rPr>
                <w:rFonts w:hint="eastAsia" w:ascii="宋体" w:hAnsi="宋体" w:cs="宋体"/>
                <w:szCs w:val="21"/>
                <w:highlight w:val="none"/>
              </w:rPr>
              <w:t>交通安全设施</w:t>
            </w:r>
            <w:r>
              <w:rPr>
                <w:rFonts w:hint="eastAsia" w:ascii="宋体" w:hAnsi="宋体" w:cs="宋体"/>
                <w:szCs w:val="21"/>
                <w:highlight w:val="none"/>
                <w:lang w:val="en-US" w:eastAsia="zh-CN"/>
              </w:rPr>
              <w:t>检测或</w:t>
            </w:r>
            <w:r>
              <w:rPr>
                <w:rFonts w:hint="eastAsia" w:ascii="宋体" w:hAnsi="宋体" w:cs="宋体"/>
                <w:szCs w:val="21"/>
                <w:highlight w:val="none"/>
              </w:rPr>
              <w:t>数据处理分析和评定</w:t>
            </w:r>
            <w:r>
              <w:rPr>
                <w:rFonts w:hint="eastAsia" w:ascii="宋体" w:hAnsi="宋体" w:cs="宋体"/>
                <w:szCs w:val="21"/>
                <w:highlight w:val="none"/>
                <w:lang w:eastAsia="zh-CN"/>
              </w:rPr>
              <w:t>项目累计里程不低于</w:t>
            </w:r>
            <w:r>
              <w:rPr>
                <w:rFonts w:hint="eastAsia" w:ascii="宋体" w:hAnsi="宋体" w:cs="宋体"/>
                <w:szCs w:val="21"/>
                <w:highlight w:val="none"/>
                <w:lang w:val="en-US" w:eastAsia="zh-CN"/>
              </w:rPr>
              <w:t>2000公里，得1分。累计里程每增加1000公里加0.5分，最多加6分。该项满分7分。</w:t>
            </w:r>
          </w:p>
          <w:p w14:paraId="092A141B">
            <w:pPr>
              <w:widowControl/>
              <w:adjustRightInd w:val="0"/>
              <w:snapToGrid w:val="0"/>
              <w:spacing w:line="400" w:lineRule="exact"/>
              <w:ind w:firstLine="378" w:firstLineChars="180"/>
              <w:rPr>
                <w:rFonts w:hint="eastAsia" w:ascii="宋体" w:hAnsi="宋体" w:cs="宋体"/>
                <w:szCs w:val="21"/>
                <w:highlight w:val="none"/>
                <w:lang w:val="en-US" w:eastAsia="zh-CN"/>
              </w:rPr>
            </w:pPr>
            <w:r>
              <w:rPr>
                <w:rFonts w:hint="eastAsia" w:ascii="宋体" w:hAnsi="宋体" w:cs="宋体"/>
                <w:szCs w:val="21"/>
                <w:highlight w:val="none"/>
                <w:lang w:val="en-US" w:eastAsia="zh-CN"/>
              </w:rPr>
              <w:t>（3）公路路基检测</w:t>
            </w:r>
          </w:p>
          <w:p w14:paraId="572321A1">
            <w:pPr>
              <w:widowControl/>
              <w:adjustRightInd w:val="0"/>
              <w:snapToGrid w:val="0"/>
              <w:spacing w:line="400" w:lineRule="exact"/>
              <w:ind w:firstLine="378" w:firstLineChars="180"/>
              <w:rPr>
                <w:rFonts w:hint="default"/>
                <w:lang w:val="en-US" w:eastAsia="zh-CN"/>
              </w:rPr>
            </w:pPr>
            <w:r>
              <w:rPr>
                <w:rFonts w:hint="eastAsia" w:ascii="宋体" w:hAnsi="宋体" w:cs="宋体"/>
                <w:szCs w:val="21"/>
                <w:highlight w:val="none"/>
              </w:rPr>
              <w:t>投标人自2021年1月1日</w:t>
            </w:r>
            <w:r>
              <w:rPr>
                <w:rFonts w:hint="eastAsia" w:ascii="宋体" w:hAnsi="宋体" w:cs="宋体"/>
                <w:szCs w:val="21"/>
                <w:highlight w:val="none"/>
                <w:lang w:eastAsia="zh-CN"/>
              </w:rPr>
              <w:t>至今</w:t>
            </w:r>
            <w:r>
              <w:rPr>
                <w:rFonts w:hint="eastAsia" w:ascii="宋体" w:hAnsi="宋体" w:cs="宋体"/>
                <w:szCs w:val="21"/>
                <w:highlight w:val="none"/>
              </w:rPr>
              <w:t>，</w:t>
            </w:r>
            <w:r>
              <w:rPr>
                <w:rFonts w:hint="eastAsia" w:ascii="宋体" w:hAnsi="宋体" w:cs="宋体"/>
                <w:szCs w:val="21"/>
                <w:highlight w:val="none"/>
                <w:lang w:val="en-US" w:eastAsia="zh-CN"/>
              </w:rPr>
              <w:t>承担普通</w:t>
            </w:r>
            <w:r>
              <w:rPr>
                <w:rFonts w:hint="eastAsia" w:ascii="宋体" w:hAnsi="宋体" w:cs="宋体"/>
                <w:szCs w:val="21"/>
                <w:highlight w:val="none"/>
              </w:rPr>
              <w:t>国省干线</w:t>
            </w:r>
            <w:r>
              <w:rPr>
                <w:rFonts w:hint="eastAsia" w:ascii="宋体" w:hAnsi="宋体" w:cs="宋体"/>
                <w:szCs w:val="21"/>
                <w:highlight w:val="none"/>
                <w:lang w:val="en-US" w:eastAsia="zh-CN"/>
              </w:rPr>
              <w:t>或高速公路</w:t>
            </w:r>
            <w:r>
              <w:rPr>
                <w:rFonts w:hint="eastAsia" w:ascii="宋体" w:hAnsi="宋体" w:cs="宋体"/>
                <w:szCs w:val="21"/>
                <w:highlight w:val="none"/>
              </w:rPr>
              <w:t>路基检测项目的，</w:t>
            </w:r>
            <w:r>
              <w:rPr>
                <w:rFonts w:hint="eastAsia" w:ascii="宋体" w:hAnsi="宋体" w:cs="宋体"/>
                <w:szCs w:val="21"/>
                <w:highlight w:val="none"/>
                <w:lang w:eastAsia="zh-CN"/>
              </w:rPr>
              <w:t>每承担</w:t>
            </w:r>
            <w:r>
              <w:rPr>
                <w:rFonts w:hint="eastAsia" w:ascii="宋体" w:hAnsi="宋体" w:cs="宋体"/>
                <w:szCs w:val="21"/>
                <w:highlight w:val="none"/>
                <w:lang w:val="en-US" w:eastAsia="zh-CN"/>
              </w:rPr>
              <w:t>1个得1分。</w:t>
            </w:r>
            <w:r>
              <w:rPr>
                <w:rFonts w:hint="eastAsia" w:ascii="宋体" w:hAnsi="宋体" w:eastAsia="宋体" w:cs="宋体"/>
                <w:szCs w:val="21"/>
                <w:highlight w:val="none"/>
              </w:rPr>
              <w:t>该项</w:t>
            </w:r>
            <w:r>
              <w:rPr>
                <w:rFonts w:hint="eastAsia" w:ascii="宋体" w:hAnsi="宋体" w:cs="宋体"/>
                <w:szCs w:val="21"/>
                <w:highlight w:val="none"/>
              </w:rPr>
              <w:t>满分</w:t>
            </w:r>
            <w:r>
              <w:rPr>
                <w:rFonts w:hint="eastAsia" w:ascii="宋体" w:hAnsi="宋体" w:cs="宋体"/>
                <w:szCs w:val="21"/>
                <w:highlight w:val="none"/>
                <w:lang w:val="en-US" w:eastAsia="zh-CN"/>
              </w:rPr>
              <w:t>3</w:t>
            </w:r>
            <w:r>
              <w:rPr>
                <w:rFonts w:hint="eastAsia" w:ascii="宋体" w:hAnsi="宋体" w:cs="宋体"/>
                <w:szCs w:val="21"/>
                <w:highlight w:val="none"/>
              </w:rPr>
              <w:t>分。</w:t>
            </w:r>
          </w:p>
          <w:p w14:paraId="38F1932E">
            <w:pPr>
              <w:widowControl/>
              <w:adjustRightInd w:val="0"/>
              <w:snapToGrid w:val="0"/>
              <w:spacing w:line="400" w:lineRule="exact"/>
              <w:ind w:firstLine="378" w:firstLineChars="180"/>
              <w:rPr>
                <w:rFonts w:hint="eastAsia"/>
                <w:lang w:val="en-US" w:eastAsia="zh-CN"/>
              </w:rPr>
            </w:pPr>
            <w:r>
              <w:rPr>
                <w:rFonts w:hint="eastAsia" w:ascii="宋体" w:hAnsi="宋体" w:eastAsia="宋体" w:cs="宋体"/>
                <w:szCs w:val="21"/>
                <w:highlight w:val="none"/>
              </w:rPr>
              <w:t>注：</w:t>
            </w:r>
            <w:r>
              <w:rPr>
                <w:rFonts w:hint="eastAsia" w:ascii="宋体" w:hAnsi="宋体" w:cs="宋体"/>
                <w:szCs w:val="21"/>
                <w:highlight w:val="none"/>
                <w:lang w:val="en-US" w:eastAsia="zh-CN"/>
              </w:rPr>
              <w:t>a.以上所列项目</w:t>
            </w:r>
            <w:bookmarkStart w:id="208" w:name="OLE_LINK33"/>
            <w:r>
              <w:rPr>
                <w:rFonts w:hint="eastAsia" w:ascii="宋体" w:hAnsi="宋体" w:eastAsia="宋体" w:cs="宋体"/>
                <w:szCs w:val="21"/>
                <w:highlight w:val="none"/>
              </w:rPr>
              <w:t>不包括竣（交）工类的质量检测及验证性检</w:t>
            </w:r>
            <w:bookmarkStart w:id="209" w:name="OLE_LINK22"/>
            <w:r>
              <w:rPr>
                <w:rFonts w:hint="eastAsia" w:ascii="宋体" w:hAnsi="宋体" w:eastAsia="宋体" w:cs="宋体"/>
                <w:szCs w:val="21"/>
                <w:highlight w:val="none"/>
              </w:rPr>
              <w:t>测</w:t>
            </w:r>
            <w:r>
              <w:rPr>
                <w:rFonts w:hint="eastAsia" w:ascii="宋体" w:hAnsi="宋体" w:cs="宋体"/>
                <w:szCs w:val="21"/>
                <w:highlight w:val="none"/>
                <w:lang w:eastAsia="zh-CN"/>
              </w:rPr>
              <w:t>或</w:t>
            </w:r>
            <w:r>
              <w:rPr>
                <w:rFonts w:hint="eastAsia" w:ascii="宋体" w:hAnsi="宋体" w:eastAsia="宋体" w:cs="宋体"/>
                <w:szCs w:val="21"/>
                <w:highlight w:val="none"/>
              </w:rPr>
              <w:t>监督抽查检测项目。</w:t>
            </w:r>
            <w:bookmarkEnd w:id="208"/>
            <w:r>
              <w:rPr>
                <w:rFonts w:hint="eastAsia" w:ascii="宋体" w:hAnsi="宋体" w:cs="宋体"/>
                <w:szCs w:val="21"/>
                <w:highlight w:val="none"/>
                <w:lang w:val="en-US" w:eastAsia="zh-CN"/>
              </w:rPr>
              <w:t>b.</w:t>
            </w:r>
            <w:r>
              <w:rPr>
                <w:rFonts w:hint="eastAsia" w:ascii="宋体" w:hAnsi="宋体" w:cs="宋体"/>
                <w:sz w:val="21"/>
                <w:szCs w:val="21"/>
                <w:lang w:eastAsia="zh-CN"/>
              </w:rPr>
              <w:t>一个合同只计一次分</w:t>
            </w:r>
            <w:r>
              <w:rPr>
                <w:rFonts w:ascii="宋体" w:hAnsi="宋体" w:eastAsia="宋体" w:cs="宋体"/>
                <w:sz w:val="21"/>
                <w:szCs w:val="21"/>
              </w:rPr>
              <w:t>，</w:t>
            </w:r>
            <w:r>
              <w:rPr>
                <w:rFonts w:hint="eastAsia" w:ascii="宋体" w:hAnsi="宋体" w:cs="宋体"/>
                <w:sz w:val="21"/>
                <w:szCs w:val="21"/>
                <w:lang w:val="en-US" w:eastAsia="zh-CN"/>
              </w:rPr>
              <w:t>不重复计分</w:t>
            </w:r>
            <w:r>
              <w:rPr>
                <w:rFonts w:ascii="宋体" w:hAnsi="宋体" w:eastAsia="宋体" w:cs="宋体"/>
                <w:sz w:val="21"/>
                <w:szCs w:val="21"/>
              </w:rPr>
              <w:t>。</w:t>
            </w:r>
            <w:r>
              <w:rPr>
                <w:rFonts w:hint="eastAsia" w:ascii="宋体" w:hAnsi="宋体" w:eastAsia="宋体" w:cs="宋体"/>
                <w:sz w:val="21"/>
                <w:szCs w:val="21"/>
                <w:lang w:val="en-US" w:eastAsia="zh-CN"/>
              </w:rPr>
              <w:t>c.</w:t>
            </w:r>
            <w:r>
              <w:rPr>
                <w:rFonts w:hint="eastAsia" w:ascii="宋体" w:hAnsi="宋体" w:eastAsia="宋体" w:cs="宋体"/>
                <w:szCs w:val="21"/>
                <w:highlight w:val="none"/>
              </w:rPr>
              <w:t>投标人须在投标文件中提供相关项目</w:t>
            </w:r>
            <w:r>
              <w:rPr>
                <w:rFonts w:hint="eastAsia" w:ascii="宋体" w:hAnsi="宋体" w:cs="宋体"/>
                <w:szCs w:val="21"/>
                <w:highlight w:val="none"/>
                <w:lang w:val="en-US" w:eastAsia="zh-CN"/>
              </w:rPr>
              <w:t>的证明材料：</w:t>
            </w:r>
            <w:r>
              <w:rPr>
                <w:rFonts w:hint="eastAsia" w:ascii="宋体" w:hAnsi="宋体" w:eastAsia="宋体" w:cs="宋体"/>
                <w:szCs w:val="21"/>
                <w:highlight w:val="none"/>
              </w:rPr>
              <w:t>合同</w:t>
            </w:r>
            <w:r>
              <w:rPr>
                <w:rFonts w:hint="eastAsia" w:ascii="宋体" w:hAnsi="宋体" w:cs="宋体"/>
                <w:szCs w:val="21"/>
                <w:highlight w:val="none"/>
                <w:lang w:val="en-US" w:eastAsia="zh-CN"/>
              </w:rPr>
              <w:t>协议书的</w:t>
            </w:r>
            <w:r>
              <w:rPr>
                <w:rFonts w:hint="eastAsia" w:ascii="宋体" w:hAnsi="宋体" w:eastAsia="宋体" w:cs="宋体"/>
                <w:szCs w:val="21"/>
                <w:highlight w:val="none"/>
              </w:rPr>
              <w:t>复印件</w:t>
            </w:r>
            <w:r>
              <w:rPr>
                <w:rFonts w:hint="eastAsia" w:ascii="宋体" w:hAnsi="宋体" w:cs="宋体"/>
                <w:szCs w:val="21"/>
                <w:highlight w:val="none"/>
                <w:lang w:eastAsia="zh-CN"/>
              </w:rPr>
              <w:t>或</w:t>
            </w:r>
            <w:r>
              <w:rPr>
                <w:rFonts w:hint="eastAsia" w:ascii="宋体" w:hAnsi="宋体" w:eastAsia="宋体" w:cs="宋体"/>
                <w:szCs w:val="21"/>
                <w:highlight w:val="none"/>
              </w:rPr>
              <w:t>委托方出具的证明材料</w:t>
            </w:r>
            <w:r>
              <w:rPr>
                <w:rFonts w:hint="eastAsia" w:ascii="宋体" w:hAnsi="宋体" w:cs="宋体"/>
                <w:szCs w:val="21"/>
                <w:highlight w:val="none"/>
                <w:lang w:val="en-US" w:eastAsia="zh-CN"/>
              </w:rPr>
              <w:t>或项目验收资料的复印件。</w:t>
            </w:r>
            <w:bookmarkEnd w:id="209"/>
          </w:p>
        </w:tc>
      </w:tr>
      <w:tr w14:paraId="66594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25105647">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总得分=（一）+（二）+</w:t>
            </w:r>
            <w:bookmarkEnd w:id="196"/>
            <w:r>
              <w:rPr>
                <w:rFonts w:hint="eastAsia" w:ascii="宋体" w:hAnsi="宋体" w:eastAsia="宋体" w:cs="宋体"/>
                <w:b/>
                <w:bCs w:val="0"/>
                <w:color w:val="auto"/>
                <w:kern w:val="0"/>
                <w:szCs w:val="21"/>
                <w:highlight w:val="none"/>
                <w:lang w:val="en-US" w:eastAsia="zh-CN"/>
              </w:rPr>
              <w:t>（三）</w:t>
            </w:r>
          </w:p>
        </w:tc>
      </w:tr>
    </w:tbl>
    <w:p w14:paraId="013F50EC">
      <w:pPr>
        <w:rPr>
          <w:rFonts w:hint="eastAsia" w:ascii="宋体" w:hAnsi="宋体" w:eastAsia="宋体" w:cs="宋体"/>
          <w:color w:val="auto"/>
          <w:highlight w:val="none"/>
        </w:rPr>
      </w:pPr>
      <w:bookmarkStart w:id="210" w:name="_Toc4130"/>
      <w:bookmarkStart w:id="211" w:name="_Toc13030"/>
      <w:r>
        <w:rPr>
          <w:rFonts w:hint="eastAsia" w:ascii="宋体" w:hAnsi="宋体" w:eastAsia="宋体" w:cs="宋体"/>
          <w:color w:val="auto"/>
          <w:highlight w:val="none"/>
        </w:rPr>
        <w:br w:type="page"/>
      </w:r>
    </w:p>
    <w:p w14:paraId="427C4772">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四、中标候选人推荐原则</w:t>
      </w:r>
      <w:bookmarkEnd w:id="210"/>
      <w:bookmarkEnd w:id="211"/>
    </w:p>
    <w:p w14:paraId="49F168AB">
      <w:pPr>
        <w:pStyle w:val="20"/>
        <w:pageBreakBefore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1.评标委员会根据原始评标记录和评标结果编写评标报告，并通过电子交易平台向采购人、采购代理机构提交。</w:t>
      </w:r>
    </w:p>
    <w:p w14:paraId="27DB2F0F">
      <w:pPr>
        <w:pStyle w:val="20"/>
        <w:pageBreakBefore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详见投标人须知前附表30.1条】得分最高的投标人为排名第一的中标候选人。</w:t>
      </w:r>
    </w:p>
    <w:p w14:paraId="41DC740A">
      <w:pPr>
        <w:pStyle w:val="20"/>
        <w:spacing w:line="440" w:lineRule="exact"/>
        <w:ind w:firstLine="420" w:firstLineChars="200"/>
        <w:contextualSpacing/>
        <w:rPr>
          <w:rFonts w:hint="eastAsia" w:ascii="宋体" w:hAnsi="宋体" w:eastAsia="宋体" w:cs="宋体"/>
          <w:b/>
          <w:color w:val="auto"/>
          <w:sz w:val="24"/>
          <w:highlight w:val="none"/>
        </w:rPr>
      </w:pPr>
      <w:r>
        <w:rPr>
          <w:rFonts w:hint="eastAsia" w:ascii="宋体" w:hAnsi="宋体" w:eastAsia="宋体" w:cs="宋体"/>
          <w:color w:val="auto"/>
          <w:highlight w:val="none"/>
        </w:rPr>
        <w:br w:type="page"/>
      </w:r>
    </w:p>
    <w:p w14:paraId="1B67CE0F">
      <w:pPr>
        <w:pStyle w:val="3"/>
        <w:jc w:val="center"/>
        <w:rPr>
          <w:rFonts w:hint="eastAsia" w:ascii="宋体" w:hAnsi="宋体" w:eastAsia="宋体" w:cs="宋体"/>
          <w:color w:val="auto"/>
          <w:highlight w:val="none"/>
        </w:rPr>
      </w:pPr>
      <w:bookmarkStart w:id="212" w:name="_Toc25250"/>
      <w:r>
        <w:rPr>
          <w:rFonts w:hint="eastAsia" w:ascii="宋体" w:hAnsi="宋体" w:eastAsia="宋体" w:cs="宋体"/>
          <w:color w:val="auto"/>
          <w:highlight w:val="none"/>
        </w:rPr>
        <w:t>第五章  拟签订的合同文本</w:t>
      </w:r>
      <w:bookmarkEnd w:id="212"/>
    </w:p>
    <w:p w14:paraId="0C7756BB">
      <w:pPr>
        <w:spacing w:line="400" w:lineRule="exact"/>
        <w:ind w:firstLine="960" w:firstLineChars="400"/>
        <w:rPr>
          <w:rFonts w:hint="eastAsia" w:ascii="宋体" w:hAnsi="宋体" w:eastAsia="宋体" w:cs="宋体"/>
          <w:color w:val="auto"/>
          <w:sz w:val="24"/>
          <w:szCs w:val="24"/>
          <w:highlight w:val="none"/>
        </w:rPr>
      </w:pPr>
    </w:p>
    <w:p w14:paraId="6D350B34">
      <w:pPr>
        <w:spacing w:line="400" w:lineRule="exact"/>
        <w:ind w:firstLine="2160" w:firstLineChars="900"/>
        <w:rPr>
          <w:rFonts w:hint="eastAsia" w:ascii="宋体" w:hAnsi="宋体" w:eastAsia="宋体" w:cs="宋体"/>
          <w:color w:val="auto"/>
          <w:sz w:val="24"/>
          <w:szCs w:val="24"/>
          <w:highlight w:val="none"/>
        </w:rPr>
      </w:pPr>
    </w:p>
    <w:p w14:paraId="1F101D8A">
      <w:pPr>
        <w:spacing w:line="400" w:lineRule="exact"/>
        <w:ind w:firstLine="2160" w:firstLineChars="900"/>
        <w:rPr>
          <w:rFonts w:hint="eastAsia" w:ascii="宋体" w:hAnsi="宋体" w:eastAsia="宋体" w:cs="宋体"/>
          <w:color w:val="auto"/>
          <w:sz w:val="24"/>
          <w:szCs w:val="24"/>
          <w:highlight w:val="none"/>
        </w:rPr>
      </w:pPr>
    </w:p>
    <w:p w14:paraId="334CCA8C">
      <w:pPr>
        <w:spacing w:line="400" w:lineRule="exact"/>
        <w:ind w:firstLine="2160" w:firstLineChars="900"/>
        <w:rPr>
          <w:rFonts w:hint="eastAsia" w:ascii="宋体" w:hAnsi="宋体" w:eastAsia="宋体" w:cs="宋体"/>
          <w:color w:val="auto"/>
          <w:sz w:val="24"/>
          <w:szCs w:val="24"/>
          <w:highlight w:val="none"/>
        </w:rPr>
      </w:pPr>
    </w:p>
    <w:p w14:paraId="3DB2391F">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6DE62B7D">
      <w:pPr>
        <w:pStyle w:val="20"/>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广西壮族自治区政府采购合同</w:t>
      </w:r>
    </w:p>
    <w:p w14:paraId="6ABBF900">
      <w:pPr>
        <w:pStyle w:val="20"/>
        <w:rPr>
          <w:rFonts w:hint="eastAsia" w:ascii="宋体" w:hAnsi="宋体" w:eastAsia="宋体" w:cs="宋体"/>
          <w:color w:val="auto"/>
          <w:highlight w:val="none"/>
        </w:rPr>
      </w:pPr>
    </w:p>
    <w:p w14:paraId="467AE0F9">
      <w:pPr>
        <w:pStyle w:val="20"/>
        <w:rPr>
          <w:rFonts w:hint="eastAsia" w:ascii="宋体" w:hAnsi="宋体" w:eastAsia="宋体" w:cs="宋体"/>
          <w:color w:val="auto"/>
          <w:highlight w:val="none"/>
        </w:rPr>
      </w:pPr>
    </w:p>
    <w:p w14:paraId="2C6A6607">
      <w:pPr>
        <w:pStyle w:val="20"/>
        <w:ind w:firstLine="1590" w:firstLineChars="495"/>
        <w:rPr>
          <w:rFonts w:hint="eastAsia" w:ascii="宋体" w:hAnsi="宋体" w:eastAsia="宋体" w:cs="宋体"/>
          <w:b/>
          <w:color w:val="auto"/>
          <w:sz w:val="32"/>
          <w:szCs w:val="32"/>
          <w:highlight w:val="none"/>
        </w:rPr>
      </w:pPr>
    </w:p>
    <w:p w14:paraId="6D8D51FD">
      <w:pPr>
        <w:pStyle w:val="20"/>
        <w:ind w:firstLine="1590" w:firstLineChars="495"/>
        <w:rPr>
          <w:rFonts w:hint="eastAsia" w:ascii="宋体" w:hAnsi="宋体" w:eastAsia="宋体" w:cs="宋体"/>
          <w:b/>
          <w:color w:val="auto"/>
          <w:sz w:val="32"/>
          <w:szCs w:val="32"/>
          <w:highlight w:val="none"/>
        </w:rPr>
      </w:pPr>
    </w:p>
    <w:p w14:paraId="2AA939F2">
      <w:pPr>
        <w:pStyle w:val="20"/>
        <w:ind w:firstLine="1590" w:firstLineChars="495"/>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合同名称：</w:t>
      </w:r>
      <w:r>
        <w:rPr>
          <w:rFonts w:hint="eastAsia" w:ascii="宋体" w:hAnsi="宋体" w:eastAsia="宋体" w:cs="宋体"/>
          <w:b/>
          <w:color w:val="auto"/>
          <w:sz w:val="32"/>
          <w:szCs w:val="32"/>
          <w:highlight w:val="none"/>
          <w:u w:val="single"/>
        </w:rPr>
        <w:t xml:space="preserve">                           </w:t>
      </w:r>
    </w:p>
    <w:p w14:paraId="6B8DB552">
      <w:pPr>
        <w:pStyle w:val="20"/>
        <w:ind w:firstLine="1590" w:firstLineChars="495"/>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合同编号：</w:t>
      </w:r>
      <w:r>
        <w:rPr>
          <w:rFonts w:hint="eastAsia" w:ascii="宋体" w:hAnsi="宋体" w:eastAsia="宋体" w:cs="宋体"/>
          <w:b/>
          <w:color w:val="auto"/>
          <w:sz w:val="32"/>
          <w:szCs w:val="32"/>
          <w:highlight w:val="none"/>
          <w:u w:val="single"/>
        </w:rPr>
        <w:t xml:space="preserve">                           </w:t>
      </w:r>
    </w:p>
    <w:p w14:paraId="610B0D2A">
      <w:pPr>
        <w:pStyle w:val="20"/>
        <w:jc w:val="center"/>
        <w:rPr>
          <w:rFonts w:hint="eastAsia" w:ascii="宋体" w:hAnsi="宋体" w:eastAsia="宋体" w:cs="宋体"/>
          <w:color w:val="auto"/>
          <w:highlight w:val="none"/>
        </w:rPr>
      </w:pPr>
    </w:p>
    <w:p w14:paraId="499E1E0B">
      <w:pPr>
        <w:pStyle w:val="20"/>
        <w:jc w:val="center"/>
        <w:rPr>
          <w:rFonts w:hint="eastAsia" w:ascii="宋体" w:hAnsi="宋体" w:eastAsia="宋体" w:cs="宋体"/>
          <w:color w:val="auto"/>
          <w:highlight w:val="none"/>
        </w:rPr>
      </w:pPr>
    </w:p>
    <w:p w14:paraId="075428AD">
      <w:pPr>
        <w:pStyle w:val="20"/>
        <w:jc w:val="center"/>
        <w:rPr>
          <w:rFonts w:hint="eastAsia" w:ascii="宋体" w:hAnsi="宋体" w:eastAsia="宋体" w:cs="宋体"/>
          <w:color w:val="auto"/>
          <w:highlight w:val="none"/>
        </w:rPr>
      </w:pPr>
    </w:p>
    <w:p w14:paraId="3A440A2C">
      <w:pPr>
        <w:pStyle w:val="20"/>
        <w:spacing w:after="156" w:afterLines="50" w:line="340" w:lineRule="exact"/>
        <w:ind w:firstLine="1590" w:firstLineChars="495"/>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采购单位（甲方）</w:t>
      </w:r>
      <w:r>
        <w:rPr>
          <w:rFonts w:hint="eastAsia" w:ascii="宋体" w:hAnsi="宋体" w:eastAsia="宋体" w:cs="宋体"/>
          <w:bCs/>
          <w:color w:val="auto"/>
          <w:sz w:val="30"/>
          <w:szCs w:val="72"/>
          <w:highlight w:val="none"/>
          <w:u w:val="single"/>
          <w:lang w:val="en"/>
        </w:rPr>
        <w:t xml:space="preserve"> </w:t>
      </w:r>
      <w:r>
        <w:rPr>
          <w:rFonts w:hint="eastAsia" w:ascii="宋体" w:hAnsi="宋体" w:eastAsia="宋体" w:cs="宋体"/>
          <w:bCs/>
          <w:color w:val="auto"/>
          <w:sz w:val="30"/>
          <w:szCs w:val="7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p>
    <w:p w14:paraId="7DC44B4D">
      <w:pPr>
        <w:pStyle w:val="20"/>
        <w:spacing w:line="340" w:lineRule="exact"/>
        <w:ind w:firstLine="1590" w:firstLineChars="495"/>
        <w:rPr>
          <w:rFonts w:hint="eastAsia" w:ascii="宋体" w:hAnsi="宋体" w:eastAsia="宋体" w:cs="宋体"/>
          <w:b/>
          <w:color w:val="auto"/>
          <w:sz w:val="32"/>
          <w:szCs w:val="32"/>
          <w:highlight w:val="none"/>
        </w:rPr>
      </w:pPr>
    </w:p>
    <w:p w14:paraId="3D3E3B92">
      <w:pPr>
        <w:pStyle w:val="20"/>
        <w:spacing w:line="340" w:lineRule="exact"/>
        <w:ind w:firstLine="1590" w:firstLineChars="495"/>
        <w:rPr>
          <w:rFonts w:hint="eastAsia" w:ascii="宋体" w:hAnsi="宋体" w:eastAsia="宋体" w:cs="宋体"/>
          <w:b/>
          <w:color w:val="auto"/>
          <w:sz w:val="32"/>
          <w:szCs w:val="32"/>
          <w:highlight w:val="none"/>
        </w:rPr>
      </w:pPr>
    </w:p>
    <w:p w14:paraId="25B5EEA6">
      <w:pPr>
        <w:pStyle w:val="20"/>
        <w:spacing w:after="156" w:afterLines="50" w:line="340" w:lineRule="exact"/>
        <w:ind w:firstLine="1590" w:firstLineChars="495"/>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供 应 商（乙方）</w:t>
      </w:r>
      <w:r>
        <w:rPr>
          <w:rFonts w:hint="eastAsia" w:ascii="宋体" w:hAnsi="宋体" w:eastAsia="宋体" w:cs="宋体"/>
          <w:b/>
          <w:color w:val="auto"/>
          <w:sz w:val="32"/>
          <w:szCs w:val="32"/>
          <w:highlight w:val="none"/>
          <w:u w:val="single"/>
        </w:rPr>
        <w:t xml:space="preserve">                      </w:t>
      </w:r>
    </w:p>
    <w:p w14:paraId="468C0BA6">
      <w:pPr>
        <w:pStyle w:val="20"/>
        <w:spacing w:line="340" w:lineRule="exact"/>
        <w:ind w:firstLine="1590" w:firstLineChars="495"/>
        <w:rPr>
          <w:rFonts w:hint="eastAsia" w:ascii="宋体" w:hAnsi="宋体" w:eastAsia="宋体" w:cs="宋体"/>
          <w:b/>
          <w:color w:val="auto"/>
          <w:sz w:val="32"/>
          <w:szCs w:val="32"/>
          <w:highlight w:val="none"/>
        </w:rPr>
      </w:pPr>
    </w:p>
    <w:p w14:paraId="61E16AFE">
      <w:pPr>
        <w:pStyle w:val="2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DA0123F">
      <w:pPr>
        <w:pStyle w:val="20"/>
        <w:jc w:val="center"/>
        <w:rPr>
          <w:rFonts w:hint="eastAsia" w:ascii="宋体" w:hAnsi="宋体" w:eastAsia="宋体" w:cs="宋体"/>
          <w:color w:val="auto"/>
          <w:highlight w:val="none"/>
        </w:rPr>
      </w:pPr>
    </w:p>
    <w:p w14:paraId="4D38E2E5">
      <w:pPr>
        <w:pStyle w:val="20"/>
        <w:ind w:firstLine="1590" w:firstLineChars="495"/>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签订合同地点：</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Cs/>
          <w:color w:val="auto"/>
          <w:sz w:val="32"/>
          <w:szCs w:val="32"/>
          <w:highlight w:val="none"/>
          <w:u w:val="single"/>
        </w:rPr>
        <w:t xml:space="preserve"> </w:t>
      </w:r>
      <w:r>
        <w:rPr>
          <w:rFonts w:hint="eastAsia" w:ascii="宋体" w:hAnsi="宋体" w:eastAsia="宋体" w:cs="宋体"/>
          <w:bCs/>
          <w:color w:val="auto"/>
          <w:sz w:val="32"/>
          <w:szCs w:val="32"/>
          <w:highlight w:val="none"/>
          <w:u w:val="single"/>
          <w:lang w:val="en-US" w:eastAsia="zh-CN"/>
        </w:rPr>
        <w:t xml:space="preserve">             </w:t>
      </w:r>
      <w:r>
        <w:rPr>
          <w:rFonts w:hint="eastAsia" w:ascii="宋体" w:hAnsi="宋体" w:eastAsia="宋体" w:cs="宋体"/>
          <w:bCs/>
          <w:color w:val="auto"/>
          <w:sz w:val="32"/>
          <w:szCs w:val="32"/>
          <w:highlight w:val="none"/>
          <w:u w:val="single"/>
        </w:rPr>
        <w:t xml:space="preserve">  </w:t>
      </w:r>
      <w:r>
        <w:rPr>
          <w:rFonts w:hint="eastAsia" w:ascii="宋体" w:hAnsi="宋体" w:eastAsia="宋体" w:cs="宋体"/>
          <w:b/>
          <w:color w:val="auto"/>
          <w:sz w:val="32"/>
          <w:szCs w:val="32"/>
          <w:highlight w:val="none"/>
          <w:u w:val="single"/>
        </w:rPr>
        <w:t xml:space="preserve">      </w:t>
      </w:r>
    </w:p>
    <w:p w14:paraId="4192FD39">
      <w:pPr>
        <w:pStyle w:val="20"/>
        <w:ind w:firstLine="1590" w:firstLineChars="495"/>
        <w:rPr>
          <w:rFonts w:hint="eastAsia" w:ascii="宋体" w:hAnsi="宋体" w:eastAsia="宋体" w:cs="宋体"/>
          <w:b/>
          <w:color w:val="auto"/>
          <w:sz w:val="32"/>
          <w:szCs w:val="32"/>
          <w:highlight w:val="none"/>
        </w:rPr>
      </w:pPr>
    </w:p>
    <w:p w14:paraId="2BD6ED18">
      <w:pPr>
        <w:pStyle w:val="20"/>
        <w:ind w:firstLine="1590" w:firstLineChars="495"/>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签订合同时间：</w:t>
      </w:r>
      <w:r>
        <w:rPr>
          <w:rFonts w:hint="eastAsia" w:ascii="宋体" w:hAnsi="宋体" w:eastAsia="宋体" w:cs="宋体"/>
          <w:b/>
          <w:color w:val="auto"/>
          <w:sz w:val="32"/>
          <w:szCs w:val="32"/>
          <w:highlight w:val="none"/>
          <w:u w:val="single"/>
        </w:rPr>
        <w:t xml:space="preserve">                       </w:t>
      </w:r>
    </w:p>
    <w:p w14:paraId="1B4AB0F4">
      <w:pPr>
        <w:pStyle w:val="20"/>
        <w:jc w:val="center"/>
        <w:rPr>
          <w:rFonts w:hint="eastAsia" w:ascii="宋体" w:hAnsi="宋体" w:eastAsia="宋体" w:cs="宋体"/>
          <w:color w:val="auto"/>
          <w:highlight w:val="none"/>
        </w:rPr>
      </w:pPr>
    </w:p>
    <w:p w14:paraId="6D6BC474">
      <w:pPr>
        <w:pStyle w:val="2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756BB46">
      <w:pPr>
        <w:pStyle w:val="20"/>
        <w:jc w:val="center"/>
        <w:rPr>
          <w:rFonts w:hint="eastAsia" w:ascii="宋体" w:hAnsi="宋体" w:eastAsia="宋体" w:cs="宋体"/>
          <w:color w:val="auto"/>
          <w:highlight w:val="none"/>
        </w:rPr>
      </w:pPr>
    </w:p>
    <w:p w14:paraId="681A046E">
      <w:pPr>
        <w:pStyle w:val="20"/>
        <w:jc w:val="center"/>
        <w:rPr>
          <w:rFonts w:hint="eastAsia" w:ascii="宋体" w:hAnsi="宋体" w:eastAsia="宋体" w:cs="宋体"/>
          <w:color w:val="auto"/>
          <w:highlight w:val="none"/>
        </w:rPr>
      </w:pPr>
    </w:p>
    <w:p w14:paraId="560D26D6">
      <w:pPr>
        <w:pStyle w:val="20"/>
        <w:jc w:val="center"/>
        <w:rPr>
          <w:rFonts w:hint="eastAsia" w:ascii="宋体" w:hAnsi="宋体" w:eastAsia="宋体" w:cs="宋体"/>
          <w:color w:val="auto"/>
          <w:highlight w:val="none"/>
        </w:rPr>
      </w:pPr>
    </w:p>
    <w:p w14:paraId="68E12840">
      <w:pPr>
        <w:pStyle w:val="20"/>
        <w:jc w:val="center"/>
        <w:rPr>
          <w:rFonts w:hint="eastAsia" w:ascii="宋体" w:hAnsi="宋体" w:eastAsia="宋体" w:cs="宋体"/>
          <w:color w:val="auto"/>
          <w:highlight w:val="none"/>
        </w:rPr>
      </w:pPr>
    </w:p>
    <w:p w14:paraId="03C6B342">
      <w:pPr>
        <w:rPr>
          <w:rFonts w:hint="eastAsia" w:ascii="宋体" w:hAnsi="宋体" w:eastAsia="宋体" w:cs="宋体"/>
          <w:color w:val="auto"/>
          <w:highlight w:val="none"/>
        </w:rPr>
      </w:pPr>
    </w:p>
    <w:p w14:paraId="23827147">
      <w:pPr>
        <w:pStyle w:val="30"/>
        <w:rPr>
          <w:rFonts w:hint="eastAsia" w:ascii="宋体" w:hAnsi="宋体" w:eastAsia="宋体" w:cs="宋体"/>
          <w:color w:val="auto"/>
          <w:highlight w:val="none"/>
        </w:rPr>
      </w:pPr>
    </w:p>
    <w:p w14:paraId="73619FBF">
      <w:pPr>
        <w:pStyle w:val="2"/>
        <w:rPr>
          <w:rFonts w:hint="eastAsia" w:ascii="宋体" w:hAnsi="宋体" w:eastAsia="宋体" w:cs="宋体"/>
          <w:color w:val="auto"/>
          <w:highlight w:val="none"/>
        </w:rPr>
      </w:pPr>
    </w:p>
    <w:p w14:paraId="3392DDAB">
      <w:pPr>
        <w:rPr>
          <w:rFonts w:hint="eastAsia" w:ascii="宋体" w:hAnsi="宋体" w:eastAsia="宋体" w:cs="宋体"/>
          <w:color w:val="auto"/>
          <w:highlight w:val="none"/>
        </w:rPr>
      </w:pPr>
    </w:p>
    <w:p w14:paraId="7A1FEB16">
      <w:pPr>
        <w:pStyle w:val="30"/>
        <w:rPr>
          <w:rFonts w:hint="eastAsia" w:ascii="宋体" w:hAnsi="宋体" w:eastAsia="宋体" w:cs="宋体"/>
          <w:color w:val="auto"/>
          <w:highlight w:val="none"/>
        </w:rPr>
      </w:pPr>
    </w:p>
    <w:p w14:paraId="2AF22A4D">
      <w:pPr>
        <w:pStyle w:val="2"/>
        <w:rPr>
          <w:rFonts w:hint="eastAsia" w:ascii="宋体" w:hAnsi="宋体" w:eastAsia="宋体" w:cs="宋体"/>
          <w:color w:val="auto"/>
          <w:highlight w:val="none"/>
        </w:rPr>
      </w:pPr>
    </w:p>
    <w:p w14:paraId="1C3BD099">
      <w:pPr>
        <w:pStyle w:val="2"/>
        <w:rPr>
          <w:rFonts w:hint="eastAsia" w:ascii="宋体" w:hAnsi="宋体" w:eastAsia="宋体" w:cs="宋体"/>
          <w:color w:val="auto"/>
          <w:kern w:val="0"/>
          <w:sz w:val="24"/>
          <w:szCs w:val="24"/>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highlight w:val="none"/>
        </w:rPr>
        <w:t>合同使用说明：根据《中华人民共和国政府采购法》、《中华人民共和国民法典》等法律、法规规定，按照招标文件规定条款和</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投标文件及其承诺，甲乙双方签订本合同</w:t>
      </w:r>
    </w:p>
    <w:p w14:paraId="3524FB52">
      <w:pPr>
        <w:pageBreakBefore/>
        <w:spacing w:line="480" w:lineRule="auto"/>
        <w:ind w:firstLine="2891" w:firstLineChars="900"/>
        <w:jc w:val="both"/>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合 同 书 （格 式）</w:t>
      </w:r>
    </w:p>
    <w:p w14:paraId="236436CF">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采购计划号：                 </w:t>
      </w:r>
    </w:p>
    <w:p w14:paraId="233C382B">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项目名称：                   </w:t>
      </w:r>
    </w:p>
    <w:p w14:paraId="4961E611">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项目编号：                   </w:t>
      </w:r>
    </w:p>
    <w:p w14:paraId="6BA903E1">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签订时间：                    </w:t>
      </w:r>
    </w:p>
    <w:p w14:paraId="60CEA35F">
      <w:pPr>
        <w:widowControl/>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甲方</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采购人</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rPr>
        <w:t xml:space="preserve"> </w:t>
      </w:r>
      <w:r>
        <w:rPr>
          <w:rFonts w:hint="eastAsia" w:ascii="宋体" w:hAnsi="宋体" w:eastAsia="宋体" w:cs="宋体"/>
          <w:color w:val="auto"/>
          <w:kern w:val="0"/>
          <w:sz w:val="21"/>
          <w:szCs w:val="21"/>
          <w:highlight w:val="none"/>
        </w:rPr>
        <w:t xml:space="preserve"> </w:t>
      </w:r>
    </w:p>
    <w:p w14:paraId="07068260">
      <w:pPr>
        <w:pStyle w:val="13"/>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r>
        <w:rPr>
          <w:rFonts w:hint="eastAsia" w:ascii="宋体" w:hAnsi="宋体" w:cs="宋体"/>
          <w:b/>
          <w:bCs/>
          <w:color w:val="auto"/>
          <w:kern w:val="0"/>
          <w:szCs w:val="21"/>
          <w:highlight w:val="none"/>
          <w:u w:val="none"/>
        </w:rPr>
        <w:t xml:space="preserve">       </w:t>
      </w:r>
    </w:p>
    <w:p w14:paraId="321A9CF8">
      <w:pPr>
        <w:pStyle w:val="1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住所地：</w:t>
      </w:r>
      <w:r>
        <w:rPr>
          <w:rFonts w:hint="eastAsia" w:ascii="宋体" w:hAnsi="宋体" w:cs="宋体"/>
          <w:b/>
          <w:bCs/>
          <w:color w:val="auto"/>
          <w:kern w:val="0"/>
          <w:szCs w:val="21"/>
          <w:highlight w:val="none"/>
          <w:u w:val="none"/>
        </w:rPr>
        <w:t xml:space="preserve">           </w:t>
      </w:r>
    </w:p>
    <w:p w14:paraId="6C3525F5">
      <w:pPr>
        <w:widowControl/>
        <w:spacing w:line="360" w:lineRule="auto"/>
        <w:jc w:val="left"/>
        <w:rPr>
          <w:rFonts w:hint="eastAsia" w:ascii="宋体" w:hAnsi="宋体" w:eastAsia="宋体" w:cs="宋体"/>
          <w:b/>
          <w:bCs/>
          <w:color w:val="auto"/>
          <w:kern w:val="0"/>
          <w:sz w:val="21"/>
          <w:szCs w:val="21"/>
          <w:highlight w:val="none"/>
          <w:u w:val="none"/>
        </w:rPr>
      </w:pPr>
      <w:r>
        <w:rPr>
          <w:rFonts w:hint="eastAsia" w:ascii="宋体" w:hAnsi="宋体" w:eastAsia="宋体" w:cs="宋体"/>
          <w:b/>
          <w:bCs/>
          <w:color w:val="auto"/>
          <w:kern w:val="0"/>
          <w:sz w:val="21"/>
          <w:szCs w:val="21"/>
          <w:highlight w:val="none"/>
        </w:rPr>
        <w:t>  乙方（</w:t>
      </w:r>
      <w:r>
        <w:rPr>
          <w:rFonts w:hint="eastAsia" w:ascii="宋体" w:hAnsi="宋体" w:eastAsia="宋体" w:cs="宋体"/>
          <w:b/>
          <w:bCs/>
          <w:color w:val="auto"/>
          <w:kern w:val="0"/>
          <w:sz w:val="21"/>
          <w:szCs w:val="21"/>
          <w:highlight w:val="none"/>
          <w:lang w:eastAsia="zh-CN"/>
        </w:rPr>
        <w:t>中</w:t>
      </w:r>
      <w:r>
        <w:rPr>
          <w:rFonts w:hint="eastAsia" w:ascii="宋体" w:hAnsi="宋体" w:eastAsia="宋体" w:cs="宋体"/>
          <w:b/>
          <w:bCs/>
          <w:color w:val="auto"/>
          <w:kern w:val="0"/>
          <w:sz w:val="21"/>
          <w:szCs w:val="21"/>
          <w:highlight w:val="none"/>
        </w:rPr>
        <w:t>标人）：</w:t>
      </w:r>
      <w:r>
        <w:rPr>
          <w:rFonts w:hint="eastAsia" w:ascii="宋体" w:hAnsi="宋体" w:eastAsia="宋体" w:cs="宋体"/>
          <w:b/>
          <w:bCs/>
          <w:color w:val="auto"/>
          <w:kern w:val="0"/>
          <w:sz w:val="21"/>
          <w:szCs w:val="21"/>
          <w:highlight w:val="none"/>
          <w:u w:val="none"/>
        </w:rPr>
        <w:t xml:space="preserve">                           </w:t>
      </w:r>
    </w:p>
    <w:p w14:paraId="265B43BB">
      <w:pPr>
        <w:pStyle w:val="13"/>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r>
        <w:rPr>
          <w:rFonts w:hint="eastAsia" w:ascii="宋体" w:hAnsi="宋体" w:cs="宋体"/>
          <w:b/>
          <w:bCs/>
          <w:color w:val="auto"/>
          <w:kern w:val="0"/>
          <w:szCs w:val="21"/>
          <w:highlight w:val="none"/>
          <w:u w:val="none"/>
        </w:rPr>
        <w:t xml:space="preserve">       </w:t>
      </w:r>
    </w:p>
    <w:p w14:paraId="333FC69D">
      <w:pPr>
        <w:pStyle w:val="2"/>
        <w:ind w:firstLine="422" w:firstLineChars="200"/>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rPr>
        <w:t>住所地：</w:t>
      </w:r>
      <w:r>
        <w:rPr>
          <w:rFonts w:hint="eastAsia" w:ascii="宋体" w:hAnsi="宋体" w:cs="宋体"/>
          <w:b/>
          <w:bCs/>
          <w:color w:val="auto"/>
          <w:kern w:val="0"/>
          <w:szCs w:val="21"/>
          <w:highlight w:val="none"/>
          <w:u w:val="none"/>
        </w:rPr>
        <w:t xml:space="preserve">           </w:t>
      </w:r>
    </w:p>
    <w:p w14:paraId="7752BC7B">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根据《中华人民共和国政府采购法》《中华人民共和国民法典》等法律、法规规定，按照招标文件（采购文件）规定条款和投标文件及承诺，采购人（甲方）与中标人（乙方）双方签订本合同。</w:t>
      </w:r>
    </w:p>
    <w:p w14:paraId="30BC4563">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第一条　合同标的</w:t>
      </w:r>
    </w:p>
    <w:p w14:paraId="29C0BE83">
      <w:pPr>
        <w:snapToGrid w:val="0"/>
        <w:spacing w:line="320" w:lineRule="exact"/>
        <w:ind w:firstLine="420" w:firstLineChars="200"/>
        <w:rPr>
          <w:rFonts w:hint="eastAsia" w:ascii="宋体" w:hAnsi="宋体" w:eastAsia="宋体" w:cs="宋体"/>
          <w:sz w:val="21"/>
          <w:szCs w:val="21"/>
        </w:rPr>
      </w:pPr>
      <w:bookmarkStart w:id="213" w:name="_Toc1070"/>
      <w:bookmarkStart w:id="214" w:name="_Toc13132"/>
      <w:r>
        <w:rPr>
          <w:rFonts w:hint="eastAsia" w:ascii="宋体" w:hAnsi="宋体" w:eastAsia="宋体" w:cs="宋体"/>
          <w:sz w:val="21"/>
          <w:szCs w:val="21"/>
        </w:rPr>
        <w:t>1、服务成果一览表</w:t>
      </w:r>
    </w:p>
    <w:tbl>
      <w:tblPr>
        <w:tblStyle w:val="4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800"/>
        <w:gridCol w:w="1260"/>
        <w:gridCol w:w="1260"/>
        <w:gridCol w:w="1440"/>
        <w:gridCol w:w="1260"/>
      </w:tblGrid>
      <w:tr w14:paraId="76E0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noWrap w:val="0"/>
            <w:vAlign w:val="center"/>
          </w:tcPr>
          <w:p w14:paraId="4B9B7C6F">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20" w:type="dxa"/>
            <w:noWrap w:val="0"/>
            <w:vAlign w:val="center"/>
          </w:tcPr>
          <w:p w14:paraId="23C69A22">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服务项目</w:t>
            </w:r>
          </w:p>
        </w:tc>
        <w:tc>
          <w:tcPr>
            <w:tcW w:w="1800" w:type="dxa"/>
            <w:noWrap w:val="0"/>
            <w:vAlign w:val="center"/>
          </w:tcPr>
          <w:p w14:paraId="19ED2168">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服务内容、标准</w:t>
            </w:r>
          </w:p>
        </w:tc>
        <w:tc>
          <w:tcPr>
            <w:tcW w:w="1260" w:type="dxa"/>
            <w:noWrap w:val="0"/>
            <w:vAlign w:val="center"/>
          </w:tcPr>
          <w:p w14:paraId="1C80BABF">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260" w:type="dxa"/>
            <w:noWrap w:val="0"/>
            <w:vAlign w:val="center"/>
          </w:tcPr>
          <w:p w14:paraId="0AC2C5C6">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1440" w:type="dxa"/>
            <w:noWrap w:val="0"/>
            <w:vAlign w:val="center"/>
          </w:tcPr>
          <w:p w14:paraId="43DCDDAB">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单  价</w:t>
            </w:r>
          </w:p>
          <w:p w14:paraId="0D78CD48">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（元）</w:t>
            </w:r>
          </w:p>
        </w:tc>
        <w:tc>
          <w:tcPr>
            <w:tcW w:w="1260" w:type="dxa"/>
            <w:noWrap w:val="0"/>
            <w:vAlign w:val="center"/>
          </w:tcPr>
          <w:p w14:paraId="254853EF">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金  额</w:t>
            </w:r>
          </w:p>
          <w:p w14:paraId="519C936B">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（元）</w:t>
            </w:r>
          </w:p>
        </w:tc>
      </w:tr>
      <w:tr w14:paraId="2F48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noWrap w:val="0"/>
            <w:vAlign w:val="center"/>
          </w:tcPr>
          <w:p w14:paraId="1460604E">
            <w:pPr>
              <w:snapToGrid w:val="0"/>
              <w:spacing w:line="320" w:lineRule="exact"/>
              <w:jc w:val="center"/>
              <w:rPr>
                <w:rFonts w:hint="eastAsia" w:ascii="宋体" w:hAnsi="宋体" w:eastAsia="宋体" w:cs="宋体"/>
                <w:sz w:val="21"/>
                <w:szCs w:val="21"/>
              </w:rPr>
            </w:pPr>
          </w:p>
        </w:tc>
        <w:tc>
          <w:tcPr>
            <w:tcW w:w="1620" w:type="dxa"/>
            <w:noWrap w:val="0"/>
            <w:vAlign w:val="center"/>
          </w:tcPr>
          <w:p w14:paraId="71F08380">
            <w:pPr>
              <w:snapToGrid w:val="0"/>
              <w:spacing w:line="320" w:lineRule="exact"/>
              <w:jc w:val="center"/>
              <w:rPr>
                <w:rFonts w:hint="eastAsia" w:ascii="宋体" w:hAnsi="宋体" w:eastAsia="宋体" w:cs="宋体"/>
                <w:sz w:val="21"/>
                <w:szCs w:val="21"/>
              </w:rPr>
            </w:pPr>
          </w:p>
        </w:tc>
        <w:tc>
          <w:tcPr>
            <w:tcW w:w="1800" w:type="dxa"/>
            <w:noWrap w:val="0"/>
            <w:vAlign w:val="center"/>
          </w:tcPr>
          <w:p w14:paraId="37460F7C">
            <w:pPr>
              <w:snapToGrid w:val="0"/>
              <w:spacing w:line="320" w:lineRule="exact"/>
              <w:jc w:val="center"/>
              <w:rPr>
                <w:rFonts w:hint="eastAsia" w:ascii="宋体" w:hAnsi="宋体" w:eastAsia="宋体" w:cs="宋体"/>
                <w:sz w:val="21"/>
                <w:szCs w:val="21"/>
              </w:rPr>
            </w:pPr>
          </w:p>
        </w:tc>
        <w:tc>
          <w:tcPr>
            <w:tcW w:w="1260" w:type="dxa"/>
            <w:noWrap w:val="0"/>
            <w:vAlign w:val="top"/>
          </w:tcPr>
          <w:p w14:paraId="3DD8F7FC">
            <w:pPr>
              <w:snapToGrid w:val="0"/>
              <w:spacing w:line="320" w:lineRule="exact"/>
              <w:jc w:val="center"/>
              <w:rPr>
                <w:rFonts w:hint="eastAsia" w:ascii="宋体" w:hAnsi="宋体" w:eastAsia="宋体" w:cs="宋体"/>
                <w:sz w:val="21"/>
                <w:szCs w:val="21"/>
              </w:rPr>
            </w:pPr>
          </w:p>
        </w:tc>
        <w:tc>
          <w:tcPr>
            <w:tcW w:w="1260" w:type="dxa"/>
            <w:noWrap w:val="0"/>
            <w:vAlign w:val="top"/>
          </w:tcPr>
          <w:p w14:paraId="3C1A6D05">
            <w:pPr>
              <w:snapToGrid w:val="0"/>
              <w:spacing w:line="320" w:lineRule="exact"/>
              <w:jc w:val="center"/>
              <w:rPr>
                <w:rFonts w:hint="eastAsia" w:ascii="宋体" w:hAnsi="宋体" w:eastAsia="宋体" w:cs="宋体"/>
                <w:sz w:val="21"/>
                <w:szCs w:val="21"/>
              </w:rPr>
            </w:pPr>
          </w:p>
        </w:tc>
        <w:tc>
          <w:tcPr>
            <w:tcW w:w="1440" w:type="dxa"/>
            <w:noWrap w:val="0"/>
            <w:vAlign w:val="center"/>
          </w:tcPr>
          <w:p w14:paraId="1BA0ED80">
            <w:pPr>
              <w:snapToGrid w:val="0"/>
              <w:spacing w:line="320" w:lineRule="exact"/>
              <w:jc w:val="center"/>
              <w:rPr>
                <w:rFonts w:hint="eastAsia" w:ascii="宋体" w:hAnsi="宋体" w:eastAsia="宋体" w:cs="宋体"/>
                <w:sz w:val="21"/>
                <w:szCs w:val="21"/>
              </w:rPr>
            </w:pPr>
          </w:p>
        </w:tc>
        <w:tc>
          <w:tcPr>
            <w:tcW w:w="1260" w:type="dxa"/>
            <w:noWrap w:val="0"/>
            <w:vAlign w:val="center"/>
          </w:tcPr>
          <w:p w14:paraId="4DC9CE33">
            <w:pPr>
              <w:snapToGrid w:val="0"/>
              <w:spacing w:line="320" w:lineRule="exact"/>
              <w:jc w:val="center"/>
              <w:rPr>
                <w:rFonts w:hint="eastAsia" w:ascii="宋体" w:hAnsi="宋体" w:eastAsia="宋体" w:cs="宋体"/>
                <w:sz w:val="21"/>
                <w:szCs w:val="21"/>
              </w:rPr>
            </w:pPr>
          </w:p>
        </w:tc>
      </w:tr>
      <w:tr w14:paraId="26A6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noWrap w:val="0"/>
            <w:vAlign w:val="center"/>
          </w:tcPr>
          <w:p w14:paraId="3F094D84">
            <w:pPr>
              <w:snapToGrid w:val="0"/>
              <w:spacing w:line="320" w:lineRule="exact"/>
              <w:jc w:val="center"/>
              <w:rPr>
                <w:rFonts w:hint="eastAsia" w:ascii="宋体" w:hAnsi="宋体" w:eastAsia="宋体" w:cs="宋体"/>
                <w:sz w:val="21"/>
                <w:szCs w:val="21"/>
              </w:rPr>
            </w:pPr>
          </w:p>
        </w:tc>
        <w:tc>
          <w:tcPr>
            <w:tcW w:w="1620" w:type="dxa"/>
            <w:noWrap w:val="0"/>
            <w:vAlign w:val="center"/>
          </w:tcPr>
          <w:p w14:paraId="2F51AC49">
            <w:pPr>
              <w:snapToGrid w:val="0"/>
              <w:spacing w:line="320" w:lineRule="exact"/>
              <w:jc w:val="center"/>
              <w:rPr>
                <w:rFonts w:hint="eastAsia" w:ascii="宋体" w:hAnsi="宋体" w:eastAsia="宋体" w:cs="宋体"/>
                <w:sz w:val="21"/>
                <w:szCs w:val="21"/>
              </w:rPr>
            </w:pPr>
          </w:p>
        </w:tc>
        <w:tc>
          <w:tcPr>
            <w:tcW w:w="1800" w:type="dxa"/>
            <w:noWrap w:val="0"/>
            <w:vAlign w:val="center"/>
          </w:tcPr>
          <w:p w14:paraId="34466DFC">
            <w:pPr>
              <w:snapToGrid w:val="0"/>
              <w:spacing w:line="320" w:lineRule="exact"/>
              <w:jc w:val="center"/>
              <w:rPr>
                <w:rFonts w:hint="eastAsia" w:ascii="宋体" w:hAnsi="宋体" w:eastAsia="宋体" w:cs="宋体"/>
                <w:sz w:val="21"/>
                <w:szCs w:val="21"/>
              </w:rPr>
            </w:pPr>
          </w:p>
        </w:tc>
        <w:tc>
          <w:tcPr>
            <w:tcW w:w="1260" w:type="dxa"/>
            <w:noWrap w:val="0"/>
            <w:vAlign w:val="top"/>
          </w:tcPr>
          <w:p w14:paraId="4AA2CE57">
            <w:pPr>
              <w:snapToGrid w:val="0"/>
              <w:spacing w:line="320" w:lineRule="exact"/>
              <w:jc w:val="center"/>
              <w:rPr>
                <w:rFonts w:hint="eastAsia" w:ascii="宋体" w:hAnsi="宋体" w:eastAsia="宋体" w:cs="宋体"/>
                <w:sz w:val="21"/>
                <w:szCs w:val="21"/>
              </w:rPr>
            </w:pPr>
          </w:p>
        </w:tc>
        <w:tc>
          <w:tcPr>
            <w:tcW w:w="1260" w:type="dxa"/>
            <w:noWrap w:val="0"/>
            <w:vAlign w:val="top"/>
          </w:tcPr>
          <w:p w14:paraId="1D83F31A">
            <w:pPr>
              <w:snapToGrid w:val="0"/>
              <w:spacing w:line="320" w:lineRule="exact"/>
              <w:jc w:val="center"/>
              <w:rPr>
                <w:rFonts w:hint="eastAsia" w:ascii="宋体" w:hAnsi="宋体" w:eastAsia="宋体" w:cs="宋体"/>
                <w:sz w:val="21"/>
                <w:szCs w:val="21"/>
              </w:rPr>
            </w:pPr>
          </w:p>
        </w:tc>
        <w:tc>
          <w:tcPr>
            <w:tcW w:w="1440" w:type="dxa"/>
            <w:noWrap w:val="0"/>
            <w:vAlign w:val="center"/>
          </w:tcPr>
          <w:p w14:paraId="1457F0DC">
            <w:pPr>
              <w:snapToGrid w:val="0"/>
              <w:spacing w:line="320" w:lineRule="exact"/>
              <w:jc w:val="center"/>
              <w:rPr>
                <w:rFonts w:hint="eastAsia" w:ascii="宋体" w:hAnsi="宋体" w:eastAsia="宋体" w:cs="宋体"/>
                <w:sz w:val="21"/>
                <w:szCs w:val="21"/>
              </w:rPr>
            </w:pPr>
          </w:p>
        </w:tc>
        <w:tc>
          <w:tcPr>
            <w:tcW w:w="1260" w:type="dxa"/>
            <w:noWrap w:val="0"/>
            <w:vAlign w:val="center"/>
          </w:tcPr>
          <w:p w14:paraId="296FC060">
            <w:pPr>
              <w:snapToGrid w:val="0"/>
              <w:spacing w:line="320" w:lineRule="exact"/>
              <w:jc w:val="center"/>
              <w:rPr>
                <w:rFonts w:hint="eastAsia" w:ascii="宋体" w:hAnsi="宋体" w:eastAsia="宋体" w:cs="宋体"/>
                <w:sz w:val="21"/>
                <w:szCs w:val="21"/>
              </w:rPr>
            </w:pPr>
          </w:p>
        </w:tc>
      </w:tr>
      <w:tr w14:paraId="141A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noWrap w:val="0"/>
            <w:vAlign w:val="center"/>
          </w:tcPr>
          <w:p w14:paraId="043D0A21">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 xml:space="preserve">人民币合计金额（大写）                          （小写）                 </w:t>
            </w:r>
          </w:p>
        </w:tc>
      </w:tr>
    </w:tbl>
    <w:p w14:paraId="2F4D6F02">
      <w:pPr>
        <w:numPr>
          <w:ilvl w:val="0"/>
          <w:numId w:val="4"/>
        </w:numPr>
        <w:shd w:val="clear" w:color="auto" w:fill="auto"/>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合计金额包括为完成本合同所发生的一切费用（含完成合同项目过程中所需的劳务、材料、设备、仪器、运输、检测与试验、安全警戒、评审、咨询、会务、管理、保险、税费、利润等费用，以及合同明示或暗示的所有责任、义务和一般风险等的一切费用等各种费用在内）。</w:t>
      </w:r>
    </w:p>
    <w:p w14:paraId="4DE269C1">
      <w:pPr>
        <w:numPr>
          <w:ilvl w:val="0"/>
          <w:numId w:val="4"/>
        </w:numPr>
        <w:shd w:val="clear" w:color="auto" w:fill="auto"/>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质量保证</w:t>
      </w:r>
    </w:p>
    <w:p w14:paraId="6F648A61">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乙方所提供的服务内容必须与招投标文件和承诺相一致</w:t>
      </w:r>
      <w:r>
        <w:rPr>
          <w:rFonts w:hint="eastAsia" w:ascii="宋体" w:hAnsi="宋体" w:cs="宋体"/>
          <w:color w:val="auto"/>
          <w:sz w:val="21"/>
          <w:szCs w:val="21"/>
          <w:highlight w:val="none"/>
          <w:lang w:eastAsia="zh-CN"/>
        </w:rPr>
        <w:t>，且遵守相关法律法规</w:t>
      </w:r>
      <w:r>
        <w:rPr>
          <w:rFonts w:hint="eastAsia" w:ascii="宋体" w:hAnsi="宋体" w:eastAsia="宋体" w:cs="宋体"/>
          <w:color w:val="auto"/>
          <w:sz w:val="21"/>
          <w:szCs w:val="21"/>
          <w:highlight w:val="none"/>
        </w:rPr>
        <w:t>。</w:t>
      </w:r>
    </w:p>
    <w:p w14:paraId="25891788">
      <w:pPr>
        <w:shd w:val="clear" w:color="auto" w:fill="auto"/>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第三条　 双方权利和义务</w:t>
      </w:r>
    </w:p>
    <w:p w14:paraId="191DB53D">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乙方应保证所提供的最终服务不会侵犯任何第三方的专利权、商标权、工业设计权、著作权或其他权利。</w:t>
      </w:r>
    </w:p>
    <w:p w14:paraId="67A9461A">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乙方应按招标文件规定的时间向甲方提供最终服务成果的有关技术资料。</w:t>
      </w:r>
    </w:p>
    <w:p w14:paraId="3C4D4E64">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A07728E">
      <w:pPr>
        <w:shd w:val="clear" w:color="auto" w:fill="auto"/>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乙方所交付的规划及专项课题研究成果知识产权归甲方所有。</w:t>
      </w:r>
    </w:p>
    <w:p w14:paraId="35D711CB">
      <w:pPr>
        <w:snapToGrid w:val="0"/>
        <w:spacing w:line="32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第四条　交付和验收</w:t>
      </w:r>
    </w:p>
    <w:p w14:paraId="4254FBA1">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1、交付规划成果时间及地点：</w:t>
      </w:r>
      <w:r>
        <w:rPr>
          <w:rFonts w:hint="eastAsia" w:ascii="宋体" w:hAnsi="宋体" w:eastAsia="宋体" w:cs="宋体"/>
          <w:highlight w:val="none"/>
        </w:rPr>
        <w:t>2026年12月31日前</w:t>
      </w:r>
      <w:r>
        <w:rPr>
          <w:rFonts w:hint="eastAsia" w:ascii="宋体" w:hAnsi="宋体" w:cs="宋体"/>
          <w:highlight w:val="none"/>
          <w:lang w:eastAsia="zh-CN"/>
        </w:rPr>
        <w:t>。</w:t>
      </w:r>
      <w:r>
        <w:rPr>
          <w:rFonts w:hint="eastAsia" w:ascii="宋体" w:hAnsi="宋体" w:cs="宋体"/>
          <w:sz w:val="21"/>
          <w:szCs w:val="21"/>
          <w:highlight w:val="none"/>
          <w:lang w:eastAsia="zh-CN"/>
        </w:rPr>
        <w:t>广</w:t>
      </w:r>
      <w:r>
        <w:rPr>
          <w:rFonts w:hint="eastAsia" w:ascii="宋体" w:hAnsi="宋体" w:cs="宋体"/>
          <w:sz w:val="21"/>
          <w:szCs w:val="21"/>
          <w:lang w:eastAsia="zh-CN"/>
        </w:rPr>
        <w:t>西南宁市</w:t>
      </w:r>
      <w:r>
        <w:rPr>
          <w:rFonts w:hint="eastAsia" w:ascii="宋体" w:hAnsi="宋体" w:eastAsia="宋体" w:cs="宋体"/>
          <w:sz w:val="21"/>
          <w:szCs w:val="21"/>
        </w:rPr>
        <w:t>。</w:t>
      </w:r>
    </w:p>
    <w:p w14:paraId="2D2344B6">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2、乙方提供不符合招投标文件和本合同规定的服务成果，甲方有权拒绝接受。</w:t>
      </w:r>
    </w:p>
    <w:p w14:paraId="3D42FC40">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3、乙方应按要求提交服务成果（设计文件）材料，如有缺失应及时补齐，否则视为逾期交付。</w:t>
      </w:r>
    </w:p>
    <w:p w14:paraId="7D99F1A9">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4、甲方对验收有异议的，在验收后五个工作日内以书面形式向乙方提出，乙方应自收到甲方书面异议后</w:t>
      </w:r>
      <w:r>
        <w:rPr>
          <w:rFonts w:hint="eastAsia" w:ascii="宋体" w:hAnsi="宋体" w:eastAsia="宋体" w:cs="宋体"/>
          <w:sz w:val="21"/>
          <w:szCs w:val="21"/>
          <w:u w:val="single"/>
        </w:rPr>
        <w:t xml:space="preserve"> 5个</w:t>
      </w:r>
      <w:r>
        <w:rPr>
          <w:rFonts w:hint="eastAsia" w:ascii="宋体" w:hAnsi="宋体" w:eastAsia="宋体" w:cs="宋体"/>
          <w:sz w:val="21"/>
          <w:szCs w:val="21"/>
          <w:u w:val="single"/>
          <w:lang w:eastAsia="zh-CN"/>
        </w:rPr>
        <w:t>工作日</w:t>
      </w:r>
      <w:r>
        <w:rPr>
          <w:rFonts w:hint="eastAsia" w:ascii="宋体" w:hAnsi="宋体" w:eastAsia="宋体" w:cs="宋体"/>
          <w:sz w:val="21"/>
          <w:szCs w:val="21"/>
        </w:rPr>
        <w:t>内及时予以解决。</w:t>
      </w:r>
    </w:p>
    <w:p w14:paraId="7EEFDA98">
      <w:pPr>
        <w:snapToGrid w:val="0"/>
        <w:spacing w:line="32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第五条  服务、质量保证期</w:t>
      </w:r>
    </w:p>
    <w:p w14:paraId="35E929A5">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1、乙方应按照国家有关法律法规以及招投标文件和本合同所附的《服务承诺》，为甲方提供售后服务。</w:t>
      </w:r>
    </w:p>
    <w:p w14:paraId="089D5315">
      <w:pPr>
        <w:snapToGrid w:val="0"/>
        <w:spacing w:line="32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2、乙方提供的服务承诺和售后服务及质量保证期责任等其它具体约定事项。（见合同附件）</w:t>
      </w:r>
    </w:p>
    <w:p w14:paraId="10DB81AB">
      <w:pPr>
        <w:snapToGrid w:val="0"/>
        <w:spacing w:line="32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第六条　付款方式和保证金</w:t>
      </w:r>
    </w:p>
    <w:p w14:paraId="3FA4F922">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1、资金性质：  </w:t>
      </w:r>
      <w:r>
        <w:rPr>
          <w:rFonts w:hint="eastAsia" w:ascii="宋体" w:hAnsi="宋体" w:eastAsia="宋体" w:cs="宋体"/>
          <w:sz w:val="21"/>
          <w:szCs w:val="21"/>
          <w:u w:val="single"/>
        </w:rPr>
        <w:t>财政性资金。</w:t>
      </w:r>
    </w:p>
    <w:p w14:paraId="50413A42">
      <w:pPr>
        <w:spacing w:line="320" w:lineRule="exact"/>
        <w:ind w:firstLine="420" w:firstLineChars="200"/>
        <w:rPr>
          <w:rFonts w:hint="eastAsia" w:ascii="宋体" w:hAnsi="宋体" w:eastAsia="宋体" w:cs="宋体"/>
          <w:kern w:val="0"/>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、付款方式：</w:t>
      </w:r>
    </w:p>
    <w:p w14:paraId="0FE5550A">
      <w:pPr>
        <w:pStyle w:val="20"/>
        <w:snapToGrid w:val="0"/>
        <w:spacing w:line="360" w:lineRule="auto"/>
        <w:ind w:firstLine="420" w:firstLineChars="200"/>
        <w:outlineLvl w:val="0"/>
        <w:rPr>
          <w:rFonts w:hAnsi="宋体"/>
          <w:kern w:val="2"/>
          <w:sz w:val="21"/>
          <w:szCs w:val="21"/>
        </w:rPr>
      </w:pPr>
      <w:r>
        <w:rPr>
          <w:rFonts w:hint="eastAsia" w:hAnsi="宋体"/>
          <w:kern w:val="2"/>
          <w:sz w:val="21"/>
          <w:szCs w:val="21"/>
          <w:lang w:eastAsia="zh-CN"/>
        </w:rPr>
        <w:t>乙方</w:t>
      </w:r>
      <w:r>
        <w:rPr>
          <w:rFonts w:hint="eastAsia" w:hAnsi="宋体"/>
          <w:kern w:val="2"/>
          <w:sz w:val="21"/>
          <w:szCs w:val="21"/>
        </w:rPr>
        <w:t>提交202</w:t>
      </w:r>
      <w:r>
        <w:rPr>
          <w:rFonts w:hint="eastAsia" w:hAnsi="宋体"/>
          <w:kern w:val="2"/>
          <w:sz w:val="21"/>
          <w:szCs w:val="21"/>
          <w:lang w:val="en-US" w:eastAsia="zh-CN"/>
        </w:rPr>
        <w:t>6</w:t>
      </w:r>
      <w:r>
        <w:rPr>
          <w:rFonts w:hint="eastAsia" w:hAnsi="宋体"/>
          <w:kern w:val="2"/>
          <w:sz w:val="21"/>
          <w:szCs w:val="21"/>
        </w:rPr>
        <w:t>年度检测方案并经</w:t>
      </w:r>
      <w:r>
        <w:rPr>
          <w:rFonts w:hint="eastAsia" w:hAnsi="宋体"/>
          <w:kern w:val="2"/>
          <w:sz w:val="21"/>
          <w:szCs w:val="21"/>
          <w:lang w:eastAsia="zh-CN"/>
        </w:rPr>
        <w:t>甲方</w:t>
      </w:r>
      <w:r>
        <w:rPr>
          <w:rFonts w:hint="eastAsia" w:hAnsi="宋体"/>
          <w:kern w:val="2"/>
          <w:sz w:val="21"/>
          <w:szCs w:val="21"/>
        </w:rPr>
        <w:t>确认后10个工作日内，</w:t>
      </w:r>
      <w:r>
        <w:rPr>
          <w:rFonts w:hint="eastAsia" w:hAnsi="宋体"/>
          <w:kern w:val="2"/>
          <w:sz w:val="21"/>
          <w:szCs w:val="21"/>
          <w:lang w:eastAsia="zh-CN"/>
        </w:rPr>
        <w:t>甲方</w:t>
      </w:r>
      <w:r>
        <w:rPr>
          <w:rFonts w:hint="eastAsia" w:hAnsi="宋体"/>
          <w:kern w:val="2"/>
          <w:sz w:val="21"/>
          <w:szCs w:val="21"/>
        </w:rPr>
        <w:t>支付总中标金额的30%；</w:t>
      </w:r>
      <w:r>
        <w:rPr>
          <w:rFonts w:hint="eastAsia" w:hAnsi="宋体"/>
          <w:kern w:val="2"/>
          <w:sz w:val="21"/>
          <w:szCs w:val="21"/>
          <w:lang w:eastAsia="zh-CN"/>
        </w:rPr>
        <w:t>乙方</w:t>
      </w:r>
      <w:r>
        <w:rPr>
          <w:rFonts w:hint="eastAsia" w:hAnsi="宋体"/>
          <w:kern w:val="2"/>
          <w:sz w:val="21"/>
          <w:szCs w:val="21"/>
        </w:rPr>
        <w:t>开工并经</w:t>
      </w:r>
      <w:r>
        <w:rPr>
          <w:rFonts w:hint="eastAsia" w:hAnsi="宋体"/>
          <w:kern w:val="2"/>
          <w:sz w:val="21"/>
          <w:szCs w:val="21"/>
          <w:lang w:eastAsia="zh-CN"/>
        </w:rPr>
        <w:t>甲方</w:t>
      </w:r>
      <w:r>
        <w:rPr>
          <w:rFonts w:hint="eastAsia" w:hAnsi="宋体"/>
          <w:kern w:val="2"/>
          <w:sz w:val="21"/>
          <w:szCs w:val="21"/>
        </w:rPr>
        <w:t>同意后10个工作日内，</w:t>
      </w:r>
      <w:r>
        <w:rPr>
          <w:rFonts w:hint="eastAsia" w:hAnsi="宋体"/>
          <w:kern w:val="2"/>
          <w:sz w:val="21"/>
          <w:szCs w:val="21"/>
          <w:lang w:eastAsia="zh-CN"/>
        </w:rPr>
        <w:t>甲方</w:t>
      </w:r>
      <w:r>
        <w:rPr>
          <w:rFonts w:hint="eastAsia" w:hAnsi="宋体"/>
          <w:kern w:val="2"/>
          <w:sz w:val="21"/>
          <w:szCs w:val="21"/>
        </w:rPr>
        <w:t>支付总中标金额的20%；</w:t>
      </w:r>
      <w:r>
        <w:rPr>
          <w:rFonts w:hint="eastAsia" w:hAnsi="宋体"/>
          <w:kern w:val="2"/>
          <w:sz w:val="21"/>
          <w:szCs w:val="21"/>
          <w:lang w:eastAsia="zh-CN"/>
        </w:rPr>
        <w:t>乙方</w:t>
      </w:r>
      <w:r>
        <w:rPr>
          <w:rFonts w:hint="eastAsia" w:hAnsi="宋体"/>
          <w:kern w:val="2"/>
          <w:sz w:val="21"/>
          <w:szCs w:val="21"/>
        </w:rPr>
        <w:t>完成年度路面技术状况检测后10个工作日内，</w:t>
      </w:r>
      <w:r>
        <w:rPr>
          <w:rFonts w:hint="eastAsia" w:hAnsi="宋体"/>
          <w:kern w:val="2"/>
          <w:sz w:val="21"/>
          <w:szCs w:val="21"/>
          <w:lang w:eastAsia="zh-CN"/>
        </w:rPr>
        <w:t>甲方</w:t>
      </w:r>
      <w:r>
        <w:rPr>
          <w:rFonts w:hint="eastAsia" w:hAnsi="宋体"/>
          <w:kern w:val="2"/>
          <w:sz w:val="21"/>
          <w:szCs w:val="21"/>
        </w:rPr>
        <w:t>支付总中标金额的</w:t>
      </w:r>
      <w:r>
        <w:rPr>
          <w:rFonts w:hint="eastAsia" w:hAnsi="宋体"/>
          <w:kern w:val="2"/>
          <w:sz w:val="21"/>
          <w:szCs w:val="21"/>
          <w:lang w:val="en-US" w:eastAsia="zh-CN"/>
        </w:rPr>
        <w:t>40</w:t>
      </w:r>
      <w:r>
        <w:rPr>
          <w:rFonts w:hint="eastAsia" w:hAnsi="宋体"/>
          <w:kern w:val="2"/>
          <w:sz w:val="21"/>
          <w:szCs w:val="21"/>
        </w:rPr>
        <w:t>%；</w:t>
      </w:r>
      <w:r>
        <w:rPr>
          <w:rFonts w:hint="eastAsia" w:hAnsi="宋体"/>
          <w:kern w:val="2"/>
          <w:sz w:val="21"/>
          <w:szCs w:val="21"/>
          <w:lang w:eastAsia="zh-CN"/>
        </w:rPr>
        <w:t>乙方</w:t>
      </w:r>
      <w:r>
        <w:rPr>
          <w:rFonts w:hint="eastAsia" w:hAnsi="宋体"/>
          <w:kern w:val="2"/>
          <w:sz w:val="21"/>
          <w:szCs w:val="21"/>
        </w:rPr>
        <w:t>完成年度路面技术状况检测成果并经</w:t>
      </w:r>
      <w:r>
        <w:rPr>
          <w:rFonts w:hint="eastAsia" w:hAnsi="宋体"/>
          <w:kern w:val="2"/>
          <w:sz w:val="21"/>
          <w:szCs w:val="21"/>
          <w:lang w:eastAsia="zh-CN"/>
        </w:rPr>
        <w:t>甲方</w:t>
      </w:r>
      <w:r>
        <w:rPr>
          <w:rFonts w:hint="eastAsia" w:hAnsi="宋体"/>
          <w:kern w:val="2"/>
          <w:sz w:val="21"/>
          <w:szCs w:val="21"/>
        </w:rPr>
        <w:t>书面验收合格后10个工作日内，</w:t>
      </w:r>
      <w:r>
        <w:rPr>
          <w:rFonts w:hint="eastAsia" w:hAnsi="宋体"/>
          <w:kern w:val="2"/>
          <w:sz w:val="21"/>
          <w:szCs w:val="21"/>
          <w:lang w:eastAsia="zh-CN"/>
        </w:rPr>
        <w:t>甲方</w:t>
      </w:r>
      <w:r>
        <w:rPr>
          <w:rFonts w:hint="eastAsia" w:hAnsi="宋体"/>
          <w:kern w:val="2"/>
          <w:sz w:val="21"/>
          <w:szCs w:val="21"/>
        </w:rPr>
        <w:t>支付总中标金额的</w:t>
      </w:r>
      <w:r>
        <w:rPr>
          <w:rFonts w:hint="eastAsia" w:hAnsi="宋体"/>
          <w:kern w:val="2"/>
          <w:sz w:val="21"/>
          <w:szCs w:val="21"/>
          <w:lang w:val="en-US" w:eastAsia="zh-CN"/>
        </w:rPr>
        <w:t>10</w:t>
      </w:r>
      <w:r>
        <w:rPr>
          <w:rFonts w:hint="eastAsia" w:hAnsi="宋体"/>
          <w:kern w:val="2"/>
          <w:sz w:val="21"/>
          <w:szCs w:val="21"/>
        </w:rPr>
        <w:t>%。</w:t>
      </w:r>
    </w:p>
    <w:p w14:paraId="41F9525F">
      <w:pPr>
        <w:snapToGrid w:val="0"/>
        <w:spacing w:line="360" w:lineRule="auto"/>
        <w:ind w:left="-61" w:leftChars="-29" w:firstLine="514" w:firstLineChars="245"/>
      </w:pPr>
      <w:r>
        <w:rPr>
          <w:rFonts w:hint="eastAsia" w:ascii="Times New Roman" w:hAnsi="Times New Roman"/>
          <w:szCs w:val="21"/>
        </w:rPr>
        <w:t>年度支付金额不超过年度采购</w:t>
      </w:r>
      <w:r>
        <w:rPr>
          <w:rFonts w:hint="eastAsia"/>
          <w:szCs w:val="21"/>
        </w:rPr>
        <w:t>预算金额，当年预算金额不足以支付的，在次年预算金额中支付。</w:t>
      </w:r>
    </w:p>
    <w:p w14:paraId="4FF84E21">
      <w:pPr>
        <w:pStyle w:val="10"/>
        <w:rPr>
          <w:rFonts w:hint="eastAsia"/>
        </w:rPr>
      </w:pPr>
      <w:r>
        <w:rPr>
          <w:color w:val="auto"/>
          <w:szCs w:val="21"/>
        </w:rPr>
        <w:t>每次付款前，由</w:t>
      </w:r>
      <w:r>
        <w:rPr>
          <w:rFonts w:hint="eastAsia"/>
          <w:color w:val="auto"/>
          <w:szCs w:val="21"/>
          <w:lang w:eastAsia="zh-CN"/>
        </w:rPr>
        <w:t>中标人</w:t>
      </w:r>
      <w:r>
        <w:rPr>
          <w:color w:val="auto"/>
          <w:szCs w:val="21"/>
        </w:rPr>
        <w:t>向</w:t>
      </w:r>
      <w:r>
        <w:rPr>
          <w:rFonts w:hint="eastAsia"/>
          <w:color w:val="auto"/>
          <w:szCs w:val="21"/>
          <w:lang w:eastAsia="zh-CN"/>
        </w:rPr>
        <w:t>采购人</w:t>
      </w:r>
      <w:r>
        <w:rPr>
          <w:color w:val="auto"/>
          <w:szCs w:val="21"/>
        </w:rPr>
        <w:t>开具等额有效的增值税</w:t>
      </w:r>
      <w:r>
        <w:rPr>
          <w:rFonts w:hint="eastAsia"/>
          <w:color w:val="auto"/>
          <w:szCs w:val="21"/>
        </w:rPr>
        <w:t>普通</w:t>
      </w:r>
      <w:r>
        <w:rPr>
          <w:color w:val="auto"/>
          <w:szCs w:val="21"/>
        </w:rPr>
        <w:t>发票</w:t>
      </w:r>
      <w:r>
        <w:rPr>
          <w:rFonts w:hint="eastAsia"/>
          <w:color w:val="auto"/>
          <w:szCs w:val="21"/>
        </w:rPr>
        <w:t>。</w:t>
      </w:r>
    </w:p>
    <w:p w14:paraId="690C5724">
      <w:pPr>
        <w:snapToGrid w:val="0"/>
        <w:spacing w:line="320" w:lineRule="exact"/>
        <w:ind w:left="-61" w:leftChars="-29" w:firstLine="517" w:firstLineChars="245"/>
        <w:rPr>
          <w:rFonts w:hint="eastAsia" w:ascii="宋体" w:hAnsi="宋体" w:eastAsia="宋体" w:cs="宋体"/>
          <w:b/>
          <w:kern w:val="0"/>
          <w:sz w:val="21"/>
          <w:szCs w:val="21"/>
        </w:rPr>
      </w:pPr>
      <w:r>
        <w:rPr>
          <w:rFonts w:hint="eastAsia" w:ascii="宋体" w:hAnsi="宋体" w:eastAsia="宋体" w:cs="宋体"/>
          <w:b/>
          <w:kern w:val="0"/>
          <w:sz w:val="21"/>
          <w:szCs w:val="21"/>
        </w:rPr>
        <w:t>第七条　履约保证金</w:t>
      </w:r>
    </w:p>
    <w:p w14:paraId="0D2ABD86">
      <w:pPr>
        <w:snapToGrid w:val="0"/>
        <w:spacing w:line="320" w:lineRule="exact"/>
        <w:ind w:left="-61" w:firstLine="514"/>
        <w:rPr>
          <w:rFonts w:hint="eastAsia" w:ascii="宋体" w:hAnsi="宋体" w:cs="宋体"/>
          <w:sz w:val="21"/>
          <w:szCs w:val="21"/>
          <w:lang w:eastAsia="zh-CN"/>
        </w:rPr>
      </w:pPr>
      <w:r>
        <w:rPr>
          <w:rFonts w:hint="eastAsia" w:ascii="宋体" w:hAnsi="宋体" w:cs="宋体"/>
          <w:sz w:val="21"/>
          <w:szCs w:val="21"/>
          <w:lang w:eastAsia="zh-CN"/>
        </w:rPr>
        <w:t>无</w:t>
      </w:r>
    </w:p>
    <w:p w14:paraId="417D2CF1">
      <w:pPr>
        <w:snapToGrid w:val="0"/>
        <w:spacing w:line="320" w:lineRule="exact"/>
        <w:ind w:left="-61" w:firstLine="514"/>
        <w:rPr>
          <w:rFonts w:hint="eastAsia" w:ascii="宋体" w:hAnsi="宋体" w:cs="宋体"/>
          <w:sz w:val="21"/>
          <w:szCs w:val="21"/>
          <w:lang w:eastAsia="zh-CN"/>
        </w:rPr>
      </w:pPr>
    </w:p>
    <w:p w14:paraId="4E4B7E35">
      <w:pPr>
        <w:snapToGrid w:val="0"/>
        <w:spacing w:line="320" w:lineRule="exact"/>
        <w:ind w:left="-61" w:firstLine="514"/>
        <w:rPr>
          <w:rFonts w:hint="eastAsia" w:ascii="宋体" w:hAnsi="宋体" w:eastAsia="宋体" w:cs="宋体"/>
          <w:b/>
          <w:sz w:val="21"/>
          <w:szCs w:val="21"/>
        </w:rPr>
      </w:pPr>
      <w:r>
        <w:rPr>
          <w:rFonts w:hint="eastAsia" w:ascii="宋体" w:hAnsi="宋体" w:eastAsia="宋体" w:cs="宋体"/>
          <w:b/>
          <w:sz w:val="21"/>
          <w:szCs w:val="21"/>
        </w:rPr>
        <w:t>第八条  税费</w:t>
      </w:r>
    </w:p>
    <w:p w14:paraId="1287982B">
      <w:pPr>
        <w:snapToGrid w:val="0"/>
        <w:spacing w:line="320" w:lineRule="exact"/>
        <w:ind w:left="-61" w:firstLine="514"/>
        <w:rPr>
          <w:rFonts w:hint="eastAsia" w:ascii="宋体" w:hAnsi="宋体" w:eastAsia="宋体" w:cs="宋体"/>
          <w:sz w:val="21"/>
          <w:szCs w:val="21"/>
        </w:rPr>
      </w:pPr>
      <w:r>
        <w:rPr>
          <w:rFonts w:hint="eastAsia" w:ascii="宋体" w:hAnsi="宋体" w:eastAsia="宋体" w:cs="宋体"/>
          <w:sz w:val="21"/>
          <w:szCs w:val="21"/>
        </w:rPr>
        <w:t>本合同执行中相关的一切税费均由乙方负担。</w:t>
      </w:r>
    </w:p>
    <w:p w14:paraId="6B647F6A">
      <w:pPr>
        <w:snapToGrid w:val="0"/>
        <w:spacing w:line="320" w:lineRule="exact"/>
        <w:ind w:left="-61" w:firstLine="514"/>
        <w:rPr>
          <w:rFonts w:hint="eastAsia" w:ascii="宋体" w:hAnsi="宋体" w:eastAsia="宋体" w:cs="宋体"/>
          <w:sz w:val="21"/>
          <w:szCs w:val="21"/>
        </w:rPr>
      </w:pPr>
      <w:r>
        <w:rPr>
          <w:rFonts w:hint="eastAsia" w:ascii="宋体" w:hAnsi="宋体" w:eastAsia="宋体" w:cs="宋体"/>
          <w:b/>
          <w:sz w:val="21"/>
          <w:szCs w:val="21"/>
        </w:rPr>
        <w:t>第九条  质量保证及售后服务</w:t>
      </w:r>
    </w:p>
    <w:p w14:paraId="016D809A">
      <w:pPr>
        <w:ind w:left="-61" w:firstLine="514"/>
        <w:rPr>
          <w:rFonts w:hint="eastAsia" w:ascii="宋体" w:hAnsi="宋体" w:eastAsia="宋体" w:cs="宋体"/>
          <w:sz w:val="21"/>
          <w:szCs w:val="21"/>
        </w:rPr>
      </w:pPr>
      <w:r>
        <w:rPr>
          <w:rFonts w:hint="eastAsia" w:ascii="宋体" w:hAnsi="宋体" w:eastAsia="宋体" w:cs="宋体"/>
          <w:sz w:val="21"/>
          <w:szCs w:val="21"/>
        </w:rPr>
        <w:t>乙方应按招标文件规定的服务内容、技术要求、质量标准向甲方提供服务成果。乙方对提交的最终服务成果质量负责。</w:t>
      </w:r>
    </w:p>
    <w:p w14:paraId="6A95CE4C">
      <w:pPr>
        <w:snapToGrid w:val="0"/>
        <w:spacing w:line="32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第十条　违约责任</w:t>
      </w:r>
    </w:p>
    <w:p w14:paraId="02C4EE57">
      <w:pPr>
        <w:adjustRightInd/>
        <w:snapToGrid/>
        <w:spacing w:line="240" w:lineRule="auto"/>
        <w:ind w:left="-61" w:firstLine="514" w:firstLineChars="0"/>
        <w:rPr>
          <w:rFonts w:hint="eastAsia" w:ascii="宋体" w:hAnsi="宋体" w:cs="宋体"/>
          <w:szCs w:val="21"/>
        </w:rPr>
      </w:pPr>
      <w:r>
        <w:rPr>
          <w:rFonts w:hint="eastAsia" w:ascii="宋体" w:hAnsi="宋体" w:cs="宋体"/>
          <w:szCs w:val="21"/>
        </w:rPr>
        <w:t xml:space="preserve">1．乙方未按合同约定时间提供服务的，每逾期一天按合同金额的3‰支付违约金，逾期达 </w:t>
      </w:r>
      <w:r>
        <w:rPr>
          <w:rFonts w:hint="eastAsia" w:ascii="宋体" w:hAnsi="宋体" w:cs="宋体"/>
          <w:szCs w:val="21"/>
          <w:lang w:val="en-US" w:eastAsia="zh-CN"/>
        </w:rPr>
        <w:t xml:space="preserve"> </w:t>
      </w:r>
      <w:r>
        <w:rPr>
          <w:rFonts w:hint="eastAsia" w:ascii="宋体" w:hAnsi="宋体" w:cs="宋体"/>
          <w:szCs w:val="21"/>
        </w:rPr>
        <w:t>日的，甲方有权解除合同。</w:t>
      </w:r>
    </w:p>
    <w:p w14:paraId="1B43A700">
      <w:pPr>
        <w:ind w:left="-61" w:firstLine="514"/>
        <w:rPr>
          <w:rFonts w:hint="eastAsia" w:ascii="宋体" w:hAnsi="宋体" w:cs="宋体"/>
          <w:szCs w:val="21"/>
        </w:rPr>
      </w:pPr>
      <w:r>
        <w:rPr>
          <w:rFonts w:hint="eastAsia" w:ascii="宋体" w:hAnsi="宋体" w:cs="宋体"/>
          <w:szCs w:val="21"/>
        </w:rPr>
        <w:t>2. 乙方提供的服务如侵犯了第三方合法权益而引发的任何纠纷或诉讼，均由乙方负责交涉并承担全部责任，如因此造成甲方对外承担责任的，甲方有权向乙方追偿（包括但不限于诉讼费、律师费、法院判决应由甲方支付或赔偿的费用及甲方向乙方追偿支出的诉讼费、保全费、保全保险费、公告费、律师费等必要合理的支出。</w:t>
      </w:r>
    </w:p>
    <w:p w14:paraId="04758B03">
      <w:pPr>
        <w:spacing w:line="240" w:lineRule="auto"/>
        <w:ind w:left="-61" w:firstLine="514" w:firstLineChars="0"/>
        <w:rPr>
          <w:rFonts w:hint="eastAsia" w:ascii="宋体" w:hAnsi="宋体" w:cs="宋体"/>
          <w:kern w:val="2"/>
          <w:sz w:val="21"/>
          <w:szCs w:val="21"/>
        </w:rPr>
      </w:pPr>
      <w:r>
        <w:rPr>
          <w:rFonts w:hint="eastAsia" w:ascii="宋体" w:hAnsi="宋体" w:cs="宋体"/>
          <w:kern w:val="2"/>
          <w:sz w:val="21"/>
          <w:szCs w:val="21"/>
        </w:rPr>
        <w:t>3.乙方出现以下任一情形的，甲方有权解除合同：</w:t>
      </w:r>
    </w:p>
    <w:p w14:paraId="108CCE68">
      <w:pPr>
        <w:spacing w:line="240" w:lineRule="auto"/>
        <w:ind w:left="-61" w:firstLine="514" w:firstLineChars="0"/>
        <w:rPr>
          <w:rFonts w:hint="eastAsia" w:ascii="宋体" w:hAnsi="宋体" w:cs="宋体"/>
          <w:kern w:val="2"/>
          <w:sz w:val="21"/>
          <w:szCs w:val="21"/>
        </w:rPr>
      </w:pPr>
      <w:r>
        <w:rPr>
          <w:rFonts w:hint="eastAsia" w:ascii="宋体" w:hAnsi="宋体" w:cs="宋体"/>
          <w:kern w:val="2"/>
          <w:sz w:val="21"/>
          <w:szCs w:val="21"/>
        </w:rPr>
        <w:t>（1）乙方提供的服务验收不合格且逾期整改或拒不整改，或经整改后仍不合格的。</w:t>
      </w:r>
    </w:p>
    <w:p w14:paraId="36019AA0">
      <w:pPr>
        <w:spacing w:line="240" w:lineRule="auto"/>
        <w:ind w:left="-61" w:firstLine="514" w:firstLineChars="0"/>
        <w:rPr>
          <w:rFonts w:hint="eastAsia" w:ascii="宋体" w:hAnsi="宋体" w:cs="宋体"/>
          <w:kern w:val="2"/>
          <w:sz w:val="21"/>
          <w:szCs w:val="21"/>
        </w:rPr>
      </w:pPr>
      <w:r>
        <w:rPr>
          <w:rFonts w:hint="eastAsia" w:ascii="宋体" w:hAnsi="宋体" w:cs="宋体"/>
          <w:kern w:val="2"/>
          <w:sz w:val="21"/>
          <w:szCs w:val="21"/>
        </w:rPr>
        <w:t>（2）乙方擅自将合同</w:t>
      </w:r>
      <w:r>
        <w:rPr>
          <w:rFonts w:hint="eastAsia" w:ascii="宋体" w:hAnsi="宋体" w:cs="宋体"/>
          <w:sz w:val="21"/>
          <w:szCs w:val="21"/>
        </w:rPr>
        <w:t xml:space="preserve">义务转让、分包或转包给第三方的。 </w:t>
      </w:r>
    </w:p>
    <w:p w14:paraId="16AE0D1D">
      <w:pPr>
        <w:spacing w:line="240" w:lineRule="auto"/>
        <w:ind w:left="-61" w:firstLine="514" w:firstLineChars="0"/>
        <w:rPr>
          <w:rFonts w:hint="eastAsia" w:ascii="宋体" w:hAnsi="宋体" w:cs="宋体"/>
          <w:sz w:val="21"/>
          <w:szCs w:val="21"/>
        </w:rPr>
      </w:pPr>
      <w:r>
        <w:rPr>
          <w:rFonts w:hint="eastAsia" w:ascii="宋体" w:hAnsi="宋体" w:cs="宋体"/>
          <w:kern w:val="2"/>
          <w:sz w:val="21"/>
          <w:szCs w:val="21"/>
        </w:rPr>
        <w:t>4.乙方无故提前解除合同或</w:t>
      </w:r>
      <w:r>
        <w:rPr>
          <w:rFonts w:hint="eastAsia" w:ascii="宋体" w:hAnsi="宋体" w:cs="宋体"/>
          <w:sz w:val="21"/>
          <w:szCs w:val="21"/>
        </w:rPr>
        <w:t>甲方依约解除合同（合同自解除通知送达乙方之日起即行解除），双方按乙方已按约完成并验收合格服务进行结算，同时甲方有权要求乙方按合同总价款的20%支付违约金，该违约金不足以弥补甲方实际损失的，应继续承担赔偿责任。</w:t>
      </w:r>
      <w:r>
        <w:rPr>
          <w:rFonts w:hint="eastAsia" w:ascii="宋体" w:hAnsi="宋体" w:cs="宋体"/>
          <w:szCs w:val="21"/>
        </w:rPr>
        <w:t>乙方另需承担货物收回所产生的一切费用。</w:t>
      </w:r>
    </w:p>
    <w:p w14:paraId="74AD2214">
      <w:pPr>
        <w:snapToGrid/>
        <w:spacing w:line="240" w:lineRule="auto"/>
        <w:ind w:left="-61" w:firstLine="514"/>
        <w:rPr>
          <w:rFonts w:hint="eastAsia" w:ascii="宋体" w:hAnsi="宋体" w:eastAsia="宋体" w:cs="宋体"/>
          <w:sz w:val="21"/>
          <w:szCs w:val="21"/>
        </w:rPr>
      </w:pPr>
      <w:r>
        <w:rPr>
          <w:rFonts w:hint="eastAsia" w:ascii="宋体" w:hAnsi="宋体" w:cs="宋体"/>
          <w:kern w:val="2"/>
          <w:sz w:val="21"/>
          <w:szCs w:val="21"/>
        </w:rPr>
        <w:t>5.因乙方违约造成的包括但不限于违约金、损失赔偿或其他费用，甲方均有权在待付款项中或履约保证金中直接扣除，</w:t>
      </w:r>
      <w:r>
        <w:rPr>
          <w:rFonts w:hint="eastAsia" w:ascii="宋体" w:hAnsi="宋体" w:cs="宋体"/>
          <w:szCs w:val="21"/>
        </w:rPr>
        <w:t>不足另补。</w:t>
      </w:r>
    </w:p>
    <w:p w14:paraId="09081A81">
      <w:pPr>
        <w:snapToGrid w:val="0"/>
        <w:spacing w:line="320" w:lineRule="exact"/>
        <w:ind w:firstLine="413" w:firstLineChars="196"/>
        <w:rPr>
          <w:rFonts w:hint="eastAsia" w:ascii="宋体" w:hAnsi="宋体" w:eastAsia="宋体" w:cs="宋体"/>
          <w:b/>
          <w:kern w:val="0"/>
          <w:sz w:val="21"/>
          <w:szCs w:val="21"/>
        </w:rPr>
      </w:pPr>
      <w:r>
        <w:rPr>
          <w:rFonts w:hint="eastAsia" w:ascii="宋体" w:hAnsi="宋体" w:eastAsia="宋体" w:cs="宋体"/>
          <w:b/>
          <w:kern w:val="0"/>
          <w:sz w:val="21"/>
          <w:szCs w:val="21"/>
        </w:rPr>
        <w:t>第十一条  不可抗力事件处理</w:t>
      </w:r>
    </w:p>
    <w:p w14:paraId="334CB498">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 在合同有效期内，任何一方因不可抗力事件导致不能履行合同，则合同履行期可延长，其延长期与不可抗力影响期相同。</w:t>
      </w:r>
    </w:p>
    <w:p w14:paraId="3A557165">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 不可抗力事件发生后，应立即通知对方，并寄送有关权威机构出具的证明。</w:t>
      </w:r>
    </w:p>
    <w:p w14:paraId="2265436B">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 不可抗力事件延续一百二十天以上，双方应通过友好协商，确定是否继续履行合同。</w:t>
      </w:r>
    </w:p>
    <w:p w14:paraId="03A847C2">
      <w:pPr>
        <w:snapToGrid w:val="0"/>
        <w:spacing w:line="32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第十二条  合同争议解决</w:t>
      </w:r>
    </w:p>
    <w:p w14:paraId="3AF60FEB">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rPr>
        <w:t>因争议产生的诉讼费、保全费、保全保险费、律师费、交通差旅费、公证费、鉴定费等均由违约方承担。</w:t>
      </w:r>
      <w:r>
        <w:rPr>
          <w:szCs w:val="21"/>
        </w:rPr>
        <w:t>因履行本合同引起的或与本合同有关的争议，甲乙双方应首先通过友好协商解决，如果协商不能解决，可向</w:t>
      </w:r>
      <w:r>
        <w:rPr>
          <w:rFonts w:hint="eastAsia"/>
          <w:szCs w:val="21"/>
        </w:rPr>
        <w:t>甲方住所地有管辖权的</w:t>
      </w:r>
      <w:r>
        <w:rPr>
          <w:szCs w:val="21"/>
        </w:rPr>
        <w:t>人民法院提起诉讼</w:t>
      </w:r>
      <w:r>
        <w:rPr>
          <w:rFonts w:hint="eastAsia" w:ascii="宋体" w:hAnsi="宋体" w:eastAsia="宋体" w:cs="宋体"/>
          <w:sz w:val="21"/>
          <w:szCs w:val="21"/>
        </w:rPr>
        <w:t>。</w:t>
      </w:r>
    </w:p>
    <w:p w14:paraId="43AC20C8">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2、诉讼期间，本合同继续履行。</w:t>
      </w:r>
    </w:p>
    <w:p w14:paraId="72D279F1">
      <w:pPr>
        <w:snapToGrid w:val="0"/>
        <w:spacing w:line="320" w:lineRule="exact"/>
        <w:ind w:firstLine="413" w:firstLineChars="196"/>
        <w:rPr>
          <w:rFonts w:hint="eastAsia" w:ascii="宋体" w:hAnsi="宋体" w:eastAsia="宋体" w:cs="宋体"/>
          <w:b/>
          <w:kern w:val="0"/>
          <w:sz w:val="21"/>
          <w:szCs w:val="21"/>
        </w:rPr>
      </w:pPr>
      <w:r>
        <w:rPr>
          <w:rFonts w:hint="eastAsia" w:ascii="宋体" w:hAnsi="宋体" w:eastAsia="宋体" w:cs="宋体"/>
          <w:b/>
          <w:kern w:val="0"/>
          <w:sz w:val="21"/>
          <w:szCs w:val="21"/>
        </w:rPr>
        <w:t>第十三条  合同生效及其它</w:t>
      </w:r>
    </w:p>
    <w:p w14:paraId="03D0EAA1">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 合同经双方法定代表人或被授权代表签字并加盖单位公章后生效。</w:t>
      </w:r>
    </w:p>
    <w:p w14:paraId="31D3C4A6">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2.合同执行中涉及采购资金和采购内容修改或补充的，须经财政部门审批，并</w:t>
      </w:r>
      <w:r>
        <w:rPr>
          <w:rFonts w:hint="eastAsia" w:ascii="宋体" w:hAnsi="宋体" w:eastAsia="宋体" w:cs="宋体"/>
          <w:sz w:val="21"/>
          <w:szCs w:val="21"/>
          <w:lang w:eastAsia="zh-CN"/>
        </w:rPr>
        <w:t>签订</w:t>
      </w:r>
      <w:r>
        <w:rPr>
          <w:rFonts w:hint="eastAsia" w:ascii="宋体" w:hAnsi="宋体" w:eastAsia="宋体" w:cs="宋体"/>
          <w:sz w:val="21"/>
          <w:szCs w:val="21"/>
        </w:rPr>
        <w:t>书面补充协议报财政部门备案，方可作为主合同不可分割的一部分。</w:t>
      </w:r>
    </w:p>
    <w:p w14:paraId="426AEB14">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3.本合同未尽事宜，遵照</w:t>
      </w:r>
      <w:r>
        <w:rPr>
          <w:rFonts w:hint="eastAsia" w:ascii="宋体" w:hAnsi="宋体" w:eastAsia="宋体" w:cs="宋体"/>
          <w:sz w:val="21"/>
          <w:szCs w:val="21"/>
          <w:lang w:eastAsia="zh-CN"/>
        </w:rPr>
        <w:t>《中华人民共和国民法典》</w:t>
      </w:r>
      <w:r>
        <w:rPr>
          <w:rFonts w:hint="eastAsia" w:ascii="宋体" w:hAnsi="宋体" w:eastAsia="宋体" w:cs="宋体"/>
          <w:sz w:val="21"/>
          <w:szCs w:val="21"/>
        </w:rPr>
        <w:t>有关条文执行。</w:t>
      </w:r>
    </w:p>
    <w:p w14:paraId="1B7D61A3">
      <w:pPr>
        <w:snapToGrid w:val="0"/>
        <w:spacing w:line="32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第十四条　合同的变更、终止与转让</w:t>
      </w:r>
    </w:p>
    <w:p w14:paraId="45724F52">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1、除《中华人民共和国政府采购法》第五十条规定的情形外，本合同一经签订，甲乙双方不得擅自变更、中止或终止。</w:t>
      </w:r>
    </w:p>
    <w:p w14:paraId="76C55DB1">
      <w:pPr>
        <w:snapToGrid w:val="0"/>
        <w:spacing w:line="320" w:lineRule="exact"/>
        <w:ind w:left="-61" w:firstLine="514"/>
        <w:rPr>
          <w:rFonts w:hint="eastAsia" w:ascii="宋体" w:hAnsi="宋体" w:eastAsia="宋体" w:cs="宋体"/>
          <w:sz w:val="21"/>
          <w:szCs w:val="21"/>
        </w:rPr>
      </w:pPr>
      <w:r>
        <w:rPr>
          <w:rFonts w:hint="eastAsia" w:ascii="宋体" w:hAnsi="宋体" w:eastAsia="宋体" w:cs="宋体"/>
          <w:sz w:val="21"/>
          <w:szCs w:val="21"/>
        </w:rPr>
        <w:t>2、乙方不得擅自转让其应履行的合同义务。</w:t>
      </w:r>
    </w:p>
    <w:p w14:paraId="7AEF313C">
      <w:pPr>
        <w:snapToGrid w:val="0"/>
        <w:spacing w:line="32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第十五条　签订本合同依据</w:t>
      </w:r>
    </w:p>
    <w:p w14:paraId="174A9DF9">
      <w:pPr>
        <w:ind w:firstLine="420" w:firstLineChars="200"/>
        <w:rPr>
          <w:rFonts w:hint="eastAsia" w:ascii="宋体" w:hAnsi="宋体" w:eastAsia="宋体" w:cs="宋体"/>
          <w:sz w:val="21"/>
          <w:szCs w:val="21"/>
        </w:rPr>
      </w:pPr>
      <w:r>
        <w:rPr>
          <w:rFonts w:hint="eastAsia" w:ascii="宋体" w:hAnsi="宋体" w:eastAsia="宋体" w:cs="宋体"/>
          <w:sz w:val="21"/>
          <w:szCs w:val="21"/>
        </w:rPr>
        <w:t>1、政府采购招标文件；</w:t>
      </w:r>
    </w:p>
    <w:p w14:paraId="7F907C01">
      <w:pPr>
        <w:ind w:firstLine="420" w:firstLineChars="200"/>
        <w:rPr>
          <w:rFonts w:hint="eastAsia" w:ascii="宋体" w:hAnsi="宋体" w:eastAsia="宋体" w:cs="宋体"/>
          <w:sz w:val="21"/>
          <w:szCs w:val="21"/>
        </w:rPr>
      </w:pPr>
      <w:r>
        <w:rPr>
          <w:rFonts w:hint="eastAsia" w:ascii="宋体" w:hAnsi="宋体" w:eastAsia="宋体" w:cs="宋体"/>
          <w:sz w:val="21"/>
          <w:szCs w:val="21"/>
        </w:rPr>
        <w:t>2、乙方提供的投标文件；</w:t>
      </w:r>
    </w:p>
    <w:p w14:paraId="15B9A22E">
      <w:pPr>
        <w:ind w:firstLine="420" w:firstLineChars="200"/>
        <w:rPr>
          <w:rFonts w:hint="eastAsia" w:ascii="宋体" w:hAnsi="宋体" w:eastAsia="宋体" w:cs="宋体"/>
          <w:sz w:val="21"/>
          <w:szCs w:val="21"/>
        </w:rPr>
      </w:pPr>
      <w:r>
        <w:rPr>
          <w:rFonts w:hint="eastAsia" w:ascii="宋体" w:hAnsi="宋体" w:eastAsia="宋体" w:cs="宋体"/>
          <w:sz w:val="21"/>
          <w:szCs w:val="21"/>
        </w:rPr>
        <w:t>3、投标承诺书；</w:t>
      </w:r>
    </w:p>
    <w:p w14:paraId="3A86D673">
      <w:pPr>
        <w:ind w:firstLine="420" w:firstLineChars="200"/>
        <w:rPr>
          <w:rFonts w:hint="eastAsia" w:ascii="宋体" w:hAnsi="宋体" w:eastAsia="宋体" w:cs="宋体"/>
          <w:sz w:val="21"/>
          <w:szCs w:val="21"/>
        </w:rPr>
      </w:pPr>
      <w:r>
        <w:rPr>
          <w:rFonts w:hint="eastAsia" w:ascii="宋体" w:hAnsi="宋体" w:eastAsia="宋体" w:cs="宋体"/>
          <w:sz w:val="21"/>
          <w:szCs w:val="21"/>
        </w:rPr>
        <w:t>4、中标通知书。</w:t>
      </w:r>
    </w:p>
    <w:p w14:paraId="10D07AAA">
      <w:pPr>
        <w:snapToGrid w:val="0"/>
        <w:spacing w:line="320" w:lineRule="exact"/>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rPr>
        <w:t>第十六条　</w:t>
      </w:r>
      <w:r>
        <w:rPr>
          <w:rFonts w:hint="eastAsia" w:ascii="宋体" w:hAnsi="宋体" w:eastAsia="宋体" w:cs="宋体"/>
          <w:sz w:val="21"/>
          <w:szCs w:val="21"/>
          <w:highlight w:val="none"/>
        </w:rPr>
        <w:t>本合同一式十份，具有同等法律效力，财政部门（政府采购监管部门）、采购代理机构各一份，甲乙双方各四份。</w:t>
      </w:r>
    </w:p>
    <w:p w14:paraId="2A89F217">
      <w:pPr>
        <w:ind w:firstLine="420"/>
        <w:rPr>
          <w:rFonts w:hint="eastAsia" w:ascii="宋体" w:hAnsi="宋体" w:eastAsia="宋体" w:cs="宋体"/>
          <w:sz w:val="21"/>
          <w:szCs w:val="21"/>
        </w:rPr>
      </w:pPr>
      <w:r>
        <w:rPr>
          <w:rFonts w:hint="eastAsia" w:ascii="宋体" w:hAnsi="宋体" w:eastAsia="宋体" w:cs="宋体"/>
          <w:b/>
          <w:sz w:val="21"/>
          <w:szCs w:val="21"/>
        </w:rPr>
        <w:t>第十七条　</w:t>
      </w:r>
      <w:r>
        <w:rPr>
          <w:rFonts w:hint="eastAsia" w:ascii="宋体" w:hAnsi="宋体" w:eastAsia="宋体" w:cs="宋体"/>
          <w:b/>
          <w:bCs/>
          <w:sz w:val="21"/>
          <w:szCs w:val="21"/>
        </w:rPr>
        <w:t>合同附件：</w:t>
      </w:r>
    </w:p>
    <w:p w14:paraId="0C8A651B">
      <w:pPr>
        <w:ind w:firstLine="420"/>
        <w:rPr>
          <w:rFonts w:hint="eastAsia" w:ascii="宋体" w:hAnsi="宋体" w:eastAsia="宋体" w:cs="宋体"/>
          <w:sz w:val="21"/>
          <w:szCs w:val="21"/>
        </w:rPr>
      </w:pPr>
      <w:r>
        <w:rPr>
          <w:rFonts w:hint="eastAsia" w:ascii="宋体" w:hAnsi="宋体" w:eastAsia="宋体" w:cs="宋体"/>
          <w:sz w:val="21"/>
          <w:szCs w:val="21"/>
        </w:rPr>
        <w:t>1、报价明细表</w:t>
      </w:r>
    </w:p>
    <w:p w14:paraId="0F7827D4">
      <w:pPr>
        <w:ind w:firstLine="420"/>
        <w:rPr>
          <w:rFonts w:hint="eastAsia" w:ascii="宋体" w:hAnsi="宋体" w:eastAsia="宋体" w:cs="宋体"/>
          <w:sz w:val="21"/>
          <w:szCs w:val="21"/>
        </w:rPr>
      </w:pPr>
      <w:r>
        <w:rPr>
          <w:rFonts w:hint="eastAsia" w:ascii="宋体" w:hAnsi="宋体" w:eastAsia="宋体" w:cs="宋体"/>
          <w:sz w:val="21"/>
          <w:szCs w:val="21"/>
        </w:rPr>
        <w:t>2、主要工作内容及要求</w:t>
      </w:r>
    </w:p>
    <w:p w14:paraId="09E7B84E">
      <w:pPr>
        <w:ind w:firstLine="420"/>
        <w:rPr>
          <w:rFonts w:hint="eastAsia" w:ascii="宋体" w:hAnsi="宋体" w:eastAsia="宋体" w:cs="宋体"/>
          <w:sz w:val="21"/>
          <w:szCs w:val="21"/>
        </w:rPr>
      </w:pPr>
      <w:r>
        <w:rPr>
          <w:rFonts w:hint="eastAsia" w:ascii="宋体" w:hAnsi="宋体" w:eastAsia="宋体" w:cs="宋体"/>
          <w:sz w:val="21"/>
          <w:szCs w:val="21"/>
        </w:rPr>
        <w:t>3、技术服务响应表</w:t>
      </w:r>
    </w:p>
    <w:p w14:paraId="6F0C885C">
      <w:pPr>
        <w:ind w:firstLine="420"/>
        <w:rPr>
          <w:rFonts w:hint="eastAsia" w:ascii="宋体" w:hAnsi="宋体" w:eastAsia="宋体" w:cs="宋体"/>
          <w:sz w:val="21"/>
          <w:szCs w:val="21"/>
        </w:rPr>
      </w:pPr>
      <w:r>
        <w:rPr>
          <w:rFonts w:hint="eastAsia" w:ascii="宋体" w:hAnsi="宋体" w:eastAsia="宋体" w:cs="宋体"/>
          <w:sz w:val="21"/>
          <w:szCs w:val="21"/>
        </w:rPr>
        <w:t>4、商务要求偏离表</w:t>
      </w:r>
    </w:p>
    <w:p w14:paraId="0625D30B">
      <w:pPr>
        <w:ind w:firstLine="420"/>
        <w:rPr>
          <w:rFonts w:hint="eastAsia" w:ascii="宋体" w:hAnsi="宋体" w:eastAsia="宋体" w:cs="宋体"/>
          <w:sz w:val="21"/>
          <w:szCs w:val="21"/>
        </w:rPr>
      </w:pPr>
      <w:r>
        <w:rPr>
          <w:rFonts w:hint="eastAsia" w:ascii="宋体" w:hAnsi="宋体" w:eastAsia="宋体" w:cs="宋体"/>
          <w:sz w:val="21"/>
          <w:szCs w:val="21"/>
        </w:rPr>
        <w:t>5、拟投入主要人员</w:t>
      </w:r>
    </w:p>
    <w:p w14:paraId="63863FC0">
      <w:pPr>
        <w:ind w:firstLine="420"/>
        <w:rPr>
          <w:rFonts w:hint="eastAsia" w:ascii="宋体" w:hAnsi="宋体" w:eastAsia="宋体" w:cs="宋体"/>
          <w:sz w:val="21"/>
          <w:szCs w:val="21"/>
        </w:rPr>
      </w:pPr>
      <w:r>
        <w:rPr>
          <w:rFonts w:hint="eastAsia" w:ascii="宋体" w:hAnsi="宋体" w:eastAsia="宋体" w:cs="宋体"/>
          <w:sz w:val="21"/>
          <w:szCs w:val="21"/>
        </w:rPr>
        <w:t>6、中小企业证明（如有）</w:t>
      </w:r>
    </w:p>
    <w:p w14:paraId="5461CFC7">
      <w:pPr>
        <w:ind w:firstLine="420"/>
        <w:rPr>
          <w:rFonts w:hint="eastAsia" w:ascii="宋体" w:hAnsi="宋体" w:eastAsia="宋体" w:cs="宋体"/>
          <w:sz w:val="21"/>
          <w:szCs w:val="21"/>
        </w:rPr>
      </w:pPr>
      <w:r>
        <w:rPr>
          <w:rFonts w:hint="eastAsia" w:ascii="宋体" w:hAnsi="宋体" w:eastAsia="宋体" w:cs="宋体"/>
          <w:sz w:val="21"/>
          <w:szCs w:val="21"/>
        </w:rPr>
        <w:t>7、中标通知书</w:t>
      </w:r>
    </w:p>
    <w:p w14:paraId="7ACB720A">
      <w:pPr>
        <w:ind w:firstLine="420"/>
        <w:rPr>
          <w:rFonts w:hint="eastAsia" w:ascii="宋体" w:hAnsi="宋体" w:eastAsia="宋体" w:cs="宋体"/>
          <w:sz w:val="21"/>
          <w:szCs w:val="21"/>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B01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4EBAC044">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 xml:space="preserve">甲方（章）           </w:t>
            </w:r>
          </w:p>
          <w:p w14:paraId="209B5BAD">
            <w:pPr>
              <w:snapToGrid w:val="0"/>
              <w:spacing w:line="320" w:lineRule="exact"/>
              <w:rPr>
                <w:rFonts w:hint="eastAsia" w:ascii="宋体" w:hAnsi="宋体" w:eastAsia="宋体" w:cs="宋体"/>
                <w:sz w:val="21"/>
                <w:szCs w:val="21"/>
              </w:rPr>
            </w:pPr>
          </w:p>
          <w:p w14:paraId="33C18585">
            <w:pPr>
              <w:snapToGrid w:val="0"/>
              <w:spacing w:line="320" w:lineRule="exact"/>
              <w:ind w:firstLine="945" w:firstLineChars="450"/>
              <w:jc w:val="right"/>
              <w:rPr>
                <w:rFonts w:hint="eastAsia" w:ascii="宋体" w:hAnsi="宋体" w:eastAsia="宋体" w:cs="宋体"/>
                <w:sz w:val="21"/>
                <w:szCs w:val="21"/>
              </w:rPr>
            </w:pPr>
            <w:r>
              <w:rPr>
                <w:rFonts w:hint="eastAsia" w:ascii="宋体" w:hAnsi="宋体" w:eastAsia="宋体" w:cs="宋体"/>
                <w:sz w:val="21"/>
                <w:szCs w:val="21"/>
              </w:rPr>
              <w:t>年   月   日</w:t>
            </w:r>
          </w:p>
        </w:tc>
        <w:tc>
          <w:tcPr>
            <w:tcW w:w="4517" w:type="dxa"/>
            <w:noWrap w:val="0"/>
            <w:vAlign w:val="center"/>
          </w:tcPr>
          <w:p w14:paraId="7FB38472">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 xml:space="preserve">乙方（章）              </w:t>
            </w:r>
          </w:p>
          <w:p w14:paraId="2B68C02A">
            <w:pPr>
              <w:snapToGrid w:val="0"/>
              <w:spacing w:line="320" w:lineRule="exact"/>
              <w:rPr>
                <w:rFonts w:hint="eastAsia" w:ascii="宋体" w:hAnsi="宋体" w:eastAsia="宋体" w:cs="宋体"/>
                <w:sz w:val="21"/>
                <w:szCs w:val="21"/>
              </w:rPr>
            </w:pPr>
          </w:p>
          <w:p w14:paraId="19764516">
            <w:pPr>
              <w:snapToGrid w:val="0"/>
              <w:spacing w:line="320" w:lineRule="exact"/>
              <w:jc w:val="right"/>
              <w:rPr>
                <w:rFonts w:hint="eastAsia" w:ascii="宋体" w:hAnsi="宋体" w:eastAsia="宋体" w:cs="宋体"/>
                <w:sz w:val="21"/>
                <w:szCs w:val="21"/>
              </w:rPr>
            </w:pPr>
            <w:r>
              <w:rPr>
                <w:rFonts w:hint="eastAsia" w:ascii="宋体" w:hAnsi="宋体" w:eastAsia="宋体" w:cs="宋体"/>
                <w:sz w:val="21"/>
                <w:szCs w:val="21"/>
              </w:rPr>
              <w:t xml:space="preserve"> 年   月   日</w:t>
            </w:r>
          </w:p>
        </w:tc>
      </w:tr>
      <w:tr w14:paraId="280B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394BC335">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单位地址：</w:t>
            </w:r>
          </w:p>
        </w:tc>
        <w:tc>
          <w:tcPr>
            <w:tcW w:w="4517" w:type="dxa"/>
            <w:noWrap w:val="0"/>
            <w:vAlign w:val="center"/>
          </w:tcPr>
          <w:p w14:paraId="26780728">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单位地址：</w:t>
            </w:r>
          </w:p>
        </w:tc>
      </w:tr>
      <w:tr w14:paraId="21E6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79B14672">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法定代表人：</w:t>
            </w:r>
          </w:p>
        </w:tc>
        <w:tc>
          <w:tcPr>
            <w:tcW w:w="4517" w:type="dxa"/>
            <w:noWrap w:val="0"/>
            <w:vAlign w:val="center"/>
          </w:tcPr>
          <w:p w14:paraId="422FEFE8">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法定代表人：</w:t>
            </w:r>
          </w:p>
        </w:tc>
      </w:tr>
      <w:tr w14:paraId="4470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7064CC6C">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委托代理人：</w:t>
            </w:r>
          </w:p>
        </w:tc>
        <w:tc>
          <w:tcPr>
            <w:tcW w:w="4517" w:type="dxa"/>
            <w:noWrap w:val="0"/>
            <w:vAlign w:val="center"/>
          </w:tcPr>
          <w:p w14:paraId="687AE79E">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委托代理人</w:t>
            </w:r>
          </w:p>
        </w:tc>
      </w:tr>
      <w:tr w14:paraId="45A3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335BA8FF">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电话：</w:t>
            </w:r>
          </w:p>
        </w:tc>
        <w:tc>
          <w:tcPr>
            <w:tcW w:w="4517" w:type="dxa"/>
            <w:noWrap w:val="0"/>
            <w:vAlign w:val="center"/>
          </w:tcPr>
          <w:p w14:paraId="4BEC8161">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电话：</w:t>
            </w:r>
          </w:p>
        </w:tc>
      </w:tr>
      <w:tr w14:paraId="6FEF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41622E2C">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电子邮箱：</w:t>
            </w:r>
          </w:p>
        </w:tc>
        <w:tc>
          <w:tcPr>
            <w:tcW w:w="4517" w:type="dxa"/>
            <w:noWrap w:val="0"/>
            <w:vAlign w:val="center"/>
          </w:tcPr>
          <w:p w14:paraId="02DF4080">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电子邮箱：</w:t>
            </w:r>
          </w:p>
        </w:tc>
      </w:tr>
      <w:tr w14:paraId="4DE8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7518AAC2">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开户银行：</w:t>
            </w:r>
          </w:p>
        </w:tc>
        <w:tc>
          <w:tcPr>
            <w:tcW w:w="4517" w:type="dxa"/>
            <w:noWrap w:val="0"/>
            <w:vAlign w:val="center"/>
          </w:tcPr>
          <w:p w14:paraId="6B8AE07A">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开户银行：</w:t>
            </w:r>
          </w:p>
        </w:tc>
      </w:tr>
      <w:tr w14:paraId="65CB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3BF15991">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账号：</w:t>
            </w:r>
          </w:p>
        </w:tc>
        <w:tc>
          <w:tcPr>
            <w:tcW w:w="4517" w:type="dxa"/>
            <w:noWrap w:val="0"/>
            <w:vAlign w:val="center"/>
          </w:tcPr>
          <w:p w14:paraId="611B6AF0">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账号：</w:t>
            </w:r>
          </w:p>
        </w:tc>
      </w:tr>
      <w:tr w14:paraId="31EA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53FE9EB3">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邮政编码：</w:t>
            </w:r>
          </w:p>
        </w:tc>
        <w:tc>
          <w:tcPr>
            <w:tcW w:w="4517" w:type="dxa"/>
            <w:noWrap w:val="0"/>
            <w:vAlign w:val="center"/>
          </w:tcPr>
          <w:p w14:paraId="4CC53D2B">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邮政编码：</w:t>
            </w:r>
          </w:p>
        </w:tc>
      </w:tr>
    </w:tbl>
    <w:p w14:paraId="4721DBA5">
      <w:pPr>
        <w:snapToGrid w:val="0"/>
        <w:spacing w:line="360" w:lineRule="auto"/>
        <w:jc w:val="both"/>
        <w:rPr>
          <w:rFonts w:hint="eastAsia" w:ascii="宋体" w:hAnsi="宋体" w:eastAsia="宋体" w:cs="宋体"/>
          <w:bCs/>
          <w:color w:val="auto"/>
          <w:sz w:val="32"/>
          <w:szCs w:val="32"/>
          <w:highlight w:val="none"/>
        </w:rPr>
      </w:pPr>
      <w:r>
        <w:rPr>
          <w:rFonts w:hint="eastAsia" w:ascii="宋体" w:hAnsi="宋体" w:eastAsia="宋体" w:cs="宋体"/>
          <w:b/>
          <w:bCs/>
          <w:color w:val="auto"/>
          <w:sz w:val="21"/>
          <w:szCs w:val="21"/>
          <w:highlight w:val="none"/>
        </w:rPr>
        <w:br w:type="page"/>
      </w:r>
      <w:bookmarkEnd w:id="213"/>
      <w:bookmarkEnd w:id="214"/>
    </w:p>
    <w:p w14:paraId="700EF56E">
      <w:pPr>
        <w:pStyle w:val="3"/>
        <w:jc w:val="center"/>
        <w:rPr>
          <w:rFonts w:hint="eastAsia" w:ascii="宋体" w:hAnsi="宋体" w:eastAsia="宋体" w:cs="宋体"/>
          <w:color w:val="auto"/>
          <w:highlight w:val="none"/>
        </w:rPr>
      </w:pPr>
      <w:bookmarkStart w:id="215" w:name="_Toc25427"/>
      <w:bookmarkStart w:id="216" w:name="_Toc30294"/>
      <w:bookmarkStart w:id="217" w:name="_Toc20718"/>
    </w:p>
    <w:p w14:paraId="2E6E936C">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第六章　投标文件格式</w:t>
      </w:r>
      <w:bookmarkEnd w:id="215"/>
      <w:bookmarkEnd w:id="216"/>
      <w:bookmarkEnd w:id="217"/>
    </w:p>
    <w:p w14:paraId="0EDB852B">
      <w:pPr>
        <w:snapToGrid w:val="0"/>
        <w:spacing w:before="50" w:after="50"/>
        <w:rPr>
          <w:rFonts w:hint="eastAsia" w:ascii="宋体" w:hAnsi="宋体" w:eastAsia="宋体" w:cs="宋体"/>
          <w:color w:val="auto"/>
          <w:sz w:val="32"/>
          <w:szCs w:val="20"/>
          <w:highlight w:val="none"/>
        </w:rPr>
      </w:pPr>
    </w:p>
    <w:p w14:paraId="409CB022">
      <w:pPr>
        <w:snapToGrid w:val="0"/>
        <w:spacing w:before="50" w:after="50"/>
        <w:rPr>
          <w:rFonts w:hint="eastAsia" w:ascii="宋体" w:hAnsi="宋体" w:eastAsia="宋体" w:cs="宋体"/>
          <w:color w:val="auto"/>
          <w:sz w:val="32"/>
          <w:szCs w:val="20"/>
          <w:highlight w:val="none"/>
        </w:rPr>
      </w:pPr>
    </w:p>
    <w:p w14:paraId="7FC16F83">
      <w:pPr>
        <w:snapToGrid w:val="0"/>
        <w:spacing w:before="50" w:after="50"/>
        <w:rPr>
          <w:rFonts w:hint="eastAsia" w:ascii="宋体" w:hAnsi="宋体" w:eastAsia="宋体" w:cs="宋体"/>
          <w:color w:val="auto"/>
          <w:sz w:val="32"/>
          <w:szCs w:val="20"/>
          <w:highlight w:val="none"/>
        </w:rPr>
      </w:pPr>
    </w:p>
    <w:p w14:paraId="75A9432E">
      <w:pPr>
        <w:snapToGrid w:val="0"/>
        <w:spacing w:before="50" w:after="50"/>
        <w:rPr>
          <w:rFonts w:hint="eastAsia" w:ascii="宋体" w:hAnsi="宋体" w:eastAsia="宋体" w:cs="宋体"/>
          <w:color w:val="auto"/>
          <w:sz w:val="32"/>
          <w:szCs w:val="20"/>
          <w:highlight w:val="none"/>
        </w:rPr>
      </w:pPr>
    </w:p>
    <w:p w14:paraId="4A6EB19A">
      <w:pPr>
        <w:snapToGrid w:val="0"/>
        <w:spacing w:before="50" w:after="50"/>
        <w:rPr>
          <w:rFonts w:hint="eastAsia" w:ascii="宋体" w:hAnsi="宋体" w:eastAsia="宋体" w:cs="宋体"/>
          <w:color w:val="auto"/>
          <w:sz w:val="32"/>
          <w:szCs w:val="20"/>
          <w:highlight w:val="none"/>
        </w:rPr>
      </w:pPr>
    </w:p>
    <w:p w14:paraId="14B7FC7F">
      <w:pPr>
        <w:snapToGrid w:val="0"/>
        <w:spacing w:before="50" w:after="50"/>
        <w:rPr>
          <w:rFonts w:hint="eastAsia" w:ascii="宋体" w:hAnsi="宋体" w:eastAsia="宋体" w:cs="宋体"/>
          <w:color w:val="auto"/>
          <w:sz w:val="32"/>
          <w:szCs w:val="20"/>
          <w:highlight w:val="none"/>
        </w:rPr>
      </w:pPr>
    </w:p>
    <w:p w14:paraId="7478C1A7">
      <w:pPr>
        <w:snapToGrid w:val="0"/>
        <w:spacing w:before="50" w:after="50"/>
        <w:rPr>
          <w:rFonts w:hint="eastAsia" w:ascii="宋体" w:hAnsi="宋体" w:eastAsia="宋体" w:cs="宋体"/>
          <w:color w:val="auto"/>
          <w:sz w:val="32"/>
          <w:szCs w:val="20"/>
          <w:highlight w:val="none"/>
        </w:rPr>
      </w:pPr>
    </w:p>
    <w:p w14:paraId="057EAE2A">
      <w:pPr>
        <w:snapToGrid w:val="0"/>
        <w:spacing w:before="50" w:after="50"/>
        <w:rPr>
          <w:rFonts w:hint="eastAsia" w:ascii="宋体" w:hAnsi="宋体" w:eastAsia="宋体" w:cs="宋体"/>
          <w:color w:val="auto"/>
          <w:sz w:val="32"/>
          <w:szCs w:val="20"/>
          <w:highlight w:val="none"/>
        </w:rPr>
      </w:pPr>
    </w:p>
    <w:p w14:paraId="29EE42BA">
      <w:pPr>
        <w:outlineLvl w:val="1"/>
        <w:rPr>
          <w:rFonts w:hint="eastAsia" w:ascii="宋体" w:hAnsi="宋体" w:eastAsia="宋体" w:cs="宋体"/>
          <w:b/>
          <w:color w:val="auto"/>
          <w:sz w:val="28"/>
          <w:szCs w:val="28"/>
          <w:highlight w:val="none"/>
        </w:rPr>
      </w:pPr>
      <w:r>
        <w:rPr>
          <w:rFonts w:hint="eastAsia" w:ascii="宋体" w:hAnsi="宋体" w:eastAsia="宋体" w:cs="宋体"/>
          <w:color w:val="auto"/>
          <w:sz w:val="32"/>
          <w:szCs w:val="20"/>
          <w:highlight w:val="none"/>
        </w:rPr>
        <w:br w:type="page"/>
      </w:r>
      <w:bookmarkStart w:id="218" w:name="_Toc19686836"/>
      <w:bookmarkStart w:id="219" w:name="_Toc2369"/>
      <w:bookmarkStart w:id="220" w:name="_Toc7400"/>
      <w:bookmarkStart w:id="221" w:name="_Toc254970557"/>
      <w:bookmarkStart w:id="222" w:name="_Toc254970698"/>
      <w:r>
        <w:rPr>
          <w:rFonts w:hint="eastAsia" w:ascii="宋体" w:hAnsi="宋体" w:eastAsia="宋体" w:cs="宋体"/>
          <w:b/>
          <w:color w:val="auto"/>
          <w:sz w:val="28"/>
          <w:szCs w:val="28"/>
          <w:highlight w:val="none"/>
        </w:rPr>
        <w:t>一、报价文件格式</w:t>
      </w:r>
      <w:bookmarkEnd w:id="218"/>
      <w:bookmarkEnd w:id="219"/>
      <w:bookmarkEnd w:id="220"/>
    </w:p>
    <w:p w14:paraId="40E94B09">
      <w:pPr>
        <w:snapToGrid w:val="0"/>
        <w:spacing w:before="120" w:beforeLines="50" w:after="50" w:line="360" w:lineRule="auto"/>
        <w:ind w:left="142"/>
        <w:jc w:val="left"/>
        <w:rPr>
          <w:rFonts w:hint="eastAsia" w:ascii="宋体" w:hAnsi="宋体" w:eastAsia="宋体" w:cs="宋体"/>
          <w:color w:val="auto"/>
          <w:sz w:val="24"/>
          <w:szCs w:val="20"/>
          <w:highlight w:val="none"/>
        </w:rPr>
      </w:pPr>
      <w:r>
        <w:rPr>
          <w:rFonts w:hint="eastAsia" w:ascii="宋体" w:hAnsi="宋体" w:eastAsia="宋体" w:cs="宋体"/>
          <w:b/>
          <w:color w:val="auto"/>
          <w:sz w:val="24"/>
          <w:highlight w:val="none"/>
        </w:rPr>
        <w:t xml:space="preserve">1. 报价文件封面格式： </w:t>
      </w:r>
    </w:p>
    <w:p w14:paraId="69224C15">
      <w:pPr>
        <w:snapToGrid w:val="0"/>
        <w:spacing w:before="120" w:beforeLines="50" w:after="50" w:line="360" w:lineRule="auto"/>
        <w:ind w:left="142"/>
        <w:jc w:val="center"/>
        <w:rPr>
          <w:rFonts w:hint="eastAsia" w:ascii="宋体" w:hAnsi="宋体" w:eastAsia="宋体" w:cs="宋体"/>
          <w:bCs/>
          <w:color w:val="auto"/>
          <w:sz w:val="48"/>
          <w:szCs w:val="48"/>
          <w:highlight w:val="none"/>
        </w:rPr>
      </w:pPr>
      <w:r>
        <w:rPr>
          <w:rFonts w:hint="eastAsia" w:ascii="宋体" w:hAnsi="宋体" w:eastAsia="宋体" w:cs="宋体"/>
          <w:bCs/>
          <w:color w:val="auto"/>
          <w:sz w:val="48"/>
          <w:szCs w:val="48"/>
          <w:highlight w:val="none"/>
        </w:rPr>
        <w:t>电子投标文件</w:t>
      </w:r>
    </w:p>
    <w:p w14:paraId="56892B3B">
      <w:pPr>
        <w:snapToGrid w:val="0"/>
        <w:spacing w:before="120" w:beforeLines="50" w:after="50" w:line="400" w:lineRule="exact"/>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136DCCDF">
      <w:pPr>
        <w:snapToGrid w:val="0"/>
        <w:spacing w:before="120" w:beforeLines="50" w:after="50" w:line="400" w:lineRule="exact"/>
        <w:jc w:val="center"/>
        <w:rPr>
          <w:rFonts w:hint="eastAsia" w:ascii="宋体" w:hAnsi="宋体" w:eastAsia="宋体" w:cs="宋体"/>
          <w:bCs/>
          <w:color w:val="auto"/>
          <w:sz w:val="24"/>
          <w:szCs w:val="20"/>
          <w:highlight w:val="none"/>
        </w:rPr>
      </w:pPr>
    </w:p>
    <w:p w14:paraId="5784814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w:t>
      </w:r>
    </w:p>
    <w:p w14:paraId="3E4F0A1A">
      <w:pPr>
        <w:snapToGrid w:val="0"/>
        <w:spacing w:before="120" w:beforeLines="50" w:after="50" w:line="400" w:lineRule="exact"/>
        <w:rPr>
          <w:rFonts w:hint="eastAsia" w:ascii="宋体" w:hAnsi="宋体" w:eastAsia="宋体" w:cs="宋体"/>
          <w:bCs/>
          <w:color w:val="auto"/>
          <w:sz w:val="24"/>
          <w:szCs w:val="20"/>
          <w:highlight w:val="none"/>
        </w:rPr>
      </w:pPr>
    </w:p>
    <w:p w14:paraId="0AF247B4">
      <w:pPr>
        <w:snapToGrid w:val="0"/>
        <w:spacing w:before="120" w:beforeLines="50" w:after="50" w:line="400" w:lineRule="exact"/>
        <w:rPr>
          <w:rFonts w:hint="eastAsia" w:ascii="宋体" w:hAnsi="宋体" w:eastAsia="宋体" w:cs="宋体"/>
          <w:bCs/>
          <w:color w:val="auto"/>
          <w:sz w:val="24"/>
          <w:szCs w:val="20"/>
          <w:highlight w:val="none"/>
        </w:rPr>
      </w:pPr>
    </w:p>
    <w:p w14:paraId="72426328">
      <w:pPr>
        <w:snapToGrid w:val="0"/>
        <w:spacing w:before="120" w:beforeLines="50" w:after="50" w:line="400" w:lineRule="exact"/>
        <w:rPr>
          <w:rFonts w:hint="eastAsia" w:ascii="宋体" w:hAnsi="宋体" w:eastAsia="宋体" w:cs="宋体"/>
          <w:bCs/>
          <w:color w:val="auto"/>
          <w:sz w:val="24"/>
          <w:szCs w:val="20"/>
          <w:highlight w:val="none"/>
        </w:rPr>
      </w:pPr>
    </w:p>
    <w:p w14:paraId="71E8A80F">
      <w:pPr>
        <w:snapToGrid w:val="0"/>
        <w:spacing w:before="120" w:beforeLines="50" w:after="50" w:line="400" w:lineRule="exact"/>
        <w:rPr>
          <w:rFonts w:hint="eastAsia" w:ascii="宋体" w:hAnsi="宋体" w:eastAsia="宋体" w:cs="宋体"/>
          <w:bCs/>
          <w:color w:val="auto"/>
          <w:sz w:val="24"/>
          <w:szCs w:val="20"/>
          <w:highlight w:val="none"/>
        </w:rPr>
      </w:pPr>
    </w:p>
    <w:p w14:paraId="1DA901F9">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2976C55B">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6E44B4B4">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70E08A78">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3E82A7EC">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727DAA68">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2D724423">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55A65368">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6B5DFEBA">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29C20F81">
      <w:pPr>
        <w:pStyle w:val="10"/>
        <w:snapToGrid w:val="0"/>
        <w:spacing w:before="50" w:after="50" w:line="400" w:lineRule="exact"/>
        <w:ind w:firstLine="960" w:firstLineChars="400"/>
        <w:rPr>
          <w:rFonts w:hint="eastAsia" w:ascii="宋体" w:hAnsi="宋体" w:eastAsia="宋体" w:cs="宋体"/>
          <w:bCs/>
          <w:color w:val="auto"/>
          <w:sz w:val="24"/>
          <w:szCs w:val="24"/>
          <w:highlight w:val="none"/>
        </w:rPr>
      </w:pPr>
    </w:p>
    <w:p w14:paraId="7CEEE3E6">
      <w:pPr>
        <w:snapToGrid w:val="0"/>
        <w:spacing w:before="120" w:beforeLines="50" w:after="50" w:line="400" w:lineRule="exact"/>
        <w:rPr>
          <w:rFonts w:hint="eastAsia" w:ascii="宋体" w:hAnsi="宋体" w:eastAsia="宋体" w:cs="宋体"/>
          <w:color w:val="auto"/>
          <w:sz w:val="30"/>
          <w:szCs w:val="20"/>
          <w:highlight w:val="none"/>
        </w:rPr>
      </w:pPr>
      <w:r>
        <w:rPr>
          <w:rFonts w:hint="eastAsia" w:ascii="宋体" w:hAnsi="宋体" w:eastAsia="宋体" w:cs="宋体"/>
          <w:color w:val="auto"/>
          <w:sz w:val="24"/>
          <w:highlight w:val="none"/>
        </w:rPr>
        <w:t xml:space="preserve">                                   年  月  日</w:t>
      </w:r>
    </w:p>
    <w:p w14:paraId="018967D6">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color w:val="auto"/>
          <w:sz w:val="24"/>
          <w:szCs w:val="20"/>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报价文件目录</w:t>
      </w:r>
    </w:p>
    <w:p w14:paraId="29B62843">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eastAsia="宋体" w:cs="宋体"/>
          <w:b/>
          <w:color w:val="auto"/>
          <w:sz w:val="24"/>
          <w:highlight w:val="none"/>
        </w:rPr>
      </w:pPr>
      <w:r>
        <w:rPr>
          <w:rFonts w:hint="eastAsia" w:ascii="宋体" w:hAnsi="宋体" w:eastAsia="宋体" w:cs="宋体"/>
          <w:color w:val="auto"/>
          <w:szCs w:val="21"/>
          <w:highlight w:val="none"/>
        </w:rPr>
        <w:t>根据招标文件规定及投标人提供的材料自行编写目录。</w:t>
      </w:r>
    </w:p>
    <w:p w14:paraId="18CBCAC8">
      <w:pPr>
        <w:snapToGrid w:val="0"/>
        <w:spacing w:before="120" w:beforeLines="50" w:after="50"/>
        <w:rPr>
          <w:rFonts w:hint="eastAsia" w:ascii="宋体" w:hAnsi="宋体" w:eastAsia="宋体" w:cs="宋体"/>
          <w:b/>
          <w:color w:val="auto"/>
          <w:sz w:val="24"/>
          <w:highlight w:val="none"/>
        </w:rPr>
      </w:pPr>
    </w:p>
    <w:p w14:paraId="69ECA850">
      <w:pPr>
        <w:snapToGrid w:val="0"/>
        <w:spacing w:before="120" w:beforeLines="50" w:after="50"/>
        <w:rPr>
          <w:rFonts w:hint="eastAsia" w:ascii="宋体" w:hAnsi="宋体" w:eastAsia="宋体" w:cs="宋体"/>
          <w:b/>
          <w:color w:val="auto"/>
          <w:sz w:val="24"/>
          <w:highlight w:val="none"/>
        </w:rPr>
      </w:pPr>
    </w:p>
    <w:p w14:paraId="2930DAD2">
      <w:pPr>
        <w:snapToGrid w:val="0"/>
        <w:spacing w:before="120" w:beforeLines="50" w:after="50"/>
        <w:rPr>
          <w:rFonts w:hint="eastAsia" w:ascii="宋体" w:hAnsi="宋体" w:eastAsia="宋体" w:cs="宋体"/>
          <w:b/>
          <w:color w:val="auto"/>
          <w:sz w:val="24"/>
          <w:highlight w:val="none"/>
        </w:rPr>
      </w:pPr>
    </w:p>
    <w:p w14:paraId="39FB5961">
      <w:pPr>
        <w:snapToGrid w:val="0"/>
        <w:spacing w:before="120" w:beforeLines="50" w:after="50"/>
        <w:ind w:left="14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3. 投标函格式：</w:t>
      </w:r>
    </w:p>
    <w:p w14:paraId="6BB7F013">
      <w:pPr>
        <w:snapToGrid w:val="0"/>
        <w:spacing w:before="120" w:beforeLines="50" w:after="50"/>
        <w:ind w:left="420"/>
        <w:jc w:val="center"/>
        <w:rPr>
          <w:rFonts w:hint="eastAsia" w:ascii="宋体" w:hAnsi="宋体" w:eastAsia="宋体" w:cs="宋体"/>
          <w:b/>
          <w:bCs/>
          <w:color w:val="auto"/>
          <w:spacing w:val="-17"/>
          <w:sz w:val="30"/>
          <w:szCs w:val="30"/>
          <w:highlight w:val="none"/>
        </w:rPr>
      </w:pPr>
      <w:r>
        <w:rPr>
          <w:rFonts w:hint="eastAsia" w:ascii="宋体" w:hAnsi="宋体" w:eastAsia="宋体" w:cs="宋体"/>
          <w:b/>
          <w:bCs/>
          <w:color w:val="auto"/>
          <w:spacing w:val="-17"/>
          <w:sz w:val="30"/>
          <w:szCs w:val="30"/>
          <w:highlight w:val="none"/>
        </w:rPr>
        <w:t>投 标 函</w:t>
      </w:r>
    </w:p>
    <w:p w14:paraId="297D846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采购人名称</w:t>
      </w:r>
    </w:p>
    <w:p w14:paraId="3A2A1BCB">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）的招标文件，签字代表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（姓名）经正式授权并代表投标人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（投标人名称）提交投标文件。</w:t>
      </w:r>
    </w:p>
    <w:p w14:paraId="19F35CE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据此函，我方宣布同意如下：</w:t>
      </w:r>
    </w:p>
    <w:p w14:paraId="6F1C8BF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A82D1F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2.我方在投标之前已经完全理解并接受招标文件的各项规定和要求，对招标文件的合理性、合法性不再有异议。</w:t>
      </w:r>
    </w:p>
    <w:p w14:paraId="2997360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3.本投标有效期自投标截止之日起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ED4FD1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4.如中标，本投标文件至本项目合同履行完毕止均保持有效，我方将按“招标文件”及政府采购法律、法规的规定履行合同责任和义务。</w:t>
      </w:r>
    </w:p>
    <w:p w14:paraId="26FB120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5.我方同意按照贵方要求提供与投标有关的一切数据或者资料。</w:t>
      </w:r>
    </w:p>
    <w:p w14:paraId="27AF610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6.我方向贵方提交的所有投标文件、资料都是准确的和真实的。</w:t>
      </w:r>
    </w:p>
    <w:p w14:paraId="7D3CFB4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7.以上事项如有虚假或者隐瞒，我方愿意承担一切后果，并不再寻求任何旨在减轻或者免除法律责任的辩解。</w:t>
      </w:r>
    </w:p>
    <w:p w14:paraId="0750A13E">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4A1A6C8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□我方本次投标文件</w:t>
      </w:r>
      <w:r>
        <w:rPr>
          <w:rFonts w:hint="eastAsia" w:ascii="宋体" w:hAnsi="宋体" w:eastAsia="宋体" w:cs="宋体"/>
          <w:color w:val="auto"/>
          <w:kern w:val="0"/>
          <w:szCs w:val="21"/>
          <w:highlight w:val="none"/>
        </w:rPr>
        <w:t>内容中</w:t>
      </w:r>
      <w:r>
        <w:rPr>
          <w:rFonts w:hint="eastAsia" w:ascii="宋体" w:hAnsi="宋体" w:eastAsia="宋体" w:cs="宋体"/>
          <w:color w:val="auto"/>
          <w:szCs w:val="21"/>
          <w:highlight w:val="none"/>
        </w:rPr>
        <w:t>未</w:t>
      </w:r>
      <w:r>
        <w:rPr>
          <w:rFonts w:hint="eastAsia" w:ascii="宋体" w:hAnsi="宋体" w:eastAsia="宋体" w:cs="宋体"/>
          <w:color w:val="auto"/>
          <w:kern w:val="0"/>
          <w:szCs w:val="21"/>
          <w:highlight w:val="none"/>
        </w:rPr>
        <w:t>涉及商业秘密；</w:t>
      </w:r>
    </w:p>
    <w:p w14:paraId="7DC1621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□我方本次投标文件</w:t>
      </w:r>
      <w:r>
        <w:rPr>
          <w:rFonts w:hint="eastAsia" w:ascii="宋体" w:hAnsi="宋体" w:eastAsia="宋体" w:cs="宋体"/>
          <w:color w:val="auto"/>
          <w:kern w:val="0"/>
          <w:szCs w:val="21"/>
          <w:highlight w:val="none"/>
        </w:rPr>
        <w:t>涉及商业秘密的内容有：</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5EF8B4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9.与本项目有关的一切正式往来信函请寄：</w:t>
      </w:r>
    </w:p>
    <w:p w14:paraId="5BC3846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p>
    <w:p w14:paraId="46B3736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p>
    <w:p w14:paraId="4ABE5D2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47809D8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932012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0EE8A3F">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eastAsia="宋体" w:cs="宋体"/>
          <w:color w:val="auto"/>
          <w:szCs w:val="21"/>
          <w:highlight w:val="none"/>
        </w:rPr>
      </w:pPr>
    </w:p>
    <w:p w14:paraId="23ED2AEA">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法定代表人或者委托代理人（签字或者电子签名）：</w:t>
      </w:r>
      <w:r>
        <w:rPr>
          <w:rFonts w:hint="eastAsia" w:ascii="宋体" w:hAnsi="宋体" w:eastAsia="宋体" w:cs="宋体"/>
          <w:color w:val="auto"/>
          <w:szCs w:val="21"/>
          <w:highlight w:val="none"/>
          <w:u w:val="single"/>
        </w:rPr>
        <w:t xml:space="preserve">          </w:t>
      </w:r>
    </w:p>
    <w:p w14:paraId="2C716380">
      <w:pPr>
        <w:pStyle w:val="20"/>
        <w:keepNext w:val="0"/>
        <w:keepLines w:val="0"/>
        <w:pageBreakBefore w:val="0"/>
        <w:widowControl w:val="0"/>
        <w:kinsoku/>
        <w:wordWrap/>
        <w:overflowPunct/>
        <w:topLinePunct w:val="0"/>
        <w:autoSpaceDE/>
        <w:autoSpaceDN/>
        <w:bidi w:val="0"/>
        <w:adjustRightInd/>
        <w:snapToGrid w:val="0"/>
        <w:spacing w:before="295" w:after="295" w:line="400" w:lineRule="exact"/>
        <w:jc w:val="center"/>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投标人名称（电子签章）：</w:t>
      </w:r>
      <w:r>
        <w:rPr>
          <w:rFonts w:hint="eastAsia" w:ascii="宋体" w:hAnsi="宋体" w:eastAsia="宋体" w:cs="宋体"/>
          <w:color w:val="auto"/>
          <w:highlight w:val="none"/>
          <w:u w:val="single"/>
        </w:rPr>
        <w:t xml:space="preserve">          </w:t>
      </w:r>
    </w:p>
    <w:p w14:paraId="7072471C">
      <w:pPr>
        <w:pStyle w:val="20"/>
        <w:keepNext w:val="0"/>
        <w:keepLines w:val="0"/>
        <w:pageBreakBefore w:val="0"/>
        <w:widowControl w:val="0"/>
        <w:kinsoku/>
        <w:wordWrap/>
        <w:overflowPunct/>
        <w:topLinePunct w:val="0"/>
        <w:autoSpaceDE/>
        <w:autoSpaceDN/>
        <w:bidi w:val="0"/>
        <w:adjustRightInd/>
        <w:snapToGrid w:val="0"/>
        <w:spacing w:before="295" w:after="295"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505DB767">
      <w:pPr>
        <w:snapToGrid w:val="0"/>
        <w:spacing w:before="120" w:beforeLines="50" w:after="50"/>
        <w:jc w:val="left"/>
        <w:rPr>
          <w:rFonts w:hint="eastAsia" w:ascii="宋体" w:hAnsi="宋体" w:eastAsia="宋体" w:cs="宋体"/>
          <w:b/>
          <w:color w:val="auto"/>
          <w:sz w:val="24"/>
          <w:szCs w:val="20"/>
          <w:highlight w:val="none"/>
        </w:rPr>
      </w:pPr>
      <w:r>
        <w:rPr>
          <w:rFonts w:hint="eastAsia" w:ascii="宋体" w:hAnsi="宋体" w:eastAsia="宋体" w:cs="宋体"/>
          <w:color w:val="auto"/>
          <w:highlight w:val="none"/>
          <w:u w:val="single"/>
        </w:rPr>
        <w:br w:type="page"/>
      </w:r>
      <w:r>
        <w:rPr>
          <w:rFonts w:hint="eastAsia" w:ascii="宋体" w:hAnsi="宋体" w:eastAsia="宋体" w:cs="宋体"/>
          <w:b/>
          <w:color w:val="auto"/>
          <w:sz w:val="24"/>
          <w:highlight w:val="none"/>
        </w:rPr>
        <w:t>4.开标一览表（服务类格式）</w:t>
      </w:r>
    </w:p>
    <w:p w14:paraId="5F8982A1">
      <w:pPr>
        <w:snapToGrid w:val="0"/>
        <w:spacing w:before="120" w:beforeLines="50" w:after="50"/>
        <w:ind w:left="420"/>
        <w:jc w:val="center"/>
        <w:rPr>
          <w:rFonts w:hint="eastAsia" w:ascii="宋体" w:hAnsi="宋体" w:eastAsia="宋体" w:cs="宋体"/>
          <w:b/>
          <w:bCs/>
          <w:color w:val="auto"/>
          <w:spacing w:val="-17"/>
          <w:sz w:val="30"/>
          <w:szCs w:val="30"/>
          <w:highlight w:val="none"/>
        </w:rPr>
      </w:pPr>
      <w:r>
        <w:rPr>
          <w:rFonts w:hint="eastAsia" w:ascii="宋体" w:hAnsi="宋体" w:eastAsia="宋体" w:cs="宋体"/>
          <w:b/>
          <w:bCs/>
          <w:color w:val="auto"/>
          <w:spacing w:val="-17"/>
          <w:sz w:val="30"/>
          <w:szCs w:val="30"/>
          <w:highlight w:val="none"/>
        </w:rPr>
        <w:t>开标一览表</w:t>
      </w:r>
    </w:p>
    <w:p w14:paraId="4AB82869">
      <w:pPr>
        <w:keepNext w:val="0"/>
        <w:keepLines w:val="0"/>
        <w:pageBreakBefore w:val="0"/>
        <w:wordWrap/>
        <w:overflowPunct/>
        <w:topLinePunct w:val="0"/>
        <w:bidi w:val="0"/>
        <w:snapToGrid w:val="0"/>
        <w:spacing w:before="50" w:after="50"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分标：</w:t>
      </w:r>
      <w:r>
        <w:rPr>
          <w:rFonts w:hint="eastAsia" w:ascii="宋体" w:hAnsi="宋体" w:eastAsia="宋体" w:cs="宋体"/>
          <w:color w:val="auto"/>
          <w:szCs w:val="21"/>
          <w:highlight w:val="none"/>
          <w:u w:val="single"/>
        </w:rPr>
        <w:t xml:space="preserve">           </w:t>
      </w:r>
    </w:p>
    <w:p w14:paraId="31B724ED">
      <w:pPr>
        <w:keepNext w:val="0"/>
        <w:keepLines w:val="0"/>
        <w:pageBreakBefore w:val="0"/>
        <w:wordWrap/>
        <w:overflowPunct/>
        <w:topLinePunct w:val="0"/>
        <w:bidi w:val="0"/>
        <w:snapToGrid w:val="0"/>
        <w:spacing w:before="50" w:after="50"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tbl>
      <w:tblPr>
        <w:tblStyle w:val="40"/>
        <w:tblW w:w="572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3"/>
        <w:gridCol w:w="1230"/>
        <w:gridCol w:w="1921"/>
        <w:gridCol w:w="735"/>
        <w:gridCol w:w="884"/>
        <w:gridCol w:w="1234"/>
        <w:gridCol w:w="1355"/>
        <w:gridCol w:w="1373"/>
      </w:tblGrid>
      <w:tr w14:paraId="7BFED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783" w:type="dxa"/>
            <w:tcBorders>
              <w:top w:val="single" w:color="000000" w:sz="2" w:space="0"/>
              <w:left w:val="single" w:color="000000" w:sz="2" w:space="0"/>
              <w:bottom w:val="single" w:color="000000" w:sz="2" w:space="0"/>
              <w:right w:val="single" w:color="000000" w:sz="2" w:space="0"/>
            </w:tcBorders>
            <w:noWrap w:val="0"/>
            <w:vAlign w:val="center"/>
          </w:tcPr>
          <w:p w14:paraId="5E53102C">
            <w:pPr>
              <w:snapToGrid w:val="0"/>
              <w:spacing w:line="320" w:lineRule="exact"/>
              <w:jc w:val="center"/>
              <w:rPr>
                <w:rFonts w:hint="eastAsia" w:ascii="宋体" w:hAnsi="宋体" w:eastAsia="宋体" w:cs="宋体"/>
                <w:color w:val="auto"/>
                <w:highlight w:val="none"/>
              </w:rPr>
            </w:pPr>
            <w:r>
              <w:rPr>
                <w:rFonts w:hint="eastAsia" w:ascii="宋体" w:hAnsi="宋体" w:eastAsia="宋体" w:cs="宋体"/>
                <w:szCs w:val="21"/>
                <w:highlight w:val="none"/>
              </w:rPr>
              <w:t>序号</w:t>
            </w:r>
          </w:p>
        </w:tc>
        <w:tc>
          <w:tcPr>
            <w:tcW w:w="1229" w:type="dxa"/>
            <w:tcBorders>
              <w:top w:val="single" w:color="000000" w:sz="2" w:space="0"/>
              <w:left w:val="single" w:color="000000" w:sz="2" w:space="0"/>
              <w:bottom w:val="single" w:color="000000" w:sz="2" w:space="0"/>
              <w:right w:val="single" w:color="000000" w:sz="2" w:space="0"/>
            </w:tcBorders>
            <w:noWrap w:val="0"/>
            <w:vAlign w:val="center"/>
          </w:tcPr>
          <w:p w14:paraId="3FBB2F83">
            <w:pPr>
              <w:snapToGrid w:val="0"/>
              <w:spacing w:line="320" w:lineRule="exact"/>
              <w:jc w:val="center"/>
              <w:rPr>
                <w:rFonts w:hint="eastAsia" w:ascii="宋体" w:hAnsi="宋体" w:eastAsia="宋体" w:cs="宋体"/>
                <w:color w:val="auto"/>
                <w:spacing w:val="1"/>
                <w:highlight w:val="none"/>
              </w:rPr>
            </w:pPr>
            <w:r>
              <w:rPr>
                <w:rFonts w:hint="eastAsia" w:ascii="宋体" w:hAnsi="宋体" w:eastAsia="宋体" w:cs="宋体"/>
                <w:szCs w:val="21"/>
                <w:highlight w:val="none"/>
              </w:rPr>
              <w:t>服务项目</w:t>
            </w:r>
          </w:p>
        </w:tc>
        <w:tc>
          <w:tcPr>
            <w:tcW w:w="1920" w:type="dxa"/>
            <w:tcBorders>
              <w:top w:val="single" w:color="000000" w:sz="2" w:space="0"/>
              <w:left w:val="single" w:color="000000" w:sz="2" w:space="0"/>
              <w:bottom w:val="single" w:color="000000" w:sz="2" w:space="0"/>
              <w:right w:val="single" w:color="000000" w:sz="2" w:space="0"/>
            </w:tcBorders>
            <w:noWrap w:val="0"/>
            <w:vAlign w:val="center"/>
          </w:tcPr>
          <w:p w14:paraId="3E8D53AD">
            <w:pPr>
              <w:snapToGrid w:val="0"/>
              <w:spacing w:line="320" w:lineRule="exact"/>
              <w:jc w:val="center"/>
              <w:rPr>
                <w:rFonts w:hint="eastAsia" w:ascii="宋体" w:hAnsi="宋体" w:eastAsia="宋体" w:cs="宋体"/>
                <w:color w:val="auto"/>
                <w:spacing w:val="1"/>
                <w:highlight w:val="none"/>
              </w:rPr>
            </w:pPr>
            <w:r>
              <w:rPr>
                <w:rFonts w:hint="eastAsia" w:ascii="宋体" w:hAnsi="宋体" w:eastAsia="宋体" w:cs="宋体"/>
                <w:highlight w:val="none"/>
              </w:rPr>
              <w:t>服务内容、标准</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14:paraId="3364C708">
            <w:pPr>
              <w:snapToGrid w:val="0"/>
              <w:spacing w:line="320" w:lineRule="exact"/>
              <w:jc w:val="center"/>
              <w:rPr>
                <w:rFonts w:hint="eastAsia" w:ascii="宋体" w:hAnsi="宋体" w:eastAsia="宋体" w:cs="宋体"/>
                <w:color w:val="auto"/>
                <w:spacing w:val="1"/>
                <w:highlight w:val="none"/>
              </w:rPr>
            </w:pPr>
            <w:r>
              <w:rPr>
                <w:rFonts w:hint="eastAsia" w:ascii="宋体" w:hAnsi="宋体" w:eastAsia="宋体" w:cs="宋体"/>
                <w:szCs w:val="21"/>
                <w:highlight w:val="none"/>
              </w:rPr>
              <w:t>数量</w:t>
            </w:r>
          </w:p>
        </w:tc>
        <w:tc>
          <w:tcPr>
            <w:tcW w:w="884" w:type="dxa"/>
            <w:tcBorders>
              <w:top w:val="single" w:color="000000" w:sz="2" w:space="0"/>
              <w:left w:val="single" w:color="000000" w:sz="2" w:space="0"/>
              <w:bottom w:val="single" w:color="000000" w:sz="2" w:space="0"/>
              <w:right w:val="single" w:color="000000" w:sz="2" w:space="0"/>
            </w:tcBorders>
            <w:noWrap w:val="0"/>
            <w:vAlign w:val="center"/>
          </w:tcPr>
          <w:p w14:paraId="67E12098">
            <w:pPr>
              <w:snapToGrid w:val="0"/>
              <w:spacing w:line="320" w:lineRule="exact"/>
              <w:jc w:val="center"/>
              <w:rPr>
                <w:rFonts w:hint="eastAsia" w:ascii="宋体" w:hAnsi="宋体" w:eastAsia="宋体" w:cs="宋体"/>
                <w:color w:val="auto"/>
                <w:spacing w:val="1"/>
                <w:highlight w:val="none"/>
              </w:rPr>
            </w:pPr>
            <w:r>
              <w:rPr>
                <w:rFonts w:hint="eastAsia" w:ascii="宋体" w:hAnsi="宋体" w:eastAsia="宋体" w:cs="宋体"/>
                <w:szCs w:val="21"/>
                <w:highlight w:val="none"/>
              </w:rPr>
              <w:t>单位</w:t>
            </w:r>
          </w:p>
        </w:tc>
        <w:tc>
          <w:tcPr>
            <w:tcW w:w="1233" w:type="dxa"/>
            <w:tcBorders>
              <w:top w:val="single" w:color="000000" w:sz="2" w:space="0"/>
              <w:left w:val="single" w:color="000000" w:sz="2" w:space="0"/>
              <w:bottom w:val="single" w:color="000000" w:sz="2" w:space="0"/>
              <w:right w:val="single" w:color="000000" w:sz="2" w:space="0"/>
            </w:tcBorders>
            <w:noWrap w:val="0"/>
            <w:vAlign w:val="center"/>
          </w:tcPr>
          <w:p w14:paraId="096AB5E8">
            <w:pPr>
              <w:snapToGrid w:val="0"/>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单  价</w:t>
            </w:r>
          </w:p>
          <w:p w14:paraId="70D848F6">
            <w:pPr>
              <w:snapToGrid w:val="0"/>
              <w:spacing w:line="320" w:lineRule="exact"/>
              <w:jc w:val="center"/>
              <w:rPr>
                <w:rFonts w:hint="eastAsia" w:ascii="宋体" w:hAnsi="宋体" w:eastAsia="宋体" w:cs="宋体"/>
                <w:color w:val="auto"/>
                <w:spacing w:val="1"/>
                <w:highlight w:val="none"/>
              </w:rPr>
            </w:pPr>
            <w:r>
              <w:rPr>
                <w:rFonts w:hint="eastAsia" w:ascii="宋体" w:hAnsi="宋体" w:eastAsia="宋体" w:cs="宋体"/>
                <w:szCs w:val="21"/>
                <w:highlight w:val="none"/>
              </w:rPr>
              <w:t>（元）</w:t>
            </w:r>
          </w:p>
        </w:tc>
        <w:tc>
          <w:tcPr>
            <w:tcW w:w="1354" w:type="dxa"/>
            <w:tcBorders>
              <w:top w:val="single" w:color="000000" w:sz="2" w:space="0"/>
              <w:left w:val="single" w:color="000000" w:sz="2" w:space="0"/>
              <w:bottom w:val="single" w:color="000000" w:sz="2" w:space="0"/>
              <w:right w:val="single" w:color="000000" w:sz="2" w:space="0"/>
            </w:tcBorders>
            <w:noWrap w:val="0"/>
            <w:vAlign w:val="center"/>
          </w:tcPr>
          <w:p w14:paraId="1EFE6C45">
            <w:pPr>
              <w:snapToGrid w:val="0"/>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金  额</w:t>
            </w:r>
          </w:p>
          <w:p w14:paraId="0C4D5B2A">
            <w:pPr>
              <w:snapToGrid w:val="0"/>
              <w:spacing w:line="320" w:lineRule="exact"/>
              <w:jc w:val="center"/>
              <w:rPr>
                <w:rFonts w:hint="eastAsia" w:ascii="宋体" w:hAnsi="宋体" w:eastAsia="宋体" w:cs="宋体"/>
                <w:color w:val="auto"/>
                <w:spacing w:val="1"/>
                <w:highlight w:val="none"/>
              </w:rPr>
            </w:pPr>
            <w:r>
              <w:rPr>
                <w:rFonts w:hint="eastAsia" w:ascii="宋体" w:hAnsi="宋体" w:eastAsia="宋体" w:cs="宋体"/>
                <w:szCs w:val="21"/>
                <w:highlight w:val="none"/>
              </w:rPr>
              <w:t>（元）</w:t>
            </w:r>
          </w:p>
        </w:tc>
        <w:tc>
          <w:tcPr>
            <w:tcW w:w="1372" w:type="dxa"/>
            <w:tcBorders>
              <w:top w:val="single" w:color="000000" w:sz="2" w:space="0"/>
              <w:left w:val="single" w:color="000000" w:sz="2" w:space="0"/>
              <w:bottom w:val="single" w:color="000000" w:sz="2" w:space="0"/>
              <w:right w:val="single" w:color="000000" w:sz="2" w:space="0"/>
            </w:tcBorders>
            <w:noWrap w:val="0"/>
            <w:vAlign w:val="center"/>
          </w:tcPr>
          <w:p w14:paraId="2DB57C62">
            <w:pPr>
              <w:snapToGrid w:val="0"/>
              <w:spacing w:line="320" w:lineRule="exact"/>
              <w:jc w:val="center"/>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备注</w:t>
            </w:r>
          </w:p>
        </w:tc>
      </w:tr>
      <w:tr w14:paraId="43E0E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jc w:val="center"/>
        </w:trPr>
        <w:tc>
          <w:tcPr>
            <w:tcW w:w="783" w:type="dxa"/>
            <w:tcBorders>
              <w:top w:val="single" w:color="000000" w:sz="2" w:space="0"/>
              <w:left w:val="single" w:color="000000" w:sz="2" w:space="0"/>
              <w:bottom w:val="single" w:color="000000" w:sz="2" w:space="0"/>
              <w:right w:val="single" w:color="000000" w:sz="2" w:space="0"/>
            </w:tcBorders>
            <w:noWrap w:val="0"/>
            <w:vAlign w:val="center"/>
          </w:tcPr>
          <w:p w14:paraId="4228AE57">
            <w:pPr>
              <w:keepNext w:val="0"/>
              <w:keepLines w:val="0"/>
              <w:pageBreakBefore w:val="0"/>
              <w:kinsoku w:val="0"/>
              <w:wordWrap/>
              <w:overflowPunct/>
              <w:topLinePunct w:val="0"/>
              <w:autoSpaceDE w:val="0"/>
              <w:autoSpaceDN w:val="0"/>
              <w:bidi w:val="0"/>
              <w:adjustRightInd w:val="0"/>
              <w:snapToGrid w:val="0"/>
              <w:spacing w:before="60" w:line="400" w:lineRule="exact"/>
              <w:ind w:left="288"/>
              <w:textAlignment w:val="baseline"/>
              <w:rPr>
                <w:rFonts w:hint="eastAsia" w:ascii="宋体" w:hAnsi="宋体" w:eastAsia="宋体" w:cs="宋体"/>
                <w:color w:val="auto"/>
                <w:szCs w:val="21"/>
                <w:highlight w:val="none"/>
              </w:rPr>
            </w:pPr>
          </w:p>
        </w:tc>
        <w:tc>
          <w:tcPr>
            <w:tcW w:w="1229" w:type="dxa"/>
            <w:tcBorders>
              <w:top w:val="single" w:color="000000" w:sz="2" w:space="0"/>
              <w:left w:val="single" w:color="000000" w:sz="2" w:space="0"/>
              <w:bottom w:val="single" w:color="000000" w:sz="2" w:space="0"/>
              <w:right w:val="single" w:color="000000" w:sz="2" w:space="0"/>
            </w:tcBorders>
            <w:noWrap w:val="0"/>
            <w:vAlign w:val="center"/>
          </w:tcPr>
          <w:p w14:paraId="78346777">
            <w:pPr>
              <w:pStyle w:val="127"/>
              <w:keepNext w:val="0"/>
              <w:keepLines w:val="0"/>
              <w:pageBreakBefore w:val="0"/>
              <w:wordWrap/>
              <w:overflowPunct/>
              <w:topLinePunct w:val="0"/>
              <w:bidi w:val="0"/>
              <w:snapToGrid w:val="0"/>
              <w:spacing w:before="107" w:line="400" w:lineRule="exact"/>
              <w:ind w:left="205" w:right="195"/>
              <w:jc w:val="center"/>
              <w:rPr>
                <w:rFonts w:hint="eastAsia" w:ascii="宋体" w:hAnsi="宋体" w:eastAsia="宋体" w:cs="宋体"/>
                <w:color w:val="auto"/>
                <w:highlight w:val="none"/>
              </w:rPr>
            </w:pPr>
          </w:p>
        </w:tc>
        <w:tc>
          <w:tcPr>
            <w:tcW w:w="1920" w:type="dxa"/>
            <w:tcBorders>
              <w:top w:val="single" w:color="000000" w:sz="2" w:space="0"/>
              <w:left w:val="single" w:color="000000" w:sz="2" w:space="0"/>
              <w:bottom w:val="single" w:color="000000" w:sz="2" w:space="0"/>
              <w:right w:val="single" w:color="000000" w:sz="2" w:space="0"/>
            </w:tcBorders>
            <w:noWrap w:val="0"/>
            <w:vAlign w:val="center"/>
          </w:tcPr>
          <w:p w14:paraId="0030C77F">
            <w:pPr>
              <w:keepNext w:val="0"/>
              <w:keepLines w:val="0"/>
              <w:pageBreakBefore w:val="0"/>
              <w:kinsoku w:val="0"/>
              <w:wordWrap/>
              <w:overflowPunct/>
              <w:topLinePunct w:val="0"/>
              <w:autoSpaceDE w:val="0"/>
              <w:autoSpaceDN w:val="0"/>
              <w:bidi w:val="0"/>
              <w:adjustRightInd w:val="0"/>
              <w:snapToGrid w:val="0"/>
              <w:spacing w:before="60" w:line="400" w:lineRule="exact"/>
              <w:ind w:left="452"/>
              <w:textAlignment w:val="baseline"/>
              <w:rPr>
                <w:rFonts w:hint="eastAsia" w:ascii="宋体" w:hAnsi="宋体" w:eastAsia="宋体" w:cs="宋体"/>
                <w:color w:val="auto"/>
                <w:szCs w:val="21"/>
                <w:highlight w:val="none"/>
              </w:rPr>
            </w:pPr>
          </w:p>
        </w:tc>
        <w:tc>
          <w:tcPr>
            <w:tcW w:w="735" w:type="dxa"/>
            <w:tcBorders>
              <w:top w:val="single" w:color="000000" w:sz="2" w:space="0"/>
              <w:left w:val="single" w:color="000000" w:sz="2" w:space="0"/>
              <w:bottom w:val="single" w:color="000000" w:sz="2" w:space="0"/>
              <w:right w:val="single" w:color="000000" w:sz="2" w:space="0"/>
            </w:tcBorders>
            <w:noWrap w:val="0"/>
            <w:vAlign w:val="center"/>
          </w:tcPr>
          <w:p w14:paraId="10C48A74">
            <w:pPr>
              <w:pStyle w:val="127"/>
              <w:keepNext w:val="0"/>
              <w:keepLines w:val="0"/>
              <w:pageBreakBefore w:val="0"/>
              <w:wordWrap/>
              <w:overflowPunct/>
              <w:topLinePunct w:val="0"/>
              <w:bidi w:val="0"/>
              <w:snapToGrid w:val="0"/>
              <w:spacing w:before="68" w:line="400" w:lineRule="exact"/>
              <w:jc w:val="center"/>
              <w:rPr>
                <w:rFonts w:hint="eastAsia" w:ascii="宋体" w:hAnsi="宋体" w:eastAsia="宋体" w:cs="宋体"/>
                <w:color w:val="auto"/>
                <w:highlight w:val="none"/>
              </w:rPr>
            </w:pPr>
          </w:p>
        </w:tc>
        <w:tc>
          <w:tcPr>
            <w:tcW w:w="884" w:type="dxa"/>
            <w:tcBorders>
              <w:top w:val="single" w:color="000000" w:sz="2" w:space="0"/>
              <w:left w:val="single" w:color="000000" w:sz="2" w:space="0"/>
              <w:bottom w:val="single" w:color="000000" w:sz="2" w:space="0"/>
              <w:right w:val="single" w:color="000000" w:sz="2" w:space="0"/>
            </w:tcBorders>
            <w:noWrap w:val="0"/>
            <w:vAlign w:val="center"/>
          </w:tcPr>
          <w:p w14:paraId="5C0159F3">
            <w:pPr>
              <w:pStyle w:val="127"/>
              <w:keepNext w:val="0"/>
              <w:keepLines w:val="0"/>
              <w:pageBreakBefore w:val="0"/>
              <w:wordWrap/>
              <w:overflowPunct/>
              <w:topLinePunct w:val="0"/>
              <w:bidi w:val="0"/>
              <w:snapToGrid w:val="0"/>
              <w:spacing w:before="68" w:line="400" w:lineRule="exact"/>
              <w:jc w:val="center"/>
              <w:rPr>
                <w:rFonts w:hint="eastAsia" w:ascii="宋体" w:hAnsi="宋体" w:eastAsia="宋体" w:cs="宋体"/>
                <w:color w:val="auto"/>
                <w:highlight w:val="none"/>
              </w:rPr>
            </w:pPr>
          </w:p>
        </w:tc>
        <w:tc>
          <w:tcPr>
            <w:tcW w:w="1233" w:type="dxa"/>
            <w:tcBorders>
              <w:top w:val="single" w:color="000000" w:sz="2" w:space="0"/>
              <w:left w:val="single" w:color="000000" w:sz="2" w:space="0"/>
              <w:bottom w:val="single" w:color="000000" w:sz="2" w:space="0"/>
              <w:right w:val="single" w:color="000000" w:sz="2" w:space="0"/>
            </w:tcBorders>
            <w:noWrap w:val="0"/>
            <w:vAlign w:val="center"/>
          </w:tcPr>
          <w:p w14:paraId="7556C371">
            <w:pPr>
              <w:pStyle w:val="127"/>
              <w:keepNext w:val="0"/>
              <w:keepLines w:val="0"/>
              <w:pageBreakBefore w:val="0"/>
              <w:wordWrap/>
              <w:overflowPunct/>
              <w:topLinePunct w:val="0"/>
              <w:bidi w:val="0"/>
              <w:snapToGrid w:val="0"/>
              <w:spacing w:before="68" w:line="400" w:lineRule="exact"/>
              <w:jc w:val="center"/>
              <w:rPr>
                <w:rFonts w:hint="eastAsia" w:ascii="宋体" w:hAnsi="宋体" w:eastAsia="宋体" w:cs="宋体"/>
                <w:color w:val="auto"/>
                <w:highlight w:val="none"/>
              </w:rPr>
            </w:pPr>
          </w:p>
        </w:tc>
        <w:tc>
          <w:tcPr>
            <w:tcW w:w="1354" w:type="dxa"/>
            <w:tcBorders>
              <w:top w:val="single" w:color="000000" w:sz="2" w:space="0"/>
              <w:left w:val="single" w:color="000000" w:sz="2" w:space="0"/>
              <w:bottom w:val="single" w:color="000000" w:sz="2" w:space="0"/>
              <w:right w:val="single" w:color="000000" w:sz="2" w:space="0"/>
            </w:tcBorders>
            <w:noWrap w:val="0"/>
            <w:vAlign w:val="center"/>
          </w:tcPr>
          <w:p w14:paraId="1AD3B135">
            <w:pPr>
              <w:pStyle w:val="127"/>
              <w:keepNext w:val="0"/>
              <w:keepLines w:val="0"/>
              <w:pageBreakBefore w:val="0"/>
              <w:wordWrap/>
              <w:overflowPunct/>
              <w:topLinePunct w:val="0"/>
              <w:bidi w:val="0"/>
              <w:snapToGrid w:val="0"/>
              <w:spacing w:before="68" w:line="400" w:lineRule="exact"/>
              <w:jc w:val="center"/>
              <w:rPr>
                <w:rFonts w:hint="eastAsia" w:ascii="宋体" w:hAnsi="宋体" w:eastAsia="宋体" w:cs="宋体"/>
                <w:color w:val="auto"/>
                <w:highlight w:val="none"/>
              </w:rPr>
            </w:pPr>
          </w:p>
        </w:tc>
        <w:tc>
          <w:tcPr>
            <w:tcW w:w="1372" w:type="dxa"/>
            <w:tcBorders>
              <w:top w:val="single" w:color="000000" w:sz="2" w:space="0"/>
              <w:left w:val="single" w:color="000000" w:sz="2" w:space="0"/>
              <w:bottom w:val="single" w:color="000000" w:sz="2" w:space="0"/>
              <w:right w:val="single" w:color="000000" w:sz="2" w:space="0"/>
            </w:tcBorders>
            <w:noWrap w:val="0"/>
            <w:vAlign w:val="center"/>
          </w:tcPr>
          <w:p w14:paraId="5CD7F0C4">
            <w:pPr>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Cs w:val="21"/>
                <w:highlight w:val="none"/>
              </w:rPr>
            </w:pPr>
          </w:p>
        </w:tc>
      </w:tr>
      <w:tr w14:paraId="4A986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9510" w:type="dxa"/>
            <w:gridSpan w:val="8"/>
            <w:tcBorders>
              <w:top w:val="single" w:color="000000" w:sz="2" w:space="0"/>
              <w:left w:val="single" w:color="000000" w:sz="2" w:space="0"/>
              <w:right w:val="single" w:color="000000" w:sz="2" w:space="0"/>
            </w:tcBorders>
            <w:noWrap w:val="0"/>
            <w:vAlign w:val="top"/>
          </w:tcPr>
          <w:p w14:paraId="4D059867">
            <w:pPr>
              <w:keepNext w:val="0"/>
              <w:keepLines w:val="0"/>
              <w:pageBreakBefore w:val="0"/>
              <w:wordWrap/>
              <w:overflowPunct/>
              <w:topLinePunct w:val="0"/>
              <w:bidi w:val="0"/>
              <w:snapToGrid w:val="0"/>
              <w:spacing w:before="50" w:after="50" w:line="400" w:lineRule="exact"/>
              <w:ind w:firstLine="602" w:firstLineChars="25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投标总报价：</w:t>
            </w:r>
            <w:r>
              <w:rPr>
                <w:rFonts w:hint="eastAsia" w:ascii="宋体" w:hAnsi="宋体" w:eastAsia="宋体" w:cs="宋体"/>
                <w:b/>
                <w:bCs/>
                <w:color w:val="auto"/>
                <w:sz w:val="24"/>
                <w:highlight w:val="none"/>
              </w:rPr>
              <w:t xml:space="preserve">（大写）人民币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w:t>
            </w:r>
          </w:p>
          <w:p w14:paraId="58C9080C">
            <w:pPr>
              <w:pStyle w:val="127"/>
              <w:keepNext w:val="0"/>
              <w:keepLines w:val="0"/>
              <w:pageBreakBefore w:val="0"/>
              <w:wordWrap/>
              <w:overflowPunct/>
              <w:topLinePunct w:val="0"/>
              <w:bidi w:val="0"/>
              <w:snapToGrid w:val="0"/>
              <w:spacing w:before="161" w:line="400" w:lineRule="exact"/>
              <w:ind w:left="117" w:firstLine="420" w:firstLineChars="200"/>
              <w:jc w:val="both"/>
              <w:rPr>
                <w:rFonts w:hint="eastAsia" w:ascii="宋体" w:hAnsi="宋体" w:eastAsia="宋体" w:cs="宋体"/>
                <w:b/>
                <w:color w:val="auto"/>
                <w:sz w:val="24"/>
                <w:szCs w:val="24"/>
                <w:highlight w:val="none"/>
              </w:rPr>
            </w:pPr>
            <w:r>
              <w:rPr>
                <w:rFonts w:hint="eastAsia" w:ascii="宋体" w:hAnsi="宋体" w:eastAsia="宋体" w:cs="宋体"/>
                <w:kern w:val="2"/>
                <w:sz w:val="21"/>
                <w:highlight w:val="none"/>
              </w:rPr>
              <w:t>交付时间：</w:t>
            </w:r>
            <w:r>
              <w:rPr>
                <w:rFonts w:hint="eastAsia" w:cs="宋体"/>
                <w:highlight w:val="none"/>
                <w:lang w:val="en-US" w:eastAsia="zh-CN"/>
              </w:rPr>
              <w:t xml:space="preserve">                       </w:t>
            </w:r>
          </w:p>
        </w:tc>
      </w:tr>
    </w:tbl>
    <w:p w14:paraId="13677D31">
      <w:pPr>
        <w:keepNext w:val="0"/>
        <w:keepLines w:val="0"/>
        <w:pageBreakBefore w:val="0"/>
        <w:wordWrap/>
        <w:overflowPunct/>
        <w:topLinePunct w:val="0"/>
        <w:bidi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00CD56DB">
      <w:pPr>
        <w:keepNext w:val="0"/>
        <w:keepLines w:val="0"/>
        <w:pageBreakBefore w:val="0"/>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1.投标人的开标一览表必须加盖投标人电子签章并由法定代表人或者委托代理人签字或者电子签名，</w:t>
      </w:r>
      <w:r>
        <w:rPr>
          <w:rFonts w:hint="eastAsia" w:ascii="宋体" w:hAnsi="宋体" w:eastAsia="宋体" w:cs="宋体"/>
          <w:b/>
          <w:color w:val="auto"/>
          <w:szCs w:val="21"/>
          <w:highlight w:val="none"/>
        </w:rPr>
        <w:t>否则其投标作无效标处理</w:t>
      </w:r>
      <w:r>
        <w:rPr>
          <w:rFonts w:hint="eastAsia" w:ascii="宋体" w:hAnsi="宋体" w:eastAsia="宋体" w:cs="宋体"/>
          <w:color w:val="auto"/>
          <w:szCs w:val="21"/>
          <w:highlight w:val="none"/>
        </w:rPr>
        <w:t>。</w:t>
      </w:r>
    </w:p>
    <w:p w14:paraId="3ED5C922">
      <w:pPr>
        <w:keepNext w:val="0"/>
        <w:keepLines w:val="0"/>
        <w:pageBreakBefore w:val="0"/>
        <w:wordWrap/>
        <w:overflowPunct/>
        <w:topLinePunct w:val="0"/>
        <w:bidi w:val="0"/>
        <w:snapToGrid w:val="0"/>
        <w:spacing w:line="40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eastAsia="宋体" w:cs="宋体"/>
          <w:b/>
          <w:color w:val="auto"/>
          <w:szCs w:val="21"/>
          <w:highlight w:val="none"/>
        </w:rPr>
        <w:t>，否则其投标作无效标处理。</w:t>
      </w:r>
    </w:p>
    <w:p w14:paraId="5DBFF8F6">
      <w:pPr>
        <w:keepNext w:val="0"/>
        <w:keepLines w:val="0"/>
        <w:pageBreakBefore w:val="0"/>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3.如为联合体投标，“投标人名称”处必须列明联合体各方名称，并标注联合体牵头人名称，</w:t>
      </w:r>
      <w:r>
        <w:rPr>
          <w:rFonts w:hint="eastAsia" w:ascii="宋体" w:hAnsi="宋体" w:eastAsia="宋体" w:cs="宋体"/>
          <w:b/>
          <w:color w:val="auto"/>
          <w:szCs w:val="21"/>
          <w:highlight w:val="none"/>
        </w:rPr>
        <w:t>否则其投标作无效标处理。</w:t>
      </w:r>
    </w:p>
    <w:p w14:paraId="652F05EF">
      <w:pPr>
        <w:keepNext w:val="0"/>
        <w:keepLines w:val="0"/>
        <w:pageBreakBefore w:val="0"/>
        <w:wordWrap/>
        <w:overflowPunct/>
        <w:topLinePunct w:val="0"/>
        <w:bidi w:val="0"/>
        <w:snapToGrid w:val="0"/>
        <w:spacing w:line="400" w:lineRule="exact"/>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4.如为联合体投标，盖章处须加盖联合体牵头人电子签章，</w:t>
      </w:r>
      <w:r>
        <w:rPr>
          <w:rFonts w:hint="eastAsia" w:ascii="宋体" w:hAnsi="宋体" w:eastAsia="宋体" w:cs="宋体"/>
          <w:b/>
          <w:color w:val="auto"/>
          <w:spacing w:val="-6"/>
          <w:szCs w:val="21"/>
          <w:highlight w:val="none"/>
        </w:rPr>
        <w:t>否则其投标作无效标处理。</w:t>
      </w:r>
    </w:p>
    <w:p w14:paraId="333ECDCF">
      <w:pPr>
        <w:keepNext w:val="0"/>
        <w:keepLines w:val="0"/>
        <w:pageBreakBefore w:val="0"/>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5.如有多分标，按分标分别提供开标一览表，</w:t>
      </w:r>
      <w:r>
        <w:rPr>
          <w:rFonts w:hint="eastAsia" w:ascii="宋体" w:hAnsi="宋体" w:eastAsia="宋体" w:cs="宋体"/>
          <w:b/>
          <w:color w:val="auto"/>
          <w:szCs w:val="21"/>
          <w:highlight w:val="none"/>
        </w:rPr>
        <w:t>否则投标无效。</w:t>
      </w:r>
    </w:p>
    <w:p w14:paraId="0266779C">
      <w:pPr>
        <w:keepNext w:val="0"/>
        <w:keepLines w:val="0"/>
        <w:pageBreakBefore w:val="0"/>
        <w:wordWrap/>
        <w:overflowPunct/>
        <w:topLinePunct w:val="0"/>
        <w:bidi w:val="0"/>
        <w:snapToGrid w:val="0"/>
        <w:spacing w:line="400" w:lineRule="exact"/>
        <w:ind w:left="-2" w:leftChars="-1" w:right="-817" w:rightChars="-389"/>
        <w:rPr>
          <w:rFonts w:hint="eastAsia" w:ascii="宋体" w:hAnsi="宋体" w:eastAsia="宋体" w:cs="宋体"/>
          <w:color w:val="auto"/>
          <w:szCs w:val="21"/>
          <w:highlight w:val="none"/>
        </w:rPr>
      </w:pPr>
    </w:p>
    <w:p w14:paraId="0584A0D9">
      <w:pPr>
        <w:keepNext w:val="0"/>
        <w:keepLines w:val="0"/>
        <w:pageBreakBefore w:val="0"/>
        <w:wordWrap/>
        <w:overflowPunct/>
        <w:topLinePunct w:val="0"/>
        <w:bidi w:val="0"/>
        <w:snapToGrid w:val="0"/>
        <w:spacing w:line="400" w:lineRule="exact"/>
        <w:ind w:left="-2" w:leftChars="-1" w:right="-817" w:rightChars="-38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法定代表人或者委托代理人（签字或者电子签名）： </w:t>
      </w:r>
    </w:p>
    <w:p w14:paraId="119174F2">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p>
    <w:p w14:paraId="4BF0A7DF">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w:t>
      </w:r>
    </w:p>
    <w:p w14:paraId="6CC90F48">
      <w:pPr>
        <w:rPr>
          <w:rFonts w:hint="eastAsia" w:ascii="宋体" w:hAnsi="宋体" w:eastAsia="宋体" w:cs="宋体"/>
          <w:color w:val="auto"/>
          <w:highlight w:val="none"/>
        </w:rPr>
      </w:pPr>
      <w:r>
        <w:rPr>
          <w:rFonts w:hint="eastAsia" w:ascii="宋体" w:hAnsi="宋体" w:eastAsia="宋体" w:cs="宋体"/>
          <w:b/>
          <w:bCs/>
          <w:color w:val="auto"/>
          <w:sz w:val="24"/>
          <w:highlight w:val="none"/>
        </w:rPr>
        <w:br w:type="page"/>
      </w:r>
      <w:bookmarkStart w:id="223" w:name="_Toc19686837"/>
      <w:r>
        <w:rPr>
          <w:rFonts w:hint="eastAsia" w:ascii="宋体" w:hAnsi="宋体" w:eastAsia="宋体" w:cs="宋体"/>
          <w:b/>
          <w:color w:val="auto"/>
          <w:sz w:val="24"/>
          <w:highlight w:val="none"/>
        </w:rPr>
        <w:t>3.中小企业声明函格式</w:t>
      </w:r>
    </w:p>
    <w:p w14:paraId="39792CD0">
      <w:pPr>
        <w:rPr>
          <w:rFonts w:hint="eastAsia" w:ascii="宋体" w:hAnsi="宋体" w:eastAsia="宋体" w:cs="宋体"/>
          <w:color w:val="auto"/>
          <w:highlight w:val="none"/>
        </w:rPr>
      </w:pPr>
    </w:p>
    <w:p w14:paraId="16A91FA3">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中小企业声明函（服务）</w:t>
      </w:r>
    </w:p>
    <w:p w14:paraId="1425F7DB">
      <w:pPr>
        <w:spacing w:before="2" w:line="500" w:lineRule="exact"/>
        <w:rPr>
          <w:rFonts w:hint="eastAsia" w:ascii="宋体" w:hAnsi="宋体" w:eastAsia="宋体" w:cs="宋体"/>
          <w:b/>
          <w:bCs/>
          <w:color w:val="auto"/>
          <w:szCs w:val="21"/>
          <w:highlight w:val="none"/>
        </w:rPr>
      </w:pPr>
    </w:p>
    <w:p w14:paraId="6A9C67E1">
      <w:pPr>
        <w:pStyle w:val="2"/>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采购活动，服务全部由符合政策要求的中小企业承接。相关企业（含联合体中的中小企业、签订分包意向协议的中小企业）的具体情况如下：</w:t>
      </w:r>
    </w:p>
    <w:p w14:paraId="6D3AA71F">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58E8D137">
      <w:pPr>
        <w:pStyle w:val="2"/>
        <w:keepNext w:val="0"/>
        <w:keepLines w:val="0"/>
        <w:pageBreakBefore w:val="0"/>
        <w:widowControl w:val="0"/>
        <w:kinsoku/>
        <w:wordWrap/>
        <w:overflowPunct/>
        <w:topLinePunct w:val="0"/>
        <w:autoSpaceDE/>
        <w:autoSpaceDN/>
        <w:bidi w:val="0"/>
        <w:adjustRightInd/>
        <w:snapToGrid/>
        <w:spacing w:before="34" w:line="400" w:lineRule="exact"/>
        <w:ind w:left="765" w:right="142" w:hanging="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9C552F8">
      <w:pPr>
        <w:pStyle w:val="2"/>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5F7A6096">
      <w:pPr>
        <w:pStyle w:val="2"/>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6F500869">
      <w:pPr>
        <w:pStyle w:val="2"/>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eastAsia="宋体" w:cs="宋体"/>
          <w:color w:val="auto"/>
          <w:szCs w:val="21"/>
          <w:highlight w:val="none"/>
        </w:rPr>
      </w:pPr>
      <w:r>
        <w:rPr>
          <w:rFonts w:hint="eastAsia" w:ascii="宋体" w:hAnsi="宋体" w:eastAsia="宋体" w:cs="宋体"/>
          <w:color w:val="auto"/>
          <w:kern w:val="24"/>
          <w:szCs w:val="21"/>
          <w:highlight w:val="none"/>
        </w:rPr>
        <w:t>企业名称（电子签章）：</w:t>
      </w:r>
      <w:r>
        <w:rPr>
          <w:rFonts w:hint="eastAsia" w:ascii="宋体" w:hAnsi="宋体" w:eastAsia="宋体" w:cs="宋体"/>
          <w:color w:val="auto"/>
          <w:szCs w:val="21"/>
          <w:highlight w:val="none"/>
        </w:rPr>
        <w:t xml:space="preserve"> </w:t>
      </w:r>
    </w:p>
    <w:p w14:paraId="70A599AC">
      <w:pPr>
        <w:pStyle w:val="2"/>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42B6D3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 xml:space="preserve"> </w:t>
      </w:r>
    </w:p>
    <w:p w14:paraId="099E86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highlight w:val="none"/>
        </w:rPr>
      </w:pPr>
      <w:r>
        <w:rPr>
          <w:rFonts w:hint="eastAsia" w:ascii="宋体" w:hAnsi="宋体" w:eastAsia="宋体" w:cs="宋体"/>
          <w:color w:val="auto"/>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eastAsia="宋体" w:cs="宋体"/>
          <w:color w:val="auto"/>
          <w:highlight w:val="none"/>
        </w:rPr>
        <w:br w:type="page"/>
      </w:r>
      <w:r>
        <w:rPr>
          <w:rFonts w:hint="eastAsia" w:ascii="宋体" w:hAnsi="宋体" w:eastAsia="宋体" w:cs="宋体"/>
          <w:color w:val="auto"/>
          <w:highlight w:val="none"/>
        </w:rPr>
        <w:t>4</w:t>
      </w:r>
      <w:r>
        <w:rPr>
          <w:rFonts w:hint="eastAsia" w:ascii="宋体" w:hAnsi="宋体" w:eastAsia="宋体" w:cs="宋体"/>
          <w:b/>
          <w:color w:val="auto"/>
          <w:sz w:val="24"/>
          <w:highlight w:val="none"/>
        </w:rPr>
        <w:t>.残疾人福利性单位声明函格式</w:t>
      </w:r>
    </w:p>
    <w:p w14:paraId="707134C5">
      <w:pPr>
        <w:spacing w:line="588" w:lineRule="exact"/>
        <w:jc w:val="center"/>
        <w:rPr>
          <w:rFonts w:hint="eastAsia" w:ascii="宋体" w:hAnsi="宋体" w:eastAsia="宋体" w:cs="宋体"/>
          <w:b/>
          <w:color w:val="auto"/>
          <w:spacing w:val="6"/>
          <w:sz w:val="32"/>
          <w:szCs w:val="32"/>
          <w:highlight w:val="none"/>
        </w:rPr>
      </w:pPr>
    </w:p>
    <w:p w14:paraId="03CE5C95">
      <w:pPr>
        <w:spacing w:line="588" w:lineRule="exact"/>
        <w:jc w:val="center"/>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残疾人福利性单位声明函</w:t>
      </w:r>
    </w:p>
    <w:p w14:paraId="64F2C8BB">
      <w:pPr>
        <w:spacing w:line="588" w:lineRule="exact"/>
        <w:rPr>
          <w:rFonts w:hint="eastAsia" w:ascii="宋体" w:hAnsi="宋体" w:eastAsia="宋体" w:cs="宋体"/>
          <w:b/>
          <w:color w:val="auto"/>
          <w:spacing w:val="6"/>
          <w:sz w:val="30"/>
          <w:szCs w:val="30"/>
          <w:highlight w:val="none"/>
        </w:rPr>
      </w:pPr>
    </w:p>
    <w:p w14:paraId="0156C5EB">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color w:val="auto"/>
          <w:spacing w:val="-6"/>
          <w:szCs w:val="21"/>
          <w:highlight w:val="none"/>
        </w:rPr>
        <w:t>疾人福利性单位制造的货物（不包括使用非残疾人福利性单位注册商标的货物）。</w:t>
      </w:r>
    </w:p>
    <w:p w14:paraId="46813F65">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1BD56FF0">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eastAsia="宋体" w:cs="宋体"/>
          <w:color w:val="auto"/>
          <w:spacing w:val="6"/>
          <w:szCs w:val="21"/>
          <w:highlight w:val="none"/>
        </w:rPr>
      </w:pPr>
    </w:p>
    <w:p w14:paraId="3192387C">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eastAsia="宋体" w:cs="宋体"/>
          <w:color w:val="auto"/>
          <w:spacing w:val="6"/>
          <w:szCs w:val="21"/>
          <w:highlight w:val="none"/>
        </w:rPr>
      </w:pPr>
    </w:p>
    <w:p w14:paraId="5C46DF06">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单位名称（电子签章）：</w:t>
      </w:r>
    </w:p>
    <w:p w14:paraId="7EAE5A63">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日  期：</w:t>
      </w:r>
    </w:p>
    <w:p w14:paraId="706540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3D295A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7F13C6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3787CC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7D7A099">
      <w:pPr>
        <w:ind w:firstLine="3990" w:firstLineChars="1900"/>
        <w:rPr>
          <w:rFonts w:hint="eastAsia" w:ascii="宋体" w:hAnsi="宋体" w:eastAsia="宋体" w:cs="宋体"/>
          <w:color w:val="auto"/>
          <w:szCs w:val="21"/>
          <w:highlight w:val="none"/>
        </w:rPr>
      </w:pPr>
    </w:p>
    <w:p w14:paraId="746215E7">
      <w:pPr>
        <w:spacing w:line="360" w:lineRule="auto"/>
        <w:rPr>
          <w:rFonts w:hint="eastAsia" w:ascii="宋体" w:hAnsi="宋体" w:eastAsia="宋体" w:cs="宋体"/>
          <w:color w:val="auto"/>
          <w:szCs w:val="21"/>
          <w:highlight w:val="none"/>
        </w:rPr>
      </w:pPr>
    </w:p>
    <w:p w14:paraId="677A1463">
      <w:pPr>
        <w:rPr>
          <w:rFonts w:hint="eastAsia" w:ascii="宋体" w:hAnsi="宋体" w:eastAsia="宋体" w:cs="宋体"/>
          <w:color w:val="auto"/>
          <w:szCs w:val="21"/>
          <w:highlight w:val="none"/>
        </w:rPr>
      </w:pPr>
    </w:p>
    <w:p w14:paraId="4A42C451">
      <w:pPr>
        <w:spacing w:line="360" w:lineRule="auto"/>
        <w:rPr>
          <w:rFonts w:hint="eastAsia" w:ascii="宋体" w:hAnsi="宋体" w:eastAsia="宋体" w:cs="宋体"/>
          <w:color w:val="auto"/>
          <w:highlight w:val="none"/>
        </w:rPr>
      </w:pPr>
    </w:p>
    <w:p w14:paraId="60E01103">
      <w:pPr>
        <w:spacing w:line="360" w:lineRule="auto"/>
        <w:rPr>
          <w:rFonts w:hint="eastAsia" w:ascii="宋体" w:hAnsi="宋体" w:eastAsia="宋体" w:cs="宋体"/>
          <w:color w:val="auto"/>
          <w:highlight w:val="none"/>
        </w:rPr>
      </w:pPr>
    </w:p>
    <w:p w14:paraId="0F499C78">
      <w:pPr>
        <w:rPr>
          <w:rFonts w:hint="eastAsia" w:ascii="宋体" w:hAnsi="宋体" w:eastAsia="宋体" w:cs="宋体"/>
          <w:color w:val="auto"/>
          <w:sz w:val="24"/>
          <w:highlight w:val="none"/>
        </w:rPr>
      </w:pPr>
    </w:p>
    <w:p w14:paraId="159E61EE">
      <w:pPr>
        <w:pStyle w:val="4"/>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24" w:name="_Toc23452"/>
      <w:bookmarkStart w:id="225" w:name="_Toc560"/>
      <w:r>
        <w:rPr>
          <w:rFonts w:hint="eastAsia" w:ascii="宋体" w:hAnsi="宋体" w:eastAsia="宋体" w:cs="宋体"/>
          <w:color w:val="auto"/>
          <w:highlight w:val="none"/>
        </w:rPr>
        <w:t>二、资格证明文件格式</w:t>
      </w:r>
      <w:bookmarkEnd w:id="221"/>
      <w:bookmarkEnd w:id="222"/>
      <w:bookmarkEnd w:id="223"/>
      <w:bookmarkEnd w:id="224"/>
      <w:bookmarkEnd w:id="225"/>
    </w:p>
    <w:p w14:paraId="34674E41">
      <w:pPr>
        <w:snapToGrid w:val="0"/>
        <w:spacing w:before="120"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1.资格证明文件封面格式： </w:t>
      </w:r>
    </w:p>
    <w:p w14:paraId="0506D11F">
      <w:pPr>
        <w:snapToGrid w:val="0"/>
        <w:spacing w:before="120" w:beforeLines="50" w:after="50"/>
        <w:jc w:val="center"/>
        <w:rPr>
          <w:rFonts w:hint="eastAsia" w:ascii="宋体" w:hAnsi="宋体" w:eastAsia="宋体" w:cs="宋体"/>
          <w:bCs/>
          <w:color w:val="auto"/>
          <w:sz w:val="48"/>
          <w:szCs w:val="48"/>
          <w:highlight w:val="none"/>
        </w:rPr>
      </w:pPr>
    </w:p>
    <w:p w14:paraId="53055EC9">
      <w:pPr>
        <w:snapToGrid w:val="0"/>
        <w:spacing w:before="120" w:beforeLines="50" w:after="50"/>
        <w:jc w:val="center"/>
        <w:rPr>
          <w:rFonts w:hint="eastAsia" w:ascii="宋体" w:hAnsi="宋体" w:eastAsia="宋体" w:cs="宋体"/>
          <w:bCs/>
          <w:color w:val="auto"/>
          <w:sz w:val="48"/>
          <w:szCs w:val="48"/>
          <w:highlight w:val="none"/>
        </w:rPr>
      </w:pPr>
    </w:p>
    <w:p w14:paraId="734468CB">
      <w:pPr>
        <w:snapToGrid w:val="0"/>
        <w:spacing w:before="120" w:beforeLines="50" w:after="50"/>
        <w:jc w:val="center"/>
        <w:rPr>
          <w:rFonts w:hint="eastAsia" w:ascii="宋体" w:hAnsi="宋体" w:eastAsia="宋体" w:cs="宋体"/>
          <w:bCs/>
          <w:color w:val="auto"/>
          <w:sz w:val="48"/>
          <w:szCs w:val="48"/>
          <w:highlight w:val="none"/>
        </w:rPr>
      </w:pPr>
      <w:r>
        <w:rPr>
          <w:rFonts w:hint="eastAsia" w:ascii="宋体" w:hAnsi="宋体" w:eastAsia="宋体" w:cs="宋体"/>
          <w:bCs/>
          <w:color w:val="auto"/>
          <w:sz w:val="48"/>
          <w:szCs w:val="48"/>
          <w:highlight w:val="none"/>
        </w:rPr>
        <w:t>电子投标文件</w:t>
      </w:r>
    </w:p>
    <w:p w14:paraId="78304798">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w:t>
      </w:r>
    </w:p>
    <w:p w14:paraId="3F3FEB2E">
      <w:pPr>
        <w:snapToGrid w:val="0"/>
        <w:spacing w:before="120"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w:t>
      </w:r>
    </w:p>
    <w:p w14:paraId="7AB747E6">
      <w:pPr>
        <w:snapToGrid w:val="0"/>
        <w:spacing w:before="120" w:beforeLines="50" w:after="50"/>
        <w:rPr>
          <w:rFonts w:hint="eastAsia" w:ascii="宋体" w:hAnsi="宋体" w:eastAsia="宋体" w:cs="宋体"/>
          <w:bCs/>
          <w:color w:val="auto"/>
          <w:sz w:val="24"/>
          <w:szCs w:val="20"/>
          <w:highlight w:val="none"/>
        </w:rPr>
      </w:pPr>
    </w:p>
    <w:p w14:paraId="5DFBD8E3">
      <w:pPr>
        <w:snapToGrid w:val="0"/>
        <w:spacing w:before="120" w:beforeLines="50" w:after="50"/>
        <w:rPr>
          <w:rFonts w:hint="eastAsia" w:ascii="宋体" w:hAnsi="宋体" w:eastAsia="宋体" w:cs="宋体"/>
          <w:bCs/>
          <w:color w:val="auto"/>
          <w:sz w:val="24"/>
          <w:szCs w:val="20"/>
          <w:highlight w:val="none"/>
        </w:rPr>
      </w:pPr>
    </w:p>
    <w:p w14:paraId="5785441F">
      <w:pPr>
        <w:snapToGrid w:val="0"/>
        <w:spacing w:before="120" w:beforeLines="50" w:after="50"/>
        <w:rPr>
          <w:rFonts w:hint="eastAsia" w:ascii="宋体" w:hAnsi="宋体" w:eastAsia="宋体" w:cs="宋体"/>
          <w:bCs/>
          <w:color w:val="auto"/>
          <w:sz w:val="24"/>
          <w:szCs w:val="20"/>
          <w:highlight w:val="none"/>
        </w:rPr>
      </w:pPr>
    </w:p>
    <w:p w14:paraId="29F27ACF">
      <w:pPr>
        <w:snapToGrid w:val="0"/>
        <w:spacing w:before="120" w:beforeLines="50" w:after="50"/>
        <w:rPr>
          <w:rFonts w:hint="eastAsia" w:ascii="宋体" w:hAnsi="宋体" w:eastAsia="宋体" w:cs="宋体"/>
          <w:bCs/>
          <w:color w:val="auto"/>
          <w:sz w:val="24"/>
          <w:szCs w:val="20"/>
          <w:highlight w:val="none"/>
        </w:rPr>
      </w:pPr>
    </w:p>
    <w:p w14:paraId="0F405A16">
      <w:pPr>
        <w:snapToGrid w:val="0"/>
        <w:spacing w:before="120" w:beforeLines="50" w:after="50"/>
        <w:rPr>
          <w:rFonts w:hint="eastAsia" w:ascii="宋体" w:hAnsi="宋体" w:eastAsia="宋体" w:cs="宋体"/>
          <w:bCs/>
          <w:color w:val="auto"/>
          <w:sz w:val="24"/>
          <w:szCs w:val="20"/>
          <w:highlight w:val="none"/>
        </w:rPr>
      </w:pPr>
    </w:p>
    <w:p w14:paraId="52482069">
      <w:pPr>
        <w:snapToGrid w:val="0"/>
        <w:spacing w:before="120" w:beforeLines="50" w:after="50"/>
        <w:rPr>
          <w:rFonts w:hint="eastAsia" w:ascii="宋体" w:hAnsi="宋体" w:eastAsia="宋体" w:cs="宋体"/>
          <w:bCs/>
          <w:color w:val="auto"/>
          <w:sz w:val="24"/>
          <w:szCs w:val="20"/>
          <w:highlight w:val="none"/>
        </w:rPr>
      </w:pPr>
    </w:p>
    <w:p w14:paraId="78E25D06">
      <w:pPr>
        <w:snapToGrid w:val="0"/>
        <w:spacing w:before="120" w:beforeLines="50" w:after="50"/>
        <w:rPr>
          <w:rFonts w:hint="eastAsia" w:ascii="宋体" w:hAnsi="宋体" w:eastAsia="宋体" w:cs="宋体"/>
          <w:bCs/>
          <w:color w:val="auto"/>
          <w:sz w:val="24"/>
          <w:szCs w:val="20"/>
          <w:highlight w:val="none"/>
        </w:rPr>
      </w:pPr>
    </w:p>
    <w:p w14:paraId="61FD0EC2">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3BF9C6F2">
      <w:pPr>
        <w:snapToGrid w:val="0"/>
        <w:spacing w:before="120" w:beforeLines="50" w:after="50"/>
        <w:ind w:firstLine="540" w:firstLineChars="225"/>
        <w:rPr>
          <w:rFonts w:hint="eastAsia" w:ascii="宋体" w:hAnsi="宋体" w:eastAsia="宋体" w:cs="宋体"/>
          <w:bCs/>
          <w:color w:val="auto"/>
          <w:sz w:val="24"/>
          <w:szCs w:val="20"/>
          <w:highlight w:val="none"/>
        </w:rPr>
      </w:pPr>
    </w:p>
    <w:p w14:paraId="335C3506">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54B76AD6">
      <w:pPr>
        <w:snapToGrid w:val="0"/>
        <w:spacing w:before="120" w:beforeLines="50" w:after="50"/>
        <w:ind w:firstLine="540" w:firstLineChars="225"/>
        <w:rPr>
          <w:rFonts w:hint="eastAsia" w:ascii="宋体" w:hAnsi="宋体" w:eastAsia="宋体" w:cs="宋体"/>
          <w:bCs/>
          <w:color w:val="auto"/>
          <w:sz w:val="24"/>
          <w:szCs w:val="20"/>
          <w:highlight w:val="none"/>
        </w:rPr>
      </w:pPr>
    </w:p>
    <w:p w14:paraId="5804B11C">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468CCFC0">
      <w:pPr>
        <w:pStyle w:val="10"/>
        <w:snapToGrid w:val="0"/>
        <w:spacing w:before="50" w:after="50"/>
        <w:ind w:firstLine="540" w:firstLineChars="225"/>
        <w:rPr>
          <w:rFonts w:hint="eastAsia" w:ascii="宋体" w:hAnsi="宋体" w:eastAsia="宋体" w:cs="宋体"/>
          <w:bCs/>
          <w:color w:val="auto"/>
          <w:sz w:val="24"/>
          <w:szCs w:val="24"/>
          <w:highlight w:val="none"/>
        </w:rPr>
      </w:pPr>
    </w:p>
    <w:p w14:paraId="70E8A80B">
      <w:pPr>
        <w:pStyle w:val="10"/>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77FF4B31">
      <w:pPr>
        <w:pStyle w:val="10"/>
        <w:snapToGrid w:val="0"/>
        <w:spacing w:before="50" w:after="50"/>
        <w:ind w:firstLine="540" w:firstLineChars="225"/>
        <w:rPr>
          <w:rFonts w:hint="eastAsia" w:ascii="宋体" w:hAnsi="宋体" w:eastAsia="宋体" w:cs="宋体"/>
          <w:bCs/>
          <w:color w:val="auto"/>
          <w:sz w:val="24"/>
          <w:szCs w:val="24"/>
          <w:highlight w:val="none"/>
        </w:rPr>
      </w:pPr>
    </w:p>
    <w:p w14:paraId="4C362F07">
      <w:pPr>
        <w:pStyle w:val="10"/>
        <w:snapToGrid w:val="0"/>
        <w:spacing w:before="50" w:after="50"/>
        <w:ind w:firstLine="960" w:firstLineChars="400"/>
        <w:rPr>
          <w:rFonts w:hint="eastAsia" w:ascii="宋体" w:hAnsi="宋体" w:eastAsia="宋体" w:cs="宋体"/>
          <w:bCs/>
          <w:color w:val="auto"/>
          <w:sz w:val="24"/>
          <w:szCs w:val="24"/>
          <w:highlight w:val="none"/>
        </w:rPr>
      </w:pPr>
    </w:p>
    <w:p w14:paraId="3A1EB642">
      <w:pPr>
        <w:snapToGrid w:val="0"/>
        <w:spacing w:before="120"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38FD7004">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30948E6B">
      <w:pPr>
        <w:snapToGrid w:val="0"/>
        <w:spacing w:before="120" w:beforeLines="50" w:after="50"/>
        <w:rPr>
          <w:rFonts w:hint="eastAsia" w:ascii="宋体" w:hAnsi="宋体" w:eastAsia="宋体" w:cs="宋体"/>
          <w:color w:val="auto"/>
          <w:sz w:val="24"/>
          <w:szCs w:val="20"/>
          <w:highlight w:val="none"/>
        </w:rPr>
      </w:pPr>
    </w:p>
    <w:p w14:paraId="74923A0A">
      <w:pPr>
        <w:snapToGrid w:val="0"/>
        <w:spacing w:before="120" w:beforeLines="50" w:after="50" w:line="360" w:lineRule="auto"/>
        <w:ind w:firstLine="120" w:firstLineChars="50"/>
        <w:jc w:val="left"/>
        <w:rPr>
          <w:rFonts w:hint="eastAsia" w:ascii="宋体" w:hAnsi="宋体" w:eastAsia="宋体" w:cs="宋体"/>
          <w:color w:val="auto"/>
          <w:sz w:val="24"/>
          <w:szCs w:val="20"/>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2.资格证明文件目录</w:t>
      </w:r>
    </w:p>
    <w:p w14:paraId="6A23B29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根据招标文件规定及投标人提供的材料自行编写目录。</w:t>
      </w:r>
    </w:p>
    <w:p w14:paraId="19031383">
      <w:pPr>
        <w:snapToGrid w:val="0"/>
        <w:spacing w:before="50" w:after="120" w:afterLines="50"/>
        <w:jc w:val="left"/>
        <w:rPr>
          <w:rFonts w:hint="eastAsia" w:ascii="宋体" w:hAnsi="宋体" w:eastAsia="宋体" w:cs="宋体"/>
          <w:color w:val="auto"/>
          <w:sz w:val="24"/>
          <w:highlight w:val="none"/>
        </w:rPr>
      </w:pPr>
    </w:p>
    <w:p w14:paraId="04312B39">
      <w:pPr>
        <w:snapToGrid w:val="0"/>
        <w:spacing w:before="50" w:after="120" w:afterLines="50"/>
        <w:jc w:val="left"/>
        <w:rPr>
          <w:rFonts w:hint="eastAsia" w:ascii="宋体" w:hAnsi="宋体" w:eastAsia="宋体" w:cs="宋体"/>
          <w:color w:val="auto"/>
          <w:sz w:val="24"/>
          <w:highlight w:val="none"/>
        </w:rPr>
      </w:pPr>
    </w:p>
    <w:p w14:paraId="21AFB8F3">
      <w:pPr>
        <w:snapToGrid w:val="0"/>
        <w:spacing w:before="120" w:beforeLines="50" w:after="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3.</w:t>
      </w:r>
      <w:r>
        <w:rPr>
          <w:rFonts w:hint="eastAsia" w:ascii="宋体" w:hAnsi="宋体" w:eastAsia="宋体" w:cs="宋体"/>
          <w:b/>
          <w:color w:val="auto"/>
          <w:sz w:val="28"/>
          <w:szCs w:val="28"/>
          <w:highlight w:val="none"/>
        </w:rPr>
        <w:t>投标人直接控股、管理关系信息表</w:t>
      </w:r>
    </w:p>
    <w:p w14:paraId="27711516">
      <w:pPr>
        <w:snapToGrid w:val="0"/>
        <w:spacing w:before="50" w:after="120" w:afterLines="50"/>
        <w:jc w:val="center"/>
        <w:rPr>
          <w:rFonts w:hint="eastAsia" w:ascii="宋体" w:hAnsi="宋体" w:eastAsia="宋体" w:cs="宋体"/>
          <w:b/>
          <w:color w:val="auto"/>
          <w:sz w:val="28"/>
          <w:szCs w:val="28"/>
          <w:highlight w:val="none"/>
        </w:rPr>
      </w:pPr>
    </w:p>
    <w:p w14:paraId="3C8BBD82">
      <w:pPr>
        <w:snapToGrid w:val="0"/>
        <w:spacing w:before="120" w:beforeLines="50" w:after="50"/>
        <w:ind w:left="420"/>
        <w:jc w:val="center"/>
        <w:rPr>
          <w:rFonts w:hint="eastAsia" w:ascii="宋体" w:hAnsi="宋体" w:eastAsia="宋体" w:cs="宋体"/>
          <w:bCs/>
          <w:color w:val="auto"/>
          <w:spacing w:val="-17"/>
          <w:sz w:val="44"/>
          <w:szCs w:val="44"/>
          <w:highlight w:val="none"/>
        </w:rPr>
      </w:pPr>
      <w:r>
        <w:rPr>
          <w:rFonts w:hint="eastAsia" w:ascii="宋体" w:hAnsi="宋体" w:eastAsia="宋体" w:cs="宋体"/>
          <w:bCs/>
          <w:color w:val="auto"/>
          <w:spacing w:val="-17"/>
          <w:sz w:val="44"/>
          <w:szCs w:val="44"/>
          <w:highlight w:val="none"/>
        </w:rPr>
        <w:t>供应商直接控股、管理关系信息表</w:t>
      </w:r>
    </w:p>
    <w:tbl>
      <w:tblPr>
        <w:tblStyle w:val="40"/>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49"/>
        <w:gridCol w:w="803"/>
        <w:gridCol w:w="1484"/>
        <w:gridCol w:w="4510"/>
      </w:tblGrid>
      <w:tr w14:paraId="7363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386" w:type="pct"/>
            <w:gridSpan w:val="4"/>
            <w:shd w:val="clear" w:color="auto" w:fill="F2DBDB"/>
            <w:noWrap w:val="0"/>
            <w:vAlign w:val="center"/>
          </w:tcPr>
          <w:p w14:paraId="09E967F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投标人直接控股股东信息表</w:t>
            </w:r>
          </w:p>
        </w:tc>
        <w:tc>
          <w:tcPr>
            <w:tcW w:w="2613" w:type="pct"/>
            <w:shd w:val="clear" w:color="auto" w:fill="F2DBDB"/>
            <w:noWrap w:val="0"/>
            <w:vAlign w:val="center"/>
          </w:tcPr>
          <w:p w14:paraId="7A5954C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tc>
      </w:tr>
      <w:tr w14:paraId="76EB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6C6EBA1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608" w:type="pct"/>
            <w:noWrap w:val="0"/>
            <w:vAlign w:val="center"/>
          </w:tcPr>
          <w:p w14:paraId="7EE4A4E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直接控股股东名称</w:t>
            </w:r>
          </w:p>
        </w:tc>
        <w:tc>
          <w:tcPr>
            <w:tcW w:w="464" w:type="pct"/>
            <w:noWrap w:val="0"/>
            <w:vAlign w:val="center"/>
          </w:tcPr>
          <w:p w14:paraId="0E38ECB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出资比例</w:t>
            </w:r>
          </w:p>
        </w:tc>
        <w:tc>
          <w:tcPr>
            <w:tcW w:w="858" w:type="pct"/>
            <w:noWrap w:val="0"/>
            <w:vAlign w:val="center"/>
          </w:tcPr>
          <w:p w14:paraId="4708678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身份证号码或者统一社会信用代码</w:t>
            </w:r>
          </w:p>
        </w:tc>
        <w:tc>
          <w:tcPr>
            <w:tcW w:w="2613" w:type="pct"/>
            <w:vMerge w:val="restart"/>
            <w:noWrap w:val="0"/>
            <w:vAlign w:val="center"/>
          </w:tcPr>
          <w:p w14:paraId="2D0186B4">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24FB5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33754859">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3.供应商不存在直接控股股东的，则填“无”。</w:t>
            </w:r>
          </w:p>
        </w:tc>
      </w:tr>
      <w:tr w14:paraId="4107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5E1C2B8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608" w:type="pct"/>
            <w:noWrap w:val="0"/>
            <w:vAlign w:val="top"/>
          </w:tcPr>
          <w:p w14:paraId="685D6E7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464" w:type="pct"/>
            <w:noWrap w:val="0"/>
            <w:vAlign w:val="top"/>
          </w:tcPr>
          <w:p w14:paraId="4918FB6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858" w:type="pct"/>
            <w:noWrap w:val="0"/>
            <w:vAlign w:val="top"/>
          </w:tcPr>
          <w:p w14:paraId="0F858FF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2613" w:type="pct"/>
            <w:vMerge w:val="continue"/>
            <w:noWrap w:val="0"/>
            <w:vAlign w:val="top"/>
          </w:tcPr>
          <w:p w14:paraId="1CC9355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p>
        </w:tc>
      </w:tr>
      <w:tr w14:paraId="499B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2CD832DB">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608" w:type="pct"/>
            <w:noWrap w:val="0"/>
            <w:vAlign w:val="top"/>
          </w:tcPr>
          <w:p w14:paraId="7570945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464" w:type="pct"/>
            <w:noWrap w:val="0"/>
            <w:vAlign w:val="top"/>
          </w:tcPr>
          <w:p w14:paraId="1D8B34F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858" w:type="pct"/>
            <w:noWrap w:val="0"/>
            <w:vAlign w:val="top"/>
          </w:tcPr>
          <w:p w14:paraId="6A829C3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2613" w:type="pct"/>
            <w:vMerge w:val="continue"/>
            <w:noWrap w:val="0"/>
            <w:vAlign w:val="top"/>
          </w:tcPr>
          <w:p w14:paraId="721B0E3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r>
      <w:tr w14:paraId="1C30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noWrap w:val="0"/>
            <w:vAlign w:val="top"/>
          </w:tcPr>
          <w:p w14:paraId="275454C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w:t>
            </w:r>
          </w:p>
        </w:tc>
        <w:tc>
          <w:tcPr>
            <w:tcW w:w="608" w:type="pct"/>
            <w:tcBorders>
              <w:bottom w:val="single" w:color="auto" w:sz="4" w:space="0"/>
            </w:tcBorders>
            <w:noWrap w:val="0"/>
            <w:vAlign w:val="top"/>
          </w:tcPr>
          <w:p w14:paraId="346DD66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464" w:type="pct"/>
            <w:tcBorders>
              <w:bottom w:val="single" w:color="auto" w:sz="4" w:space="0"/>
            </w:tcBorders>
            <w:noWrap w:val="0"/>
            <w:vAlign w:val="top"/>
          </w:tcPr>
          <w:p w14:paraId="04AA649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858" w:type="pct"/>
            <w:tcBorders>
              <w:bottom w:val="single" w:color="auto" w:sz="4" w:space="0"/>
            </w:tcBorders>
            <w:noWrap w:val="0"/>
            <w:vAlign w:val="top"/>
          </w:tcPr>
          <w:p w14:paraId="5DECFD0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2613" w:type="pct"/>
            <w:vMerge w:val="continue"/>
            <w:tcBorders>
              <w:bottom w:val="single" w:color="auto" w:sz="4" w:space="0"/>
            </w:tcBorders>
            <w:noWrap w:val="0"/>
            <w:vAlign w:val="top"/>
          </w:tcPr>
          <w:p w14:paraId="621ECAC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r>
      <w:tr w14:paraId="62BF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86" w:type="pct"/>
            <w:gridSpan w:val="4"/>
            <w:shd w:val="clear" w:color="auto" w:fill="F2DBDB"/>
            <w:noWrap w:val="0"/>
            <w:vAlign w:val="center"/>
          </w:tcPr>
          <w:p w14:paraId="227487B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投标人直接管理关系信息表</w:t>
            </w:r>
          </w:p>
        </w:tc>
        <w:tc>
          <w:tcPr>
            <w:tcW w:w="2613" w:type="pct"/>
            <w:shd w:val="clear" w:color="auto" w:fill="F2DBDB"/>
            <w:noWrap w:val="0"/>
            <w:vAlign w:val="center"/>
          </w:tcPr>
          <w:p w14:paraId="6B60F28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tc>
      </w:tr>
      <w:tr w14:paraId="1363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1818B11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序号</w:t>
            </w:r>
          </w:p>
        </w:tc>
        <w:tc>
          <w:tcPr>
            <w:tcW w:w="1073" w:type="pct"/>
            <w:gridSpan w:val="2"/>
            <w:noWrap w:val="0"/>
            <w:vAlign w:val="center"/>
          </w:tcPr>
          <w:p w14:paraId="3734BB6B">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直接管理关系单位名称</w:t>
            </w:r>
          </w:p>
        </w:tc>
        <w:tc>
          <w:tcPr>
            <w:tcW w:w="858" w:type="pct"/>
            <w:noWrap w:val="0"/>
            <w:vAlign w:val="center"/>
          </w:tcPr>
          <w:p w14:paraId="729CBA5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统一社会信用代码</w:t>
            </w:r>
          </w:p>
        </w:tc>
        <w:tc>
          <w:tcPr>
            <w:tcW w:w="2613" w:type="pct"/>
            <w:vMerge w:val="restart"/>
            <w:noWrap w:val="0"/>
            <w:vAlign w:val="center"/>
          </w:tcPr>
          <w:p w14:paraId="742E52F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12B8FC7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2.本表所指的管理关系仅限于直接管理关系，不包括间接的管理关系。</w:t>
            </w:r>
          </w:p>
          <w:p w14:paraId="174D6E0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3.供应商不存在直接管理关系的，则填“无”。</w:t>
            </w:r>
          </w:p>
        </w:tc>
      </w:tr>
      <w:tr w14:paraId="144E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13F6461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1073" w:type="pct"/>
            <w:gridSpan w:val="2"/>
            <w:noWrap w:val="0"/>
            <w:vAlign w:val="center"/>
          </w:tcPr>
          <w:p w14:paraId="388A6EF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p>
        </w:tc>
        <w:tc>
          <w:tcPr>
            <w:tcW w:w="858" w:type="pct"/>
            <w:noWrap w:val="0"/>
            <w:vAlign w:val="center"/>
          </w:tcPr>
          <w:p w14:paraId="69F33DA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p>
        </w:tc>
        <w:tc>
          <w:tcPr>
            <w:tcW w:w="2613" w:type="pct"/>
            <w:vMerge w:val="continue"/>
            <w:noWrap w:val="0"/>
            <w:vAlign w:val="center"/>
          </w:tcPr>
          <w:p w14:paraId="7A622C6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p>
        </w:tc>
      </w:tr>
      <w:tr w14:paraId="242C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4ACA938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1073" w:type="pct"/>
            <w:gridSpan w:val="2"/>
            <w:noWrap w:val="0"/>
            <w:vAlign w:val="center"/>
          </w:tcPr>
          <w:p w14:paraId="391E786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p>
        </w:tc>
        <w:tc>
          <w:tcPr>
            <w:tcW w:w="858" w:type="pct"/>
            <w:noWrap w:val="0"/>
            <w:vAlign w:val="center"/>
          </w:tcPr>
          <w:p w14:paraId="232CAA9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p>
        </w:tc>
        <w:tc>
          <w:tcPr>
            <w:tcW w:w="2613" w:type="pct"/>
            <w:vMerge w:val="continue"/>
            <w:noWrap w:val="0"/>
            <w:vAlign w:val="center"/>
          </w:tcPr>
          <w:p w14:paraId="6E219994">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p>
        </w:tc>
      </w:tr>
      <w:tr w14:paraId="4F79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14230936">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w:t>
            </w:r>
          </w:p>
        </w:tc>
        <w:tc>
          <w:tcPr>
            <w:tcW w:w="1073" w:type="pct"/>
            <w:gridSpan w:val="2"/>
            <w:noWrap w:val="0"/>
            <w:vAlign w:val="center"/>
          </w:tcPr>
          <w:p w14:paraId="7D9723C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p>
        </w:tc>
        <w:tc>
          <w:tcPr>
            <w:tcW w:w="858" w:type="pct"/>
            <w:noWrap w:val="0"/>
            <w:vAlign w:val="center"/>
          </w:tcPr>
          <w:p w14:paraId="78583D2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p>
        </w:tc>
        <w:tc>
          <w:tcPr>
            <w:tcW w:w="2613" w:type="pct"/>
            <w:vMerge w:val="continue"/>
            <w:noWrap w:val="0"/>
            <w:vAlign w:val="center"/>
          </w:tcPr>
          <w:p w14:paraId="5FBC255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p>
        </w:tc>
      </w:tr>
    </w:tbl>
    <w:p w14:paraId="4981E4EA">
      <w:pPr>
        <w:snapToGrid w:val="0"/>
        <w:spacing w:line="400" w:lineRule="exact"/>
        <w:jc w:val="left"/>
        <w:rPr>
          <w:rFonts w:hint="eastAsia" w:ascii="宋体" w:hAnsi="宋体" w:eastAsia="宋体" w:cs="宋体"/>
          <w:color w:val="auto"/>
          <w:szCs w:val="21"/>
          <w:highlight w:val="none"/>
        </w:rPr>
      </w:pPr>
    </w:p>
    <w:p w14:paraId="690A6550">
      <w:pPr>
        <w:snapToGrid w:val="0"/>
        <w:spacing w:line="400" w:lineRule="exact"/>
        <w:ind w:left="-2" w:leftChars="-1" w:right="-817" w:rightChars="-38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DE39B06">
      <w:pPr>
        <w:snapToGrid w:val="0"/>
        <w:spacing w:line="400" w:lineRule="exact"/>
        <w:ind w:left="-6" w:leftChars="-15" w:right="-817" w:rightChars="-389" w:hanging="25" w:hangingChars="1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p>
    <w:p w14:paraId="7AF5444E">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w:t>
      </w:r>
    </w:p>
    <w:p w14:paraId="05B9CC58">
      <w:pPr>
        <w:snapToGrid w:val="0"/>
        <w:jc w:val="center"/>
        <w:rPr>
          <w:rFonts w:hint="eastAsia" w:ascii="宋体" w:hAnsi="宋体" w:eastAsia="宋体" w:cs="宋体"/>
          <w:b/>
          <w:color w:val="auto"/>
          <w:sz w:val="28"/>
          <w:szCs w:val="28"/>
          <w:highlight w:val="none"/>
        </w:rPr>
      </w:pPr>
    </w:p>
    <w:p w14:paraId="6FB9B74B">
      <w:pPr>
        <w:snapToGrid w:val="0"/>
        <w:spacing w:before="120" w:beforeLines="50" w:after="50"/>
        <w:jc w:val="left"/>
        <w:rPr>
          <w:rFonts w:hint="eastAsia" w:ascii="宋体" w:hAnsi="宋体" w:eastAsia="宋体" w:cs="宋体"/>
          <w:color w:val="auto"/>
          <w:szCs w:val="20"/>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28"/>
          <w:szCs w:val="28"/>
          <w:highlight w:val="none"/>
        </w:rPr>
        <w:t>4.投标声明</w:t>
      </w:r>
    </w:p>
    <w:p w14:paraId="1919CA43">
      <w:pPr>
        <w:snapToGrid w:val="0"/>
        <w:spacing w:before="50" w:after="120" w:afterLines="50"/>
        <w:jc w:val="left"/>
        <w:rPr>
          <w:rFonts w:hint="eastAsia" w:ascii="宋体" w:hAnsi="宋体" w:eastAsia="宋体" w:cs="宋体"/>
          <w:color w:val="auto"/>
          <w:highlight w:val="none"/>
        </w:rPr>
      </w:pPr>
    </w:p>
    <w:p w14:paraId="7DB4B5A5">
      <w:pPr>
        <w:snapToGrid w:val="0"/>
        <w:spacing w:before="120" w:beforeLines="50" w:after="50"/>
        <w:ind w:left="420"/>
        <w:jc w:val="center"/>
        <w:rPr>
          <w:rFonts w:hint="eastAsia" w:ascii="宋体" w:hAnsi="宋体" w:eastAsia="宋体" w:cs="宋体"/>
          <w:b/>
          <w:bCs/>
          <w:color w:val="auto"/>
          <w:spacing w:val="-17"/>
          <w:sz w:val="30"/>
          <w:szCs w:val="30"/>
          <w:highlight w:val="none"/>
        </w:rPr>
      </w:pPr>
      <w:r>
        <w:rPr>
          <w:rFonts w:hint="eastAsia" w:ascii="宋体" w:hAnsi="宋体" w:eastAsia="宋体" w:cs="宋体"/>
          <w:b/>
          <w:bCs/>
          <w:color w:val="auto"/>
          <w:spacing w:val="-17"/>
          <w:sz w:val="30"/>
          <w:szCs w:val="30"/>
          <w:highlight w:val="none"/>
        </w:rPr>
        <w:t>投标声明</w:t>
      </w:r>
    </w:p>
    <w:p w14:paraId="1DD58D50">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w:t>
      </w:r>
    </w:p>
    <w:p w14:paraId="19CC30D0">
      <w:pPr>
        <w:keepNext w:val="0"/>
        <w:keepLines w:val="0"/>
        <w:pageBreakBefore w:val="0"/>
        <w:widowControl w:val="0"/>
        <w:kinsoku/>
        <w:wordWrap/>
        <w:overflowPunct/>
        <w:topLinePunct w:val="0"/>
        <w:autoSpaceDE/>
        <w:autoSpaceDN/>
        <w:bidi w:val="0"/>
        <w:adjustRightInd/>
        <w:spacing w:line="400" w:lineRule="exact"/>
        <w:ind w:firstLine="457" w:firstLineChars="218"/>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我方参加贵单位组织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）的政府采购活动。我方在此郑重声明：</w:t>
      </w:r>
    </w:p>
    <w:p w14:paraId="022BBFA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7BE8A9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2.我方不是为本次采购项目提供整体设计、规范编制或者项目管理、监理、检测等服务的供应商。</w:t>
      </w:r>
    </w:p>
    <w:p w14:paraId="55CE4B12">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3.我方承诺符合《中华人民共和国政府采购法》第二十二条规定：</w:t>
      </w:r>
    </w:p>
    <w:p w14:paraId="377DC898">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（一）具有独立承担民事责任的能力；</w:t>
      </w:r>
    </w:p>
    <w:p w14:paraId="4014363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（二）具有良好的商业信誉和健全的财务会计制度；</w:t>
      </w:r>
    </w:p>
    <w:p w14:paraId="0D9A47E2">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（三）具有履行合同所必需的设备和专业技术能力；</w:t>
      </w:r>
    </w:p>
    <w:p w14:paraId="784F545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（四）有依法缴纳税收和社会保障资金的良好记录；</w:t>
      </w:r>
    </w:p>
    <w:p w14:paraId="11A4555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（五）参加政府采购活动前三年内，在经营活动中没有重大违法记录；</w:t>
      </w:r>
    </w:p>
    <w:p w14:paraId="7FBB673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（六）法律、行政法规规定的其他条件。</w:t>
      </w:r>
    </w:p>
    <w:p w14:paraId="15BC7AB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4.以上事项如有虚假或者隐瞒，我方愿意承担一切后果，并不再寻求任何旨在减轻或者免除法律责任的辩解。</w:t>
      </w:r>
    </w:p>
    <w:p w14:paraId="281D2C9B">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特此承诺。</w:t>
      </w:r>
    </w:p>
    <w:p w14:paraId="1FD80991">
      <w:pPr>
        <w:keepNext w:val="0"/>
        <w:keepLines w:val="0"/>
        <w:pageBreakBefore w:val="0"/>
        <w:widowControl w:val="0"/>
        <w:kinsoku/>
        <w:wordWrap/>
        <w:overflowPunct/>
        <w:topLinePunct w:val="0"/>
        <w:autoSpaceDE/>
        <w:autoSpaceDN/>
        <w:bidi w:val="0"/>
        <w:adjustRightInd/>
        <w:snapToGrid w:val="0"/>
        <w:spacing w:before="50" w:after="50" w:line="400" w:lineRule="exact"/>
        <w:ind w:firstLine="930" w:firstLineChars="441"/>
        <w:textAlignment w:val="auto"/>
        <w:rPr>
          <w:rFonts w:hint="eastAsia" w:ascii="宋体" w:hAnsi="宋体" w:eastAsia="宋体" w:cs="宋体"/>
          <w:color w:val="auto"/>
          <w:spacing w:val="20"/>
          <w:szCs w:val="21"/>
          <w:highlight w:val="none"/>
          <w:u w:val="singl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法定代表人</w:t>
      </w:r>
      <w:r>
        <w:rPr>
          <w:rFonts w:hint="eastAsia" w:ascii="宋体" w:hAnsi="宋体" w:eastAsia="宋体" w:cs="宋体"/>
          <w:color w:val="auto"/>
          <w:spacing w:val="20"/>
          <w:szCs w:val="21"/>
          <w:highlight w:val="none"/>
        </w:rPr>
        <w:t>（签字或者电子签名）：</w:t>
      </w:r>
      <w:r>
        <w:rPr>
          <w:rFonts w:hint="eastAsia" w:ascii="宋体" w:hAnsi="宋体" w:eastAsia="宋体" w:cs="宋体"/>
          <w:color w:val="auto"/>
          <w:spacing w:val="20"/>
          <w:szCs w:val="21"/>
          <w:highlight w:val="none"/>
          <w:u w:val="single"/>
        </w:rPr>
        <w:t xml:space="preserve">        </w:t>
      </w:r>
    </w:p>
    <w:p w14:paraId="257B8242">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r>
        <w:rPr>
          <w:rFonts w:hint="eastAsia" w:ascii="宋体" w:hAnsi="宋体" w:eastAsia="宋体" w:cs="宋体"/>
          <w:color w:val="auto"/>
          <w:szCs w:val="21"/>
          <w:highlight w:val="none"/>
          <w:u w:val="single"/>
        </w:rPr>
        <w:t xml:space="preserve">                 </w:t>
      </w:r>
    </w:p>
    <w:p w14:paraId="7C6EE510">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62783DF6">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注：如为联合体投标，盖章处须加盖联合体牵头人电子签章并由联合体牵头人法定代表人分别签字或者盖章或者电子签名，否则投标无效。</w:t>
      </w:r>
    </w:p>
    <w:p w14:paraId="22EACCF5">
      <w:pPr>
        <w:snapToGrid w:val="0"/>
        <w:spacing w:before="120" w:beforeLines="50" w:after="50"/>
        <w:jc w:val="left"/>
        <w:rPr>
          <w:rFonts w:hint="eastAsia" w:ascii="宋体" w:hAnsi="宋体" w:eastAsia="宋体" w:cs="宋体"/>
          <w:b/>
          <w:color w:val="auto"/>
          <w:sz w:val="28"/>
          <w:szCs w:val="28"/>
          <w:highlight w:val="none"/>
        </w:rPr>
      </w:pPr>
    </w:p>
    <w:p w14:paraId="058DA794">
      <w:pPr>
        <w:snapToGrid w:val="0"/>
        <w:spacing w:before="120" w:beforeLines="50" w:after="50"/>
        <w:jc w:val="left"/>
        <w:rPr>
          <w:rFonts w:hint="eastAsia" w:ascii="宋体" w:hAnsi="宋体" w:eastAsia="宋体" w:cs="宋体"/>
          <w:color w:val="auto"/>
          <w:spacing w:val="20"/>
          <w:sz w:val="24"/>
          <w:highlight w:val="none"/>
        </w:rPr>
      </w:pPr>
      <w:r>
        <w:rPr>
          <w:rFonts w:hint="eastAsia" w:ascii="宋体" w:hAnsi="宋体" w:eastAsia="宋体" w:cs="宋体"/>
          <w:b/>
          <w:color w:val="auto"/>
          <w:highlight w:val="none"/>
        </w:rPr>
        <w:br w:type="page"/>
      </w:r>
      <w:r>
        <w:rPr>
          <w:rFonts w:hint="eastAsia" w:ascii="宋体" w:hAnsi="宋体" w:eastAsia="宋体" w:cs="宋体"/>
          <w:b/>
          <w:color w:val="auto"/>
          <w:sz w:val="28"/>
          <w:szCs w:val="28"/>
          <w:highlight w:val="none"/>
        </w:rPr>
        <w:t>5.联合投标协议书格式</w:t>
      </w:r>
    </w:p>
    <w:p w14:paraId="7BCDF9BE">
      <w:pPr>
        <w:pStyle w:val="10"/>
        <w:overflowPunct w:val="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联合体协议书</w:t>
      </w:r>
    </w:p>
    <w:p w14:paraId="3818558B">
      <w:pPr>
        <w:pStyle w:val="10"/>
        <w:overflowPunct w:val="0"/>
        <w:spacing w:line="360" w:lineRule="auto"/>
        <w:ind w:firstLine="0"/>
        <w:contextualSpacing/>
        <w:rPr>
          <w:rFonts w:hint="eastAsia" w:ascii="宋体" w:hAnsi="宋体" w:eastAsia="宋体" w:cs="宋体"/>
          <w:color w:val="auto"/>
          <w:sz w:val="24"/>
          <w:highlight w:val="none"/>
        </w:rPr>
      </w:pPr>
    </w:p>
    <w:p w14:paraId="37BABE0B">
      <w:pPr>
        <w:pStyle w:val="10"/>
        <w:keepNext w:val="0"/>
        <w:keepLines w:val="0"/>
        <w:pageBreakBefore w:val="0"/>
        <w:widowControl w:val="0"/>
        <w:kinsoku/>
        <w:wordWrap/>
        <w:overflowPunct w:val="0"/>
        <w:topLinePunct w:val="0"/>
        <w:autoSpaceDE/>
        <w:autoSpaceDN/>
        <w:bidi w:val="0"/>
        <w:adjustRightInd/>
        <w:snapToGrid/>
        <w:spacing w:line="400" w:lineRule="exact"/>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（所有成员单位名称）自愿组成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（联合体名称）联合体，共同参加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分标采购招标项目投标。现就联合体投标事宜订立如下协议。</w:t>
      </w:r>
    </w:p>
    <w:p w14:paraId="169FAA4F">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（联合体名称）牵头人。</w:t>
      </w:r>
    </w:p>
    <w:p w14:paraId="6F341FFC">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6CAAF990">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6E5E7B5C">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B9DBFC9">
      <w:pPr>
        <w:keepNext w:val="0"/>
        <w:keepLines w:val="0"/>
        <w:pageBreakBefore w:val="0"/>
        <w:widowControl w:val="0"/>
        <w:kinsoku/>
        <w:wordWrap/>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0"/>
          <w:highlight w:val="none"/>
        </w:rPr>
        <w:t>5.本联合体中，</w:t>
      </w:r>
      <w:r>
        <w:rPr>
          <w:rFonts w:hint="eastAsia" w:ascii="宋体" w:hAnsi="宋体" w:eastAsia="宋体" w:cs="宋体"/>
          <w:color w:val="auto"/>
          <w:kern w:val="0"/>
          <w:szCs w:val="20"/>
          <w:highlight w:val="none"/>
          <w:u w:val="single"/>
        </w:rPr>
        <w:t xml:space="preserve"> （某成员单位名称） </w:t>
      </w:r>
      <w:r>
        <w:rPr>
          <w:rFonts w:hint="eastAsia" w:ascii="宋体" w:hAnsi="宋体" w:eastAsia="宋体" w:cs="宋体"/>
          <w:color w:val="auto"/>
          <w:kern w:val="0"/>
          <w:szCs w:val="20"/>
          <w:highlight w:val="none"/>
        </w:rPr>
        <w:t>为</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（请填写：中型、小型、微型）企业，其协议合同金额占联合体协议合同总金额的</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%。【如联合体成员中有小型、微型企业的，请填写此条，否则无需填写；如联合体成员中有多个小型、微型企业的，请逐一列出。】</w:t>
      </w:r>
    </w:p>
    <w:p w14:paraId="716B3E9F">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6.本协议书自所有成员单位法定代表人或者其委托代理人签字（或者电子签名）或者盖公章之日起生效，合同履行完毕后自动失效。</w:t>
      </w:r>
    </w:p>
    <w:p w14:paraId="16954281">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份，联合体成员和招标人各执一份。</w:t>
      </w:r>
    </w:p>
    <w:p w14:paraId="5CE59548">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注：本协议书应附法定代表人身份证明；有委托代理的，应附授权委托书（格式自拟）。</w:t>
      </w:r>
    </w:p>
    <w:p w14:paraId="3561EFC9">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p>
    <w:p w14:paraId="7C9FC13F">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联合体牵头人名称（电子签章）：</w:t>
      </w:r>
    </w:p>
    <w:p w14:paraId="72A363BA">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法定代表人或者其委托代理人：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（签字或者电子签名）</w:t>
      </w:r>
    </w:p>
    <w:p w14:paraId="246F2107">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p>
    <w:p w14:paraId="534C04DC">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联合体成员名称（盖公章或者电子签章）：</w:t>
      </w:r>
    </w:p>
    <w:p w14:paraId="70DB0DD8">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法定代表人或者其委托代理人：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（签字或者电子签名）</w:t>
      </w:r>
    </w:p>
    <w:p w14:paraId="30D70A2C">
      <w:pPr>
        <w:pStyle w:val="10"/>
        <w:overflowPunct w:val="0"/>
        <w:spacing w:line="360" w:lineRule="auto"/>
        <w:ind w:firstLine="367" w:firstLineChars="175"/>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2F4181C2">
      <w:pPr>
        <w:pStyle w:val="4"/>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bookmarkStart w:id="226" w:name="_Toc7619"/>
      <w:bookmarkStart w:id="227" w:name="_Toc19686838"/>
      <w:bookmarkStart w:id="228" w:name="_Toc6222"/>
      <w:r>
        <w:rPr>
          <w:rFonts w:hint="eastAsia" w:ascii="宋体" w:hAnsi="宋体" w:eastAsia="宋体" w:cs="宋体"/>
          <w:color w:val="auto"/>
          <w:sz w:val="28"/>
          <w:szCs w:val="28"/>
          <w:highlight w:val="none"/>
        </w:rPr>
        <w:t>三、商务及技术文件格式</w:t>
      </w:r>
      <w:bookmarkEnd w:id="226"/>
      <w:bookmarkEnd w:id="227"/>
      <w:bookmarkEnd w:id="228"/>
    </w:p>
    <w:p w14:paraId="0E8CC57E">
      <w:pPr>
        <w:snapToGrid w:val="0"/>
        <w:spacing w:before="120"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 xml:space="preserve">商务及技术文件封面格式： </w:t>
      </w:r>
    </w:p>
    <w:p w14:paraId="157F4652">
      <w:pPr>
        <w:snapToGrid w:val="0"/>
        <w:spacing w:before="120"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14:paraId="1ECFC867">
      <w:pPr>
        <w:snapToGrid w:val="0"/>
        <w:spacing w:before="120" w:beforeLines="50" w:after="50"/>
        <w:jc w:val="center"/>
        <w:rPr>
          <w:rFonts w:hint="eastAsia" w:ascii="宋体" w:hAnsi="宋体" w:eastAsia="宋体" w:cs="宋体"/>
          <w:color w:val="auto"/>
          <w:sz w:val="24"/>
          <w:highlight w:val="none"/>
        </w:rPr>
      </w:pPr>
      <w:r>
        <w:rPr>
          <w:rFonts w:hint="eastAsia" w:ascii="宋体" w:hAnsi="宋体" w:eastAsia="宋体" w:cs="宋体"/>
          <w:bCs/>
          <w:color w:val="auto"/>
          <w:sz w:val="48"/>
          <w:szCs w:val="48"/>
          <w:highlight w:val="none"/>
        </w:rPr>
        <w:t>电子投标文件</w:t>
      </w:r>
    </w:p>
    <w:p w14:paraId="1C5D4310">
      <w:pPr>
        <w:snapToGrid w:val="0"/>
        <w:spacing w:before="120" w:beforeLines="50" w:after="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1FEB43F">
      <w:pPr>
        <w:rPr>
          <w:rFonts w:hint="eastAsia" w:ascii="宋体" w:hAnsi="宋体" w:eastAsia="宋体" w:cs="宋体"/>
          <w:color w:val="auto"/>
          <w:sz w:val="24"/>
          <w:highlight w:val="none"/>
        </w:rPr>
      </w:pPr>
    </w:p>
    <w:p w14:paraId="39C83B12">
      <w:pPr>
        <w:rPr>
          <w:rFonts w:hint="eastAsia" w:ascii="宋体" w:hAnsi="宋体" w:eastAsia="宋体" w:cs="宋体"/>
          <w:color w:val="auto"/>
          <w:highlight w:val="none"/>
        </w:rPr>
      </w:pPr>
    </w:p>
    <w:p w14:paraId="6F90AE87">
      <w:pPr>
        <w:snapToGrid w:val="0"/>
        <w:spacing w:before="120"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商务及技术文件</w:t>
      </w:r>
    </w:p>
    <w:p w14:paraId="2CD26E35">
      <w:pPr>
        <w:rPr>
          <w:rFonts w:hint="eastAsia" w:ascii="宋体" w:hAnsi="宋体" w:eastAsia="宋体" w:cs="宋体"/>
          <w:b/>
          <w:color w:val="auto"/>
          <w:sz w:val="32"/>
          <w:szCs w:val="32"/>
          <w:highlight w:val="none"/>
        </w:rPr>
      </w:pPr>
    </w:p>
    <w:p w14:paraId="5943B45B">
      <w:pPr>
        <w:rPr>
          <w:rFonts w:hint="eastAsia" w:ascii="宋体" w:hAnsi="宋体" w:eastAsia="宋体" w:cs="宋体"/>
          <w:color w:val="auto"/>
          <w:highlight w:val="none"/>
        </w:rPr>
      </w:pPr>
    </w:p>
    <w:p w14:paraId="2D0456CD">
      <w:pPr>
        <w:snapToGrid w:val="0"/>
        <w:spacing w:before="120" w:beforeLines="50" w:after="50"/>
        <w:rPr>
          <w:rFonts w:hint="eastAsia" w:ascii="宋体" w:hAnsi="宋体" w:eastAsia="宋体" w:cs="宋体"/>
          <w:bCs/>
          <w:color w:val="auto"/>
          <w:sz w:val="24"/>
          <w:szCs w:val="20"/>
          <w:highlight w:val="none"/>
        </w:rPr>
      </w:pPr>
    </w:p>
    <w:p w14:paraId="0AD40489">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533E4CED">
      <w:pPr>
        <w:snapToGrid w:val="0"/>
        <w:spacing w:before="120" w:beforeLines="50" w:after="50"/>
        <w:ind w:firstLine="540" w:firstLineChars="225"/>
        <w:rPr>
          <w:rFonts w:hint="eastAsia" w:ascii="宋体" w:hAnsi="宋体" w:eastAsia="宋体" w:cs="宋体"/>
          <w:bCs/>
          <w:color w:val="auto"/>
          <w:sz w:val="24"/>
          <w:szCs w:val="20"/>
          <w:highlight w:val="none"/>
        </w:rPr>
      </w:pPr>
    </w:p>
    <w:p w14:paraId="129CE848">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47CF9EAE">
      <w:pPr>
        <w:snapToGrid w:val="0"/>
        <w:spacing w:before="120"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578DCA65">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72B2F30E">
      <w:pPr>
        <w:snapToGrid w:val="0"/>
        <w:spacing w:before="120" w:beforeLines="50" w:after="50"/>
        <w:ind w:firstLine="540" w:firstLineChars="225"/>
        <w:rPr>
          <w:rFonts w:hint="eastAsia" w:ascii="宋体" w:hAnsi="宋体" w:eastAsia="宋体" w:cs="宋体"/>
          <w:bCs/>
          <w:color w:val="auto"/>
          <w:sz w:val="24"/>
          <w:szCs w:val="20"/>
          <w:highlight w:val="none"/>
        </w:rPr>
      </w:pPr>
    </w:p>
    <w:p w14:paraId="41ED011D">
      <w:pPr>
        <w:pStyle w:val="10"/>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1532D57C">
      <w:pPr>
        <w:pStyle w:val="10"/>
        <w:snapToGrid w:val="0"/>
        <w:spacing w:before="50" w:after="50"/>
        <w:ind w:firstLine="540" w:firstLineChars="225"/>
        <w:rPr>
          <w:rFonts w:hint="eastAsia" w:ascii="宋体" w:hAnsi="宋体" w:eastAsia="宋体" w:cs="宋体"/>
          <w:bCs/>
          <w:color w:val="auto"/>
          <w:sz w:val="24"/>
          <w:szCs w:val="24"/>
          <w:highlight w:val="none"/>
        </w:rPr>
      </w:pPr>
    </w:p>
    <w:p w14:paraId="0E0A74AB">
      <w:pPr>
        <w:pStyle w:val="10"/>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209C36E7">
      <w:pPr>
        <w:pStyle w:val="10"/>
        <w:snapToGrid w:val="0"/>
        <w:spacing w:before="50" w:after="50"/>
        <w:ind w:firstLine="960" w:firstLineChars="400"/>
        <w:rPr>
          <w:rFonts w:hint="eastAsia" w:ascii="宋体" w:hAnsi="宋体" w:eastAsia="宋体" w:cs="宋体"/>
          <w:bCs/>
          <w:color w:val="auto"/>
          <w:sz w:val="24"/>
          <w:szCs w:val="24"/>
          <w:highlight w:val="none"/>
        </w:rPr>
      </w:pPr>
    </w:p>
    <w:p w14:paraId="64394F1D">
      <w:pPr>
        <w:snapToGrid w:val="0"/>
        <w:spacing w:before="120" w:beforeLines="50" w:after="50"/>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5238219">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7341C85E">
      <w:pPr>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szCs w:val="20"/>
          <w:highlight w:val="none"/>
        </w:rPr>
        <w:br w:type="page"/>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商务及技术文件目录</w:t>
      </w:r>
    </w:p>
    <w:p w14:paraId="61B6185D">
      <w:pPr>
        <w:snapToGrid w:val="0"/>
        <w:spacing w:before="50" w:after="120" w:afterLines="50"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根据招标文件规定及投标人提供的材料自行编写目录。</w:t>
      </w:r>
    </w:p>
    <w:p w14:paraId="12A5CEDB">
      <w:pPr>
        <w:snapToGrid w:val="0"/>
        <w:spacing w:before="50" w:after="120" w:afterLines="50"/>
        <w:jc w:val="left"/>
        <w:rPr>
          <w:rFonts w:hint="eastAsia" w:ascii="宋体" w:hAnsi="宋体" w:eastAsia="宋体" w:cs="宋体"/>
          <w:color w:val="auto"/>
          <w:highlight w:val="none"/>
        </w:rPr>
      </w:pPr>
    </w:p>
    <w:p w14:paraId="5789F699">
      <w:pPr>
        <w:snapToGrid w:val="0"/>
        <w:spacing w:before="120" w:beforeLines="50" w:after="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 无串通投标行为的承诺函</w:t>
      </w:r>
    </w:p>
    <w:p w14:paraId="5BF7C1D8">
      <w:pPr>
        <w:snapToGrid w:val="0"/>
        <w:spacing w:before="120" w:beforeLines="50" w:after="50"/>
        <w:jc w:val="left"/>
        <w:rPr>
          <w:rFonts w:hint="eastAsia" w:ascii="宋体" w:hAnsi="宋体" w:eastAsia="宋体" w:cs="宋体"/>
          <w:b/>
          <w:color w:val="auto"/>
          <w:sz w:val="24"/>
          <w:highlight w:val="none"/>
        </w:rPr>
      </w:pPr>
    </w:p>
    <w:p w14:paraId="24397A82">
      <w:pPr>
        <w:snapToGrid w:val="0"/>
        <w:spacing w:before="120" w:beforeLines="50" w:after="5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无串通投标行为的承诺函</w:t>
      </w:r>
    </w:p>
    <w:p w14:paraId="3DBF3C82">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一、我方承诺无下列相互串通投标的情形：</w:t>
      </w:r>
    </w:p>
    <w:p w14:paraId="6187C05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1749ED9A">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27DD971D">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2EF1840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24DEF5A6">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3C223437">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6.不同投标人的投标保证金从同一单位或者个人账户转出。</w:t>
      </w:r>
    </w:p>
    <w:p w14:paraId="186BF8E2">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二、我方承诺无下列恶意串通的情形：</w:t>
      </w:r>
    </w:p>
    <w:p w14:paraId="3CE2EF60">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1.投标人直接或者间接从采购人或者采购代理机构处获得其他投标人的相关信息并修改其投标文件或者响应文件；</w:t>
      </w:r>
    </w:p>
    <w:p w14:paraId="1066541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2.投标人按照采购人或者采购代理机构的授意撤换、修改投标文件或者响应文件；</w:t>
      </w:r>
    </w:p>
    <w:p w14:paraId="4BB189E1">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3.投标人之间协商报价、技术方案等投标文件或者响应文件的实质性内容；</w:t>
      </w:r>
    </w:p>
    <w:p w14:paraId="1E1EF97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2E0A4A31">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2BE00B0">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149A25D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3FB1C4F7">
      <w:pPr>
        <w:keepNext w:val="0"/>
        <w:keepLines w:val="0"/>
        <w:pageBreakBefore w:val="0"/>
        <w:widowControl w:val="0"/>
        <w:kinsoku/>
        <w:wordWrap/>
        <w:overflowPunct/>
        <w:topLinePunct w:val="0"/>
        <w:autoSpaceDE/>
        <w:autoSpaceDN/>
        <w:bidi w:val="0"/>
        <w:adjustRightInd/>
        <w:snapToGrid/>
        <w:spacing w:line="400" w:lineRule="exact"/>
        <w:ind w:firstLine="413" w:firstLineChars="196"/>
        <w:contextualSpacing/>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以上情形一经核查属实，我方愿意承担一切后果，并不再寻求任何旨在减轻或者免除法律责任的辩解。</w:t>
      </w:r>
    </w:p>
    <w:p w14:paraId="3CA96A88">
      <w:pPr>
        <w:pStyle w:val="20"/>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CDCCB59">
      <w:pPr>
        <w:pStyle w:val="20"/>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投标人名称（电子签章）:</w:t>
      </w:r>
      <w:r>
        <w:rPr>
          <w:rFonts w:hint="eastAsia" w:ascii="宋体" w:hAnsi="宋体" w:eastAsia="宋体" w:cs="宋体"/>
          <w:color w:val="auto"/>
          <w:spacing w:val="20"/>
          <w:highlight w:val="none"/>
          <w:u w:val="single"/>
        </w:rPr>
        <w:t xml:space="preserve">            </w:t>
      </w:r>
      <w:r>
        <w:rPr>
          <w:rFonts w:hint="eastAsia" w:ascii="宋体" w:hAnsi="宋体" w:eastAsia="宋体" w:cs="宋体"/>
          <w:color w:val="auto"/>
          <w:spacing w:val="20"/>
          <w:highlight w:val="none"/>
        </w:rPr>
        <w:t xml:space="preserve"> </w:t>
      </w:r>
    </w:p>
    <w:p w14:paraId="24F8F924">
      <w:pPr>
        <w:pStyle w:val="20"/>
        <w:keepNext w:val="0"/>
        <w:keepLines w:val="0"/>
        <w:pageBreakBefore w:val="0"/>
        <w:widowControl w:val="0"/>
        <w:kinsoku/>
        <w:wordWrap/>
        <w:overflowPunct/>
        <w:topLinePunct w:val="0"/>
        <w:autoSpaceDE/>
        <w:autoSpaceDN/>
        <w:bidi w:val="0"/>
        <w:adjustRightInd/>
        <w:snapToGrid/>
        <w:spacing w:line="400" w:lineRule="exact"/>
        <w:contextualSpacing/>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67ECCC6">
      <w:pPr>
        <w:snapToGrid w:val="0"/>
        <w:spacing w:before="120" w:beforeLines="50" w:after="50" w:line="360" w:lineRule="auto"/>
        <w:ind w:firstLine="472" w:firstLineChars="196"/>
        <w:jc w:val="left"/>
        <w:rPr>
          <w:rFonts w:hint="eastAsia" w:ascii="宋体" w:hAnsi="宋体" w:eastAsia="宋体" w:cs="宋体"/>
          <w:color w:val="auto"/>
          <w:szCs w:val="21"/>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.投标保证金缴纳证明</w:t>
      </w:r>
    </w:p>
    <w:p w14:paraId="653AF3E6">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附：银行出具的汇款单或转账凭证扫描件或保函扫描件。</w:t>
      </w:r>
    </w:p>
    <w:p w14:paraId="2C81E9EA">
      <w:pPr>
        <w:rPr>
          <w:rFonts w:hint="eastAsia" w:ascii="宋体" w:hAnsi="宋体" w:eastAsia="宋体" w:cs="宋体"/>
          <w:color w:val="auto"/>
          <w:highlight w:val="none"/>
        </w:rPr>
      </w:pPr>
    </w:p>
    <w:p w14:paraId="4660C4F7">
      <w:pPr>
        <w:spacing w:line="520" w:lineRule="exact"/>
        <w:ind w:left="239" w:leftChars="114" w:firstLine="6144" w:firstLineChars="2550"/>
        <w:jc w:val="left"/>
        <w:rPr>
          <w:rFonts w:hint="eastAsia" w:ascii="宋体" w:hAnsi="宋体" w:eastAsia="宋体" w:cs="宋体"/>
          <w:b/>
          <w:color w:val="auto"/>
          <w:kern w:val="0"/>
          <w:sz w:val="24"/>
          <w:highlight w:val="none"/>
        </w:rPr>
      </w:pPr>
    </w:p>
    <w:p w14:paraId="5D6FDD01">
      <w:pPr>
        <w:snapToGrid w:val="0"/>
        <w:spacing w:before="120" w:beforeLines="50" w:after="50"/>
        <w:ind w:firstLine="472" w:firstLineChars="196"/>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.法定代表人身份证明</w:t>
      </w:r>
    </w:p>
    <w:p w14:paraId="2C7DB0E7">
      <w:pPr>
        <w:spacing w:before="240" w:beforeLines="100" w:after="120" w:afterLines="50"/>
        <w:ind w:left="540"/>
        <w:jc w:val="center"/>
        <w:rPr>
          <w:rFonts w:hint="eastAsia" w:ascii="宋体" w:hAnsi="宋体" w:eastAsia="宋体" w:cs="宋体"/>
          <w:b/>
          <w:color w:val="auto"/>
          <w:sz w:val="32"/>
          <w:szCs w:val="32"/>
          <w:highlight w:val="none"/>
        </w:rPr>
      </w:pPr>
    </w:p>
    <w:p w14:paraId="60E3A519">
      <w:pPr>
        <w:spacing w:before="240" w:beforeLines="100" w:after="120" w:afterLines="50"/>
        <w:ind w:left="54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法定代表人身份证明</w:t>
      </w:r>
    </w:p>
    <w:p w14:paraId="2E7BC923">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 标 人：</w:t>
      </w:r>
      <w:r>
        <w:rPr>
          <w:rFonts w:hint="eastAsia" w:ascii="宋体" w:hAnsi="宋体" w:eastAsia="宋体" w:cs="宋体"/>
          <w:color w:val="auto"/>
          <w:szCs w:val="21"/>
          <w:highlight w:val="none"/>
          <w:u w:val="single"/>
        </w:rPr>
        <w:t xml:space="preserve">                                                        </w:t>
      </w:r>
    </w:p>
    <w:p w14:paraId="6ECE6629">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46C20CA9">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      别：</w:t>
      </w:r>
      <w:r>
        <w:rPr>
          <w:rFonts w:hint="eastAsia" w:ascii="宋体" w:hAnsi="宋体" w:eastAsia="宋体" w:cs="宋体"/>
          <w:color w:val="auto"/>
          <w:szCs w:val="21"/>
          <w:highlight w:val="none"/>
          <w:u w:val="single"/>
        </w:rPr>
        <w:t xml:space="preserve">                </w:t>
      </w:r>
    </w:p>
    <w:p w14:paraId="5F8DBA7D">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年    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p>
    <w:p w14:paraId="448B90DE">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49FBBA0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（投标人名称）              </w:t>
      </w:r>
      <w:r>
        <w:rPr>
          <w:rFonts w:hint="eastAsia" w:ascii="宋体" w:hAnsi="宋体" w:eastAsia="宋体" w:cs="宋体"/>
          <w:color w:val="auto"/>
          <w:szCs w:val="21"/>
          <w:highlight w:val="none"/>
        </w:rPr>
        <w:t>的法定代表人。</w:t>
      </w:r>
    </w:p>
    <w:p w14:paraId="729E234E">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58D7B3B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p>
    <w:p w14:paraId="5FCEA4FA">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p>
    <w:p w14:paraId="4795696D">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附件：法定代表人有效身份证正反面复印件</w:t>
      </w:r>
    </w:p>
    <w:p w14:paraId="7698BF23">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p>
    <w:p w14:paraId="35FCE8C7">
      <w:pPr>
        <w:keepNext w:val="0"/>
        <w:keepLines w:val="0"/>
        <w:pageBreakBefore w:val="0"/>
        <w:widowControl w:val="0"/>
        <w:kinsoku/>
        <w:wordWrap/>
        <w:overflowPunct/>
        <w:topLinePunct w:val="0"/>
        <w:autoSpaceDE/>
        <w:autoSpaceDN/>
        <w:bidi w:val="0"/>
        <w:adjustRightInd/>
        <w:spacing w:line="400" w:lineRule="exact"/>
        <w:ind w:right="42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77656DDD">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65BB5B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p>
    <w:p w14:paraId="3B9DBC0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注：自然人投标的无需提供</w:t>
      </w:r>
    </w:p>
    <w:p w14:paraId="301EA2E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.授权委托书格式</w:t>
      </w:r>
    </w:p>
    <w:p w14:paraId="24139A53">
      <w:pPr>
        <w:snapToGrid w:val="0"/>
        <w:spacing w:before="120" w:beforeLines="50" w:after="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授权委托书</w:t>
      </w:r>
    </w:p>
    <w:p w14:paraId="71F12ED7">
      <w:pPr>
        <w:snapToGrid w:val="0"/>
        <w:spacing w:before="120"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（非联合体投标格式）</w:t>
      </w:r>
    </w:p>
    <w:p w14:paraId="630A74ED">
      <w:pPr>
        <w:snapToGrid w:val="0"/>
        <w:spacing w:before="120" w:beforeLines="50" w:after="50"/>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（如有委托时）</w:t>
      </w:r>
    </w:p>
    <w:p w14:paraId="4D06082B">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采购人名称</w:t>
      </w:r>
    </w:p>
    <w:p w14:paraId="2260F769">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（投标人名称）的法定代表人，现授权委托</w:t>
      </w:r>
      <w:r>
        <w:rPr>
          <w:rFonts w:hint="eastAsia" w:ascii="宋体" w:hAnsi="宋体" w:eastAsia="宋体" w:cs="宋体"/>
          <w:color w:val="auto"/>
          <w:szCs w:val="21"/>
          <w:highlight w:val="none"/>
          <w:u w:val="single"/>
        </w:rPr>
        <w:t xml:space="preserve">              （姓名）</w:t>
      </w:r>
      <w:r>
        <w:rPr>
          <w:rFonts w:hint="eastAsia" w:ascii="宋体" w:hAnsi="宋体" w:eastAsia="宋体" w:cs="宋体"/>
          <w:color w:val="auto"/>
          <w:szCs w:val="21"/>
          <w:highlight w:val="none"/>
        </w:rPr>
        <w:t>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项目的投标活动，并代表我方全权办理针对上述项目的所有采购程序和环节的具体事务和签署相关文件。</w:t>
      </w:r>
    </w:p>
    <w:p w14:paraId="623E5EED">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我方对委托代理人的签字或者电子签名事项负全部责任。</w:t>
      </w:r>
    </w:p>
    <w:p w14:paraId="5D90E966">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4363CC90">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0F371146">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附：法定代表人身份证明及委托代理人有效身份证正反面复印件</w:t>
      </w:r>
    </w:p>
    <w:p w14:paraId="1E5A35FE">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rPr>
      </w:pPr>
    </w:p>
    <w:p w14:paraId="4CE848AF">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委托代理人（签字或者电子签名）：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E46E8DC">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委托代理人身份证号码：</w:t>
      </w:r>
      <w:r>
        <w:rPr>
          <w:rFonts w:hint="eastAsia" w:ascii="宋体" w:hAnsi="宋体" w:eastAsia="宋体" w:cs="宋体"/>
          <w:color w:val="auto"/>
          <w:szCs w:val="21"/>
          <w:highlight w:val="none"/>
          <w:u w:val="single"/>
        </w:rPr>
        <w:t xml:space="preserve">                             </w:t>
      </w:r>
    </w:p>
    <w:p w14:paraId="74F4F04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法定代表人（签字或者盖章或者电子签名）：</w:t>
      </w:r>
      <w:r>
        <w:rPr>
          <w:rFonts w:hint="eastAsia" w:ascii="宋体" w:hAnsi="宋体" w:eastAsia="宋体" w:cs="宋体"/>
          <w:color w:val="auto"/>
          <w:szCs w:val="21"/>
          <w:highlight w:val="none"/>
          <w:u w:val="single"/>
        </w:rPr>
        <w:t xml:space="preserve">              </w:t>
      </w:r>
    </w:p>
    <w:p w14:paraId="383E4C45">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51A074B">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3A0B6BFC">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13A4328">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Cs w:val="21"/>
          <w:highlight w:val="none"/>
        </w:rPr>
      </w:pPr>
    </w:p>
    <w:p w14:paraId="5C4ABDEF">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bookmarkStart w:id="229" w:name="_Hlk65851555"/>
      <w:bookmarkStart w:id="230" w:name="_Hlk65851620"/>
      <w:r>
        <w:rPr>
          <w:rFonts w:hint="eastAsia" w:ascii="宋体" w:hAnsi="宋体" w:eastAsia="宋体" w:cs="宋体"/>
          <w:color w:val="auto"/>
          <w:szCs w:val="21"/>
          <w:highlight w:val="none"/>
        </w:rPr>
        <w:t>法定代表人必须在授权委托书上签字或者盖章或者电子签名，</w:t>
      </w:r>
      <w:bookmarkEnd w:id="229"/>
      <w:r>
        <w:rPr>
          <w:rFonts w:hint="eastAsia" w:ascii="宋体" w:hAnsi="宋体" w:eastAsia="宋体" w:cs="宋体"/>
          <w:color w:val="auto"/>
          <w:szCs w:val="21"/>
          <w:highlight w:val="none"/>
        </w:rPr>
        <w:t>委托代理人必须在授权委托书上签字或者电子签名，</w:t>
      </w:r>
      <w:r>
        <w:rPr>
          <w:rFonts w:hint="eastAsia" w:ascii="宋体" w:hAnsi="宋体" w:eastAsia="宋体" w:cs="宋体"/>
          <w:b/>
          <w:bCs/>
          <w:color w:val="auto"/>
          <w:szCs w:val="21"/>
          <w:highlight w:val="none"/>
        </w:rPr>
        <w:t>否则按无效投标处理</w:t>
      </w:r>
      <w:r>
        <w:rPr>
          <w:rFonts w:hint="eastAsia" w:ascii="宋体" w:hAnsi="宋体" w:eastAsia="宋体" w:cs="宋体"/>
          <w:color w:val="auto"/>
          <w:szCs w:val="21"/>
          <w:highlight w:val="none"/>
        </w:rPr>
        <w:t>；</w:t>
      </w:r>
      <w:bookmarkEnd w:id="230"/>
    </w:p>
    <w:p w14:paraId="7C5BD3C9">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2.法人、其他组织投标时“我方”是指“我单位”，自然人投标时“我方”是指“本人”。</w:t>
      </w:r>
    </w:p>
    <w:p w14:paraId="0322CA11">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566" w:firstLineChars="236"/>
        <w:jc w:val="center"/>
        <w:textAlignment w:val="auto"/>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30"/>
          <w:szCs w:val="30"/>
          <w:highlight w:val="none"/>
        </w:rPr>
        <w:t>授权委托书</w:t>
      </w:r>
    </w:p>
    <w:p w14:paraId="490EF9D6">
      <w:pPr>
        <w:snapToGrid w:val="0"/>
        <w:spacing w:before="120" w:beforeLines="50" w:after="50"/>
        <w:ind w:firstLine="758" w:firstLineChars="236"/>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（联合体投标格式）</w:t>
      </w:r>
    </w:p>
    <w:p w14:paraId="327E7433">
      <w:pPr>
        <w:snapToGrid w:val="0"/>
        <w:spacing w:before="120" w:beforeLines="50" w:after="50"/>
        <w:ind w:firstLine="758" w:firstLineChars="236"/>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（如有委托时）</w:t>
      </w:r>
    </w:p>
    <w:p w14:paraId="61C7EDA9">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采购人名称</w:t>
      </w:r>
    </w:p>
    <w:p w14:paraId="29CE75D3">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 </w:t>
      </w:r>
      <w:r>
        <w:rPr>
          <w:rFonts w:hint="eastAsia" w:ascii="宋体" w:hAnsi="宋体" w:eastAsia="宋体" w:cs="宋体"/>
          <w:color w:val="auto"/>
          <w:szCs w:val="21"/>
          <w:highlight w:val="none"/>
          <w:u w:val="single"/>
        </w:rPr>
        <w:t xml:space="preserve"> （牵头人名称）</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u w:val="single"/>
        </w:rPr>
        <w:t>（联合体其他成员名称）</w:t>
      </w:r>
      <w:r>
        <w:rPr>
          <w:rFonts w:hint="eastAsia" w:ascii="宋体" w:hAnsi="宋体" w:eastAsia="宋体" w:cs="宋体"/>
          <w:color w:val="auto"/>
          <w:szCs w:val="21"/>
          <w:highlight w:val="none"/>
        </w:rPr>
        <w:t>签订的《联合体投标协议书》的内容，</w:t>
      </w:r>
      <w:r>
        <w:rPr>
          <w:rFonts w:hint="eastAsia" w:ascii="宋体" w:hAnsi="宋体" w:eastAsia="宋体" w:cs="宋体"/>
          <w:color w:val="auto"/>
          <w:szCs w:val="21"/>
          <w:highlight w:val="none"/>
          <w:u w:val="single"/>
        </w:rPr>
        <w:t>（牵头人名称）</w:t>
      </w:r>
      <w:r>
        <w:rPr>
          <w:rFonts w:hint="eastAsia" w:ascii="宋体" w:hAnsi="宋体" w:eastAsia="宋体" w:cs="宋体"/>
          <w:color w:val="auto"/>
          <w:szCs w:val="21"/>
          <w:highlight w:val="none"/>
        </w:rPr>
        <w:t>的法定代表人</w:t>
      </w:r>
      <w:r>
        <w:rPr>
          <w:rFonts w:hint="eastAsia" w:ascii="宋体" w:hAnsi="宋体" w:eastAsia="宋体" w:cs="宋体"/>
          <w:color w:val="auto"/>
          <w:szCs w:val="21"/>
          <w:highlight w:val="none"/>
          <w:u w:val="single"/>
        </w:rPr>
        <w:t>（姓名）</w:t>
      </w:r>
      <w:r>
        <w:rPr>
          <w:rFonts w:hint="eastAsia" w:ascii="宋体" w:hAnsi="宋体" w:eastAsia="宋体" w:cs="宋体"/>
          <w:color w:val="auto"/>
          <w:szCs w:val="21"/>
          <w:highlight w:val="none"/>
        </w:rPr>
        <w:t>现授权委托</w:t>
      </w:r>
      <w:r>
        <w:rPr>
          <w:rFonts w:hint="eastAsia" w:ascii="宋体" w:hAnsi="宋体" w:eastAsia="宋体" w:cs="宋体"/>
          <w:color w:val="auto"/>
          <w:szCs w:val="21"/>
          <w:highlight w:val="none"/>
          <w:u w:val="single"/>
        </w:rPr>
        <w:t xml:space="preserve">          （姓名）</w:t>
      </w:r>
      <w:r>
        <w:rPr>
          <w:rFonts w:hint="eastAsia" w:ascii="宋体" w:hAnsi="宋体" w:eastAsia="宋体" w:cs="宋体"/>
          <w:color w:val="auto"/>
          <w:szCs w:val="21"/>
          <w:highlight w:val="none"/>
        </w:rPr>
        <w:t>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项目的投标活动，并代表我方全权办理针对上述项目的所有采购程序和环节的具体事务和签署相关文件。</w:t>
      </w:r>
    </w:p>
    <w:p w14:paraId="74AAF480">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bookmarkStart w:id="231" w:name="_Hlk65852658"/>
      <w:r>
        <w:rPr>
          <w:rFonts w:hint="eastAsia" w:ascii="宋体" w:hAnsi="宋体" w:eastAsia="宋体" w:cs="宋体"/>
          <w:color w:val="auto"/>
          <w:szCs w:val="21"/>
          <w:highlight w:val="none"/>
        </w:rPr>
        <w:t>我方对委托代理人的签字或者电子签名事项负全部责任。</w:t>
      </w:r>
    </w:p>
    <w:p w14:paraId="35F1078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36D38301">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4FB10F6C">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附：牵头人法定代表人身份证明及委托代理人有效身份证正反面复印件</w:t>
      </w:r>
    </w:p>
    <w:p w14:paraId="55EE6F69">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p>
    <w:p w14:paraId="0A2748C3">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牵头人法定代表人（签字或者盖章或者电子签名）：</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69FA82B5">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牵头人（电子签章）：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00060207">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EDE17F1">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p>
    <w:p w14:paraId="40329E8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被授权人（签字或者电子签名）：</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4A7D52B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2F0E203">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eastAsia="宋体" w:cs="宋体"/>
          <w:b/>
          <w:bCs/>
          <w:color w:val="auto"/>
          <w:szCs w:val="21"/>
          <w:highlight w:val="none"/>
        </w:rPr>
        <w:t>否则按无效投标处理</w:t>
      </w:r>
      <w:r>
        <w:rPr>
          <w:rFonts w:hint="eastAsia" w:ascii="宋体" w:hAnsi="宋体" w:eastAsia="宋体" w:cs="宋体"/>
          <w:color w:val="auto"/>
          <w:szCs w:val="21"/>
          <w:highlight w:val="none"/>
        </w:rPr>
        <w:t>；</w:t>
      </w:r>
    </w:p>
    <w:p w14:paraId="07C9AF98">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Cs w:val="21"/>
          <w:highlight w:val="none"/>
        </w:rPr>
        <w:t>2.法人、其他组织投标时“我方”是指“我单位”，自然人投标时“我方”是指“本人”。</w:t>
      </w:r>
    </w:p>
    <w:p w14:paraId="7326417E">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4"/>
          <w:highlight w:val="none"/>
        </w:rPr>
      </w:pPr>
    </w:p>
    <w:bookmarkEnd w:id="231"/>
    <w:p w14:paraId="34CD9D6F">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480" w:firstLineChars="200"/>
        <w:jc w:val="left"/>
        <w:textAlignment w:val="auto"/>
        <w:rPr>
          <w:rFonts w:hint="eastAsia" w:ascii="宋体" w:hAnsi="宋体" w:eastAsia="宋体" w:cs="宋体"/>
          <w:color w:val="auto"/>
          <w:sz w:val="24"/>
          <w:highlight w:val="none"/>
        </w:rPr>
        <w:sectPr>
          <w:footerReference r:id="rId10" w:type="first"/>
          <w:footerReference r:id="rId9" w:type="default"/>
          <w:pgSz w:w="11906" w:h="16838"/>
          <w:pgMar w:top="1440" w:right="1803" w:bottom="1440" w:left="1803" w:header="850" w:footer="850" w:gutter="0"/>
          <w:pgNumType w:fmt="decimal"/>
          <w:cols w:space="720" w:num="1"/>
          <w:docGrid w:linePitch="312" w:charSpace="0"/>
        </w:sectPr>
      </w:pPr>
    </w:p>
    <w:p w14:paraId="0451978A">
      <w:pPr>
        <w:rPr>
          <w:rFonts w:hint="eastAsia" w:ascii="宋体" w:hAnsi="宋体" w:eastAsia="宋体" w:cs="宋体"/>
          <w:color w:val="auto"/>
          <w:sz w:val="24"/>
          <w:highlight w:val="none"/>
        </w:rPr>
      </w:pPr>
    </w:p>
    <w:p w14:paraId="68734017">
      <w:pP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.商务要求偏离表格式（注：按项目需求表具体项目修改）</w:t>
      </w:r>
    </w:p>
    <w:p w14:paraId="34A69359">
      <w:pPr>
        <w:snapToGrid w:val="0"/>
        <w:spacing w:before="50"/>
        <w:jc w:val="left"/>
        <w:rPr>
          <w:rFonts w:hint="eastAsia" w:ascii="宋体" w:hAnsi="宋体" w:eastAsia="宋体" w:cs="宋体"/>
          <w:color w:val="auto"/>
          <w:sz w:val="24"/>
          <w:highlight w:val="none"/>
        </w:rPr>
      </w:pPr>
    </w:p>
    <w:p w14:paraId="742298CA">
      <w:pPr>
        <w:pStyle w:val="20"/>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所投分标：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w:t>
      </w:r>
    </w:p>
    <w:p w14:paraId="62F87E8D">
      <w:pPr>
        <w:snapToGrid w:val="0"/>
        <w:spacing w:before="50" w:line="440" w:lineRule="exact"/>
        <w:jc w:val="left"/>
        <w:rPr>
          <w:rFonts w:hint="eastAsia" w:ascii="宋体" w:hAnsi="宋体" w:eastAsia="宋体" w:cs="宋体"/>
          <w:color w:val="auto"/>
          <w:szCs w:val="21"/>
          <w:highlight w:val="none"/>
          <w:u w:val="single"/>
        </w:rPr>
      </w:pPr>
    </w:p>
    <w:tbl>
      <w:tblPr>
        <w:tblStyle w:val="40"/>
        <w:tblW w:w="0" w:type="auto"/>
        <w:tblInd w:w="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3"/>
        <w:gridCol w:w="2776"/>
        <w:gridCol w:w="1760"/>
        <w:gridCol w:w="2853"/>
      </w:tblGrid>
      <w:tr w14:paraId="6B429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53" w:type="dxa"/>
            <w:tcBorders>
              <w:top w:val="single" w:color="auto" w:sz="4" w:space="0"/>
              <w:left w:val="single" w:color="auto" w:sz="4" w:space="0"/>
              <w:bottom w:val="single" w:color="auto" w:sz="4" w:space="0"/>
              <w:right w:val="single" w:color="auto" w:sz="4" w:space="0"/>
            </w:tcBorders>
            <w:noWrap w:val="0"/>
            <w:vAlign w:val="top"/>
          </w:tcPr>
          <w:p w14:paraId="3B8258EF">
            <w:pPr>
              <w:snapToGrid w:val="0"/>
              <w:spacing w:before="120" w:beforeLines="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5499F236">
            <w:pPr>
              <w:snapToGrid w:val="0"/>
              <w:spacing w:before="120" w:beforeLines="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BEA4E20">
            <w:pPr>
              <w:snapToGrid w:val="0"/>
              <w:spacing w:before="120" w:beforeLines="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投标人的承诺</w:t>
            </w:r>
          </w:p>
        </w:tc>
        <w:tc>
          <w:tcPr>
            <w:tcW w:w="2853" w:type="dxa"/>
            <w:tcBorders>
              <w:top w:val="single" w:color="auto" w:sz="4" w:space="0"/>
              <w:left w:val="single" w:color="auto" w:sz="4" w:space="0"/>
              <w:bottom w:val="single" w:color="auto" w:sz="4" w:space="0"/>
              <w:right w:val="single" w:color="auto" w:sz="4" w:space="0"/>
            </w:tcBorders>
            <w:noWrap w:val="0"/>
            <w:vAlign w:val="top"/>
          </w:tcPr>
          <w:p w14:paraId="12A5D132">
            <w:pPr>
              <w:snapToGrid w:val="0"/>
              <w:spacing w:before="120" w:beforeLines="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1A42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5F0658D7">
            <w:pPr>
              <w:spacing w:line="440" w:lineRule="exact"/>
              <w:jc w:val="center"/>
              <w:rPr>
                <w:rFonts w:hint="eastAsia" w:ascii="宋体" w:hAnsi="宋体" w:eastAsia="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3CEA9B53">
            <w:pPr>
              <w:spacing w:line="440" w:lineRule="exact"/>
              <w:jc w:val="left"/>
              <w:rPr>
                <w:rFonts w:hint="eastAsia" w:ascii="宋体" w:hAnsi="宋体" w:eastAsia="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2783162">
            <w:pPr>
              <w:snapToGrid w:val="0"/>
              <w:spacing w:before="120" w:beforeLines="50" w:line="440" w:lineRule="exact"/>
              <w:jc w:val="center"/>
              <w:rPr>
                <w:rFonts w:hint="eastAsia" w:ascii="宋体" w:hAnsi="宋体" w:eastAsia="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62C26469">
            <w:pPr>
              <w:snapToGrid w:val="0"/>
              <w:spacing w:before="120" w:beforeLines="50" w:line="440" w:lineRule="exact"/>
              <w:jc w:val="center"/>
              <w:rPr>
                <w:rFonts w:hint="eastAsia" w:ascii="宋体" w:hAnsi="宋体" w:eastAsia="宋体" w:cs="宋体"/>
                <w:color w:val="auto"/>
                <w:szCs w:val="21"/>
                <w:highlight w:val="none"/>
              </w:rPr>
            </w:pPr>
          </w:p>
        </w:tc>
      </w:tr>
      <w:tr w14:paraId="390B0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19AB787C">
            <w:pPr>
              <w:spacing w:line="440" w:lineRule="exact"/>
              <w:jc w:val="center"/>
              <w:rPr>
                <w:rFonts w:hint="eastAsia" w:ascii="宋体" w:hAnsi="宋体" w:eastAsia="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7F037843">
            <w:pPr>
              <w:spacing w:line="440" w:lineRule="exact"/>
              <w:jc w:val="left"/>
              <w:rPr>
                <w:rFonts w:hint="eastAsia" w:ascii="宋体" w:hAnsi="宋体" w:eastAsia="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0B2AB67">
            <w:pPr>
              <w:snapToGrid w:val="0"/>
              <w:spacing w:before="120" w:beforeLines="50" w:line="440" w:lineRule="exact"/>
              <w:ind w:left="43"/>
              <w:jc w:val="center"/>
              <w:rPr>
                <w:rFonts w:hint="eastAsia" w:ascii="宋体" w:hAnsi="宋体" w:eastAsia="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4465F30B">
            <w:pPr>
              <w:snapToGrid w:val="0"/>
              <w:spacing w:before="120" w:beforeLines="50" w:line="440" w:lineRule="exact"/>
              <w:ind w:left="43"/>
              <w:jc w:val="center"/>
              <w:rPr>
                <w:rFonts w:hint="eastAsia" w:ascii="宋体" w:hAnsi="宋体" w:eastAsia="宋体" w:cs="宋体"/>
                <w:color w:val="auto"/>
                <w:szCs w:val="21"/>
                <w:highlight w:val="none"/>
              </w:rPr>
            </w:pPr>
          </w:p>
        </w:tc>
      </w:tr>
      <w:tr w14:paraId="6C2CC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3" w:type="dxa"/>
            <w:tcBorders>
              <w:top w:val="single" w:color="auto" w:sz="4" w:space="0"/>
              <w:left w:val="single" w:color="auto" w:sz="4" w:space="0"/>
              <w:bottom w:val="single" w:color="auto" w:sz="4" w:space="0"/>
              <w:right w:val="single" w:color="auto" w:sz="4" w:space="0"/>
            </w:tcBorders>
            <w:noWrap w:val="0"/>
            <w:vAlign w:val="top"/>
          </w:tcPr>
          <w:p w14:paraId="59040E16">
            <w:pPr>
              <w:snapToGrid w:val="0"/>
              <w:spacing w:before="120" w:beforeLines="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180B6C61">
            <w:pPr>
              <w:snapToGrid w:val="0"/>
              <w:spacing w:before="120" w:beforeLines="50" w:line="440" w:lineRule="exact"/>
              <w:jc w:val="center"/>
              <w:rPr>
                <w:rFonts w:hint="eastAsia" w:ascii="宋体" w:hAnsi="宋体" w:eastAsia="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DE38D90">
            <w:pPr>
              <w:snapToGrid w:val="0"/>
              <w:spacing w:before="120" w:beforeLines="50" w:line="440" w:lineRule="exact"/>
              <w:jc w:val="center"/>
              <w:rPr>
                <w:rFonts w:hint="eastAsia" w:ascii="宋体" w:hAnsi="宋体" w:eastAsia="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7E340FE1">
            <w:pPr>
              <w:snapToGrid w:val="0"/>
              <w:spacing w:before="120" w:beforeLines="50" w:line="440" w:lineRule="exact"/>
              <w:jc w:val="center"/>
              <w:rPr>
                <w:rFonts w:hint="eastAsia" w:ascii="宋体" w:hAnsi="宋体" w:eastAsia="宋体" w:cs="宋体"/>
                <w:color w:val="auto"/>
                <w:szCs w:val="21"/>
                <w:highlight w:val="none"/>
              </w:rPr>
            </w:pPr>
          </w:p>
        </w:tc>
      </w:tr>
    </w:tbl>
    <w:p w14:paraId="3E7211B0">
      <w:pPr>
        <w:pStyle w:val="15"/>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CE77DB8">
      <w:pPr>
        <w:pStyle w:val="16"/>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说明：应对照招标文件“第二章 采购需求”中的商务要求逐条作明确的投标响应，并作出偏离说明。</w:t>
      </w:r>
    </w:p>
    <w:p w14:paraId="54E0C192">
      <w:pPr>
        <w:pStyle w:val="15"/>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2.投标人应根据自身的承诺，对照招标文件要求在“偏离说明”中注明“正偏离”、“负偏离”或者“无偏离”。既不属于“正偏离”也不属于“负偏离”即为“无偏离”。</w:t>
      </w:r>
    </w:p>
    <w:p w14:paraId="720B0472">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eastAsia="宋体" w:cs="宋体"/>
          <w:color w:val="auto"/>
          <w:szCs w:val="21"/>
          <w:highlight w:val="none"/>
        </w:rPr>
      </w:pPr>
    </w:p>
    <w:p w14:paraId="7B7FCB45">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eastAsia="宋体" w:cs="宋体"/>
          <w:color w:val="auto"/>
          <w:szCs w:val="21"/>
          <w:highlight w:val="none"/>
        </w:rPr>
      </w:pPr>
    </w:p>
    <w:p w14:paraId="4589E7A3">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法定代表人或者委托代理人</w:t>
      </w:r>
      <w:r>
        <w:rPr>
          <w:rFonts w:hint="eastAsia" w:ascii="宋体" w:hAnsi="宋体" w:eastAsia="宋体" w:cs="宋体"/>
          <w:color w:val="auto"/>
          <w:spacing w:val="20"/>
          <w:szCs w:val="21"/>
          <w:highlight w:val="none"/>
        </w:rPr>
        <w:t>（签字或者电子签名）：</w:t>
      </w:r>
      <w:r>
        <w:rPr>
          <w:rFonts w:hint="eastAsia" w:ascii="宋体" w:hAnsi="宋体" w:eastAsia="宋体" w:cs="宋体"/>
          <w:color w:val="auto"/>
          <w:spacing w:val="20"/>
          <w:szCs w:val="21"/>
          <w:highlight w:val="none"/>
          <w:u w:val="single"/>
        </w:rPr>
        <w:t xml:space="preserve">        </w:t>
      </w:r>
    </w:p>
    <w:p w14:paraId="0327AAAA">
      <w:pPr>
        <w:keepNext w:val="0"/>
        <w:keepLines w:val="0"/>
        <w:pageBreakBefore w:val="0"/>
        <w:widowControl w:val="0"/>
        <w:kinsoku/>
        <w:wordWrap/>
        <w:overflowPunct/>
        <w:topLinePunct w:val="0"/>
        <w:autoSpaceDE/>
        <w:autoSpaceDN/>
        <w:bidi w:val="0"/>
        <w:adjustRightInd/>
        <w:snapToGrid w:val="0"/>
        <w:spacing w:before="120" w:beforeLines="50" w:line="400" w:lineRule="exact"/>
        <w:textAlignment w:val="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投标人名称（电子签章）：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7AA5B73E">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right="920"/>
        <w:textAlignment w:val="auto"/>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B1A763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rPr>
      </w:pPr>
    </w:p>
    <w:p w14:paraId="7AE2362E">
      <w:pPr>
        <w:snapToGrid w:val="0"/>
        <w:spacing w:before="120" w:beforeLines="50" w:line="440" w:lineRule="exact"/>
        <w:rPr>
          <w:rFonts w:hint="eastAsia" w:ascii="宋体" w:hAnsi="宋体" w:eastAsia="宋体" w:cs="宋体"/>
          <w:color w:val="auto"/>
          <w:szCs w:val="21"/>
          <w:highlight w:val="none"/>
        </w:rPr>
      </w:pPr>
    </w:p>
    <w:p w14:paraId="3829CA05">
      <w:pPr>
        <w:snapToGrid w:val="0"/>
        <w:spacing w:before="120" w:beforeLines="50"/>
        <w:rPr>
          <w:rFonts w:hint="eastAsia" w:ascii="宋体" w:hAnsi="宋体" w:eastAsia="宋体" w:cs="宋体"/>
          <w:color w:val="auto"/>
          <w:sz w:val="24"/>
          <w:szCs w:val="20"/>
          <w:highlight w:val="none"/>
        </w:rPr>
      </w:pPr>
    </w:p>
    <w:p w14:paraId="04F88259">
      <w:pPr>
        <w:snapToGrid w:val="0"/>
        <w:spacing w:before="120" w:beforeLines="50" w:after="50"/>
        <w:jc w:val="left"/>
        <w:rPr>
          <w:rFonts w:hint="eastAsia" w:ascii="宋体" w:hAnsi="宋体" w:eastAsia="宋体" w:cs="宋体"/>
          <w:color w:val="auto"/>
          <w:sz w:val="24"/>
          <w:szCs w:val="20"/>
          <w:highlight w:val="none"/>
        </w:rPr>
        <w:sectPr>
          <w:footerReference r:id="rId14" w:type="first"/>
          <w:headerReference r:id="rId11" w:type="default"/>
          <w:footerReference r:id="rId12" w:type="default"/>
          <w:footerReference r:id="rId13" w:type="even"/>
          <w:pgSz w:w="11906" w:h="16838"/>
          <w:pgMar w:top="1134" w:right="1247" w:bottom="1134" w:left="1417" w:header="850" w:footer="850" w:gutter="0"/>
          <w:pgNumType w:fmt="decimal"/>
          <w:cols w:space="720" w:num="1"/>
          <w:titlePg/>
          <w:docGrid w:linePitch="312" w:charSpace="0"/>
        </w:sectPr>
      </w:pPr>
    </w:p>
    <w:p w14:paraId="165A9F1F">
      <w:pPr>
        <w:snapToGrid w:val="0"/>
        <w:spacing w:before="165" w:beforeLines="50" w:after="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.投标人业绩证明材料</w:t>
      </w:r>
    </w:p>
    <w:p w14:paraId="66D412B2">
      <w:pPr>
        <w:pStyle w:val="29"/>
        <w:snapToGrid w:val="0"/>
        <w:ind w:left="480" w:hanging="480"/>
        <w:rPr>
          <w:rFonts w:hint="eastAsia" w:ascii="宋体" w:hAnsi="宋体" w:eastAsia="宋体" w:cs="宋体"/>
          <w:color w:val="auto"/>
          <w:sz w:val="24"/>
          <w:highlight w:val="none"/>
        </w:rPr>
      </w:pPr>
    </w:p>
    <w:p w14:paraId="428C213C">
      <w:pPr>
        <w:pStyle w:val="29"/>
        <w:snapToGrid w:val="0"/>
        <w:spacing w:line="440" w:lineRule="exact"/>
        <w:ind w:left="600" w:hanging="60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投标人业绩情况一览表格式 </w:t>
      </w:r>
    </w:p>
    <w:tbl>
      <w:tblPr>
        <w:tblStyle w:val="4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1DFA4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3B5AAC22">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389562E2">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92C8582">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w:t>
            </w:r>
          </w:p>
          <w:p w14:paraId="3169817C">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560AE6B4">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采购人联系人及</w:t>
            </w:r>
          </w:p>
          <w:p w14:paraId="0F8E8C87">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2E1D8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4B165929">
            <w:pPr>
              <w:spacing w:line="440" w:lineRule="exact"/>
              <w:jc w:val="left"/>
              <w:rPr>
                <w:rFonts w:hint="eastAsia" w:ascii="宋体" w:hAnsi="宋体" w:eastAsia="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15D20CD2">
            <w:pPr>
              <w:spacing w:line="440" w:lineRule="exact"/>
              <w:jc w:val="left"/>
              <w:rPr>
                <w:rFonts w:hint="eastAsia" w:ascii="宋体" w:hAnsi="宋体" w:eastAsia="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206CA07A">
            <w:pPr>
              <w:spacing w:line="440" w:lineRule="exact"/>
              <w:jc w:val="left"/>
              <w:rPr>
                <w:rFonts w:hint="eastAsia" w:ascii="宋体" w:hAnsi="宋体" w:eastAsia="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27434F8F">
            <w:pPr>
              <w:spacing w:line="440" w:lineRule="exact"/>
              <w:jc w:val="left"/>
              <w:rPr>
                <w:rFonts w:hint="eastAsia" w:ascii="宋体" w:hAnsi="宋体" w:eastAsia="宋体" w:cs="宋体"/>
                <w:color w:val="auto"/>
                <w:szCs w:val="21"/>
                <w:highlight w:val="none"/>
              </w:rPr>
            </w:pPr>
          </w:p>
        </w:tc>
      </w:tr>
      <w:tr w14:paraId="2C964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32B8786E">
            <w:pPr>
              <w:snapToGrid w:val="0"/>
              <w:spacing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0AA358B">
            <w:pPr>
              <w:snapToGrid w:val="0"/>
              <w:spacing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D27964D">
            <w:pPr>
              <w:snapToGrid w:val="0"/>
              <w:spacing w:line="440" w:lineRule="exact"/>
              <w:jc w:val="left"/>
              <w:rPr>
                <w:rFonts w:hint="eastAsia" w:ascii="宋体" w:hAnsi="宋体" w:eastAsia="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E69E703">
            <w:pPr>
              <w:snapToGrid w:val="0"/>
              <w:spacing w:line="440" w:lineRule="exact"/>
              <w:jc w:val="left"/>
              <w:rPr>
                <w:rFonts w:hint="eastAsia" w:ascii="宋体" w:hAnsi="宋体" w:eastAsia="宋体" w:cs="宋体"/>
                <w:color w:val="auto"/>
                <w:szCs w:val="21"/>
                <w:highlight w:val="none"/>
              </w:rPr>
            </w:pPr>
          </w:p>
        </w:tc>
      </w:tr>
      <w:tr w14:paraId="4615A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2279E2A">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ABFE4C4">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CF970CD">
            <w:pPr>
              <w:snapToGrid w:val="0"/>
              <w:spacing w:before="50" w:after="165" w:afterLines="50" w:line="440" w:lineRule="exact"/>
              <w:jc w:val="left"/>
              <w:rPr>
                <w:rFonts w:hint="eastAsia" w:ascii="宋体" w:hAnsi="宋体" w:eastAsia="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C1B152A">
            <w:pPr>
              <w:snapToGrid w:val="0"/>
              <w:spacing w:before="50" w:after="165" w:afterLines="50" w:line="440" w:lineRule="exact"/>
              <w:jc w:val="left"/>
              <w:rPr>
                <w:rFonts w:hint="eastAsia" w:ascii="宋体" w:hAnsi="宋体" w:eastAsia="宋体" w:cs="宋体"/>
                <w:color w:val="auto"/>
                <w:szCs w:val="21"/>
                <w:highlight w:val="none"/>
              </w:rPr>
            </w:pPr>
          </w:p>
        </w:tc>
      </w:tr>
      <w:tr w14:paraId="0A086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05450DD0">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542D925">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F732ED8">
            <w:pPr>
              <w:snapToGrid w:val="0"/>
              <w:spacing w:before="50" w:after="165" w:afterLines="50" w:line="440" w:lineRule="exact"/>
              <w:jc w:val="left"/>
              <w:rPr>
                <w:rFonts w:hint="eastAsia" w:ascii="宋体" w:hAnsi="宋体" w:eastAsia="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41FA6C84">
            <w:pPr>
              <w:snapToGrid w:val="0"/>
              <w:spacing w:before="50" w:after="165" w:afterLines="50" w:line="440" w:lineRule="exact"/>
              <w:jc w:val="left"/>
              <w:rPr>
                <w:rFonts w:hint="eastAsia" w:ascii="宋体" w:hAnsi="宋体" w:eastAsia="宋体" w:cs="宋体"/>
                <w:color w:val="auto"/>
                <w:szCs w:val="21"/>
                <w:highlight w:val="none"/>
              </w:rPr>
            </w:pPr>
          </w:p>
        </w:tc>
      </w:tr>
      <w:tr w14:paraId="3FEE1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48AA7BEB">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E8CEF02">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DC2F1A5">
            <w:pPr>
              <w:snapToGrid w:val="0"/>
              <w:spacing w:before="50" w:after="165" w:afterLines="50" w:line="440" w:lineRule="exact"/>
              <w:jc w:val="left"/>
              <w:rPr>
                <w:rFonts w:hint="eastAsia" w:ascii="宋体" w:hAnsi="宋体" w:eastAsia="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9BBE2EA">
            <w:pPr>
              <w:snapToGrid w:val="0"/>
              <w:spacing w:before="50" w:after="165" w:afterLines="50" w:line="440" w:lineRule="exact"/>
              <w:jc w:val="left"/>
              <w:rPr>
                <w:rFonts w:hint="eastAsia" w:ascii="宋体" w:hAnsi="宋体" w:eastAsia="宋体" w:cs="宋体"/>
                <w:color w:val="auto"/>
                <w:szCs w:val="21"/>
                <w:highlight w:val="none"/>
              </w:rPr>
            </w:pPr>
          </w:p>
        </w:tc>
      </w:tr>
      <w:tr w14:paraId="330E2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69AA308">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A1E3FAA">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74472EC">
            <w:pPr>
              <w:snapToGrid w:val="0"/>
              <w:spacing w:before="50" w:after="165" w:afterLines="50" w:line="440" w:lineRule="exact"/>
              <w:jc w:val="left"/>
              <w:rPr>
                <w:rFonts w:hint="eastAsia" w:ascii="宋体" w:hAnsi="宋体" w:eastAsia="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39DEABF">
            <w:pPr>
              <w:snapToGrid w:val="0"/>
              <w:spacing w:before="50" w:after="165" w:afterLines="50" w:line="440" w:lineRule="exact"/>
              <w:jc w:val="left"/>
              <w:rPr>
                <w:rFonts w:hint="eastAsia" w:ascii="宋体" w:hAnsi="宋体" w:eastAsia="宋体" w:cs="宋体"/>
                <w:color w:val="auto"/>
                <w:szCs w:val="21"/>
                <w:highlight w:val="none"/>
              </w:rPr>
            </w:pPr>
          </w:p>
        </w:tc>
      </w:tr>
    </w:tbl>
    <w:p w14:paraId="62C03093">
      <w:pPr>
        <w:pStyle w:val="11"/>
        <w:spacing w:before="0" w:after="0" w:line="440" w:lineRule="exact"/>
        <w:contextualSpacing/>
        <w:rPr>
          <w:rFonts w:hint="eastAsia" w:ascii="宋体" w:hAnsi="宋体" w:eastAsia="宋体" w:cs="宋体"/>
          <w:color w:val="auto"/>
          <w:sz w:val="21"/>
          <w:szCs w:val="21"/>
          <w:highlight w:val="none"/>
        </w:rPr>
      </w:pPr>
    </w:p>
    <w:p w14:paraId="2B72C4CB">
      <w:pPr>
        <w:pStyle w:val="11"/>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77A72EF9">
      <w:pPr>
        <w:pStyle w:val="11"/>
        <w:spacing w:before="0" w:after="0" w:line="440" w:lineRule="exact"/>
        <w:contextualSpacing/>
        <w:jc w:val="left"/>
        <w:rPr>
          <w:rFonts w:hint="eastAsia" w:ascii="宋体" w:hAnsi="宋体" w:eastAsia="宋体" w:cs="宋体"/>
          <w:color w:val="auto"/>
          <w:sz w:val="21"/>
          <w:szCs w:val="21"/>
          <w:highlight w:val="none"/>
        </w:rPr>
      </w:pPr>
    </w:p>
    <w:p w14:paraId="175F00F6">
      <w:pPr>
        <w:pStyle w:val="11"/>
        <w:spacing w:before="0" w:after="0" w:line="440" w:lineRule="exact"/>
        <w:contextualSpacing/>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6DD13EA8">
      <w:pPr>
        <w:spacing w:line="440" w:lineRule="exact"/>
        <w:ind w:right="480"/>
        <w:contextualSpacing/>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投标人名称（电子签章）： </w:t>
      </w:r>
      <w:r>
        <w:rPr>
          <w:rFonts w:hint="eastAsia" w:ascii="宋体" w:hAnsi="宋体" w:eastAsia="宋体" w:cs="宋体"/>
          <w:color w:val="auto"/>
          <w:szCs w:val="21"/>
          <w:highlight w:val="none"/>
          <w:u w:val="single"/>
        </w:rPr>
        <w:t xml:space="preserve">                </w:t>
      </w:r>
    </w:p>
    <w:p w14:paraId="70B5F78E">
      <w:pPr>
        <w:snapToGrid w:val="0"/>
        <w:spacing w:before="165" w:beforeLines="50" w:after="50"/>
        <w:ind w:right="84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EACC457">
      <w:pPr>
        <w:snapToGrid w:val="0"/>
        <w:spacing w:before="165" w:beforeLines="50" w:after="50"/>
        <w:ind w:left="142"/>
        <w:jc w:val="left"/>
        <w:rPr>
          <w:rFonts w:hint="eastAsia" w:ascii="宋体" w:hAnsi="宋体" w:eastAsia="宋体" w:cs="宋体"/>
          <w:b/>
          <w:color w:val="auto"/>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.技术要求偏离表格式</w:t>
      </w:r>
    </w:p>
    <w:p w14:paraId="78EE1B6F">
      <w:pPr>
        <w:snapToGrid w:val="0"/>
        <w:spacing w:before="165" w:beforeLines="50" w:after="50"/>
        <w:ind w:left="142"/>
        <w:jc w:val="left"/>
        <w:rPr>
          <w:rFonts w:hint="eastAsia" w:ascii="宋体" w:hAnsi="宋体" w:eastAsia="宋体" w:cs="宋体"/>
          <w:b/>
          <w:color w:val="auto"/>
          <w:sz w:val="24"/>
          <w:highlight w:val="none"/>
        </w:rPr>
      </w:pPr>
    </w:p>
    <w:p w14:paraId="1CA73785">
      <w:pPr>
        <w:snapToGrid w:val="0"/>
        <w:spacing w:before="165" w:beforeLines="50" w:after="50"/>
        <w:ind w:left="142"/>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技术要求偏离表</w:t>
      </w:r>
    </w:p>
    <w:p w14:paraId="73585C5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所投分标：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w:t>
      </w:r>
    </w:p>
    <w:tbl>
      <w:tblPr>
        <w:tblStyle w:val="40"/>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3"/>
        <w:gridCol w:w="1834"/>
        <w:gridCol w:w="2181"/>
        <w:gridCol w:w="2084"/>
      </w:tblGrid>
      <w:tr w14:paraId="453D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5" w:type="dxa"/>
            <w:noWrap w:val="0"/>
            <w:vAlign w:val="center"/>
          </w:tcPr>
          <w:p w14:paraId="20C588E8">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项号</w:t>
            </w:r>
          </w:p>
        </w:tc>
        <w:tc>
          <w:tcPr>
            <w:tcW w:w="2143" w:type="dxa"/>
            <w:noWrap w:val="0"/>
            <w:vAlign w:val="center"/>
          </w:tcPr>
          <w:p w14:paraId="719731CA">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标的名称</w:t>
            </w:r>
          </w:p>
        </w:tc>
        <w:tc>
          <w:tcPr>
            <w:tcW w:w="1834" w:type="dxa"/>
            <w:noWrap w:val="0"/>
            <w:vAlign w:val="center"/>
          </w:tcPr>
          <w:p w14:paraId="30328A1E">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项目要求及技术需求</w:t>
            </w:r>
          </w:p>
        </w:tc>
        <w:tc>
          <w:tcPr>
            <w:tcW w:w="2181" w:type="dxa"/>
            <w:noWrap w:val="0"/>
            <w:vAlign w:val="center"/>
          </w:tcPr>
          <w:p w14:paraId="61251641">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2084" w:type="dxa"/>
            <w:noWrap w:val="0"/>
            <w:vAlign w:val="center"/>
          </w:tcPr>
          <w:p w14:paraId="51A0BADC">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偏离说明</w:t>
            </w:r>
          </w:p>
        </w:tc>
      </w:tr>
      <w:tr w14:paraId="5B73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64C0CFFE">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143" w:type="dxa"/>
            <w:noWrap w:val="0"/>
            <w:vAlign w:val="center"/>
          </w:tcPr>
          <w:p w14:paraId="7079EDDE">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1834" w:type="dxa"/>
            <w:noWrap w:val="0"/>
            <w:vAlign w:val="center"/>
          </w:tcPr>
          <w:p w14:paraId="034FDCF8">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181" w:type="dxa"/>
            <w:noWrap w:val="0"/>
            <w:vAlign w:val="center"/>
          </w:tcPr>
          <w:p w14:paraId="67C4F979">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084" w:type="dxa"/>
            <w:noWrap w:val="0"/>
            <w:vAlign w:val="center"/>
          </w:tcPr>
          <w:p w14:paraId="53636A7F">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14:paraId="5FFD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7F78DA9F">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43" w:type="dxa"/>
            <w:noWrap w:val="0"/>
            <w:vAlign w:val="top"/>
          </w:tcPr>
          <w:p w14:paraId="4B550A7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1834" w:type="dxa"/>
            <w:noWrap w:val="0"/>
            <w:vAlign w:val="top"/>
          </w:tcPr>
          <w:p w14:paraId="5BCA760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81" w:type="dxa"/>
            <w:noWrap w:val="0"/>
            <w:vAlign w:val="top"/>
          </w:tcPr>
          <w:p w14:paraId="280692A3">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084" w:type="dxa"/>
            <w:noWrap w:val="0"/>
            <w:vAlign w:val="top"/>
          </w:tcPr>
          <w:p w14:paraId="4523037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r>
      <w:tr w14:paraId="239E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3B94747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43" w:type="dxa"/>
            <w:noWrap w:val="0"/>
            <w:vAlign w:val="top"/>
          </w:tcPr>
          <w:p w14:paraId="3EA90CC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1834" w:type="dxa"/>
            <w:noWrap w:val="0"/>
            <w:vAlign w:val="top"/>
          </w:tcPr>
          <w:p w14:paraId="31241218">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81" w:type="dxa"/>
            <w:noWrap w:val="0"/>
            <w:vAlign w:val="top"/>
          </w:tcPr>
          <w:p w14:paraId="1B853C1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084" w:type="dxa"/>
            <w:noWrap w:val="0"/>
            <w:vAlign w:val="top"/>
          </w:tcPr>
          <w:p w14:paraId="4870F11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r>
      <w:tr w14:paraId="0387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1F4CEDF4">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43" w:type="dxa"/>
            <w:noWrap w:val="0"/>
            <w:vAlign w:val="top"/>
          </w:tcPr>
          <w:p w14:paraId="533DB3B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1834" w:type="dxa"/>
            <w:noWrap w:val="0"/>
            <w:vAlign w:val="top"/>
          </w:tcPr>
          <w:p w14:paraId="1DC7600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81" w:type="dxa"/>
            <w:noWrap w:val="0"/>
            <w:vAlign w:val="top"/>
          </w:tcPr>
          <w:p w14:paraId="2F8A2538">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084" w:type="dxa"/>
            <w:noWrap w:val="0"/>
            <w:vAlign w:val="top"/>
          </w:tcPr>
          <w:p w14:paraId="3F6BCB5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r>
      <w:tr w14:paraId="7278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8602B20">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43" w:type="dxa"/>
            <w:noWrap w:val="0"/>
            <w:vAlign w:val="top"/>
          </w:tcPr>
          <w:p w14:paraId="36CA4C48">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1834" w:type="dxa"/>
            <w:noWrap w:val="0"/>
            <w:vAlign w:val="top"/>
          </w:tcPr>
          <w:p w14:paraId="17C8659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81" w:type="dxa"/>
            <w:noWrap w:val="0"/>
            <w:vAlign w:val="top"/>
          </w:tcPr>
          <w:p w14:paraId="1CDB7B0D">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084" w:type="dxa"/>
            <w:noWrap w:val="0"/>
            <w:vAlign w:val="top"/>
          </w:tcPr>
          <w:p w14:paraId="38633F03">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r>
      <w:tr w14:paraId="4D07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54EA2294">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43" w:type="dxa"/>
            <w:noWrap w:val="0"/>
            <w:vAlign w:val="top"/>
          </w:tcPr>
          <w:p w14:paraId="3356FE8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1834" w:type="dxa"/>
            <w:noWrap w:val="0"/>
            <w:vAlign w:val="top"/>
          </w:tcPr>
          <w:p w14:paraId="4B0A648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81" w:type="dxa"/>
            <w:noWrap w:val="0"/>
            <w:vAlign w:val="top"/>
          </w:tcPr>
          <w:p w14:paraId="01819F74">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084" w:type="dxa"/>
            <w:noWrap w:val="0"/>
            <w:vAlign w:val="top"/>
          </w:tcPr>
          <w:p w14:paraId="076466EF">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r>
      <w:tr w14:paraId="5766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E0C7819">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43" w:type="dxa"/>
            <w:noWrap w:val="0"/>
            <w:vAlign w:val="top"/>
          </w:tcPr>
          <w:p w14:paraId="45A765E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1834" w:type="dxa"/>
            <w:noWrap w:val="0"/>
            <w:vAlign w:val="top"/>
          </w:tcPr>
          <w:p w14:paraId="6EB0E77D">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81" w:type="dxa"/>
            <w:noWrap w:val="0"/>
            <w:vAlign w:val="top"/>
          </w:tcPr>
          <w:p w14:paraId="5CF379EF">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084" w:type="dxa"/>
            <w:noWrap w:val="0"/>
            <w:vAlign w:val="top"/>
          </w:tcPr>
          <w:p w14:paraId="6CB83D0F">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r>
    </w:tbl>
    <w:p w14:paraId="52F9C7EA">
      <w:pPr>
        <w:pStyle w:val="15"/>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BF1E8D0">
      <w:pPr>
        <w:pStyle w:val="16"/>
        <w:keepNext w:val="0"/>
        <w:keepLines w:val="0"/>
        <w:pageBreakBefore w:val="0"/>
        <w:widowControl w:val="0"/>
        <w:kinsoku/>
        <w:wordWrap/>
        <w:overflowPunct/>
        <w:topLinePunct w:val="0"/>
        <w:autoSpaceDE/>
        <w:autoSpaceDN/>
        <w:bidi w:val="0"/>
        <w:adjustRightInd/>
        <w:snapToGrid/>
        <w:spacing w:line="400" w:lineRule="exact"/>
        <w:ind w:firstLine="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说明：应对照招标文件“第二章 采购需求”中的项目要求及技术需求逐条作明确的投标响应，并作出偏离说明。</w:t>
      </w:r>
    </w:p>
    <w:p w14:paraId="5D887DEE">
      <w:pPr>
        <w:pStyle w:val="15"/>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2.投标人应根据自身的承诺，对照招标文件要求，在“偏离说明”中注明“正偏离”、“负偏离”或者“无偏离”。既不属于“正偏离”也不属于“负偏离”即为“无偏离”。</w:t>
      </w:r>
    </w:p>
    <w:p w14:paraId="5AEE0A4A">
      <w:pPr>
        <w:pStyle w:val="15"/>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pacing w:val="20"/>
          <w:sz w:val="21"/>
          <w:szCs w:val="21"/>
          <w:highlight w:val="none"/>
        </w:rPr>
      </w:pPr>
    </w:p>
    <w:p w14:paraId="1724426D">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法定代表人或者委托代理人</w:t>
      </w:r>
      <w:r>
        <w:rPr>
          <w:rFonts w:hint="eastAsia" w:ascii="宋体" w:hAnsi="宋体" w:eastAsia="宋体" w:cs="宋体"/>
          <w:color w:val="auto"/>
          <w:spacing w:val="20"/>
          <w:szCs w:val="21"/>
          <w:highlight w:val="none"/>
        </w:rPr>
        <w:t>（签字或者电子签名）：</w:t>
      </w:r>
      <w:r>
        <w:rPr>
          <w:rFonts w:hint="eastAsia" w:ascii="宋体" w:hAnsi="宋体" w:eastAsia="宋体" w:cs="宋体"/>
          <w:color w:val="auto"/>
          <w:spacing w:val="20"/>
          <w:szCs w:val="21"/>
          <w:highlight w:val="none"/>
          <w:u w:val="single"/>
        </w:rPr>
        <w:t xml:space="preserve">        </w:t>
      </w:r>
    </w:p>
    <w:p w14:paraId="31FB0F2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投标人名称（电子签章）：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6B01D8C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20794C8">
      <w:pPr>
        <w:spacing w:line="360" w:lineRule="auto"/>
        <w:contextualSpacing/>
        <w:rPr>
          <w:rFonts w:hint="eastAsia" w:ascii="宋体" w:hAnsi="宋体" w:eastAsia="宋体" w:cs="宋体"/>
          <w:color w:val="auto"/>
          <w:sz w:val="24"/>
          <w:szCs w:val="20"/>
          <w:highlight w:val="none"/>
        </w:rPr>
      </w:pPr>
    </w:p>
    <w:p w14:paraId="15BA84F0">
      <w:pPr>
        <w:snapToGrid w:val="0"/>
        <w:spacing w:before="165" w:beforeLines="50" w:after="50"/>
        <w:ind w:left="14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10</w:t>
      </w:r>
      <w:r>
        <w:rPr>
          <w:rFonts w:hint="eastAsia" w:ascii="宋体" w:hAnsi="宋体" w:eastAsia="宋体" w:cs="宋体"/>
          <w:b/>
          <w:color w:val="auto"/>
          <w:sz w:val="24"/>
          <w:highlight w:val="none"/>
        </w:rPr>
        <w:t>.项目实施人员一览表格式</w:t>
      </w:r>
    </w:p>
    <w:p w14:paraId="5D3C45BB">
      <w:pPr>
        <w:snapToGrid w:val="0"/>
        <w:spacing w:before="165" w:beforeLines="50" w:after="50"/>
        <w:ind w:left="142"/>
        <w:jc w:val="left"/>
        <w:rPr>
          <w:rFonts w:hint="eastAsia" w:ascii="宋体" w:hAnsi="宋体" w:eastAsia="宋体" w:cs="宋体"/>
          <w:b/>
          <w:color w:val="auto"/>
          <w:sz w:val="24"/>
          <w:highlight w:val="none"/>
        </w:rPr>
      </w:pPr>
    </w:p>
    <w:p w14:paraId="4FCD6C01">
      <w:pPr>
        <w:snapToGrid w:val="0"/>
        <w:spacing w:before="165" w:beforeLines="50" w:after="50"/>
        <w:ind w:left="142"/>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项目实施人员一览表</w:t>
      </w:r>
    </w:p>
    <w:p w14:paraId="009A7763">
      <w:pPr>
        <w:pStyle w:val="20"/>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所投分标：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406"/>
      </w:tblGrid>
      <w:tr w14:paraId="1F5F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96" w:type="dxa"/>
            <w:noWrap w:val="0"/>
            <w:vAlign w:val="center"/>
          </w:tcPr>
          <w:p w14:paraId="1650D780">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77" w:type="dxa"/>
            <w:noWrap w:val="0"/>
            <w:vAlign w:val="center"/>
          </w:tcPr>
          <w:p w14:paraId="34DE88F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865" w:type="dxa"/>
            <w:noWrap w:val="0"/>
            <w:vAlign w:val="center"/>
          </w:tcPr>
          <w:p w14:paraId="2297DBB7">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专业技术资格（职称）或者职业资格或者执业资格证或者其他证书</w:t>
            </w:r>
          </w:p>
        </w:tc>
        <w:tc>
          <w:tcPr>
            <w:tcW w:w="1557" w:type="dxa"/>
            <w:noWrap w:val="0"/>
            <w:vAlign w:val="center"/>
          </w:tcPr>
          <w:p w14:paraId="3D711D8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1862" w:type="dxa"/>
            <w:noWrap w:val="0"/>
            <w:vAlign w:val="center"/>
          </w:tcPr>
          <w:p w14:paraId="7AB2E757">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w:t>
            </w:r>
          </w:p>
          <w:p w14:paraId="092C7170">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工作时间</w:t>
            </w:r>
          </w:p>
        </w:tc>
        <w:tc>
          <w:tcPr>
            <w:tcW w:w="2406" w:type="dxa"/>
            <w:noWrap w:val="0"/>
            <w:vAlign w:val="center"/>
          </w:tcPr>
          <w:p w14:paraId="7A666C1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14:paraId="40A2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313513D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777" w:type="dxa"/>
            <w:noWrap w:val="0"/>
            <w:vAlign w:val="center"/>
          </w:tcPr>
          <w:p w14:paraId="5D0AF248">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865" w:type="dxa"/>
            <w:noWrap w:val="0"/>
            <w:vAlign w:val="center"/>
          </w:tcPr>
          <w:p w14:paraId="5859FC08">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557" w:type="dxa"/>
            <w:noWrap w:val="0"/>
            <w:vAlign w:val="center"/>
          </w:tcPr>
          <w:p w14:paraId="6559BA5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862" w:type="dxa"/>
            <w:noWrap w:val="0"/>
            <w:vAlign w:val="center"/>
          </w:tcPr>
          <w:p w14:paraId="77CCB5D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2406" w:type="dxa"/>
            <w:noWrap w:val="0"/>
            <w:vAlign w:val="center"/>
          </w:tcPr>
          <w:p w14:paraId="2E5D564A">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r>
      <w:tr w14:paraId="4869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16C921F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777" w:type="dxa"/>
            <w:noWrap w:val="0"/>
            <w:vAlign w:val="center"/>
          </w:tcPr>
          <w:p w14:paraId="4AB15F8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865" w:type="dxa"/>
            <w:noWrap w:val="0"/>
            <w:vAlign w:val="center"/>
          </w:tcPr>
          <w:p w14:paraId="5D8443B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557" w:type="dxa"/>
            <w:noWrap w:val="0"/>
            <w:vAlign w:val="center"/>
          </w:tcPr>
          <w:p w14:paraId="1AB47D7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862" w:type="dxa"/>
            <w:noWrap w:val="0"/>
            <w:vAlign w:val="center"/>
          </w:tcPr>
          <w:p w14:paraId="15B2CB7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2406" w:type="dxa"/>
            <w:noWrap w:val="0"/>
            <w:vAlign w:val="center"/>
          </w:tcPr>
          <w:p w14:paraId="35639B2A">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r>
      <w:tr w14:paraId="14B5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3EF82C3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777" w:type="dxa"/>
            <w:noWrap w:val="0"/>
            <w:vAlign w:val="center"/>
          </w:tcPr>
          <w:p w14:paraId="7A83FE9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865" w:type="dxa"/>
            <w:noWrap w:val="0"/>
            <w:vAlign w:val="center"/>
          </w:tcPr>
          <w:p w14:paraId="26569A3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557" w:type="dxa"/>
            <w:noWrap w:val="0"/>
            <w:vAlign w:val="center"/>
          </w:tcPr>
          <w:p w14:paraId="1DCCDC6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862" w:type="dxa"/>
            <w:noWrap w:val="0"/>
            <w:vAlign w:val="center"/>
          </w:tcPr>
          <w:p w14:paraId="0A990E4A">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2406" w:type="dxa"/>
            <w:noWrap w:val="0"/>
            <w:vAlign w:val="center"/>
          </w:tcPr>
          <w:p w14:paraId="584E39D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r>
    </w:tbl>
    <w:p w14:paraId="6321C937">
      <w:pPr>
        <w:keepNext w:val="0"/>
        <w:keepLines w:val="0"/>
        <w:pageBreakBefore w:val="0"/>
        <w:widowControl w:val="0"/>
        <w:kinsoku/>
        <w:overflowPunct/>
        <w:topLinePunct w:val="0"/>
        <w:autoSpaceDE/>
        <w:autoSpaceDN/>
        <w:bidi w:val="0"/>
        <w:adjustRightInd/>
        <w:snapToGrid w:val="0"/>
        <w:spacing w:before="50" w:after="165" w:afterLines="50" w:line="400" w:lineRule="exact"/>
        <w:jc w:val="left"/>
        <w:textAlignment w:val="auto"/>
        <w:rPr>
          <w:rFonts w:hint="eastAsia" w:ascii="宋体" w:hAnsi="宋体" w:eastAsia="宋体" w:cs="宋体"/>
          <w:color w:val="auto"/>
          <w:szCs w:val="21"/>
          <w:highlight w:val="none"/>
        </w:rPr>
      </w:pPr>
    </w:p>
    <w:p w14:paraId="3A6F9634">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DA2FE94">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1.在填写时，如本表格不适合投标单位的实际情况，可根据本表格式自行制表填写。</w:t>
      </w:r>
    </w:p>
    <w:p w14:paraId="0AA2C61B">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2.投标人应当附本表所列证书的复印件并加盖投标人电子签章。</w:t>
      </w:r>
    </w:p>
    <w:p w14:paraId="4ED52B0A">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p>
    <w:p w14:paraId="101C3C60">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法定代表人或者委托代理人</w:t>
      </w:r>
      <w:r>
        <w:rPr>
          <w:rFonts w:hint="eastAsia" w:ascii="宋体" w:hAnsi="宋体" w:eastAsia="宋体" w:cs="宋体"/>
          <w:color w:val="auto"/>
          <w:spacing w:val="20"/>
          <w:szCs w:val="21"/>
          <w:highlight w:val="none"/>
        </w:rPr>
        <w:t>（签字或者电子签名）：</w:t>
      </w:r>
      <w:r>
        <w:rPr>
          <w:rFonts w:hint="eastAsia" w:ascii="宋体" w:hAnsi="宋体" w:eastAsia="宋体" w:cs="宋体"/>
          <w:color w:val="auto"/>
          <w:spacing w:val="20"/>
          <w:szCs w:val="21"/>
          <w:highlight w:val="none"/>
          <w:u w:val="single"/>
        </w:rPr>
        <w:t xml:space="preserve">        </w:t>
      </w:r>
    </w:p>
    <w:p w14:paraId="7689EA3D">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投标人名称（电子签章）：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27B6720E">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5348649">
      <w:pPr>
        <w:spacing w:line="360" w:lineRule="auto"/>
        <w:contextualSpacing/>
        <w:jc w:val="left"/>
        <w:rPr>
          <w:rFonts w:hint="eastAsia" w:ascii="宋体" w:hAnsi="宋体" w:eastAsia="宋体" w:cs="宋体"/>
          <w:color w:val="auto"/>
          <w:sz w:val="24"/>
          <w:szCs w:val="20"/>
          <w:highlight w:val="none"/>
        </w:rPr>
      </w:pPr>
    </w:p>
    <w:p w14:paraId="1719A8C9">
      <w:pPr>
        <w:snapToGrid w:val="0"/>
        <w:spacing w:before="50" w:after="165" w:afterLines="50"/>
        <w:jc w:val="left"/>
        <w:rPr>
          <w:rFonts w:hint="eastAsia" w:ascii="宋体" w:hAnsi="宋体" w:eastAsia="宋体" w:cs="宋体"/>
          <w:color w:val="auto"/>
          <w:sz w:val="24"/>
          <w:szCs w:val="20"/>
          <w:highlight w:val="none"/>
        </w:rPr>
      </w:pPr>
    </w:p>
    <w:p w14:paraId="149A9E14">
      <w:pPr>
        <w:snapToGrid w:val="0"/>
        <w:spacing w:before="165" w:beforeLines="50" w:after="50"/>
        <w:jc w:val="left"/>
        <w:rPr>
          <w:rFonts w:hint="eastAsia" w:ascii="宋体" w:hAnsi="宋体" w:eastAsia="宋体" w:cs="宋体"/>
          <w:color w:val="auto"/>
          <w:sz w:val="24"/>
          <w:szCs w:val="20"/>
          <w:highlight w:val="none"/>
        </w:rPr>
      </w:pPr>
    </w:p>
    <w:p w14:paraId="78626C54">
      <w:pPr>
        <w:snapToGrid w:val="0"/>
        <w:spacing w:before="50" w:after="165" w:afterLines="50"/>
        <w:jc w:val="left"/>
        <w:rPr>
          <w:rFonts w:hint="eastAsia" w:ascii="宋体" w:hAnsi="宋体" w:eastAsia="宋体" w:cs="宋体"/>
          <w:color w:val="auto"/>
          <w:sz w:val="24"/>
          <w:szCs w:val="20"/>
          <w:highlight w:val="none"/>
        </w:rPr>
      </w:pPr>
    </w:p>
    <w:p w14:paraId="24C8A154">
      <w:pPr>
        <w:rPr>
          <w:rFonts w:hint="eastAsia" w:ascii="宋体" w:hAnsi="宋体" w:eastAsia="宋体" w:cs="宋体"/>
          <w:b/>
          <w:color w:val="auto"/>
          <w:sz w:val="28"/>
          <w:szCs w:val="28"/>
          <w:highlight w:val="none"/>
        </w:rPr>
      </w:pPr>
      <w:r>
        <w:rPr>
          <w:rFonts w:hint="eastAsia" w:ascii="宋体" w:hAnsi="宋体" w:eastAsia="宋体" w:cs="宋体"/>
          <w:b/>
          <w:bCs/>
          <w:color w:val="auto"/>
          <w:sz w:val="24"/>
          <w:highlight w:val="none"/>
        </w:rPr>
        <w:br w:type="page"/>
      </w:r>
      <w:bookmarkStart w:id="232" w:name="_Toc19686840"/>
      <w:r>
        <w:rPr>
          <w:rFonts w:hint="eastAsia" w:ascii="宋体" w:hAnsi="宋体" w:eastAsia="宋体" w:cs="宋体"/>
          <w:b/>
          <w:color w:val="auto"/>
          <w:sz w:val="28"/>
          <w:szCs w:val="28"/>
          <w:highlight w:val="none"/>
        </w:rPr>
        <w:t>四、其他文书、文件格式</w:t>
      </w:r>
      <w:bookmarkEnd w:id="232"/>
    </w:p>
    <w:p w14:paraId="2F83CAE5">
      <w:pPr>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color w:val="auto"/>
          <w:sz w:val="24"/>
          <w:highlight w:val="none"/>
        </w:rPr>
        <w:t>1.质疑函（格式）</w:t>
      </w:r>
    </w:p>
    <w:p w14:paraId="64032600">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质疑函（格式）</w:t>
      </w:r>
    </w:p>
    <w:p w14:paraId="1A1B920C">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一、质疑供应商基本信息：</w:t>
      </w:r>
    </w:p>
    <w:p w14:paraId="44595D4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质疑供应商：</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1DEF74C7">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6FA5AC19">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4145110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授权代表：</w:t>
      </w:r>
      <w:r>
        <w:rPr>
          <w:rFonts w:hint="eastAsia" w:ascii="宋体" w:hAnsi="宋体" w:eastAsia="宋体" w:cs="宋体"/>
          <w:bCs/>
          <w:color w:val="auto"/>
          <w:highlight w:val="none"/>
          <w:u w:val="single"/>
        </w:rPr>
        <w:t xml:space="preserve">                      </w:t>
      </w:r>
    </w:p>
    <w:p w14:paraId="77BE058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645DD7FE">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08FFEA4B">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二、质疑项目基本情况：</w:t>
      </w:r>
    </w:p>
    <w:p w14:paraId="0AB14F1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质疑</w:t>
      </w:r>
      <w:r>
        <w:rPr>
          <w:rFonts w:hint="eastAsia" w:ascii="宋体" w:hAnsi="宋体" w:eastAsia="宋体" w:cs="宋体"/>
          <w:color w:val="auto"/>
          <w:highlight w:val="none"/>
        </w:rPr>
        <w:t>项目的名称：</w:t>
      </w:r>
      <w:r>
        <w:rPr>
          <w:rFonts w:hint="eastAsia" w:ascii="宋体" w:hAnsi="宋体" w:eastAsia="宋体" w:cs="宋体"/>
          <w:bCs/>
          <w:color w:val="auto"/>
          <w:highlight w:val="none"/>
          <w:u w:val="single"/>
        </w:rPr>
        <w:t xml:space="preserve">                                     </w:t>
      </w:r>
    </w:p>
    <w:p w14:paraId="7EB3A4B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质疑</w:t>
      </w:r>
      <w:r>
        <w:rPr>
          <w:rFonts w:hint="eastAsia" w:ascii="宋体" w:hAnsi="宋体" w:eastAsia="宋体" w:cs="宋体"/>
          <w:color w:val="auto"/>
          <w:highlight w:val="none"/>
        </w:rPr>
        <w:t>项目的编号：</w:t>
      </w:r>
      <w:r>
        <w:rPr>
          <w:rFonts w:hint="eastAsia" w:ascii="宋体" w:hAnsi="宋体" w:eastAsia="宋体" w:cs="宋体"/>
          <w:bCs/>
          <w:color w:val="auto"/>
          <w:highlight w:val="none"/>
          <w:u w:val="single"/>
        </w:rPr>
        <w:t xml:space="preserve">                                     </w:t>
      </w:r>
    </w:p>
    <w:p w14:paraId="797EA5A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采购人名称：</w:t>
      </w:r>
      <w:r>
        <w:rPr>
          <w:rFonts w:hint="eastAsia" w:ascii="宋体" w:hAnsi="宋体" w:eastAsia="宋体" w:cs="宋体"/>
          <w:bCs/>
          <w:color w:val="auto"/>
          <w:highlight w:val="none"/>
          <w:u w:val="single"/>
        </w:rPr>
        <w:t xml:space="preserve">                                         </w:t>
      </w:r>
    </w:p>
    <w:p w14:paraId="4205C13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质疑事项：</w:t>
      </w:r>
    </w:p>
    <w:p w14:paraId="6F5E0228">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   招标文件获取日期：</w:t>
      </w:r>
      <w:r>
        <w:rPr>
          <w:rFonts w:hint="eastAsia" w:ascii="宋体" w:hAnsi="宋体" w:eastAsia="宋体" w:cs="宋体"/>
          <w:bCs/>
          <w:color w:val="auto"/>
          <w:highlight w:val="none"/>
          <w:u w:val="single"/>
        </w:rPr>
        <w:t xml:space="preserve">                                   </w:t>
      </w:r>
    </w:p>
    <w:p w14:paraId="0344588F">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□招标过程   </w:t>
      </w:r>
    </w:p>
    <w:p w14:paraId="4DAF998E">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 xml:space="preserve">□招标结果   </w:t>
      </w:r>
    </w:p>
    <w:p w14:paraId="1278E41F">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三、质疑事项具体内容</w:t>
      </w:r>
    </w:p>
    <w:p w14:paraId="5AD7F78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质疑事项1：</w:t>
      </w:r>
      <w:r>
        <w:rPr>
          <w:rFonts w:hint="eastAsia" w:ascii="宋体" w:hAnsi="宋体" w:eastAsia="宋体" w:cs="宋体"/>
          <w:bCs/>
          <w:color w:val="auto"/>
          <w:highlight w:val="none"/>
          <w:u w:val="single"/>
        </w:rPr>
        <w:t xml:space="preserve">                                                                    </w:t>
      </w:r>
    </w:p>
    <w:p w14:paraId="31CB2DB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事实依据：</w:t>
      </w:r>
      <w:r>
        <w:rPr>
          <w:rFonts w:hint="eastAsia" w:ascii="宋体" w:hAnsi="宋体" w:eastAsia="宋体" w:cs="宋体"/>
          <w:bCs/>
          <w:color w:val="auto"/>
          <w:highlight w:val="none"/>
          <w:u w:val="single"/>
        </w:rPr>
        <w:t xml:space="preserve">                                                                      </w:t>
      </w:r>
    </w:p>
    <w:p w14:paraId="7675058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法律依据：</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7B4347D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质疑事项2</w:t>
      </w:r>
    </w:p>
    <w:p w14:paraId="2D1CE6C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p w14:paraId="11882B8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四、与质疑事项相关的质疑请求：</w:t>
      </w:r>
    </w:p>
    <w:p w14:paraId="09A2CA5E">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请求：</w:t>
      </w:r>
      <w:r>
        <w:rPr>
          <w:rFonts w:hint="eastAsia" w:ascii="宋体" w:hAnsi="宋体" w:eastAsia="宋体" w:cs="宋体"/>
          <w:bCs/>
          <w:color w:val="auto"/>
          <w:highlight w:val="none"/>
          <w:u w:val="single"/>
        </w:rPr>
        <w:t xml:space="preserve">                                                                </w:t>
      </w:r>
    </w:p>
    <w:p w14:paraId="563AF5A7">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color w:val="auto"/>
          <w:highlight w:val="none"/>
        </w:rPr>
      </w:pPr>
    </w:p>
    <w:p w14:paraId="5C62A2FE">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签字（签章）：                                       公章：</w:t>
      </w:r>
    </w:p>
    <w:p w14:paraId="3C9108A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p>
    <w:p w14:paraId="36EFF663">
      <w:pPr>
        <w:pStyle w:val="20"/>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说明：</w:t>
      </w:r>
    </w:p>
    <w:p w14:paraId="0777DC09">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bCs/>
          <w:color w:val="auto"/>
          <w:highlight w:val="none"/>
        </w:rPr>
      </w:pPr>
      <w:r>
        <w:rPr>
          <w:rFonts w:hint="eastAsia" w:ascii="宋体" w:hAnsi="宋体" w:eastAsia="宋体" w:cs="宋体"/>
          <w:b/>
          <w:color w:val="auto"/>
          <w:highlight w:val="none"/>
        </w:rPr>
        <w:t>1.供应商提出质疑时，应提交质疑函和必要的证明材料</w:t>
      </w:r>
      <w:r>
        <w:rPr>
          <w:rFonts w:hint="eastAsia" w:ascii="宋体" w:hAnsi="宋体" w:eastAsia="宋体" w:cs="宋体"/>
          <w:b/>
          <w:bCs/>
          <w:color w:val="auto"/>
          <w:highlight w:val="none"/>
        </w:rPr>
        <w:t>。</w:t>
      </w:r>
    </w:p>
    <w:p w14:paraId="5DF2FE41">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EE05AA9">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3.质疑函的质疑事项应具体、明确，并有必要的事实依据和法律依据。</w:t>
      </w:r>
    </w:p>
    <w:p w14:paraId="4450458C">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4.质疑函的质疑请求应与质疑事项相关。</w:t>
      </w:r>
    </w:p>
    <w:p w14:paraId="272C1820">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5.质疑供应商为法人或者其他组织的，质疑函应由法定代表人、主要负责人，或者其授权代表签字或者盖章，并加盖公章。</w:t>
      </w:r>
    </w:p>
    <w:p w14:paraId="2FE71C01">
      <w:pPr>
        <w:spacing w:line="460" w:lineRule="exact"/>
        <w:rPr>
          <w:rFonts w:hint="eastAsia" w:ascii="宋体" w:hAnsi="宋体" w:eastAsia="宋体" w:cs="宋体"/>
          <w:color w:val="auto"/>
          <w:sz w:val="44"/>
          <w:highlight w:val="none"/>
        </w:rPr>
      </w:pPr>
    </w:p>
    <w:p w14:paraId="71F57A7D">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2.投诉书（格式）</w:t>
      </w:r>
    </w:p>
    <w:p w14:paraId="47C54377">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投诉书（格式）</w:t>
      </w:r>
    </w:p>
    <w:p w14:paraId="674F4811">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一、投诉相关主体基本情况：</w:t>
      </w:r>
    </w:p>
    <w:p w14:paraId="690FD0F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投标人：</w:t>
      </w:r>
      <w:r>
        <w:rPr>
          <w:rFonts w:hint="eastAsia" w:ascii="宋体" w:hAnsi="宋体" w:eastAsia="宋体" w:cs="宋体"/>
          <w:bCs/>
          <w:color w:val="auto"/>
          <w:highlight w:val="none"/>
          <w:u w:val="single"/>
        </w:rPr>
        <w:t xml:space="preserve">                                                                        </w:t>
      </w:r>
    </w:p>
    <w:p w14:paraId="2368CF2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p>
    <w:p w14:paraId="74D12144">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法定代表人/主要负责人：</w:t>
      </w:r>
      <w:r>
        <w:rPr>
          <w:rFonts w:hint="eastAsia" w:ascii="宋体" w:hAnsi="宋体" w:eastAsia="宋体" w:cs="宋体"/>
          <w:bCs/>
          <w:color w:val="auto"/>
          <w:highlight w:val="none"/>
          <w:u w:val="single"/>
        </w:rPr>
        <w:t xml:space="preserve">                                                         </w:t>
      </w:r>
    </w:p>
    <w:p w14:paraId="631B0840">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7E251F0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授权代表：</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4FE3779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p>
    <w:p w14:paraId="586324C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7B21EDFA">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被投诉人1：</w:t>
      </w:r>
    </w:p>
    <w:p w14:paraId="7EBF4C8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p>
    <w:p w14:paraId="3A826BE7">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4BAED22E">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1FD4A0D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被投诉人2：</w:t>
      </w:r>
    </w:p>
    <w:p w14:paraId="31FECE8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w:t>
      </w:r>
    </w:p>
    <w:p w14:paraId="3D4EF0C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相关供应商：</w:t>
      </w:r>
      <w:r>
        <w:rPr>
          <w:rFonts w:hint="eastAsia" w:ascii="宋体" w:hAnsi="宋体" w:eastAsia="宋体" w:cs="宋体"/>
          <w:bCs/>
          <w:color w:val="auto"/>
          <w:highlight w:val="none"/>
          <w:u w:val="single"/>
        </w:rPr>
        <w:t xml:space="preserve">                                                                       </w:t>
      </w:r>
    </w:p>
    <w:p w14:paraId="5CA2B9EB">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p>
    <w:p w14:paraId="1A790610">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7B5CEE14">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二、投诉项目基本情况：</w:t>
      </w:r>
    </w:p>
    <w:p w14:paraId="5E3BE98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招标项目的名称：</w:t>
      </w:r>
      <w:r>
        <w:rPr>
          <w:rFonts w:hint="eastAsia" w:ascii="宋体" w:hAnsi="宋体" w:eastAsia="宋体" w:cs="宋体"/>
          <w:bCs/>
          <w:color w:val="auto"/>
          <w:highlight w:val="none"/>
          <w:u w:val="single"/>
        </w:rPr>
        <w:t xml:space="preserve">                                                                   </w:t>
      </w:r>
    </w:p>
    <w:p w14:paraId="22AE1D8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招标项目的编号：</w:t>
      </w:r>
      <w:r>
        <w:rPr>
          <w:rFonts w:hint="eastAsia" w:ascii="宋体" w:hAnsi="宋体" w:eastAsia="宋体" w:cs="宋体"/>
          <w:bCs/>
          <w:color w:val="auto"/>
          <w:highlight w:val="none"/>
          <w:u w:val="single"/>
        </w:rPr>
        <w:t xml:space="preserve">                                          </w:t>
      </w:r>
    </w:p>
    <w:p w14:paraId="308664A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采购人名称：</w:t>
      </w:r>
      <w:r>
        <w:rPr>
          <w:rFonts w:hint="eastAsia" w:ascii="宋体" w:hAnsi="宋体" w:eastAsia="宋体" w:cs="宋体"/>
          <w:bCs/>
          <w:color w:val="auto"/>
          <w:highlight w:val="none"/>
          <w:u w:val="single"/>
        </w:rPr>
        <w:t xml:space="preserve">                                                                        </w:t>
      </w:r>
    </w:p>
    <w:p w14:paraId="72DF520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代理机构名称：</w:t>
      </w:r>
      <w:r>
        <w:rPr>
          <w:rFonts w:hint="eastAsia" w:ascii="宋体" w:hAnsi="宋体" w:eastAsia="宋体" w:cs="宋体"/>
          <w:bCs/>
          <w:color w:val="auto"/>
          <w:highlight w:val="none"/>
          <w:u w:val="single"/>
        </w:rPr>
        <w:t xml:space="preserve">                                                                      </w:t>
      </w:r>
    </w:p>
    <w:p w14:paraId="2415E68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招标</w:t>
      </w:r>
      <w:r>
        <w:rPr>
          <w:rFonts w:hint="eastAsia" w:ascii="宋体" w:hAnsi="宋体" w:eastAsia="宋体" w:cs="宋体"/>
          <w:bCs/>
          <w:color w:val="auto"/>
          <w:highlight w:val="none"/>
        </w:rPr>
        <w:t>文件公告：</w:t>
      </w:r>
      <w:r>
        <w:rPr>
          <w:rFonts w:hint="eastAsia" w:ascii="宋体" w:hAnsi="宋体" w:eastAsia="宋体" w:cs="宋体"/>
          <w:bCs/>
          <w:color w:val="auto"/>
          <w:highlight w:val="none"/>
          <w:u w:val="single"/>
        </w:rPr>
        <w:t>是/否</w:t>
      </w:r>
      <w:r>
        <w:rPr>
          <w:rFonts w:hint="eastAsia" w:ascii="宋体" w:hAnsi="宋体" w:eastAsia="宋体" w:cs="宋体"/>
          <w:bCs/>
          <w:color w:val="auto"/>
          <w:highlight w:val="none"/>
        </w:rPr>
        <w:t>公告期限：</w:t>
      </w:r>
      <w:r>
        <w:rPr>
          <w:rFonts w:hint="eastAsia" w:ascii="宋体" w:hAnsi="宋体" w:eastAsia="宋体" w:cs="宋体"/>
          <w:bCs/>
          <w:color w:val="auto"/>
          <w:highlight w:val="none"/>
          <w:u w:val="single"/>
        </w:rPr>
        <w:t xml:space="preserve">                                                       </w:t>
      </w:r>
    </w:p>
    <w:p w14:paraId="5F4B974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
          <w:color w:val="auto"/>
          <w:highlight w:val="none"/>
        </w:rPr>
      </w:pPr>
      <w:r>
        <w:rPr>
          <w:rFonts w:hint="eastAsia" w:ascii="宋体" w:hAnsi="宋体" w:eastAsia="宋体" w:cs="宋体"/>
          <w:color w:val="auto"/>
          <w:highlight w:val="none"/>
        </w:rPr>
        <w:t>招标</w:t>
      </w:r>
      <w:r>
        <w:rPr>
          <w:rFonts w:hint="eastAsia" w:ascii="宋体" w:hAnsi="宋体" w:eastAsia="宋体" w:cs="宋体"/>
          <w:bCs/>
          <w:color w:val="auto"/>
          <w:highlight w:val="none"/>
        </w:rPr>
        <w:t>结果公告：</w:t>
      </w:r>
      <w:r>
        <w:rPr>
          <w:rFonts w:hint="eastAsia" w:ascii="宋体" w:hAnsi="宋体" w:eastAsia="宋体" w:cs="宋体"/>
          <w:bCs/>
          <w:color w:val="auto"/>
          <w:highlight w:val="none"/>
          <w:u w:val="single"/>
        </w:rPr>
        <w:t>是/否</w:t>
      </w:r>
      <w:r>
        <w:rPr>
          <w:rFonts w:hint="eastAsia" w:ascii="宋体" w:hAnsi="宋体" w:eastAsia="宋体" w:cs="宋体"/>
          <w:bCs/>
          <w:color w:val="auto"/>
          <w:highlight w:val="none"/>
        </w:rPr>
        <w:t>公告期限：</w:t>
      </w:r>
      <w:r>
        <w:rPr>
          <w:rFonts w:hint="eastAsia" w:ascii="宋体" w:hAnsi="宋体" w:eastAsia="宋体" w:cs="宋体"/>
          <w:bCs/>
          <w:color w:val="auto"/>
          <w:highlight w:val="none"/>
          <w:u w:val="single"/>
        </w:rPr>
        <w:t xml:space="preserve">                                                    </w:t>
      </w:r>
    </w:p>
    <w:p w14:paraId="30D83A0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三、质疑基本情况</w:t>
      </w:r>
    </w:p>
    <w:p w14:paraId="7DABFB88">
      <w:pPr>
        <w:pStyle w:val="20"/>
        <w:keepNext w:val="0"/>
        <w:keepLines w:val="0"/>
        <w:pageBreakBefore w:val="0"/>
        <w:widowControl w:val="0"/>
        <w:kinsoku/>
        <w:wordWrap/>
        <w:overflowPunct/>
        <w:topLinePunct w:val="0"/>
        <w:autoSpaceDE/>
        <w:autoSpaceDN/>
        <w:bidi w:val="0"/>
        <w:adjustRightInd/>
        <w:spacing w:line="400" w:lineRule="exact"/>
        <w:ind w:left="25" w:leftChars="12"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投诉人于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提出质疑，质疑事项为：</w:t>
      </w:r>
    </w:p>
    <w:p w14:paraId="658FBD35">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 xml:space="preserve">    </w:t>
      </w:r>
      <w:r>
        <w:rPr>
          <w:rFonts w:hint="eastAsia" w:ascii="宋体" w:hAnsi="宋体" w:eastAsia="宋体" w:cs="宋体"/>
          <w:bCs/>
          <w:color w:val="auto"/>
          <w:highlight w:val="none"/>
          <w:u w:val="single"/>
        </w:rPr>
        <w:t xml:space="preserve">                                                                                      </w:t>
      </w:r>
    </w:p>
    <w:p w14:paraId="342AA83D">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u w:val="single"/>
        </w:rPr>
        <w:t xml:space="preserve">                                                                                      </w:t>
      </w:r>
    </w:p>
    <w:p w14:paraId="66393A90">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highlight w:val="none"/>
          <w:u w:val="single"/>
        </w:rPr>
        <w:t>采购人/代理机构</w:t>
      </w:r>
      <w:r>
        <w:rPr>
          <w:rFonts w:hint="eastAsia" w:ascii="宋体" w:hAnsi="宋体" w:eastAsia="宋体" w:cs="宋体"/>
          <w:bCs/>
          <w:color w:val="auto"/>
          <w:highlight w:val="none"/>
        </w:rPr>
        <w:t>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hint="eastAsia" w:ascii="宋体" w:hAnsi="宋体" w:eastAsia="宋体" w:cs="宋体"/>
          <w:bCs/>
          <w:color w:val="auto"/>
          <w:highlight w:val="none"/>
        </w:rPr>
        <w:t xml:space="preserve">就质疑事项作出了答复/没有在法定期限内作出答复。                                                                                             </w:t>
      </w:r>
    </w:p>
    <w:p w14:paraId="4EA1061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四、投诉事项具体内容</w:t>
      </w:r>
    </w:p>
    <w:p w14:paraId="1A6E99F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投诉事项1：</w:t>
      </w:r>
      <w:r>
        <w:rPr>
          <w:rFonts w:hint="eastAsia" w:ascii="宋体" w:hAnsi="宋体" w:eastAsia="宋体" w:cs="宋体"/>
          <w:bCs/>
          <w:color w:val="auto"/>
          <w:highlight w:val="none"/>
          <w:u w:val="single"/>
        </w:rPr>
        <w:t xml:space="preserve">                                                                           </w:t>
      </w:r>
    </w:p>
    <w:p w14:paraId="65E9A076">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事实依据：</w:t>
      </w:r>
      <w:r>
        <w:rPr>
          <w:rFonts w:hint="eastAsia" w:ascii="宋体" w:hAnsi="宋体" w:eastAsia="宋体" w:cs="宋体"/>
          <w:color w:val="auto"/>
          <w:highlight w:val="none"/>
        </w:rPr>
        <w:t xml:space="preserve"> </w:t>
      </w:r>
      <w:r>
        <w:rPr>
          <w:rFonts w:hint="eastAsia" w:ascii="宋体" w:hAnsi="宋体" w:eastAsia="宋体" w:cs="宋体"/>
          <w:bCs/>
          <w:color w:val="auto"/>
          <w:highlight w:val="none"/>
          <w:u w:val="single"/>
        </w:rPr>
        <w:t xml:space="preserve">                                                                                      </w:t>
      </w:r>
    </w:p>
    <w:p w14:paraId="39460394">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bCs/>
          <w:color w:val="auto"/>
          <w:highlight w:val="none"/>
          <w:u w:val="single"/>
        </w:rPr>
        <w:t xml:space="preserve">                                                                                        </w:t>
      </w:r>
    </w:p>
    <w:p w14:paraId="0899959B">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法律依据：</w:t>
      </w:r>
      <w:r>
        <w:rPr>
          <w:rFonts w:hint="eastAsia" w:ascii="宋体" w:hAnsi="宋体" w:eastAsia="宋体" w:cs="宋体"/>
          <w:color w:val="auto"/>
          <w:highlight w:val="none"/>
        </w:rPr>
        <w:t xml:space="preserve"> </w:t>
      </w:r>
      <w:r>
        <w:rPr>
          <w:rFonts w:hint="eastAsia" w:ascii="宋体" w:hAnsi="宋体" w:eastAsia="宋体" w:cs="宋体"/>
          <w:bCs/>
          <w:color w:val="auto"/>
          <w:highlight w:val="none"/>
          <w:u w:val="single"/>
        </w:rPr>
        <w:t xml:space="preserve">                                                                                      </w:t>
      </w:r>
    </w:p>
    <w:p w14:paraId="767E082E">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u w:val="single"/>
        </w:rPr>
        <w:t xml:space="preserve">                                                                                        </w:t>
      </w:r>
    </w:p>
    <w:p w14:paraId="6B884274">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 xml:space="preserve">投诉事项2  </w:t>
      </w:r>
      <w:r>
        <w:rPr>
          <w:rFonts w:hint="eastAsia" w:ascii="宋体" w:hAnsi="宋体" w:eastAsia="宋体" w:cs="宋体"/>
          <w:bCs/>
          <w:color w:val="auto"/>
          <w:highlight w:val="none"/>
        </w:rPr>
        <w:t xml:space="preserve">   </w:t>
      </w:r>
    </w:p>
    <w:p w14:paraId="69335C94">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w:t>
      </w:r>
    </w:p>
    <w:p w14:paraId="230375B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五、与投诉事项相关的投诉请求：</w:t>
      </w:r>
    </w:p>
    <w:p w14:paraId="741662C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请求：</w:t>
      </w:r>
      <w:r>
        <w:rPr>
          <w:rFonts w:hint="eastAsia" w:ascii="宋体" w:hAnsi="宋体" w:eastAsia="宋体" w:cs="宋体"/>
          <w:bCs/>
          <w:color w:val="auto"/>
          <w:highlight w:val="none"/>
          <w:u w:val="single"/>
        </w:rPr>
        <w:t xml:space="preserve">                                                                                 </w:t>
      </w:r>
    </w:p>
    <w:p w14:paraId="614AEAC5">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color w:val="auto"/>
          <w:highlight w:val="none"/>
        </w:rPr>
      </w:pPr>
    </w:p>
    <w:p w14:paraId="3468A9D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签字（签章）：                                       公章：</w:t>
      </w:r>
    </w:p>
    <w:p w14:paraId="1AED9D37">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color w:val="auto"/>
          <w:highlight w:val="none"/>
        </w:rPr>
      </w:pPr>
    </w:p>
    <w:p w14:paraId="775C066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p>
    <w:p w14:paraId="34D77910">
      <w:pPr>
        <w:pStyle w:val="20"/>
        <w:keepNext w:val="0"/>
        <w:keepLines w:val="0"/>
        <w:pageBreakBefore w:val="0"/>
        <w:widowControl w:val="0"/>
        <w:kinsoku/>
        <w:wordWrap/>
        <w:overflowPunct/>
        <w:topLinePunct w:val="0"/>
        <w:autoSpaceDE/>
        <w:autoSpaceDN/>
        <w:bidi w:val="0"/>
        <w:adjustRightInd/>
        <w:spacing w:line="400" w:lineRule="exact"/>
        <w:ind w:left="25" w:leftChars="12" w:firstLine="415" w:firstLineChars="19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说明：</w:t>
      </w:r>
    </w:p>
    <w:p w14:paraId="4D8022C5">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bCs/>
          <w:color w:val="auto"/>
          <w:highlight w:val="none"/>
        </w:rPr>
      </w:pPr>
      <w:r>
        <w:rPr>
          <w:rFonts w:hint="eastAsia" w:ascii="宋体" w:hAnsi="宋体" w:eastAsia="宋体" w:cs="宋体"/>
          <w:b/>
          <w:color w:val="auto"/>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highlight w:val="none"/>
        </w:rPr>
        <w:t>。</w:t>
      </w:r>
    </w:p>
    <w:p w14:paraId="51EDDDE6">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462932B">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3.投诉书应简要列明质疑事项，质疑函、质疑答复等作为附件材料提供。</w:t>
      </w:r>
    </w:p>
    <w:p w14:paraId="390C27D7">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4.投诉书的投诉事项应具体、明确，并有必要的事实依据和法律依据。</w:t>
      </w:r>
    </w:p>
    <w:p w14:paraId="7625CBAF">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5.投诉书的投诉请求应与投诉事项相关。</w:t>
      </w:r>
    </w:p>
    <w:p w14:paraId="3017184C">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6.投诉人为法人或者其他组织的，投诉书应由法定代表人、主要负责人，或者其授权代表签字或者盖章，并加盖公章。</w:t>
      </w:r>
      <w:bookmarkEnd w:id="1"/>
      <w:bookmarkEnd w:id="2"/>
      <w:bookmarkEnd w:id="3"/>
      <w:bookmarkEnd w:id="4"/>
    </w:p>
    <w:p w14:paraId="2A3CB500">
      <w:pPr>
        <w:rPr>
          <w:rFonts w:hint="eastAsia" w:ascii="宋体" w:hAnsi="宋体" w:eastAsia="宋体" w:cs="宋体"/>
          <w:color w:val="auto"/>
          <w:highlight w:val="none"/>
        </w:rPr>
      </w:pPr>
    </w:p>
    <w:sectPr>
      <w:footerReference r:id="rId17" w:type="first"/>
      <w:footerReference r:id="rId15" w:type="default"/>
      <w:footerReference r:id="rId16" w:type="even"/>
      <w:pgSz w:w="11906" w:h="16838"/>
      <w:pgMar w:top="1134" w:right="1247" w:bottom="1134" w:left="1417"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533064B9-C8A7-468E-9D06-83A271BDB5D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embedRegular r:id="rId2" w:fontKey="{9A30C6CB-61EA-4AED-A8D4-6400C94C25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E721">
    <w:pPr>
      <w:pStyle w:val="25"/>
      <w:jc w:val="center"/>
    </w:pPr>
  </w:p>
  <w:p w14:paraId="218DE8AD">
    <w:pPr>
      <w:pStyle w:val="2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12ECD">
    <w:pPr>
      <w:pStyle w:val="25"/>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6F459">
                          <w:pPr>
                            <w:pStyle w:val="2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C6F459">
                    <w:pPr>
                      <w:pStyle w:val="25"/>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2885F">
    <w:pPr>
      <w:pStyle w:val="2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C3BF0">
                          <w:pPr>
                            <w:pStyle w:val="2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1C3BF0">
                    <w:pPr>
                      <w:pStyle w:val="2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94B91">
    <w:pPr>
      <w:pStyle w:val="25"/>
      <w:framePr w:wrap="around" w:vAnchor="text" w:hAnchor="margin" w:xAlign="center" w:y="1"/>
      <w:rPr>
        <w:rStyle w:val="43"/>
      </w:rPr>
    </w:pPr>
    <w:r>
      <w:fldChar w:fldCharType="begin"/>
    </w:r>
    <w:r>
      <w:rPr>
        <w:rStyle w:val="43"/>
      </w:rPr>
      <w:instrText xml:space="preserve">PAGE  </w:instrText>
    </w:r>
    <w:r>
      <w:fldChar w:fldCharType="end"/>
    </w:r>
  </w:p>
  <w:p w14:paraId="0564E351">
    <w:pPr>
      <w:pStyle w:val="2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1CAC8">
    <w:pPr>
      <w:pStyle w:val="25"/>
      <w:framePr w:wrap="around" w:vAnchor="text" w:hAnchor="margin" w:xAlign="right" w:y="1"/>
      <w:rPr>
        <w:rStyle w:val="43"/>
      </w:rPr>
    </w:pPr>
    <w:r>
      <w:fldChar w:fldCharType="begin"/>
    </w:r>
    <w:r>
      <w:rPr>
        <w:rStyle w:val="43"/>
      </w:rPr>
      <w:instrText xml:space="preserve">PAGE  </w:instrText>
    </w:r>
    <w:r>
      <w:fldChar w:fldCharType="separate"/>
    </w:r>
    <w:r>
      <w:rPr>
        <w:rStyle w:val="43"/>
      </w:rPr>
      <w:t>122</w:t>
    </w:r>
    <w:r>
      <w:fldChar w:fldCharType="end"/>
    </w:r>
  </w:p>
  <w:p w14:paraId="7E4BC25F">
    <w:pPr>
      <w:pStyle w:val="25"/>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FEF3A">
    <w:pPr>
      <w:pStyle w:val="25"/>
      <w:framePr w:wrap="around" w:vAnchor="text" w:hAnchor="margin" w:xAlign="center" w:y="1"/>
      <w:rPr>
        <w:rStyle w:val="43"/>
      </w:rPr>
    </w:pPr>
    <w:r>
      <w:fldChar w:fldCharType="begin"/>
    </w:r>
    <w:r>
      <w:rPr>
        <w:rStyle w:val="43"/>
      </w:rPr>
      <w:instrText xml:space="preserve">PAGE  </w:instrText>
    </w:r>
    <w:r>
      <w:fldChar w:fldCharType="end"/>
    </w:r>
  </w:p>
  <w:p w14:paraId="28B35909">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7426">
    <w:pPr>
      <w:pStyle w:val="25"/>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3DE4F">
    <w:pPr>
      <w:pStyle w:val="25"/>
      <w:jc w:val="center"/>
    </w:pPr>
  </w:p>
  <w:p w14:paraId="1DBB642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2532">
    <w:pPr>
      <w:pStyle w:val="2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B7E4B">
                          <w:pPr>
                            <w:pStyle w:val="2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AB7E4B">
                    <w:pPr>
                      <w:pStyle w:val="25"/>
                    </w:pPr>
                    <w:r>
                      <w:fldChar w:fldCharType="begin"/>
                    </w:r>
                    <w:r>
                      <w:instrText xml:space="preserve"> PAGE  \* MERGEFORMAT </w:instrText>
                    </w:r>
                    <w:r>
                      <w:fldChar w:fldCharType="separate"/>
                    </w:r>
                    <w:r>
                      <w:t>0</w:t>
                    </w:r>
                    <w:r>
                      <w:fldChar w:fldCharType="end"/>
                    </w:r>
                  </w:p>
                </w:txbxContent>
              </v:textbox>
            </v:shape>
          </w:pict>
        </mc:Fallback>
      </mc:AlternateContent>
    </w:r>
  </w:p>
  <w:p w14:paraId="396B0A53">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0BB4">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C4727">
                          <w:pPr>
                            <w:pStyle w:val="2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9C4727">
                    <w:pPr>
                      <w:pStyle w:val="25"/>
                    </w:pPr>
                    <w:r>
                      <w:fldChar w:fldCharType="begin"/>
                    </w:r>
                    <w:r>
                      <w:instrText xml:space="preserve"> PAGE  \* MERGEFORMAT </w:instrText>
                    </w:r>
                    <w:r>
                      <w:fldChar w:fldCharType="separate"/>
                    </w:r>
                    <w:r>
                      <w:t>0</w:t>
                    </w:r>
                    <w:r>
                      <w:fldChar w:fldCharType="end"/>
                    </w:r>
                  </w:p>
                </w:txbxContent>
              </v:textbox>
            </v:shape>
          </w:pict>
        </mc:Fallback>
      </mc:AlternateContent>
    </w:r>
  </w:p>
  <w:p w14:paraId="53D88EAA">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1D27">
    <w:pPr>
      <w:pStyle w:val="25"/>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4A6786">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1F4A6786">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A075">
    <w:pPr>
      <w:pStyle w:val="2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F9BD7">
                          <w:pPr>
                            <w:pStyle w:val="2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7EF9BD7">
                    <w:pPr>
                      <w:pStyle w:val="25"/>
                    </w:pPr>
                    <w:r>
                      <w:fldChar w:fldCharType="begin"/>
                    </w:r>
                    <w:r>
                      <w:instrText xml:space="preserve"> PAGE  \* MERGEFORMAT </w:instrText>
                    </w:r>
                    <w:r>
                      <w:fldChar w:fldCharType="separate"/>
                    </w:r>
                    <w:r>
                      <w:t>0</w:t>
                    </w:r>
                    <w:r>
                      <w:fldChar w:fldCharType="end"/>
                    </w:r>
                  </w:p>
                </w:txbxContent>
              </v:textbox>
            </v:shape>
          </w:pict>
        </mc:Fallback>
      </mc:AlternateContent>
    </w:r>
  </w:p>
  <w:p w14:paraId="678D1D70">
    <w:pPr>
      <w:pStyle w:val="2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5E01C">
    <w:pPr>
      <w:pStyle w:val="25"/>
      <w:framePr w:wrap="around" w:vAnchor="text" w:hAnchor="margin" w:xAlign="center" w:y="1"/>
      <w:rPr>
        <w:rStyle w:val="43"/>
      </w:rPr>
    </w:pPr>
    <w:r>
      <w:fldChar w:fldCharType="begin"/>
    </w:r>
    <w:r>
      <w:rPr>
        <w:rStyle w:val="43"/>
      </w:rPr>
      <w:instrText xml:space="preserve">PAGE  </w:instrText>
    </w:r>
    <w:r>
      <w:fldChar w:fldCharType="end"/>
    </w:r>
  </w:p>
  <w:p w14:paraId="3F5064C4">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11E1">
    <w:pPr>
      <w:pStyle w:val="26"/>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DE7D1">
    <w:pPr>
      <w:pStyle w:val="26"/>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716AF"/>
    <w:multiLevelType w:val="singleLevel"/>
    <w:tmpl w:val="964716AF"/>
    <w:lvl w:ilvl="0" w:tentative="0">
      <w:start w:val="1"/>
      <w:numFmt w:val="chineseCounting"/>
      <w:suff w:val="nothing"/>
      <w:lvlText w:val="（%1）"/>
      <w:lvlJc w:val="left"/>
      <w:rPr>
        <w:rFonts w:hint="eastAsia"/>
      </w:rPr>
    </w:lvl>
  </w:abstractNum>
  <w:abstractNum w:abstractNumId="1">
    <w:nsid w:val="4194FCBA"/>
    <w:multiLevelType w:val="singleLevel"/>
    <w:tmpl w:val="4194FCBA"/>
    <w:lvl w:ilvl="0" w:tentative="0">
      <w:start w:val="2"/>
      <w:numFmt w:val="decimal"/>
      <w:suff w:val="nothing"/>
      <w:lvlText w:val="%1、"/>
      <w:lvlJc w:val="left"/>
    </w:lvl>
  </w:abstractNum>
  <w:abstractNum w:abstractNumId="2">
    <w:nsid w:val="4C601917"/>
    <w:multiLevelType w:val="singleLevel"/>
    <w:tmpl w:val="4C601917"/>
    <w:lvl w:ilvl="0" w:tentative="0">
      <w:start w:val="1"/>
      <w:numFmt w:val="decimal"/>
      <w:suff w:val="nothing"/>
      <w:lvlText w:val="（%1）"/>
      <w:lvlJc w:val="left"/>
    </w:lvl>
  </w:abstractNum>
  <w:abstractNum w:abstractNumId="3">
    <w:nsid w:val="5FABD14B"/>
    <w:multiLevelType w:val="singleLevel"/>
    <w:tmpl w:val="5FABD14B"/>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MzBmNzkyYjg4NjVkOTc2NjhiNGQyMGM3YTRiZWYifQ=="/>
    <w:docVar w:name="KSO_WPS_MARK_KEY" w:val="34a85f2c-7737-46bb-95af-ad2512184d9f"/>
  </w:docVars>
  <w:rsids>
    <w:rsidRoot w:val="08171363"/>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04B0"/>
    <w:rsid w:val="0004235B"/>
    <w:rsid w:val="00044EDB"/>
    <w:rsid w:val="00051641"/>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6EB"/>
    <w:rsid w:val="00094E84"/>
    <w:rsid w:val="000A6432"/>
    <w:rsid w:val="000A7A4B"/>
    <w:rsid w:val="000B5A03"/>
    <w:rsid w:val="000B7B3B"/>
    <w:rsid w:val="000C1DCC"/>
    <w:rsid w:val="000C302E"/>
    <w:rsid w:val="000C5D44"/>
    <w:rsid w:val="000D5F48"/>
    <w:rsid w:val="000D7284"/>
    <w:rsid w:val="000E6783"/>
    <w:rsid w:val="000F1BBE"/>
    <w:rsid w:val="001031E7"/>
    <w:rsid w:val="00104245"/>
    <w:rsid w:val="001108AC"/>
    <w:rsid w:val="00110A97"/>
    <w:rsid w:val="00110DD2"/>
    <w:rsid w:val="00111240"/>
    <w:rsid w:val="0011187C"/>
    <w:rsid w:val="00116FC9"/>
    <w:rsid w:val="00120C46"/>
    <w:rsid w:val="001251B9"/>
    <w:rsid w:val="00125837"/>
    <w:rsid w:val="001306A8"/>
    <w:rsid w:val="00140B14"/>
    <w:rsid w:val="00140CE8"/>
    <w:rsid w:val="00141619"/>
    <w:rsid w:val="00143DA6"/>
    <w:rsid w:val="00151CEE"/>
    <w:rsid w:val="0015209C"/>
    <w:rsid w:val="001551E7"/>
    <w:rsid w:val="001552B2"/>
    <w:rsid w:val="00155890"/>
    <w:rsid w:val="00170AA7"/>
    <w:rsid w:val="00173852"/>
    <w:rsid w:val="00174F9B"/>
    <w:rsid w:val="00177D95"/>
    <w:rsid w:val="00181460"/>
    <w:rsid w:val="00182C28"/>
    <w:rsid w:val="00190F4C"/>
    <w:rsid w:val="00193D49"/>
    <w:rsid w:val="0019577E"/>
    <w:rsid w:val="001B1366"/>
    <w:rsid w:val="001B2BDE"/>
    <w:rsid w:val="001B2FAE"/>
    <w:rsid w:val="001C097E"/>
    <w:rsid w:val="001C2516"/>
    <w:rsid w:val="001C2E44"/>
    <w:rsid w:val="001D047F"/>
    <w:rsid w:val="001D758B"/>
    <w:rsid w:val="001E0216"/>
    <w:rsid w:val="001E0590"/>
    <w:rsid w:val="001E3E3A"/>
    <w:rsid w:val="001E484E"/>
    <w:rsid w:val="001E4E53"/>
    <w:rsid w:val="001E6153"/>
    <w:rsid w:val="001E6C5D"/>
    <w:rsid w:val="001E7AB6"/>
    <w:rsid w:val="001F330A"/>
    <w:rsid w:val="001F4D3C"/>
    <w:rsid w:val="001F6F77"/>
    <w:rsid w:val="00201770"/>
    <w:rsid w:val="00202F39"/>
    <w:rsid w:val="00204164"/>
    <w:rsid w:val="00204F25"/>
    <w:rsid w:val="00205999"/>
    <w:rsid w:val="00207350"/>
    <w:rsid w:val="00207DB7"/>
    <w:rsid w:val="00213B47"/>
    <w:rsid w:val="00221909"/>
    <w:rsid w:val="002230A4"/>
    <w:rsid w:val="0022698C"/>
    <w:rsid w:val="00227913"/>
    <w:rsid w:val="00231EAB"/>
    <w:rsid w:val="00232E04"/>
    <w:rsid w:val="00236055"/>
    <w:rsid w:val="00236B7D"/>
    <w:rsid w:val="00241686"/>
    <w:rsid w:val="00242C6C"/>
    <w:rsid w:val="00244627"/>
    <w:rsid w:val="002563B4"/>
    <w:rsid w:val="0025753A"/>
    <w:rsid w:val="00262C01"/>
    <w:rsid w:val="002738BD"/>
    <w:rsid w:val="0027629D"/>
    <w:rsid w:val="00281099"/>
    <w:rsid w:val="002867CF"/>
    <w:rsid w:val="00293976"/>
    <w:rsid w:val="00297271"/>
    <w:rsid w:val="002B3400"/>
    <w:rsid w:val="002B4610"/>
    <w:rsid w:val="002C0483"/>
    <w:rsid w:val="002C1328"/>
    <w:rsid w:val="002C2756"/>
    <w:rsid w:val="002C27F2"/>
    <w:rsid w:val="002C38A0"/>
    <w:rsid w:val="002C7DD7"/>
    <w:rsid w:val="002D0079"/>
    <w:rsid w:val="002D05BB"/>
    <w:rsid w:val="002D2EF2"/>
    <w:rsid w:val="002D5E57"/>
    <w:rsid w:val="002E0A18"/>
    <w:rsid w:val="002E6BA4"/>
    <w:rsid w:val="002E7EA0"/>
    <w:rsid w:val="002F320A"/>
    <w:rsid w:val="002F55FD"/>
    <w:rsid w:val="002F667D"/>
    <w:rsid w:val="003014B1"/>
    <w:rsid w:val="003051FD"/>
    <w:rsid w:val="00305816"/>
    <w:rsid w:val="00315EB2"/>
    <w:rsid w:val="003162D6"/>
    <w:rsid w:val="00316994"/>
    <w:rsid w:val="0031699F"/>
    <w:rsid w:val="00320B19"/>
    <w:rsid w:val="00322C10"/>
    <w:rsid w:val="00327461"/>
    <w:rsid w:val="00330EE9"/>
    <w:rsid w:val="003331F5"/>
    <w:rsid w:val="00337A9F"/>
    <w:rsid w:val="00344631"/>
    <w:rsid w:val="00346976"/>
    <w:rsid w:val="00347950"/>
    <w:rsid w:val="00350024"/>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38DA"/>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3922"/>
    <w:rsid w:val="0044600A"/>
    <w:rsid w:val="00447BDE"/>
    <w:rsid w:val="00450ADB"/>
    <w:rsid w:val="00452102"/>
    <w:rsid w:val="004531C4"/>
    <w:rsid w:val="00455C16"/>
    <w:rsid w:val="0046694A"/>
    <w:rsid w:val="0046760D"/>
    <w:rsid w:val="00467833"/>
    <w:rsid w:val="00474447"/>
    <w:rsid w:val="004771BA"/>
    <w:rsid w:val="004820E2"/>
    <w:rsid w:val="004853B6"/>
    <w:rsid w:val="004861BA"/>
    <w:rsid w:val="00486E44"/>
    <w:rsid w:val="0049027F"/>
    <w:rsid w:val="004925A4"/>
    <w:rsid w:val="004929AD"/>
    <w:rsid w:val="004A0443"/>
    <w:rsid w:val="004A0E38"/>
    <w:rsid w:val="004A5F2A"/>
    <w:rsid w:val="004A6736"/>
    <w:rsid w:val="004B49D2"/>
    <w:rsid w:val="004C5B3E"/>
    <w:rsid w:val="004C75A0"/>
    <w:rsid w:val="004D5AF4"/>
    <w:rsid w:val="004D6E99"/>
    <w:rsid w:val="004E126C"/>
    <w:rsid w:val="004F5BCD"/>
    <w:rsid w:val="004F68CF"/>
    <w:rsid w:val="005033B8"/>
    <w:rsid w:val="00503A40"/>
    <w:rsid w:val="00506840"/>
    <w:rsid w:val="00511A25"/>
    <w:rsid w:val="00516FAA"/>
    <w:rsid w:val="00517D40"/>
    <w:rsid w:val="00520861"/>
    <w:rsid w:val="00521880"/>
    <w:rsid w:val="00525C35"/>
    <w:rsid w:val="005279FB"/>
    <w:rsid w:val="00532BF5"/>
    <w:rsid w:val="0053541C"/>
    <w:rsid w:val="005458AD"/>
    <w:rsid w:val="0054778A"/>
    <w:rsid w:val="0055409E"/>
    <w:rsid w:val="00554A36"/>
    <w:rsid w:val="00562514"/>
    <w:rsid w:val="00564C6D"/>
    <w:rsid w:val="005707EB"/>
    <w:rsid w:val="00570DF9"/>
    <w:rsid w:val="005739CF"/>
    <w:rsid w:val="00576E04"/>
    <w:rsid w:val="0057733C"/>
    <w:rsid w:val="00581AC2"/>
    <w:rsid w:val="00583AC0"/>
    <w:rsid w:val="00584BFC"/>
    <w:rsid w:val="005873D0"/>
    <w:rsid w:val="005917A6"/>
    <w:rsid w:val="005932B6"/>
    <w:rsid w:val="00596F89"/>
    <w:rsid w:val="005B53A3"/>
    <w:rsid w:val="005C06FA"/>
    <w:rsid w:val="005C5049"/>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0567"/>
    <w:rsid w:val="00631BAB"/>
    <w:rsid w:val="006324D3"/>
    <w:rsid w:val="00636B69"/>
    <w:rsid w:val="006406A8"/>
    <w:rsid w:val="00640B4E"/>
    <w:rsid w:val="00641D5B"/>
    <w:rsid w:val="00644AAD"/>
    <w:rsid w:val="00647270"/>
    <w:rsid w:val="0065223B"/>
    <w:rsid w:val="00653CDE"/>
    <w:rsid w:val="00656442"/>
    <w:rsid w:val="00661DA0"/>
    <w:rsid w:val="006632E6"/>
    <w:rsid w:val="0066542F"/>
    <w:rsid w:val="00670E85"/>
    <w:rsid w:val="0067703D"/>
    <w:rsid w:val="00677CAF"/>
    <w:rsid w:val="006831E3"/>
    <w:rsid w:val="006867BB"/>
    <w:rsid w:val="00691B1A"/>
    <w:rsid w:val="00695425"/>
    <w:rsid w:val="006A101B"/>
    <w:rsid w:val="006A6DC8"/>
    <w:rsid w:val="006C015A"/>
    <w:rsid w:val="006C2360"/>
    <w:rsid w:val="006C55A9"/>
    <w:rsid w:val="006C5999"/>
    <w:rsid w:val="006D0A1B"/>
    <w:rsid w:val="006D6A62"/>
    <w:rsid w:val="006E4D05"/>
    <w:rsid w:val="006F0015"/>
    <w:rsid w:val="00707FF2"/>
    <w:rsid w:val="00712AF4"/>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28DC"/>
    <w:rsid w:val="00773B6C"/>
    <w:rsid w:val="00773FEE"/>
    <w:rsid w:val="00781DF2"/>
    <w:rsid w:val="00790B95"/>
    <w:rsid w:val="007937A3"/>
    <w:rsid w:val="007B2950"/>
    <w:rsid w:val="007B4684"/>
    <w:rsid w:val="007C09EA"/>
    <w:rsid w:val="007C2309"/>
    <w:rsid w:val="007C3B9F"/>
    <w:rsid w:val="007C4D61"/>
    <w:rsid w:val="007D5273"/>
    <w:rsid w:val="007D6581"/>
    <w:rsid w:val="007D6EBC"/>
    <w:rsid w:val="007F0A33"/>
    <w:rsid w:val="007F1D2B"/>
    <w:rsid w:val="007F4D7D"/>
    <w:rsid w:val="007F717F"/>
    <w:rsid w:val="00817450"/>
    <w:rsid w:val="008176CE"/>
    <w:rsid w:val="008204EB"/>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A6ED3"/>
    <w:rsid w:val="008A7438"/>
    <w:rsid w:val="008C3744"/>
    <w:rsid w:val="008C4798"/>
    <w:rsid w:val="008D3FFB"/>
    <w:rsid w:val="008D43F8"/>
    <w:rsid w:val="008D5DE5"/>
    <w:rsid w:val="008D7AB4"/>
    <w:rsid w:val="008E268A"/>
    <w:rsid w:val="008E3451"/>
    <w:rsid w:val="008E53FF"/>
    <w:rsid w:val="00904A9B"/>
    <w:rsid w:val="00905884"/>
    <w:rsid w:val="00920D6C"/>
    <w:rsid w:val="009276D5"/>
    <w:rsid w:val="0093775E"/>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94D"/>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6574"/>
    <w:rsid w:val="00A37DDB"/>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975B7"/>
    <w:rsid w:val="00AA0FBE"/>
    <w:rsid w:val="00AA4479"/>
    <w:rsid w:val="00AA48D1"/>
    <w:rsid w:val="00AB7E31"/>
    <w:rsid w:val="00AC1E51"/>
    <w:rsid w:val="00AD2F5B"/>
    <w:rsid w:val="00AD464B"/>
    <w:rsid w:val="00AD6A4F"/>
    <w:rsid w:val="00AD7E81"/>
    <w:rsid w:val="00AE0FF5"/>
    <w:rsid w:val="00AE127D"/>
    <w:rsid w:val="00AF12E5"/>
    <w:rsid w:val="00AF1624"/>
    <w:rsid w:val="00AF7D70"/>
    <w:rsid w:val="00B017FE"/>
    <w:rsid w:val="00B05D04"/>
    <w:rsid w:val="00B17E63"/>
    <w:rsid w:val="00B17F7F"/>
    <w:rsid w:val="00B20869"/>
    <w:rsid w:val="00B211ED"/>
    <w:rsid w:val="00B319D0"/>
    <w:rsid w:val="00B31F82"/>
    <w:rsid w:val="00B33AE6"/>
    <w:rsid w:val="00B33B3B"/>
    <w:rsid w:val="00B52B37"/>
    <w:rsid w:val="00B548FD"/>
    <w:rsid w:val="00B556FB"/>
    <w:rsid w:val="00B56361"/>
    <w:rsid w:val="00B61746"/>
    <w:rsid w:val="00B62005"/>
    <w:rsid w:val="00B67234"/>
    <w:rsid w:val="00B67934"/>
    <w:rsid w:val="00B76FFB"/>
    <w:rsid w:val="00B7795B"/>
    <w:rsid w:val="00B77961"/>
    <w:rsid w:val="00B803FE"/>
    <w:rsid w:val="00B84C74"/>
    <w:rsid w:val="00B94CF1"/>
    <w:rsid w:val="00BA2379"/>
    <w:rsid w:val="00BA6F13"/>
    <w:rsid w:val="00BB3A8E"/>
    <w:rsid w:val="00BB5CD0"/>
    <w:rsid w:val="00BB7111"/>
    <w:rsid w:val="00BC0690"/>
    <w:rsid w:val="00BC2A7B"/>
    <w:rsid w:val="00BC4D83"/>
    <w:rsid w:val="00BC6D1F"/>
    <w:rsid w:val="00BD1CD3"/>
    <w:rsid w:val="00BE0F5B"/>
    <w:rsid w:val="00BE242C"/>
    <w:rsid w:val="00BF061C"/>
    <w:rsid w:val="00BF2DE4"/>
    <w:rsid w:val="00BF4E4B"/>
    <w:rsid w:val="00BF7045"/>
    <w:rsid w:val="00C03881"/>
    <w:rsid w:val="00C03EC3"/>
    <w:rsid w:val="00C051BA"/>
    <w:rsid w:val="00C052AB"/>
    <w:rsid w:val="00C114D9"/>
    <w:rsid w:val="00C115C2"/>
    <w:rsid w:val="00C12A33"/>
    <w:rsid w:val="00C20A8B"/>
    <w:rsid w:val="00C234FA"/>
    <w:rsid w:val="00C31DD3"/>
    <w:rsid w:val="00C32BEA"/>
    <w:rsid w:val="00C3405B"/>
    <w:rsid w:val="00C510B7"/>
    <w:rsid w:val="00C5115E"/>
    <w:rsid w:val="00C54574"/>
    <w:rsid w:val="00C67F26"/>
    <w:rsid w:val="00C72985"/>
    <w:rsid w:val="00C73607"/>
    <w:rsid w:val="00C7554B"/>
    <w:rsid w:val="00C7749B"/>
    <w:rsid w:val="00C806B6"/>
    <w:rsid w:val="00C82DE7"/>
    <w:rsid w:val="00C90F87"/>
    <w:rsid w:val="00C91EA9"/>
    <w:rsid w:val="00CB10A1"/>
    <w:rsid w:val="00CB1671"/>
    <w:rsid w:val="00CB3128"/>
    <w:rsid w:val="00CB582D"/>
    <w:rsid w:val="00CB63FC"/>
    <w:rsid w:val="00CB78F3"/>
    <w:rsid w:val="00CC1E96"/>
    <w:rsid w:val="00CC7527"/>
    <w:rsid w:val="00CD60E2"/>
    <w:rsid w:val="00CD79F0"/>
    <w:rsid w:val="00CE0705"/>
    <w:rsid w:val="00CF37DE"/>
    <w:rsid w:val="00CF45D0"/>
    <w:rsid w:val="00CF4883"/>
    <w:rsid w:val="00CF6FCC"/>
    <w:rsid w:val="00D06972"/>
    <w:rsid w:val="00D21461"/>
    <w:rsid w:val="00D22BE5"/>
    <w:rsid w:val="00D30B85"/>
    <w:rsid w:val="00D37A63"/>
    <w:rsid w:val="00D44310"/>
    <w:rsid w:val="00D44681"/>
    <w:rsid w:val="00D44B33"/>
    <w:rsid w:val="00D536B1"/>
    <w:rsid w:val="00D556A1"/>
    <w:rsid w:val="00D563C2"/>
    <w:rsid w:val="00D57164"/>
    <w:rsid w:val="00D57281"/>
    <w:rsid w:val="00D65967"/>
    <w:rsid w:val="00D732AF"/>
    <w:rsid w:val="00D777F1"/>
    <w:rsid w:val="00D8185B"/>
    <w:rsid w:val="00D8194A"/>
    <w:rsid w:val="00D82F3E"/>
    <w:rsid w:val="00D969A3"/>
    <w:rsid w:val="00DA584A"/>
    <w:rsid w:val="00DB6895"/>
    <w:rsid w:val="00DC4C07"/>
    <w:rsid w:val="00DC7AB8"/>
    <w:rsid w:val="00DD525D"/>
    <w:rsid w:val="00DD5508"/>
    <w:rsid w:val="00DE0E0D"/>
    <w:rsid w:val="00DE1C4D"/>
    <w:rsid w:val="00DE5E63"/>
    <w:rsid w:val="00DE675A"/>
    <w:rsid w:val="00E135DB"/>
    <w:rsid w:val="00E1452E"/>
    <w:rsid w:val="00E235C9"/>
    <w:rsid w:val="00E375E1"/>
    <w:rsid w:val="00E40A3B"/>
    <w:rsid w:val="00E42CD9"/>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2CB5"/>
    <w:rsid w:val="00F072C2"/>
    <w:rsid w:val="00F07DE8"/>
    <w:rsid w:val="00F07F4C"/>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D72DA"/>
    <w:rsid w:val="00FE5FE9"/>
    <w:rsid w:val="00FE7D94"/>
    <w:rsid w:val="00FF0F02"/>
    <w:rsid w:val="00FF7F1F"/>
    <w:rsid w:val="01773477"/>
    <w:rsid w:val="01773676"/>
    <w:rsid w:val="01B13F71"/>
    <w:rsid w:val="01BD7A4F"/>
    <w:rsid w:val="0273010D"/>
    <w:rsid w:val="030571A0"/>
    <w:rsid w:val="03541CED"/>
    <w:rsid w:val="0454399B"/>
    <w:rsid w:val="049360A4"/>
    <w:rsid w:val="04FC07BA"/>
    <w:rsid w:val="05C21244"/>
    <w:rsid w:val="064029FC"/>
    <w:rsid w:val="078B0F5C"/>
    <w:rsid w:val="07B83C8D"/>
    <w:rsid w:val="07C025C7"/>
    <w:rsid w:val="07C3655E"/>
    <w:rsid w:val="07F46FDB"/>
    <w:rsid w:val="08171363"/>
    <w:rsid w:val="08AB2AB1"/>
    <w:rsid w:val="09CD219B"/>
    <w:rsid w:val="09E42488"/>
    <w:rsid w:val="09ED576F"/>
    <w:rsid w:val="0A2A0535"/>
    <w:rsid w:val="0A4D6FA3"/>
    <w:rsid w:val="0BAF4ECB"/>
    <w:rsid w:val="0D116C13"/>
    <w:rsid w:val="0D5A43A4"/>
    <w:rsid w:val="0DA67FA4"/>
    <w:rsid w:val="0E2A646C"/>
    <w:rsid w:val="0F50739D"/>
    <w:rsid w:val="10525806"/>
    <w:rsid w:val="10670755"/>
    <w:rsid w:val="10CF4AB8"/>
    <w:rsid w:val="1178129C"/>
    <w:rsid w:val="11BB0CCA"/>
    <w:rsid w:val="13737F6D"/>
    <w:rsid w:val="141018E3"/>
    <w:rsid w:val="14583CD7"/>
    <w:rsid w:val="148126CD"/>
    <w:rsid w:val="14DE2927"/>
    <w:rsid w:val="164F0678"/>
    <w:rsid w:val="168503A9"/>
    <w:rsid w:val="16C90EF1"/>
    <w:rsid w:val="17281EC0"/>
    <w:rsid w:val="181E6DC2"/>
    <w:rsid w:val="19121F65"/>
    <w:rsid w:val="1953639C"/>
    <w:rsid w:val="19AF1870"/>
    <w:rsid w:val="1A167B3A"/>
    <w:rsid w:val="1A1A418D"/>
    <w:rsid w:val="1A323B8B"/>
    <w:rsid w:val="1C202209"/>
    <w:rsid w:val="1C492643"/>
    <w:rsid w:val="1D2A2952"/>
    <w:rsid w:val="1E9B481C"/>
    <w:rsid w:val="1FD746B4"/>
    <w:rsid w:val="210705F3"/>
    <w:rsid w:val="216750D4"/>
    <w:rsid w:val="22557C1D"/>
    <w:rsid w:val="226B7889"/>
    <w:rsid w:val="22E33BF0"/>
    <w:rsid w:val="23897365"/>
    <w:rsid w:val="23B858BF"/>
    <w:rsid w:val="23C120FD"/>
    <w:rsid w:val="243D3F18"/>
    <w:rsid w:val="245B3C6C"/>
    <w:rsid w:val="24951F40"/>
    <w:rsid w:val="25100723"/>
    <w:rsid w:val="2513113F"/>
    <w:rsid w:val="25823752"/>
    <w:rsid w:val="25873D4C"/>
    <w:rsid w:val="25AD0C5F"/>
    <w:rsid w:val="25DA6F55"/>
    <w:rsid w:val="25FB276E"/>
    <w:rsid w:val="26931E56"/>
    <w:rsid w:val="26976211"/>
    <w:rsid w:val="26BF6828"/>
    <w:rsid w:val="26F11B74"/>
    <w:rsid w:val="276E2C97"/>
    <w:rsid w:val="2811624B"/>
    <w:rsid w:val="28A736BD"/>
    <w:rsid w:val="2A0F2D38"/>
    <w:rsid w:val="2A5176CA"/>
    <w:rsid w:val="2A5738A1"/>
    <w:rsid w:val="2A9E191C"/>
    <w:rsid w:val="2AD92D72"/>
    <w:rsid w:val="2B4878C2"/>
    <w:rsid w:val="2CDF05C8"/>
    <w:rsid w:val="2D102879"/>
    <w:rsid w:val="2EA339A5"/>
    <w:rsid w:val="2F162065"/>
    <w:rsid w:val="2F7B20F9"/>
    <w:rsid w:val="2FD36702"/>
    <w:rsid w:val="313229D6"/>
    <w:rsid w:val="314865E7"/>
    <w:rsid w:val="32422B29"/>
    <w:rsid w:val="34300EA4"/>
    <w:rsid w:val="34C226AB"/>
    <w:rsid w:val="34ED45E0"/>
    <w:rsid w:val="35A74912"/>
    <w:rsid w:val="35CB5EC9"/>
    <w:rsid w:val="36105698"/>
    <w:rsid w:val="36A83830"/>
    <w:rsid w:val="38E65C15"/>
    <w:rsid w:val="39A35D51"/>
    <w:rsid w:val="3B1359D3"/>
    <w:rsid w:val="3BB80F8B"/>
    <w:rsid w:val="3BCE327C"/>
    <w:rsid w:val="3C345451"/>
    <w:rsid w:val="3D844121"/>
    <w:rsid w:val="3E9D7E49"/>
    <w:rsid w:val="3F0324C6"/>
    <w:rsid w:val="402107A3"/>
    <w:rsid w:val="41945407"/>
    <w:rsid w:val="42586A81"/>
    <w:rsid w:val="426725FD"/>
    <w:rsid w:val="42FE5F27"/>
    <w:rsid w:val="43017B2A"/>
    <w:rsid w:val="430317C0"/>
    <w:rsid w:val="44CA4BFA"/>
    <w:rsid w:val="466B2BA2"/>
    <w:rsid w:val="475A67D9"/>
    <w:rsid w:val="47A63A2D"/>
    <w:rsid w:val="485D4B89"/>
    <w:rsid w:val="48825F81"/>
    <w:rsid w:val="4A296AA5"/>
    <w:rsid w:val="4B8D6ED7"/>
    <w:rsid w:val="4C777304"/>
    <w:rsid w:val="4CA0731E"/>
    <w:rsid w:val="4CF96DDA"/>
    <w:rsid w:val="4D083EE4"/>
    <w:rsid w:val="4D792F09"/>
    <w:rsid w:val="4DBF37D4"/>
    <w:rsid w:val="4E6727AC"/>
    <w:rsid w:val="4E9B7A20"/>
    <w:rsid w:val="504970E8"/>
    <w:rsid w:val="506B19F1"/>
    <w:rsid w:val="50FA6974"/>
    <w:rsid w:val="51D05F5C"/>
    <w:rsid w:val="525B2D0B"/>
    <w:rsid w:val="54F7F469"/>
    <w:rsid w:val="55605470"/>
    <w:rsid w:val="562F308A"/>
    <w:rsid w:val="56901E7C"/>
    <w:rsid w:val="589E5842"/>
    <w:rsid w:val="58D722BE"/>
    <w:rsid w:val="59476CE1"/>
    <w:rsid w:val="596F2552"/>
    <w:rsid w:val="5981360E"/>
    <w:rsid w:val="599A26EE"/>
    <w:rsid w:val="5A744CB9"/>
    <w:rsid w:val="5B2E5246"/>
    <w:rsid w:val="5B3B6835"/>
    <w:rsid w:val="5B9F7BC4"/>
    <w:rsid w:val="5BEE3678"/>
    <w:rsid w:val="5D373670"/>
    <w:rsid w:val="5D711E7B"/>
    <w:rsid w:val="5E520C00"/>
    <w:rsid w:val="5E911FD2"/>
    <w:rsid w:val="5EC455DD"/>
    <w:rsid w:val="5F891239"/>
    <w:rsid w:val="5FBB5A03"/>
    <w:rsid w:val="5FF5B184"/>
    <w:rsid w:val="611449CF"/>
    <w:rsid w:val="62363472"/>
    <w:rsid w:val="62771C70"/>
    <w:rsid w:val="62A02B74"/>
    <w:rsid w:val="63074E4A"/>
    <w:rsid w:val="63DF45AD"/>
    <w:rsid w:val="65164566"/>
    <w:rsid w:val="65EA1853"/>
    <w:rsid w:val="66304E17"/>
    <w:rsid w:val="675B5AF4"/>
    <w:rsid w:val="67B13C27"/>
    <w:rsid w:val="691E552C"/>
    <w:rsid w:val="69814D1C"/>
    <w:rsid w:val="6A3A4BE5"/>
    <w:rsid w:val="6A5A3E3F"/>
    <w:rsid w:val="6A5C700A"/>
    <w:rsid w:val="6C6E7C95"/>
    <w:rsid w:val="6D1D639B"/>
    <w:rsid w:val="6DDC444A"/>
    <w:rsid w:val="6E3E08ED"/>
    <w:rsid w:val="6E7042BE"/>
    <w:rsid w:val="6ECF7BC3"/>
    <w:rsid w:val="6F435BBB"/>
    <w:rsid w:val="6F4638FD"/>
    <w:rsid w:val="6F9C3359"/>
    <w:rsid w:val="6FA86B63"/>
    <w:rsid w:val="70117A67"/>
    <w:rsid w:val="70211108"/>
    <w:rsid w:val="70DA754F"/>
    <w:rsid w:val="70DF3492"/>
    <w:rsid w:val="717F3BC0"/>
    <w:rsid w:val="73A04113"/>
    <w:rsid w:val="745921AF"/>
    <w:rsid w:val="75457F23"/>
    <w:rsid w:val="760477CC"/>
    <w:rsid w:val="796F6888"/>
    <w:rsid w:val="7BA95ADD"/>
    <w:rsid w:val="7CA64A0C"/>
    <w:rsid w:val="7CB93960"/>
    <w:rsid w:val="7D174734"/>
    <w:rsid w:val="7DF7A1B5"/>
    <w:rsid w:val="7E8A580B"/>
    <w:rsid w:val="7EBD33CD"/>
    <w:rsid w:val="7EE50A3C"/>
    <w:rsid w:val="7F19500C"/>
    <w:rsid w:val="7F797C95"/>
    <w:rsid w:val="99F31EBA"/>
    <w:rsid w:val="B5FF3FD2"/>
    <w:rsid w:val="D556ED8A"/>
    <w:rsid w:val="E6DEEDEF"/>
    <w:rsid w:val="F65D4E9A"/>
    <w:rsid w:val="F8FEE162"/>
    <w:rsid w:val="FEBF8EC9"/>
    <w:rsid w:val="FFDC38A8"/>
    <w:rsid w:val="FFF33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autoRedefine/>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7"/>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52"/>
    <w:autoRedefine/>
    <w:qFormat/>
    <w:uiPriority w:val="0"/>
    <w:pPr>
      <w:keepNext/>
      <w:keepLines/>
      <w:spacing w:line="600" w:lineRule="exact"/>
      <w:ind w:firstLine="643" w:firstLineChars="200"/>
      <w:outlineLvl w:val="2"/>
    </w:pPr>
    <w:rPr>
      <w:b/>
      <w:bCs/>
      <w:sz w:val="32"/>
      <w:szCs w:val="32"/>
    </w:rPr>
  </w:style>
  <w:style w:type="paragraph" w:styleId="6">
    <w:name w:val="heading 4"/>
    <w:basedOn w:val="1"/>
    <w:next w:val="1"/>
    <w:link w:val="53"/>
    <w:autoRedefine/>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5"/>
    <w:basedOn w:val="1"/>
    <w:next w:val="1"/>
    <w:link w:val="54"/>
    <w:autoRedefine/>
    <w:qFormat/>
    <w:uiPriority w:val="0"/>
    <w:pPr>
      <w:keepNext/>
      <w:keepLines/>
      <w:spacing w:before="280" w:after="290" w:line="376" w:lineRule="auto"/>
      <w:outlineLvl w:val="4"/>
    </w:pPr>
    <w:rPr>
      <w:b/>
      <w:bCs/>
      <w:sz w:val="28"/>
      <w:szCs w:val="28"/>
    </w:rPr>
  </w:style>
  <w:style w:type="character" w:default="1" w:styleId="42">
    <w:name w:val="Default Paragraph Font"/>
    <w:autoRedefine/>
    <w:semiHidden/>
    <w:qFormat/>
    <w:uiPriority w:val="0"/>
  </w:style>
  <w:style w:type="table" w:default="1" w:styleId="4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link w:val="58"/>
    <w:autoRedefine/>
    <w:qFormat/>
    <w:uiPriority w:val="0"/>
    <w:pPr>
      <w:spacing w:after="120"/>
    </w:pPr>
  </w:style>
  <w:style w:type="paragraph" w:styleId="8">
    <w:name w:val="toc 7"/>
    <w:basedOn w:val="1"/>
    <w:next w:val="1"/>
    <w:autoRedefine/>
    <w:qFormat/>
    <w:uiPriority w:val="0"/>
    <w:pPr>
      <w:jc w:val="left"/>
    </w:pPr>
    <w:rPr>
      <w:rFonts w:ascii="Calibri" w:hAnsi="Calibri"/>
      <w:sz w:val="22"/>
      <w:szCs w:val="22"/>
    </w:rPr>
  </w:style>
  <w:style w:type="paragraph" w:styleId="9">
    <w:name w:val="index 8"/>
    <w:basedOn w:val="1"/>
    <w:next w:val="1"/>
    <w:autoRedefine/>
    <w:semiHidden/>
    <w:qFormat/>
    <w:uiPriority w:val="99"/>
    <w:pPr>
      <w:adjustRightInd w:val="0"/>
      <w:spacing w:line="360" w:lineRule="atLeast"/>
      <w:ind w:left="2940"/>
      <w:textAlignment w:val="baseline"/>
    </w:pPr>
  </w:style>
  <w:style w:type="paragraph" w:styleId="10">
    <w:name w:val="Normal Indent"/>
    <w:basedOn w:val="1"/>
    <w:autoRedefine/>
    <w:qFormat/>
    <w:uiPriority w:val="0"/>
    <w:pPr>
      <w:ind w:firstLine="420"/>
    </w:pPr>
    <w:rPr>
      <w:szCs w:val="20"/>
    </w:rPr>
  </w:style>
  <w:style w:type="paragraph" w:styleId="11">
    <w:name w:val="caption"/>
    <w:basedOn w:val="1"/>
    <w:next w:val="1"/>
    <w:autoRedefine/>
    <w:qFormat/>
    <w:uiPriority w:val="0"/>
    <w:pPr>
      <w:spacing w:before="152" w:after="160"/>
    </w:pPr>
    <w:rPr>
      <w:rFonts w:ascii="Arial" w:hAnsi="Arial" w:eastAsia="黑体" w:cs="Arial"/>
      <w:sz w:val="20"/>
      <w:szCs w:val="20"/>
    </w:rPr>
  </w:style>
  <w:style w:type="paragraph" w:styleId="12">
    <w:name w:val="Document Map"/>
    <w:basedOn w:val="1"/>
    <w:link w:val="55"/>
    <w:autoRedefine/>
    <w:qFormat/>
    <w:uiPriority w:val="0"/>
    <w:rPr>
      <w:rFonts w:ascii="宋体"/>
      <w:sz w:val="18"/>
      <w:szCs w:val="18"/>
    </w:rPr>
  </w:style>
  <w:style w:type="paragraph" w:styleId="13">
    <w:name w:val="annotation text"/>
    <w:basedOn w:val="1"/>
    <w:link w:val="56"/>
    <w:autoRedefine/>
    <w:qFormat/>
    <w:uiPriority w:val="0"/>
    <w:pPr>
      <w:jc w:val="left"/>
    </w:pPr>
  </w:style>
  <w:style w:type="paragraph" w:styleId="14">
    <w:name w:val="index 6"/>
    <w:basedOn w:val="1"/>
    <w:next w:val="1"/>
    <w:autoRedefine/>
    <w:qFormat/>
    <w:uiPriority w:val="0"/>
    <w:pPr>
      <w:ind w:left="2100"/>
    </w:pPr>
    <w:rPr>
      <w:rFonts w:ascii="Times New Roman" w:hAnsi="Times New Roman"/>
    </w:rPr>
  </w:style>
  <w:style w:type="paragraph" w:styleId="15">
    <w:name w:val="Body Text 3"/>
    <w:basedOn w:val="1"/>
    <w:link w:val="57"/>
    <w:autoRedefine/>
    <w:qFormat/>
    <w:uiPriority w:val="0"/>
    <w:pPr>
      <w:spacing w:after="120"/>
    </w:pPr>
    <w:rPr>
      <w:sz w:val="16"/>
      <w:szCs w:val="16"/>
    </w:rPr>
  </w:style>
  <w:style w:type="paragraph" w:styleId="16">
    <w:name w:val="Body Text Indent"/>
    <w:basedOn w:val="1"/>
    <w:next w:val="10"/>
    <w:link w:val="59"/>
    <w:autoRedefine/>
    <w:qFormat/>
    <w:uiPriority w:val="0"/>
    <w:pPr>
      <w:spacing w:line="200" w:lineRule="exact"/>
      <w:ind w:firstLine="301"/>
    </w:pPr>
    <w:rPr>
      <w:rFonts w:ascii="宋体" w:hAnsi="Courier New"/>
      <w:spacing w:val="-4"/>
      <w:sz w:val="18"/>
      <w:szCs w:val="20"/>
    </w:rPr>
  </w:style>
  <w:style w:type="paragraph" w:styleId="17">
    <w:name w:val="Block Text"/>
    <w:basedOn w:val="1"/>
    <w:autoRedefine/>
    <w:unhideWhenUsed/>
    <w:qFormat/>
    <w:uiPriority w:val="99"/>
    <w:pPr>
      <w:spacing w:after="120"/>
      <w:ind w:left="1440" w:leftChars="700" w:right="1440" w:rightChars="700"/>
    </w:pPr>
    <w:rPr>
      <w:rFonts w:ascii="Times New Roman" w:hAnsi="Times New Roman" w:eastAsia="宋体" w:cs="Times New Roman"/>
    </w:rPr>
  </w:style>
  <w:style w:type="paragraph" w:styleId="18">
    <w:name w:val="toc 5"/>
    <w:basedOn w:val="1"/>
    <w:next w:val="1"/>
    <w:autoRedefine/>
    <w:qFormat/>
    <w:uiPriority w:val="0"/>
    <w:pPr>
      <w:jc w:val="left"/>
    </w:pPr>
    <w:rPr>
      <w:rFonts w:ascii="Calibri" w:hAnsi="Calibri"/>
      <w:sz w:val="22"/>
      <w:szCs w:val="22"/>
    </w:rPr>
  </w:style>
  <w:style w:type="paragraph" w:styleId="19">
    <w:name w:val="toc 3"/>
    <w:basedOn w:val="1"/>
    <w:next w:val="1"/>
    <w:autoRedefine/>
    <w:qFormat/>
    <w:uiPriority w:val="0"/>
    <w:pPr>
      <w:jc w:val="left"/>
    </w:pPr>
    <w:rPr>
      <w:rFonts w:ascii="Calibri" w:hAnsi="Calibri"/>
      <w:smallCaps/>
      <w:sz w:val="22"/>
      <w:szCs w:val="22"/>
    </w:rPr>
  </w:style>
  <w:style w:type="paragraph" w:styleId="20">
    <w:name w:val="Plain Text"/>
    <w:basedOn w:val="1"/>
    <w:link w:val="60"/>
    <w:autoRedefine/>
    <w:qFormat/>
    <w:uiPriority w:val="0"/>
    <w:rPr>
      <w:rFonts w:ascii="宋体" w:hAnsi="Courier New"/>
      <w:szCs w:val="20"/>
    </w:rPr>
  </w:style>
  <w:style w:type="paragraph" w:styleId="21">
    <w:name w:val="toc 8"/>
    <w:basedOn w:val="1"/>
    <w:next w:val="1"/>
    <w:autoRedefine/>
    <w:qFormat/>
    <w:uiPriority w:val="0"/>
    <w:pPr>
      <w:jc w:val="left"/>
    </w:pPr>
    <w:rPr>
      <w:rFonts w:ascii="Calibri" w:hAnsi="Calibri"/>
      <w:sz w:val="22"/>
      <w:szCs w:val="22"/>
    </w:rPr>
  </w:style>
  <w:style w:type="paragraph" w:styleId="22">
    <w:name w:val="Date"/>
    <w:basedOn w:val="1"/>
    <w:next w:val="1"/>
    <w:link w:val="61"/>
    <w:autoRedefine/>
    <w:qFormat/>
    <w:uiPriority w:val="0"/>
    <w:pPr>
      <w:ind w:left="100" w:leftChars="2500"/>
    </w:pPr>
  </w:style>
  <w:style w:type="paragraph" w:styleId="23">
    <w:name w:val="Body Text Indent 2"/>
    <w:basedOn w:val="1"/>
    <w:link w:val="62"/>
    <w:autoRedefine/>
    <w:qFormat/>
    <w:uiPriority w:val="0"/>
    <w:pPr>
      <w:spacing w:after="120" w:afterLines="0" w:line="480" w:lineRule="auto"/>
      <w:ind w:left="420" w:leftChars="200"/>
    </w:pPr>
  </w:style>
  <w:style w:type="paragraph" w:styleId="24">
    <w:name w:val="Balloon Text"/>
    <w:basedOn w:val="1"/>
    <w:link w:val="63"/>
    <w:autoRedefine/>
    <w:qFormat/>
    <w:uiPriority w:val="0"/>
    <w:rPr>
      <w:sz w:val="18"/>
      <w:szCs w:val="18"/>
    </w:rPr>
  </w:style>
  <w:style w:type="paragraph" w:styleId="25">
    <w:name w:val="footer"/>
    <w:basedOn w:val="1"/>
    <w:next w:val="1"/>
    <w:link w:val="64"/>
    <w:autoRedefine/>
    <w:unhideWhenUsed/>
    <w:qFormat/>
    <w:uiPriority w:val="99"/>
    <w:pPr>
      <w:tabs>
        <w:tab w:val="center" w:pos="4153"/>
        <w:tab w:val="right" w:pos="8306"/>
      </w:tabs>
      <w:snapToGrid w:val="0"/>
      <w:jc w:val="left"/>
    </w:pPr>
    <w:rPr>
      <w:sz w:val="18"/>
      <w:szCs w:val="18"/>
    </w:rPr>
  </w:style>
  <w:style w:type="paragraph" w:styleId="26">
    <w:name w:val="header"/>
    <w:basedOn w:val="1"/>
    <w:link w:val="65"/>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pPr>
      <w:spacing w:before="360" w:after="360"/>
      <w:jc w:val="left"/>
    </w:pPr>
    <w:rPr>
      <w:rFonts w:ascii="Calibri" w:hAnsi="Calibri"/>
      <w:b/>
      <w:bCs/>
      <w:caps/>
      <w:sz w:val="22"/>
      <w:szCs w:val="22"/>
      <w:u w:val="single"/>
    </w:rPr>
  </w:style>
  <w:style w:type="paragraph" w:styleId="28">
    <w:name w:val="toc 4"/>
    <w:basedOn w:val="1"/>
    <w:next w:val="1"/>
    <w:autoRedefine/>
    <w:qFormat/>
    <w:uiPriority w:val="0"/>
    <w:pPr>
      <w:jc w:val="left"/>
    </w:pPr>
    <w:rPr>
      <w:rFonts w:ascii="Calibri" w:hAnsi="Calibri"/>
      <w:sz w:val="22"/>
      <w:szCs w:val="22"/>
    </w:rPr>
  </w:style>
  <w:style w:type="paragraph" w:styleId="29">
    <w:name w:val="List"/>
    <w:basedOn w:val="1"/>
    <w:autoRedefine/>
    <w:qFormat/>
    <w:uiPriority w:val="0"/>
    <w:pPr>
      <w:ind w:left="200" w:hanging="200" w:hangingChars="200"/>
    </w:pPr>
    <w:rPr>
      <w:sz w:val="28"/>
    </w:rPr>
  </w:style>
  <w:style w:type="paragraph" w:styleId="30">
    <w:name w:val="footnote text"/>
    <w:basedOn w:val="1"/>
    <w:next w:val="2"/>
    <w:autoRedefine/>
    <w:unhideWhenUsed/>
    <w:qFormat/>
    <w:uiPriority w:val="99"/>
    <w:pPr>
      <w:snapToGrid w:val="0"/>
      <w:jc w:val="left"/>
    </w:pPr>
    <w:rPr>
      <w:sz w:val="18"/>
      <w:szCs w:val="18"/>
    </w:rPr>
  </w:style>
  <w:style w:type="paragraph" w:styleId="31">
    <w:name w:val="toc 6"/>
    <w:basedOn w:val="1"/>
    <w:next w:val="1"/>
    <w:autoRedefine/>
    <w:qFormat/>
    <w:uiPriority w:val="0"/>
    <w:pPr>
      <w:jc w:val="left"/>
    </w:pPr>
    <w:rPr>
      <w:rFonts w:ascii="Calibri" w:hAnsi="Calibri"/>
      <w:sz w:val="22"/>
      <w:szCs w:val="22"/>
    </w:rPr>
  </w:style>
  <w:style w:type="paragraph" w:styleId="32">
    <w:name w:val="toc 2"/>
    <w:basedOn w:val="1"/>
    <w:next w:val="1"/>
    <w:autoRedefine/>
    <w:qFormat/>
    <w:uiPriority w:val="0"/>
    <w:pPr>
      <w:jc w:val="left"/>
    </w:pPr>
    <w:rPr>
      <w:rFonts w:ascii="Calibri" w:hAnsi="Calibri"/>
      <w:b/>
      <w:bCs/>
      <w:smallCaps/>
      <w:sz w:val="22"/>
      <w:szCs w:val="22"/>
    </w:rPr>
  </w:style>
  <w:style w:type="paragraph" w:styleId="33">
    <w:name w:val="toc 9"/>
    <w:basedOn w:val="1"/>
    <w:next w:val="1"/>
    <w:autoRedefine/>
    <w:qFormat/>
    <w:uiPriority w:val="0"/>
    <w:pPr>
      <w:jc w:val="left"/>
    </w:pPr>
    <w:rPr>
      <w:rFonts w:ascii="Calibri" w:hAnsi="Calibri"/>
      <w:sz w:val="22"/>
      <w:szCs w:val="22"/>
    </w:rPr>
  </w:style>
  <w:style w:type="paragraph" w:styleId="3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36">
    <w:name w:val="Title"/>
    <w:basedOn w:val="1"/>
    <w:next w:val="1"/>
    <w:autoRedefine/>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7">
    <w:name w:val="annotation subject"/>
    <w:basedOn w:val="13"/>
    <w:next w:val="13"/>
    <w:link w:val="66"/>
    <w:autoRedefine/>
    <w:qFormat/>
    <w:uiPriority w:val="0"/>
    <w:rPr>
      <w:b/>
      <w:bCs/>
    </w:rPr>
  </w:style>
  <w:style w:type="paragraph" w:styleId="38">
    <w:name w:val="Body Text First Indent"/>
    <w:basedOn w:val="2"/>
    <w:next w:val="10"/>
    <w:autoRedefine/>
    <w:qFormat/>
    <w:uiPriority w:val="0"/>
    <w:pPr>
      <w:wordWrap w:val="0"/>
      <w:topLinePunct/>
      <w:spacing w:after="0" w:line="600" w:lineRule="exact"/>
      <w:ind w:firstLine="880" w:firstLineChars="200"/>
    </w:pPr>
  </w:style>
  <w:style w:type="paragraph" w:styleId="39">
    <w:name w:val="Body Text First Indent 2"/>
    <w:basedOn w:val="16"/>
    <w:next w:val="38"/>
    <w:autoRedefine/>
    <w:qFormat/>
    <w:uiPriority w:val="0"/>
    <w:pPr>
      <w:spacing w:line="600" w:lineRule="exact"/>
      <w:ind w:firstLine="200" w:firstLineChars="200"/>
      <w:jc w:val="both"/>
    </w:pPr>
    <w:rPr>
      <w:rFonts w:ascii="Times New Roman" w:hAnsi="Times New Roman" w:eastAsia="仿宋_GB2312" w:cs="Times New Roman"/>
      <w:kern w:val="2"/>
      <w:sz w:val="32"/>
      <w:szCs w:val="21"/>
      <w:lang w:val="en-US" w:eastAsia="zh-CN" w:bidi="ar-SA"/>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autoRedefine/>
    <w:qFormat/>
    <w:uiPriority w:val="0"/>
  </w:style>
  <w:style w:type="character" w:styleId="44">
    <w:name w:val="FollowedHyperlink"/>
    <w:autoRedefine/>
    <w:qFormat/>
    <w:uiPriority w:val="0"/>
    <w:rPr>
      <w:color w:val="800080"/>
      <w:u w:val="single"/>
    </w:rPr>
  </w:style>
  <w:style w:type="character" w:styleId="45">
    <w:name w:val="Hyperlink"/>
    <w:autoRedefine/>
    <w:qFormat/>
    <w:uiPriority w:val="0"/>
    <w:rPr>
      <w:color w:val="0000FF"/>
      <w:u w:val="single"/>
    </w:rPr>
  </w:style>
  <w:style w:type="character" w:styleId="46">
    <w:name w:val="annotation reference"/>
    <w:autoRedefine/>
    <w:qFormat/>
    <w:uiPriority w:val="0"/>
    <w:rPr>
      <w:sz w:val="21"/>
      <w:szCs w:val="21"/>
    </w:rPr>
  </w:style>
  <w:style w:type="paragraph" w:customStyle="1" w:styleId="47">
    <w:name w:val="Default"/>
    <w:basedOn w:val="36"/>
    <w:autoRedefine/>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48">
    <w:name w:val="BodyText1I2"/>
    <w:basedOn w:val="49"/>
    <w:autoRedefine/>
    <w:qFormat/>
    <w:uiPriority w:val="0"/>
    <w:pPr>
      <w:ind w:firstLine="420"/>
    </w:pPr>
  </w:style>
  <w:style w:type="paragraph" w:customStyle="1" w:styleId="49">
    <w:name w:val="BodyTextIndent"/>
    <w:basedOn w:val="1"/>
    <w:autoRedefine/>
    <w:qFormat/>
    <w:uiPriority w:val="0"/>
    <w:pPr>
      <w:spacing w:after="120"/>
      <w:ind w:left="420" w:leftChars="200"/>
      <w:textAlignment w:val="baseline"/>
    </w:pPr>
  </w:style>
  <w:style w:type="character" w:customStyle="1" w:styleId="50">
    <w:name w:val="标题 1 字符1"/>
    <w:link w:val="3"/>
    <w:autoRedefine/>
    <w:qFormat/>
    <w:uiPriority w:val="0"/>
    <w:rPr>
      <w:b/>
      <w:bCs/>
      <w:kern w:val="44"/>
      <w:sz w:val="44"/>
      <w:szCs w:val="44"/>
    </w:rPr>
  </w:style>
  <w:style w:type="character" w:customStyle="1" w:styleId="51">
    <w:name w:val="标题 2 字符1"/>
    <w:link w:val="4"/>
    <w:autoRedefine/>
    <w:qFormat/>
    <w:uiPriority w:val="0"/>
    <w:rPr>
      <w:rFonts w:ascii="Arial" w:hAnsi="Arial" w:eastAsia="黑体"/>
      <w:b/>
      <w:bCs/>
      <w:kern w:val="2"/>
      <w:sz w:val="32"/>
      <w:szCs w:val="32"/>
    </w:rPr>
  </w:style>
  <w:style w:type="character" w:customStyle="1" w:styleId="52">
    <w:name w:val="标题 3 字符1"/>
    <w:link w:val="5"/>
    <w:autoRedefine/>
    <w:qFormat/>
    <w:uiPriority w:val="0"/>
    <w:rPr>
      <w:b/>
      <w:bCs/>
      <w:kern w:val="2"/>
      <w:sz w:val="32"/>
      <w:szCs w:val="32"/>
    </w:rPr>
  </w:style>
  <w:style w:type="character" w:customStyle="1" w:styleId="53">
    <w:name w:val="标题 4 字符1"/>
    <w:link w:val="6"/>
    <w:autoRedefine/>
    <w:qFormat/>
    <w:uiPriority w:val="0"/>
    <w:rPr>
      <w:rFonts w:ascii="Arial" w:eastAsia="黑体"/>
      <w:sz w:val="28"/>
    </w:rPr>
  </w:style>
  <w:style w:type="character" w:customStyle="1" w:styleId="54">
    <w:name w:val="标题 5 字符1"/>
    <w:link w:val="7"/>
    <w:autoRedefine/>
    <w:qFormat/>
    <w:uiPriority w:val="9"/>
    <w:rPr>
      <w:b/>
      <w:bCs/>
      <w:kern w:val="2"/>
      <w:sz w:val="28"/>
      <w:szCs w:val="28"/>
    </w:rPr>
  </w:style>
  <w:style w:type="character" w:customStyle="1" w:styleId="55">
    <w:name w:val="文档结构图 字符1"/>
    <w:link w:val="12"/>
    <w:autoRedefine/>
    <w:qFormat/>
    <w:uiPriority w:val="0"/>
    <w:rPr>
      <w:rFonts w:ascii="宋体"/>
      <w:kern w:val="2"/>
      <w:sz w:val="18"/>
      <w:szCs w:val="18"/>
    </w:rPr>
  </w:style>
  <w:style w:type="character" w:customStyle="1" w:styleId="56">
    <w:name w:val="批注文字 字符2"/>
    <w:link w:val="13"/>
    <w:autoRedefine/>
    <w:qFormat/>
    <w:uiPriority w:val="0"/>
    <w:rPr>
      <w:kern w:val="2"/>
      <w:sz w:val="21"/>
      <w:szCs w:val="24"/>
    </w:rPr>
  </w:style>
  <w:style w:type="character" w:customStyle="1" w:styleId="57">
    <w:name w:val="正文文本 3 字符1"/>
    <w:link w:val="15"/>
    <w:autoRedefine/>
    <w:qFormat/>
    <w:uiPriority w:val="99"/>
    <w:rPr>
      <w:kern w:val="2"/>
      <w:sz w:val="16"/>
      <w:szCs w:val="16"/>
    </w:rPr>
  </w:style>
  <w:style w:type="character" w:customStyle="1" w:styleId="58">
    <w:name w:val="正文文本 字符1"/>
    <w:link w:val="2"/>
    <w:autoRedefine/>
    <w:qFormat/>
    <w:uiPriority w:val="99"/>
    <w:rPr>
      <w:kern w:val="2"/>
      <w:sz w:val="21"/>
      <w:szCs w:val="24"/>
    </w:rPr>
  </w:style>
  <w:style w:type="character" w:customStyle="1" w:styleId="59">
    <w:name w:val="正文文本缩进 字符1"/>
    <w:link w:val="16"/>
    <w:autoRedefine/>
    <w:qFormat/>
    <w:uiPriority w:val="0"/>
    <w:rPr>
      <w:rFonts w:ascii="宋体" w:hAnsi="Courier New" w:eastAsia="宋体"/>
      <w:spacing w:val="-4"/>
      <w:kern w:val="2"/>
      <w:sz w:val="18"/>
      <w:lang w:val="en-US" w:eastAsia="zh-CN" w:bidi="ar-SA"/>
    </w:rPr>
  </w:style>
  <w:style w:type="character" w:customStyle="1" w:styleId="60">
    <w:name w:val="纯文本 字符3"/>
    <w:link w:val="20"/>
    <w:autoRedefine/>
    <w:qFormat/>
    <w:uiPriority w:val="0"/>
    <w:rPr>
      <w:rFonts w:ascii="宋体" w:hAnsi="Courier New" w:eastAsia="宋体"/>
      <w:kern w:val="2"/>
      <w:sz w:val="21"/>
      <w:lang w:val="en-US" w:eastAsia="zh-CN" w:bidi="ar-SA"/>
    </w:rPr>
  </w:style>
  <w:style w:type="character" w:customStyle="1" w:styleId="61">
    <w:name w:val="日期 字符1"/>
    <w:link w:val="22"/>
    <w:autoRedefine/>
    <w:qFormat/>
    <w:uiPriority w:val="0"/>
    <w:rPr>
      <w:kern w:val="2"/>
      <w:sz w:val="21"/>
      <w:szCs w:val="24"/>
    </w:rPr>
  </w:style>
  <w:style w:type="character" w:customStyle="1" w:styleId="62">
    <w:name w:val="正文文本缩进 2 字符1"/>
    <w:link w:val="23"/>
    <w:autoRedefine/>
    <w:qFormat/>
    <w:uiPriority w:val="0"/>
    <w:rPr>
      <w:kern w:val="2"/>
      <w:sz w:val="21"/>
      <w:szCs w:val="24"/>
    </w:rPr>
  </w:style>
  <w:style w:type="character" w:customStyle="1" w:styleId="63">
    <w:name w:val="批注框文本 字符1"/>
    <w:link w:val="24"/>
    <w:autoRedefine/>
    <w:qFormat/>
    <w:uiPriority w:val="0"/>
    <w:rPr>
      <w:kern w:val="2"/>
      <w:sz w:val="18"/>
      <w:szCs w:val="18"/>
    </w:rPr>
  </w:style>
  <w:style w:type="character" w:customStyle="1" w:styleId="64">
    <w:name w:val="页脚 字符2"/>
    <w:link w:val="25"/>
    <w:autoRedefine/>
    <w:qFormat/>
    <w:uiPriority w:val="99"/>
    <w:rPr>
      <w:kern w:val="2"/>
      <w:sz w:val="18"/>
      <w:szCs w:val="18"/>
    </w:rPr>
  </w:style>
  <w:style w:type="character" w:customStyle="1" w:styleId="65">
    <w:name w:val="页眉 字符2"/>
    <w:link w:val="26"/>
    <w:autoRedefine/>
    <w:qFormat/>
    <w:uiPriority w:val="99"/>
    <w:rPr>
      <w:kern w:val="2"/>
      <w:sz w:val="18"/>
      <w:szCs w:val="18"/>
    </w:rPr>
  </w:style>
  <w:style w:type="character" w:customStyle="1" w:styleId="66">
    <w:name w:val="批注主题 字符1"/>
    <w:link w:val="37"/>
    <w:autoRedefine/>
    <w:qFormat/>
    <w:uiPriority w:val="99"/>
    <w:rPr>
      <w:b/>
      <w:bCs/>
      <w:kern w:val="2"/>
      <w:sz w:val="21"/>
      <w:szCs w:val="24"/>
    </w:rPr>
  </w:style>
  <w:style w:type="character" w:customStyle="1" w:styleId="67">
    <w:name w:val="标题 2 字符2"/>
    <w:link w:val="4"/>
    <w:autoRedefine/>
    <w:qFormat/>
    <w:uiPriority w:val="0"/>
    <w:rPr>
      <w:rFonts w:ascii="Arial" w:hAnsi="Arial" w:eastAsia="黑体" w:cs="Times New Roman"/>
      <w:b/>
      <w:bCs/>
      <w:sz w:val="32"/>
      <w:szCs w:val="32"/>
    </w:rPr>
  </w:style>
  <w:style w:type="character" w:customStyle="1" w:styleId="68">
    <w:name w:val="页眉 字符"/>
    <w:autoRedefine/>
    <w:qFormat/>
    <w:uiPriority w:val="99"/>
    <w:rPr>
      <w:rFonts w:ascii="Times New Roman" w:hAnsi="Times New Roman"/>
      <w:kern w:val="2"/>
      <w:sz w:val="18"/>
      <w:szCs w:val="18"/>
    </w:rPr>
  </w:style>
  <w:style w:type="character" w:customStyle="1" w:styleId="69">
    <w:name w:val="Char Char1"/>
    <w:autoRedefine/>
    <w:qFormat/>
    <w:uiPriority w:val="0"/>
    <w:rPr>
      <w:rFonts w:ascii="宋体" w:hAnsi="Courier New" w:eastAsia="宋体"/>
      <w:kern w:val="2"/>
      <w:sz w:val="21"/>
      <w:lang w:val="en-US" w:eastAsia="zh-CN" w:bidi="ar-SA"/>
    </w:rPr>
  </w:style>
  <w:style w:type="character" w:customStyle="1" w:styleId="70">
    <w:name w:val="纯文本 字符2"/>
    <w:autoRedefine/>
    <w:qFormat/>
    <w:uiPriority w:val="0"/>
    <w:rPr>
      <w:rFonts w:ascii="宋体" w:hAnsi="Courier New" w:eastAsia="宋体" w:cs="Courier New"/>
      <w:szCs w:val="21"/>
    </w:rPr>
  </w:style>
  <w:style w:type="character" w:customStyle="1" w:styleId="71">
    <w:name w:val="正文文本_"/>
    <w:link w:val="72"/>
    <w:autoRedefine/>
    <w:qFormat/>
    <w:uiPriority w:val="0"/>
    <w:rPr>
      <w:rFonts w:ascii="MingLiU" w:hAnsi="MingLiU" w:eastAsia="MingLiU" w:cs="MingLiU"/>
      <w:spacing w:val="9"/>
      <w:sz w:val="19"/>
      <w:szCs w:val="19"/>
      <w:shd w:val="clear" w:color="auto" w:fill="FFFFFF"/>
    </w:rPr>
  </w:style>
  <w:style w:type="paragraph" w:customStyle="1" w:styleId="72">
    <w:name w:val="正文文本1"/>
    <w:basedOn w:val="1"/>
    <w:link w:val="71"/>
    <w:autoRedefine/>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3">
    <w:name w:val="纯文本 Char1"/>
    <w:link w:val="74"/>
    <w:autoRedefine/>
    <w:qFormat/>
    <w:uiPriority w:val="0"/>
    <w:rPr>
      <w:rFonts w:ascii="宋体" w:hAnsi="Courier New" w:eastAsia="宋体"/>
      <w:kern w:val="2"/>
      <w:sz w:val="21"/>
      <w:lang w:val="en-US" w:eastAsia="zh-CN" w:bidi="ar-SA"/>
    </w:rPr>
  </w:style>
  <w:style w:type="paragraph" w:customStyle="1" w:styleId="74">
    <w:name w:val="纯文本1"/>
    <w:basedOn w:val="1"/>
    <w:link w:val="73"/>
    <w:autoRedefine/>
    <w:qFormat/>
    <w:uiPriority w:val="0"/>
    <w:rPr>
      <w:rFonts w:ascii="宋体" w:hAnsi="Courier New"/>
      <w:szCs w:val="20"/>
    </w:rPr>
  </w:style>
  <w:style w:type="character" w:customStyle="1" w:styleId="75">
    <w:name w:val="正文文本 + 10 pt"/>
    <w:autoRedefine/>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6">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7">
    <w:name w:val="页脚 字符"/>
    <w:autoRedefine/>
    <w:qFormat/>
    <w:uiPriority w:val="99"/>
    <w:rPr>
      <w:sz w:val="18"/>
      <w:szCs w:val="18"/>
    </w:rPr>
  </w:style>
  <w:style w:type="character" w:customStyle="1" w:styleId="78">
    <w:name w:val="批注文字 字符1"/>
    <w:autoRedefine/>
    <w:qFormat/>
    <w:uiPriority w:val="0"/>
    <w:rPr>
      <w:rFonts w:ascii="Times New Roman" w:hAnsi="Times New Roman"/>
      <w:kern w:val="2"/>
      <w:sz w:val="21"/>
      <w:szCs w:val="24"/>
    </w:rPr>
  </w:style>
  <w:style w:type="character" w:customStyle="1" w:styleId="79">
    <w:name w:val="正文2 Char Char"/>
    <w:link w:val="80"/>
    <w:autoRedefine/>
    <w:qFormat/>
    <w:uiPriority w:val="0"/>
    <w:rPr>
      <w:kern w:val="2"/>
      <w:sz w:val="24"/>
    </w:rPr>
  </w:style>
  <w:style w:type="paragraph" w:customStyle="1" w:styleId="80">
    <w:name w:val="正文2"/>
    <w:basedOn w:val="1"/>
    <w:link w:val="79"/>
    <w:autoRedefine/>
    <w:qFormat/>
    <w:uiPriority w:val="0"/>
    <w:pPr>
      <w:adjustRightInd w:val="0"/>
      <w:spacing w:before="156" w:line="360" w:lineRule="auto"/>
      <w:ind w:firstLine="510" w:firstLineChars="200"/>
    </w:pPr>
    <w:rPr>
      <w:sz w:val="24"/>
      <w:szCs w:val="20"/>
    </w:rPr>
  </w:style>
  <w:style w:type="character" w:customStyle="1" w:styleId="81">
    <w:name w:val="纯文本 Char_0"/>
    <w:link w:val="82"/>
    <w:autoRedefine/>
    <w:qFormat/>
    <w:uiPriority w:val="0"/>
    <w:rPr>
      <w:rFonts w:ascii="宋体" w:hAnsi="Courier New"/>
      <w:kern w:val="2"/>
      <w:sz w:val="21"/>
      <w:szCs w:val="21"/>
    </w:rPr>
  </w:style>
  <w:style w:type="paragraph" w:customStyle="1" w:styleId="82">
    <w:name w:val="纯文本_0_0"/>
    <w:basedOn w:val="1"/>
    <w:link w:val="81"/>
    <w:autoRedefine/>
    <w:qFormat/>
    <w:uiPriority w:val="0"/>
    <w:rPr>
      <w:rFonts w:ascii="宋体" w:hAnsi="Courier New"/>
      <w:szCs w:val="21"/>
    </w:rPr>
  </w:style>
  <w:style w:type="character" w:customStyle="1" w:styleId="83">
    <w:name w:val="批注文字 Char1"/>
    <w:autoRedefine/>
    <w:qFormat/>
    <w:uiPriority w:val="0"/>
    <w:rPr>
      <w:rFonts w:ascii="Times New Roman" w:hAnsi="Times New Roman"/>
      <w:kern w:val="2"/>
      <w:sz w:val="21"/>
      <w:szCs w:val="24"/>
    </w:rPr>
  </w:style>
  <w:style w:type="paragraph" w:styleId="84">
    <w:name w:val="List Paragraph"/>
    <w:basedOn w:val="1"/>
    <w:autoRedefine/>
    <w:qFormat/>
    <w:uiPriority w:val="34"/>
    <w:pPr>
      <w:ind w:firstLine="420" w:firstLineChars="200"/>
    </w:pPr>
  </w:style>
  <w:style w:type="paragraph" w:customStyle="1" w:styleId="85">
    <w:name w:val="Char Char Char1 Char Char Char Char Char Char Char"/>
    <w:basedOn w:val="1"/>
    <w:autoRedefine/>
    <w:qFormat/>
    <w:uiPriority w:val="0"/>
  </w:style>
  <w:style w:type="paragraph" w:customStyle="1" w:styleId="86">
    <w:name w:val="Char Char Char"/>
    <w:basedOn w:val="1"/>
    <w:autoRedefine/>
    <w:qFormat/>
    <w:uiPriority w:val="0"/>
    <w:rPr>
      <w:szCs w:val="20"/>
    </w:rPr>
  </w:style>
  <w:style w:type="paragraph" w:customStyle="1" w:styleId="87">
    <w:name w:val=" Char Char Char Char Char Char Char Char Char Char Char Char"/>
    <w:basedOn w:val="1"/>
    <w:autoRedefine/>
    <w:qFormat/>
    <w:uiPriority w:val="0"/>
    <w:pPr>
      <w:widowControl/>
      <w:spacing w:after="160" w:afterLines="0" w:line="240" w:lineRule="exact"/>
      <w:jc w:val="left"/>
    </w:pPr>
  </w:style>
  <w:style w:type="paragraph" w:customStyle="1" w:styleId="88">
    <w:name w:val="列出段落1"/>
    <w:basedOn w:val="1"/>
    <w:autoRedefine/>
    <w:qFormat/>
    <w:uiPriority w:val="34"/>
    <w:pPr>
      <w:spacing w:before="100" w:beforeAutospacing="1" w:after="100" w:afterAutospacing="1" w:line="360" w:lineRule="auto"/>
      <w:ind w:firstLine="420" w:firstLineChars="200"/>
    </w:pPr>
  </w:style>
  <w:style w:type="paragraph" w:customStyle="1" w:styleId="89">
    <w:name w:val="_Style 85"/>
    <w:basedOn w:val="3"/>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90">
    <w:name w:val="样式 标题 2 + 非加粗 首行缩进:  2 字符"/>
    <w:basedOn w:val="4"/>
    <w:autoRedefine/>
    <w:qFormat/>
    <w:uiPriority w:val="0"/>
    <w:pPr>
      <w:spacing w:before="0" w:beforeLines="0" w:after="0" w:afterLines="0" w:line="600" w:lineRule="exact"/>
      <w:ind w:firstLine="640" w:firstLineChars="200"/>
      <w:jc w:val="left"/>
    </w:pPr>
    <w:rPr>
      <w:rFonts w:cs="宋体"/>
      <w:b w:val="0"/>
      <w:bCs w:val="0"/>
      <w:szCs w:val="20"/>
    </w:rPr>
  </w:style>
  <w:style w:type="paragraph" w:customStyle="1" w:styleId="91">
    <w:name w:val="Table Paragraph"/>
    <w:basedOn w:val="1"/>
    <w:autoRedefine/>
    <w:qFormat/>
    <w:uiPriority w:val="1"/>
    <w:pPr>
      <w:jc w:val="left"/>
    </w:pPr>
    <w:rPr>
      <w:rFonts w:ascii="Calibri" w:hAnsi="Calibri"/>
      <w:kern w:val="0"/>
      <w:sz w:val="22"/>
      <w:szCs w:val="22"/>
      <w:lang w:eastAsia="en-US"/>
    </w:rPr>
  </w:style>
  <w:style w:type="paragraph" w:customStyle="1" w:styleId="92">
    <w:name w:val=" Char"/>
    <w:basedOn w:val="1"/>
    <w:autoRedefine/>
    <w:qFormat/>
    <w:uiPriority w:val="0"/>
    <w:rPr>
      <w:szCs w:val="21"/>
    </w:rPr>
  </w:style>
  <w:style w:type="paragraph" w:customStyle="1" w:styleId="93">
    <w:name w:val="Char Char Char Char Char Char Char"/>
    <w:basedOn w:val="1"/>
    <w:autoRedefine/>
    <w:qFormat/>
    <w:uiPriority w:val="0"/>
  </w:style>
  <w:style w:type="paragraph" w:customStyle="1" w:styleId="94">
    <w:name w:val=" Char Char Char Char Char Char Char"/>
    <w:basedOn w:val="1"/>
    <w:autoRedefine/>
    <w:qFormat/>
    <w:uiPriority w:val="0"/>
  </w:style>
  <w:style w:type="paragraph" w:customStyle="1" w:styleId="95">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96">
    <w:name w:val="Char Char Char Char Char Char Char Char Char Char Char Char"/>
    <w:basedOn w:val="1"/>
    <w:autoRedefine/>
    <w:qFormat/>
    <w:uiPriority w:val="0"/>
    <w:pPr>
      <w:widowControl/>
      <w:spacing w:after="160" w:afterLines="0" w:line="240" w:lineRule="exact"/>
      <w:jc w:val="left"/>
    </w:pPr>
  </w:style>
  <w:style w:type="paragraph" w:customStyle="1" w:styleId="97">
    <w:name w:val="表格文字"/>
    <w:basedOn w:val="16"/>
    <w:next w:val="2"/>
    <w:autoRedefine/>
    <w:qFormat/>
    <w:uiPriority w:val="0"/>
    <w:pPr>
      <w:adjustRightInd w:val="0"/>
      <w:spacing w:line="420" w:lineRule="atLeast"/>
      <w:jc w:val="left"/>
      <w:textAlignment w:val="baseline"/>
    </w:pPr>
    <w:rPr>
      <w:kern w:val="0"/>
    </w:rPr>
  </w:style>
  <w:style w:type="paragraph" w:customStyle="1" w:styleId="98">
    <w:name w:val="_Style 94"/>
    <w:autoRedefine/>
    <w:qFormat/>
    <w:uiPriority w:val="0"/>
    <w:rPr>
      <w:rFonts w:ascii="Times New Roman" w:hAnsi="Times New Roman" w:eastAsia="宋体" w:cs="Times New Roman"/>
      <w:kern w:val="2"/>
      <w:sz w:val="21"/>
      <w:szCs w:val="24"/>
      <w:lang w:val="en-US" w:eastAsia="zh-CN" w:bidi="ar-SA"/>
    </w:rPr>
  </w:style>
  <w:style w:type="paragraph" w:customStyle="1" w:styleId="99">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100">
    <w:name w:val="Char Char Char Char"/>
    <w:basedOn w:val="1"/>
    <w:autoRedefine/>
    <w:qFormat/>
    <w:uiPriority w:val="0"/>
    <w:pPr>
      <w:widowControl/>
      <w:spacing w:after="160" w:afterLines="0" w:line="240" w:lineRule="exact"/>
      <w:jc w:val="left"/>
    </w:pPr>
  </w:style>
  <w:style w:type="paragraph" w:customStyle="1" w:styleId="101">
    <w:name w:val="Char"/>
    <w:basedOn w:val="1"/>
    <w:autoRedefine/>
    <w:qFormat/>
    <w:uiPriority w:val="0"/>
  </w:style>
  <w:style w:type="paragraph" w:customStyle="1" w:styleId="102">
    <w:name w:val=" Char Char Char Char"/>
    <w:basedOn w:val="1"/>
    <w:autoRedefine/>
    <w:qFormat/>
    <w:uiPriority w:val="0"/>
    <w:pPr>
      <w:widowControl/>
      <w:spacing w:after="160" w:afterLines="0" w:line="240" w:lineRule="exact"/>
      <w:jc w:val="left"/>
    </w:pPr>
  </w:style>
  <w:style w:type="paragraph" w:customStyle="1" w:styleId="103">
    <w:name w:val="样式 标题 1 + 居中 段前: 0 磅 段后: 0 磅 行距: 固定值 30 磅"/>
    <w:basedOn w:val="3"/>
    <w:autoRedefine/>
    <w:qFormat/>
    <w:uiPriority w:val="0"/>
    <w:pPr>
      <w:spacing w:before="0" w:beforeLines="0" w:after="0" w:afterLines="0" w:line="600" w:lineRule="exact"/>
      <w:jc w:val="center"/>
    </w:pPr>
    <w:rPr>
      <w:rFonts w:cs="宋体"/>
      <w:szCs w:val="20"/>
    </w:rPr>
  </w:style>
  <w:style w:type="paragraph" w:customStyle="1" w:styleId="104">
    <w:name w:val="正文缩进1"/>
    <w:basedOn w:val="1"/>
    <w:next w:val="16"/>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5">
    <w:name w:val="p0"/>
    <w:basedOn w:val="1"/>
    <w:autoRedefine/>
    <w:qFormat/>
    <w:uiPriority w:val="0"/>
    <w:pPr>
      <w:widowControl/>
    </w:pPr>
    <w:rPr>
      <w:kern w:val="0"/>
      <w:szCs w:val="21"/>
    </w:rPr>
  </w:style>
  <w:style w:type="paragraph" w:customStyle="1" w:styleId="106">
    <w:name w:val="默认段落字体 Para Char Char Char Char Char Char Char Char Char1 Char Char Char Char"/>
    <w:basedOn w:val="1"/>
    <w:autoRedefine/>
    <w:qFormat/>
    <w:uiPriority w:val="0"/>
    <w:rPr>
      <w:rFonts w:ascii="Tahoma" w:hAnsi="Tahoma"/>
      <w:sz w:val="24"/>
      <w:szCs w:val="20"/>
    </w:rPr>
  </w:style>
  <w:style w:type="character" w:customStyle="1" w:styleId="107">
    <w:name w:val="正文文本 字符"/>
    <w:autoRedefine/>
    <w:qFormat/>
    <w:uiPriority w:val="99"/>
    <w:rPr>
      <w:kern w:val="2"/>
      <w:sz w:val="21"/>
      <w:szCs w:val="24"/>
    </w:rPr>
  </w:style>
  <w:style w:type="character" w:customStyle="1" w:styleId="108">
    <w:name w:val="纯文本 字符"/>
    <w:autoRedefine/>
    <w:qFormat/>
    <w:uiPriority w:val="0"/>
    <w:rPr>
      <w:rFonts w:ascii="宋体" w:hAnsi="Courier New"/>
      <w:kern w:val="2"/>
      <w:sz w:val="21"/>
    </w:rPr>
  </w:style>
  <w:style w:type="character" w:customStyle="1" w:styleId="109">
    <w:name w:val="标题 1 字符"/>
    <w:autoRedefine/>
    <w:qFormat/>
    <w:uiPriority w:val="0"/>
    <w:rPr>
      <w:b/>
      <w:bCs/>
      <w:kern w:val="44"/>
      <w:sz w:val="44"/>
      <w:szCs w:val="44"/>
    </w:rPr>
  </w:style>
  <w:style w:type="character" w:customStyle="1" w:styleId="110">
    <w:name w:val="标题 2 字符"/>
    <w:autoRedefine/>
    <w:qFormat/>
    <w:uiPriority w:val="0"/>
    <w:rPr>
      <w:rFonts w:ascii="Arial" w:hAnsi="Arial" w:eastAsia="黑体"/>
      <w:b/>
      <w:bCs/>
      <w:kern w:val="2"/>
      <w:sz w:val="32"/>
      <w:szCs w:val="32"/>
    </w:rPr>
  </w:style>
  <w:style w:type="character" w:customStyle="1" w:styleId="111">
    <w:name w:val="标题 3 字符"/>
    <w:autoRedefine/>
    <w:qFormat/>
    <w:uiPriority w:val="0"/>
    <w:rPr>
      <w:b/>
      <w:bCs/>
      <w:kern w:val="2"/>
      <w:sz w:val="32"/>
      <w:szCs w:val="32"/>
    </w:rPr>
  </w:style>
  <w:style w:type="character" w:customStyle="1" w:styleId="112">
    <w:name w:val="标题 4 字符"/>
    <w:autoRedefine/>
    <w:qFormat/>
    <w:uiPriority w:val="0"/>
    <w:rPr>
      <w:rFonts w:ascii="Arial" w:eastAsia="黑体"/>
      <w:sz w:val="28"/>
    </w:rPr>
  </w:style>
  <w:style w:type="character" w:customStyle="1" w:styleId="113">
    <w:name w:val="标题 5 字符"/>
    <w:autoRedefine/>
    <w:qFormat/>
    <w:uiPriority w:val="9"/>
    <w:rPr>
      <w:b/>
      <w:bCs/>
      <w:kern w:val="2"/>
      <w:sz w:val="28"/>
      <w:szCs w:val="28"/>
    </w:rPr>
  </w:style>
  <w:style w:type="character" w:customStyle="1" w:styleId="114">
    <w:name w:val="文档结构图 字符"/>
    <w:autoRedefine/>
    <w:qFormat/>
    <w:uiPriority w:val="0"/>
    <w:rPr>
      <w:rFonts w:ascii="宋体"/>
      <w:kern w:val="2"/>
      <w:sz w:val="18"/>
      <w:szCs w:val="18"/>
    </w:rPr>
  </w:style>
  <w:style w:type="character" w:customStyle="1" w:styleId="115">
    <w:name w:val="批注文字 字符"/>
    <w:autoRedefine/>
    <w:qFormat/>
    <w:uiPriority w:val="0"/>
    <w:rPr>
      <w:kern w:val="2"/>
      <w:sz w:val="21"/>
      <w:szCs w:val="24"/>
    </w:rPr>
  </w:style>
  <w:style w:type="character" w:customStyle="1" w:styleId="116">
    <w:name w:val="正文文本 3 字符"/>
    <w:autoRedefine/>
    <w:qFormat/>
    <w:uiPriority w:val="99"/>
    <w:rPr>
      <w:kern w:val="2"/>
      <w:sz w:val="16"/>
      <w:szCs w:val="16"/>
    </w:rPr>
  </w:style>
  <w:style w:type="character" w:customStyle="1" w:styleId="117">
    <w:name w:val="正文文本缩进 字符"/>
    <w:autoRedefine/>
    <w:qFormat/>
    <w:uiPriority w:val="0"/>
    <w:rPr>
      <w:rFonts w:ascii="宋体" w:hAnsi="Courier New"/>
      <w:spacing w:val="-4"/>
      <w:kern w:val="2"/>
      <w:sz w:val="18"/>
    </w:rPr>
  </w:style>
  <w:style w:type="character" w:customStyle="1" w:styleId="118">
    <w:name w:val="日期 字符"/>
    <w:autoRedefine/>
    <w:qFormat/>
    <w:uiPriority w:val="0"/>
    <w:rPr>
      <w:kern w:val="2"/>
      <w:sz w:val="21"/>
      <w:szCs w:val="24"/>
    </w:rPr>
  </w:style>
  <w:style w:type="character" w:customStyle="1" w:styleId="119">
    <w:name w:val="正文文本缩进 2 字符"/>
    <w:autoRedefine/>
    <w:qFormat/>
    <w:uiPriority w:val="0"/>
    <w:rPr>
      <w:kern w:val="2"/>
      <w:sz w:val="21"/>
      <w:szCs w:val="24"/>
    </w:rPr>
  </w:style>
  <w:style w:type="character" w:customStyle="1" w:styleId="120">
    <w:name w:val="批注框文本 字符"/>
    <w:autoRedefine/>
    <w:qFormat/>
    <w:uiPriority w:val="0"/>
    <w:rPr>
      <w:kern w:val="2"/>
      <w:sz w:val="18"/>
      <w:szCs w:val="18"/>
    </w:rPr>
  </w:style>
  <w:style w:type="character" w:customStyle="1" w:styleId="121">
    <w:name w:val="页脚 字符1"/>
    <w:autoRedefine/>
    <w:qFormat/>
    <w:uiPriority w:val="99"/>
    <w:rPr>
      <w:kern w:val="2"/>
      <w:sz w:val="18"/>
      <w:szCs w:val="18"/>
    </w:rPr>
  </w:style>
  <w:style w:type="character" w:customStyle="1" w:styleId="122">
    <w:name w:val="页眉 字符1"/>
    <w:autoRedefine/>
    <w:qFormat/>
    <w:uiPriority w:val="99"/>
    <w:rPr>
      <w:kern w:val="2"/>
      <w:sz w:val="18"/>
      <w:szCs w:val="18"/>
    </w:rPr>
  </w:style>
  <w:style w:type="character" w:customStyle="1" w:styleId="123">
    <w:name w:val="批注主题 字符"/>
    <w:autoRedefine/>
    <w:qFormat/>
    <w:uiPriority w:val="99"/>
    <w:rPr>
      <w:b/>
      <w:bCs/>
      <w:kern w:val="2"/>
      <w:sz w:val="21"/>
      <w:szCs w:val="24"/>
    </w:rPr>
  </w:style>
  <w:style w:type="paragraph" w:customStyle="1" w:styleId="124">
    <w:name w:val="_Style 117"/>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纯文本 字符1"/>
    <w:autoRedefine/>
    <w:semiHidden/>
    <w:qFormat/>
    <w:locked/>
    <w:uiPriority w:val="0"/>
    <w:rPr>
      <w:rFonts w:ascii="宋体" w:hAnsi="Courier New"/>
      <w:kern w:val="2"/>
      <w:sz w:val="21"/>
    </w:rPr>
  </w:style>
  <w:style w:type="paragraph" w:customStyle="1" w:styleId="126">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28">
    <w:name w:val="Legal_L2"/>
    <w:basedOn w:val="1"/>
    <w:autoRedefine/>
    <w:qFormat/>
    <w:uiPriority w:val="0"/>
    <w:pPr>
      <w:widowControl/>
      <w:spacing w:after="240" w:line="259" w:lineRule="auto"/>
      <w:jc w:val="left"/>
      <w:outlineLvl w:val="1"/>
    </w:pPr>
    <w:rPr>
      <w:kern w:val="0"/>
      <w:sz w:val="24"/>
      <w:lang w:eastAsia="en-US"/>
    </w:rPr>
  </w:style>
  <w:style w:type="character" w:customStyle="1" w:styleId="129">
    <w:name w:val="NormalCharacter"/>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gzhengyi\Library\Containers\com.kingsoft.wpsoffice.mac\Data\C:\Users\langzhengyi\Library\Containers\com.kingsoft.wpsoffice.mac\Data\C:\home\inspur\C:\home\inspur\192.168.200.66\4&#37096;&#20849;&#20139;1\2025&#24180;&#25307;&#26631;&#39033;&#30446;\11&#26376;\&#20840;&#21306;&#38750;&#27861;&#22534;&#23384;&#12289;&#36716;&#31227;&#28041;&#37325;&#22266;&#20307;&#24223;&#29289;&#21361;&#38505;&#29305;&#24615;&#37492;&#21035;&#21450;&#27745;&#26579;&#37322;&#25918;&#33021;&#21147;&#35780;&#20272;&#39033;&#30446;\&#65288;1117&#25307;&#26631;&#25991;&#20214;&#65289;12.&#20840;&#21306;&#38750;&#27861;&#22534;&#23384;&#12289;&#36716;&#31227;&#28041;&#37325;&#22266;&#20307;&#24223;&#29289;&#21361;&#38505;&#29305;&#24615;&#37492;&#21035;&#21450;&#27745;&#26579;&#37322;&#25918;&#33021;&#21147;&#35780;&#20272;&#39033;&#3044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（1117招标文件）12.全区非法堆存、转移涉重固体废物危险特性鉴别及污染释放能力评估项目.dotx</Template>
  <Pages>80</Pages>
  <Words>4800</Words>
  <Characters>5664</Characters>
  <Lines>396</Lines>
  <Paragraphs>111</Paragraphs>
  <TotalTime>118</TotalTime>
  <ScaleCrop>false</ScaleCrop>
  <LinksUpToDate>false</LinksUpToDate>
  <CharactersWithSpaces>5827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2025-11-20T03:43:00Z</dcterms:created>
  <dc:creator>黄艳颀</dc:creator>
  <cp:lastModifiedBy>杨小凤</cp:lastModifiedBy>
  <cp:lastPrinted>2026-04-13T01:57:00Z</cp:lastPrinted>
  <dcterms:modified xsi:type="dcterms:W3CDTF">2026-05-26T03:50:10Z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D2F4F8D729E144EBA28A85AA9C6A8A38_13</vt:lpwstr>
  </property>
  <property fmtid="{D5CDD505-2E9C-101B-9397-08002B2CF9AE}" pid="4" name="KSOTemplateDocerSaveRecord">
    <vt:lpwstr>eyJoZGlkIjoiN2I2NjQzMGNjMGQ0M2Y1MjBlN2RkYzg1YzM2MGY3MjgiLCJ1c2VySWQiOiI0NTg3OTEzMDMifQ==</vt:lpwstr>
  </property>
</Properties>
</file>