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DAC070">
      <w:pPr>
        <w:spacing w:line="360" w:lineRule="auto"/>
        <w:jc w:val="center"/>
        <w:rPr>
          <w:color w:val="auto"/>
          <w:highlight w:val="none"/>
        </w:rPr>
      </w:pPr>
    </w:p>
    <w:p w14:paraId="562D163C">
      <w:pPr>
        <w:spacing w:line="360" w:lineRule="auto"/>
        <w:jc w:val="center"/>
        <w:rPr>
          <w:color w:val="auto"/>
          <w:highlight w:val="none"/>
        </w:rPr>
      </w:pPr>
    </w:p>
    <w:p w14:paraId="3C23DBDE">
      <w:pPr>
        <w:spacing w:line="360" w:lineRule="auto"/>
        <w:jc w:val="center"/>
        <w:rPr>
          <w:color w:val="auto"/>
          <w:highlight w:val="none"/>
        </w:rPr>
      </w:pPr>
    </w:p>
    <w:p w14:paraId="5608F0AD">
      <w:pPr>
        <w:spacing w:line="360" w:lineRule="auto"/>
        <w:jc w:val="center"/>
        <w:rPr>
          <w:color w:val="auto"/>
          <w:highlight w:val="none"/>
        </w:rPr>
      </w:pPr>
    </w:p>
    <w:p w14:paraId="7D6E1004">
      <w:pPr>
        <w:snapToGrid w:val="0"/>
        <w:spacing w:before="156" w:beforeLines="50" w:line="360" w:lineRule="auto"/>
        <w:jc w:val="center"/>
        <w:rPr>
          <w:rFonts w:hint="eastAsia" w:ascii="华文新魏" w:hAnsi="宋体" w:eastAsia="华文新魏"/>
          <w:color w:val="auto"/>
          <w:sz w:val="120"/>
          <w:szCs w:val="120"/>
          <w:highlight w:val="none"/>
        </w:rPr>
      </w:pPr>
      <w:r>
        <w:rPr>
          <w:rFonts w:hint="eastAsia" w:ascii="华文新魏" w:hAnsi="宋体" w:eastAsia="华文新魏"/>
          <w:color w:val="auto"/>
          <w:sz w:val="120"/>
          <w:szCs w:val="120"/>
          <w:highlight w:val="none"/>
        </w:rPr>
        <w:t>竞争性磋商文件</w:t>
      </w:r>
    </w:p>
    <w:p w14:paraId="6EC08406">
      <w:pPr>
        <w:snapToGrid w:val="0"/>
        <w:spacing w:before="156" w:beforeLines="50" w:line="360" w:lineRule="auto"/>
        <w:jc w:val="center"/>
        <w:rPr>
          <w:rFonts w:hint="eastAsia" w:ascii="仿宋_GB2312" w:hAnsi="宋体" w:eastAsia="仿宋_GB2312"/>
          <w:b/>
          <w:color w:val="auto"/>
          <w:sz w:val="30"/>
          <w:szCs w:val="72"/>
          <w:highlight w:val="none"/>
        </w:rPr>
      </w:pPr>
      <w:r>
        <w:rPr>
          <w:rFonts w:hint="eastAsia" w:ascii="仿宋_GB2312" w:hAnsi="宋体" w:eastAsia="仿宋_GB2312"/>
          <w:b/>
          <w:color w:val="auto"/>
          <w:sz w:val="48"/>
          <w:szCs w:val="48"/>
          <w:highlight w:val="none"/>
        </w:rPr>
        <w:t>（全流程电子化采购）</w:t>
      </w:r>
    </w:p>
    <w:p w14:paraId="3E62E0E7">
      <w:pPr>
        <w:snapToGrid w:val="0"/>
        <w:spacing w:line="360" w:lineRule="auto"/>
        <w:rPr>
          <w:rFonts w:hint="eastAsia" w:ascii="仿宋_GB2312" w:hAnsi="宋体" w:eastAsia="仿宋_GB2312"/>
          <w:color w:val="auto"/>
          <w:sz w:val="30"/>
          <w:szCs w:val="72"/>
          <w:highlight w:val="none"/>
        </w:rPr>
      </w:pPr>
    </w:p>
    <w:p w14:paraId="7F110C8C">
      <w:pPr>
        <w:snapToGrid w:val="0"/>
        <w:spacing w:line="360" w:lineRule="auto"/>
        <w:ind w:firstLine="1205" w:firstLineChars="400"/>
        <w:rPr>
          <w:rFonts w:hint="eastAsia" w:ascii="仿宋_GB2312" w:hAnsi="宋体" w:eastAsia="仿宋_GB2312"/>
          <w:b/>
          <w:bCs/>
          <w:color w:val="auto"/>
          <w:kern w:val="0"/>
          <w:sz w:val="30"/>
          <w:szCs w:val="30"/>
          <w:highlight w:val="none"/>
          <w:lang w:eastAsia="zh-CN"/>
        </w:rPr>
      </w:pPr>
      <w:r>
        <w:rPr>
          <w:rFonts w:hint="eastAsia" w:ascii="仿宋_GB2312" w:hAnsi="宋体" w:eastAsia="仿宋_GB2312"/>
          <w:b/>
          <w:bCs/>
          <w:color w:val="auto"/>
          <w:kern w:val="0"/>
          <w:sz w:val="30"/>
          <w:szCs w:val="30"/>
          <w:highlight w:val="none"/>
        </w:rPr>
        <w:t>项目</w:t>
      </w:r>
      <w:r>
        <w:rPr>
          <w:rFonts w:hint="eastAsia" w:ascii="仿宋_GB2312" w:hAnsi="宋体" w:eastAsia="仿宋_GB2312" w:cs="Courier New"/>
          <w:b/>
          <w:bCs/>
          <w:color w:val="auto"/>
          <w:w w:val="95"/>
          <w:kern w:val="0"/>
          <w:sz w:val="30"/>
          <w:szCs w:val="30"/>
          <w:highlight w:val="none"/>
        </w:rPr>
        <w:t>名称</w:t>
      </w:r>
      <w:r>
        <w:rPr>
          <w:rFonts w:hint="eastAsia" w:ascii="仿宋_GB2312" w:hAnsi="宋体" w:eastAsia="仿宋_GB2312"/>
          <w:b/>
          <w:bCs/>
          <w:color w:val="auto"/>
          <w:kern w:val="0"/>
          <w:sz w:val="30"/>
          <w:szCs w:val="30"/>
          <w:highlight w:val="none"/>
        </w:rPr>
        <w:t>：</w:t>
      </w:r>
      <w:r>
        <w:rPr>
          <w:rFonts w:hint="eastAsia" w:ascii="仿宋_GB2312" w:hAnsi="宋体" w:eastAsia="仿宋_GB2312"/>
          <w:b/>
          <w:bCs/>
          <w:color w:val="auto"/>
          <w:kern w:val="0"/>
          <w:sz w:val="30"/>
          <w:szCs w:val="30"/>
          <w:highlight w:val="none"/>
          <w:lang w:eastAsia="zh-CN"/>
        </w:rPr>
        <w:t>广西高速公路智能化服务管理与发布平台系统升级及改造项目</w:t>
      </w:r>
    </w:p>
    <w:p w14:paraId="3A0A4551">
      <w:pPr>
        <w:pStyle w:val="2"/>
        <w:ind w:firstLine="1145" w:firstLineChars="400"/>
        <w:rPr>
          <w:rFonts w:hint="eastAsia" w:ascii="仿宋_GB2312" w:hAnsi="宋体" w:eastAsia="仿宋_GB2312" w:cs="Courier New"/>
          <w:b/>
          <w:bCs/>
          <w:color w:val="auto"/>
          <w:w w:val="95"/>
          <w:sz w:val="30"/>
          <w:szCs w:val="30"/>
          <w:highlight w:val="none"/>
          <w:lang w:eastAsia="zh-CN"/>
        </w:rPr>
      </w:pPr>
      <w:r>
        <w:rPr>
          <w:rFonts w:hint="eastAsia" w:ascii="仿宋_GB2312" w:hAnsi="宋体" w:eastAsia="仿宋_GB2312" w:cs="Courier New"/>
          <w:b/>
          <w:bCs/>
          <w:color w:val="auto"/>
          <w:w w:val="95"/>
          <w:sz w:val="30"/>
          <w:szCs w:val="30"/>
          <w:highlight w:val="none"/>
        </w:rPr>
        <w:t>项目</w:t>
      </w:r>
      <w:r>
        <w:rPr>
          <w:rFonts w:hint="eastAsia" w:ascii="仿宋_GB2312" w:hAnsi="宋体" w:eastAsia="仿宋_GB2312"/>
          <w:b/>
          <w:bCs/>
          <w:color w:val="auto"/>
          <w:sz w:val="30"/>
          <w:szCs w:val="30"/>
          <w:highlight w:val="none"/>
        </w:rPr>
        <w:t>编号</w:t>
      </w:r>
      <w:r>
        <w:rPr>
          <w:rFonts w:hint="eastAsia" w:ascii="仿宋_GB2312" w:hAnsi="宋体" w:eastAsia="仿宋_GB2312" w:cs="Courier New"/>
          <w:b/>
          <w:bCs/>
          <w:color w:val="auto"/>
          <w:w w:val="95"/>
          <w:sz w:val="30"/>
          <w:szCs w:val="30"/>
          <w:highlight w:val="none"/>
        </w:rPr>
        <w:t>：GXZC2026-C3-001630-JGJD</w:t>
      </w:r>
      <w:r>
        <w:rPr>
          <w:rFonts w:hint="eastAsia" w:ascii="仿宋_GB2312" w:hAnsi="宋体" w:eastAsia="仿宋_GB2312" w:cs="Courier New"/>
          <w:b/>
          <w:bCs/>
          <w:color w:val="auto"/>
          <w:w w:val="95"/>
          <w:sz w:val="30"/>
          <w:szCs w:val="30"/>
          <w:highlight w:val="none"/>
          <w:lang w:val="en-US" w:eastAsia="zh-CN"/>
        </w:rPr>
        <w:t xml:space="preserve"> </w:t>
      </w:r>
    </w:p>
    <w:p w14:paraId="7B74DF1E">
      <w:pPr>
        <w:rPr>
          <w:rFonts w:hint="eastAsia" w:ascii="仿宋_GB2312" w:hAnsi="宋体" w:eastAsia="仿宋_GB2312" w:cs="Courier New"/>
          <w:b/>
          <w:bCs/>
          <w:color w:val="auto"/>
          <w:w w:val="95"/>
          <w:sz w:val="30"/>
          <w:szCs w:val="30"/>
          <w:highlight w:val="none"/>
        </w:rPr>
      </w:pPr>
    </w:p>
    <w:p w14:paraId="3EF21425">
      <w:pPr>
        <w:pStyle w:val="2"/>
        <w:rPr>
          <w:color w:val="auto"/>
          <w:highlight w:val="none"/>
        </w:rPr>
      </w:pPr>
    </w:p>
    <w:p w14:paraId="3C779E1D">
      <w:pPr>
        <w:pStyle w:val="2"/>
        <w:rPr>
          <w:color w:val="auto"/>
          <w:highlight w:val="none"/>
        </w:rPr>
      </w:pPr>
    </w:p>
    <w:p w14:paraId="28747F2D">
      <w:pPr>
        <w:pStyle w:val="2"/>
        <w:rPr>
          <w:color w:val="auto"/>
          <w:highlight w:val="none"/>
        </w:rPr>
      </w:pPr>
    </w:p>
    <w:p w14:paraId="32CE70B6">
      <w:pPr>
        <w:pStyle w:val="2"/>
        <w:rPr>
          <w:color w:val="auto"/>
          <w:highlight w:val="none"/>
        </w:rPr>
      </w:pPr>
    </w:p>
    <w:p w14:paraId="5D53714F">
      <w:pPr>
        <w:pStyle w:val="2"/>
        <w:rPr>
          <w:color w:val="auto"/>
          <w:highlight w:val="none"/>
        </w:rPr>
      </w:pPr>
    </w:p>
    <w:p w14:paraId="2D066172">
      <w:pPr>
        <w:snapToGrid w:val="0"/>
        <w:spacing w:line="360" w:lineRule="auto"/>
        <w:ind w:firstLine="1125" w:firstLineChars="393"/>
        <w:rPr>
          <w:rFonts w:hint="eastAsia" w:ascii="仿宋_GB2312" w:hAnsi="宋体" w:eastAsia="仿宋_GB2312"/>
          <w:b/>
          <w:bCs/>
          <w:color w:val="auto"/>
          <w:w w:val="95"/>
          <w:kern w:val="0"/>
          <w:sz w:val="30"/>
          <w:szCs w:val="30"/>
          <w:highlight w:val="none"/>
          <w:lang w:eastAsia="zh-CN"/>
        </w:rPr>
      </w:pPr>
      <w:r>
        <w:rPr>
          <w:rFonts w:hint="eastAsia" w:ascii="仿宋_GB2312" w:hAnsi="宋体" w:eastAsia="仿宋_GB2312"/>
          <w:b/>
          <w:bCs/>
          <w:color w:val="auto"/>
          <w:w w:val="95"/>
          <w:kern w:val="0"/>
          <w:sz w:val="30"/>
          <w:szCs w:val="30"/>
          <w:highlight w:val="none"/>
        </w:rPr>
        <w:t>采 购 人:</w:t>
      </w:r>
      <w:r>
        <w:rPr>
          <w:rFonts w:hint="eastAsia" w:ascii="仿宋_GB2312" w:hAnsi="宋体" w:eastAsia="仿宋_GB2312"/>
          <w:b/>
          <w:bCs/>
          <w:color w:val="auto"/>
          <w:w w:val="95"/>
          <w:kern w:val="0"/>
          <w:sz w:val="30"/>
          <w:szCs w:val="30"/>
          <w:highlight w:val="none"/>
          <w:lang w:eastAsia="zh-CN"/>
        </w:rPr>
        <w:t>广西壮族自治区高速公路发展中心</w:t>
      </w:r>
    </w:p>
    <w:p w14:paraId="1E36F333">
      <w:pPr>
        <w:snapToGrid w:val="0"/>
        <w:spacing w:line="360" w:lineRule="auto"/>
        <w:ind w:firstLine="1125" w:firstLineChars="393"/>
        <w:rPr>
          <w:rFonts w:hint="eastAsia" w:ascii="仿宋_GB2312" w:hAnsi="宋体" w:eastAsia="仿宋_GB2312"/>
          <w:b/>
          <w:bCs/>
          <w:color w:val="auto"/>
          <w:w w:val="95"/>
          <w:kern w:val="0"/>
          <w:sz w:val="30"/>
          <w:szCs w:val="30"/>
          <w:highlight w:val="none"/>
        </w:rPr>
      </w:pPr>
      <w:r>
        <w:rPr>
          <w:rFonts w:hint="eastAsia" w:ascii="仿宋_GB2312" w:hAnsi="宋体" w:eastAsia="仿宋_GB2312"/>
          <w:b/>
          <w:bCs/>
          <w:color w:val="auto"/>
          <w:w w:val="95"/>
          <w:kern w:val="0"/>
          <w:sz w:val="30"/>
          <w:szCs w:val="30"/>
          <w:highlight w:val="none"/>
        </w:rPr>
        <w:t>采购代理机构：广西建设工程机电设备招标中心有限公司</w:t>
      </w:r>
    </w:p>
    <w:p w14:paraId="095896C1">
      <w:pPr>
        <w:snapToGrid w:val="0"/>
        <w:spacing w:line="360" w:lineRule="auto"/>
        <w:ind w:left="420" w:firstLine="841" w:firstLineChars="294"/>
        <w:rPr>
          <w:rFonts w:hint="eastAsia" w:ascii="宋体" w:hAnsi="宋体" w:cs="宋体"/>
          <w:b/>
          <w:bCs/>
          <w:color w:val="auto"/>
          <w:kern w:val="0"/>
          <w:sz w:val="32"/>
          <w:szCs w:val="32"/>
          <w:highlight w:val="none"/>
        </w:rPr>
      </w:pPr>
      <w:r>
        <w:rPr>
          <w:rFonts w:hint="eastAsia" w:ascii="仿宋_GB2312" w:hAnsi="宋体" w:eastAsia="仿宋_GB2312"/>
          <w:b/>
          <w:bCs/>
          <w:color w:val="auto"/>
          <w:w w:val="95"/>
          <w:kern w:val="0"/>
          <w:sz w:val="30"/>
          <w:szCs w:val="30"/>
          <w:highlight w:val="none"/>
        </w:rPr>
        <w:t xml:space="preserve">               </w:t>
      </w:r>
      <w:r>
        <w:rPr>
          <w:rFonts w:ascii="仿宋_GB2312" w:hAnsi="宋体" w:eastAsia="仿宋_GB2312"/>
          <w:b/>
          <w:bCs/>
          <w:color w:val="auto"/>
          <w:w w:val="95"/>
          <w:kern w:val="0"/>
          <w:sz w:val="30"/>
          <w:szCs w:val="30"/>
          <w:highlight w:val="none"/>
        </w:rPr>
        <w:t>202</w:t>
      </w:r>
      <w:r>
        <w:rPr>
          <w:rFonts w:hint="eastAsia" w:ascii="仿宋_GB2312" w:hAnsi="宋体" w:eastAsia="仿宋_GB2312"/>
          <w:b/>
          <w:bCs/>
          <w:color w:val="auto"/>
          <w:w w:val="95"/>
          <w:kern w:val="0"/>
          <w:sz w:val="30"/>
          <w:szCs w:val="30"/>
          <w:highlight w:val="none"/>
        </w:rPr>
        <w:t>6</w:t>
      </w:r>
      <w:r>
        <w:rPr>
          <w:rFonts w:ascii="仿宋_GB2312" w:hAnsi="宋体" w:eastAsia="仿宋_GB2312"/>
          <w:b/>
          <w:bCs/>
          <w:color w:val="auto"/>
          <w:w w:val="95"/>
          <w:kern w:val="0"/>
          <w:sz w:val="30"/>
          <w:szCs w:val="30"/>
          <w:highlight w:val="none"/>
        </w:rPr>
        <w:t>年</w:t>
      </w:r>
      <w:r>
        <w:rPr>
          <w:rFonts w:hint="eastAsia" w:ascii="仿宋_GB2312" w:hAnsi="宋体" w:eastAsia="仿宋_GB2312"/>
          <w:b/>
          <w:bCs/>
          <w:color w:val="auto"/>
          <w:w w:val="95"/>
          <w:kern w:val="0"/>
          <w:sz w:val="30"/>
          <w:szCs w:val="30"/>
          <w:highlight w:val="none"/>
          <w:lang w:val="en-US" w:eastAsia="zh-CN"/>
        </w:rPr>
        <w:t>6</w:t>
      </w:r>
      <w:r>
        <w:rPr>
          <w:rFonts w:hint="eastAsia" w:ascii="仿宋_GB2312" w:hAnsi="宋体" w:eastAsia="仿宋_GB2312"/>
          <w:b/>
          <w:bCs/>
          <w:color w:val="auto"/>
          <w:w w:val="95"/>
          <w:kern w:val="0"/>
          <w:sz w:val="30"/>
          <w:szCs w:val="30"/>
          <w:highlight w:val="none"/>
        </w:rPr>
        <w:t>月</w:t>
      </w:r>
    </w:p>
    <w:p w14:paraId="2323BE3F">
      <w:pPr>
        <w:spacing w:line="360" w:lineRule="auto"/>
        <w:jc w:val="center"/>
        <w:rPr>
          <w:rFonts w:hint="eastAsia" w:ascii="宋体" w:hAnsi="宋体"/>
          <w:b/>
          <w:color w:val="auto"/>
          <w:sz w:val="44"/>
          <w:szCs w:val="44"/>
          <w:highlight w:val="none"/>
        </w:rPr>
        <w:sectPr>
          <w:headerReference r:id="rId4" w:type="first"/>
          <w:footerReference r:id="rId6" w:type="first"/>
          <w:headerReference r:id="rId3" w:type="default"/>
          <w:footerReference r:id="rId5" w:type="default"/>
          <w:pgSz w:w="11906" w:h="16838"/>
          <w:pgMar w:top="1440" w:right="1440" w:bottom="1440" w:left="1587" w:header="851" w:footer="992" w:gutter="0"/>
          <w:pgNumType w:start="0"/>
          <w:cols w:space="720" w:num="1"/>
          <w:titlePg/>
          <w:docGrid w:type="lines" w:linePitch="312" w:charSpace="0"/>
        </w:sectPr>
      </w:pPr>
    </w:p>
    <w:p w14:paraId="4E160DE1">
      <w:pPr>
        <w:spacing w:line="360" w:lineRule="auto"/>
        <w:jc w:val="center"/>
        <w:rPr>
          <w:rFonts w:hint="eastAsia" w:ascii="宋体" w:hAnsi="宋体"/>
          <w:b/>
          <w:color w:val="auto"/>
          <w:sz w:val="44"/>
          <w:szCs w:val="44"/>
          <w:highlight w:val="none"/>
        </w:rPr>
      </w:pPr>
      <w:r>
        <w:rPr>
          <w:rFonts w:hint="eastAsia" w:ascii="宋体" w:hAnsi="宋体"/>
          <w:b/>
          <w:color w:val="auto"/>
          <w:sz w:val="44"/>
          <w:szCs w:val="44"/>
          <w:highlight w:val="none"/>
        </w:rPr>
        <w:t>目  录</w:t>
      </w:r>
    </w:p>
    <w:p w14:paraId="5B1A009E">
      <w:pPr>
        <w:spacing w:line="400" w:lineRule="exact"/>
        <w:jc w:val="center"/>
        <w:rPr>
          <w:rFonts w:hint="eastAsia" w:ascii="宋体" w:hAnsi="宋体"/>
          <w:b/>
          <w:color w:val="auto"/>
          <w:sz w:val="44"/>
          <w:szCs w:val="44"/>
          <w:highlight w:val="none"/>
        </w:rPr>
      </w:pPr>
    </w:p>
    <w:p w14:paraId="40F1B384">
      <w:pPr>
        <w:pStyle w:val="17"/>
        <w:tabs>
          <w:tab w:val="right" w:leader="dot" w:pos="8869"/>
        </w:tabs>
        <w:snapToGrid w:val="0"/>
        <w:spacing w:line="500" w:lineRule="atLeast"/>
        <w:rPr>
          <w:rFonts w:hint="eastAsia" w:ascii="宋体" w:hAnsi="宋体"/>
          <w:b/>
          <w:color w:val="auto"/>
          <w:sz w:val="24"/>
          <w:highlight w:val="none"/>
        </w:rPr>
      </w:pPr>
      <w:r>
        <w:rPr>
          <w:rFonts w:ascii="宋体" w:hAnsi="宋体"/>
          <w:b/>
          <w:color w:val="auto"/>
          <w:sz w:val="24"/>
          <w:highlight w:val="none"/>
        </w:rPr>
        <w:fldChar w:fldCharType="begin"/>
      </w:r>
      <w:r>
        <w:rPr>
          <w:rFonts w:ascii="宋体" w:hAnsi="宋体"/>
          <w:b/>
          <w:color w:val="auto"/>
          <w:sz w:val="24"/>
          <w:highlight w:val="none"/>
        </w:rPr>
        <w:instrText xml:space="preserve"> </w:instrText>
      </w:r>
      <w:r>
        <w:rPr>
          <w:rFonts w:hint="eastAsia" w:ascii="宋体" w:hAnsi="宋体"/>
          <w:b/>
          <w:color w:val="auto"/>
          <w:sz w:val="24"/>
          <w:highlight w:val="none"/>
        </w:rPr>
        <w:instrText xml:space="preserve">TOC \o "1-3" \h \z \u</w:instrText>
      </w:r>
      <w:r>
        <w:rPr>
          <w:rFonts w:ascii="宋体" w:hAnsi="宋体"/>
          <w:b/>
          <w:color w:val="auto"/>
          <w:sz w:val="24"/>
          <w:highlight w:val="none"/>
        </w:rPr>
        <w:instrText xml:space="preserve"> </w:instrText>
      </w:r>
      <w:r>
        <w:rPr>
          <w:rFonts w:ascii="宋体" w:hAnsi="宋体"/>
          <w:b/>
          <w:color w:val="auto"/>
          <w:sz w:val="24"/>
          <w:highlight w:val="none"/>
        </w:rPr>
        <w:fldChar w:fldCharType="separate"/>
      </w:r>
      <w:r>
        <w:rPr>
          <w:color w:val="auto"/>
          <w:highlight w:val="none"/>
        </w:rPr>
        <w:fldChar w:fldCharType="begin"/>
      </w:r>
      <w:r>
        <w:rPr>
          <w:color w:val="auto"/>
          <w:highlight w:val="none"/>
        </w:rPr>
        <w:instrText xml:space="preserve"> HYPERLINK \l "_Toc74323456" </w:instrText>
      </w:r>
      <w:r>
        <w:rPr>
          <w:color w:val="auto"/>
          <w:highlight w:val="none"/>
        </w:rPr>
        <w:fldChar w:fldCharType="separate"/>
      </w:r>
      <w:r>
        <w:rPr>
          <w:rStyle w:val="25"/>
          <w:rFonts w:hint="eastAsia" w:ascii="宋体" w:hAnsi="宋体"/>
          <w:b/>
          <w:color w:val="auto"/>
          <w:sz w:val="24"/>
          <w:highlight w:val="none"/>
        </w:rPr>
        <w:t>第一章</w:t>
      </w:r>
      <w:r>
        <w:rPr>
          <w:rStyle w:val="25"/>
          <w:rFonts w:ascii="宋体" w:hAnsi="宋体"/>
          <w:b/>
          <w:color w:val="auto"/>
          <w:sz w:val="24"/>
          <w:highlight w:val="none"/>
        </w:rPr>
        <w:t xml:space="preserve"> </w:t>
      </w:r>
      <w:r>
        <w:rPr>
          <w:rStyle w:val="25"/>
          <w:rFonts w:hint="eastAsia" w:ascii="宋体" w:hAnsi="宋体"/>
          <w:b/>
          <w:color w:val="auto"/>
          <w:sz w:val="24"/>
          <w:highlight w:val="none"/>
        </w:rPr>
        <w:t>竞争性磋商公告</w:t>
      </w:r>
      <w:r>
        <w:rPr>
          <w:rFonts w:ascii="宋体" w:hAnsi="宋体"/>
          <w:b/>
          <w:color w:val="auto"/>
          <w:sz w:val="24"/>
          <w:highlight w:val="none"/>
        </w:rPr>
        <w:tab/>
      </w:r>
      <w:r>
        <w:rPr>
          <w:rFonts w:ascii="宋体" w:hAnsi="宋体"/>
          <w:b/>
          <w:color w:val="auto"/>
          <w:sz w:val="24"/>
          <w:highlight w:val="none"/>
        </w:rPr>
        <w:fldChar w:fldCharType="begin"/>
      </w:r>
      <w:r>
        <w:rPr>
          <w:rFonts w:ascii="宋体" w:hAnsi="宋体"/>
          <w:b/>
          <w:color w:val="auto"/>
          <w:sz w:val="24"/>
          <w:highlight w:val="none"/>
        </w:rPr>
        <w:instrText xml:space="preserve"> PAGEREF _Toc74323456 \h </w:instrText>
      </w:r>
      <w:r>
        <w:rPr>
          <w:rFonts w:ascii="宋体" w:hAnsi="宋体"/>
          <w:b/>
          <w:color w:val="auto"/>
          <w:sz w:val="24"/>
          <w:highlight w:val="none"/>
        </w:rPr>
        <w:fldChar w:fldCharType="separate"/>
      </w:r>
      <w:r>
        <w:rPr>
          <w:rFonts w:ascii="宋体" w:hAnsi="宋体"/>
          <w:b/>
          <w:color w:val="auto"/>
          <w:sz w:val="24"/>
          <w:highlight w:val="none"/>
        </w:rPr>
        <w:t>2</w:t>
      </w:r>
      <w:r>
        <w:rPr>
          <w:rFonts w:ascii="宋体" w:hAnsi="宋体"/>
          <w:b/>
          <w:color w:val="auto"/>
          <w:sz w:val="24"/>
          <w:highlight w:val="none"/>
        </w:rPr>
        <w:fldChar w:fldCharType="end"/>
      </w:r>
      <w:r>
        <w:rPr>
          <w:rFonts w:ascii="宋体" w:hAnsi="宋体"/>
          <w:b/>
          <w:color w:val="auto"/>
          <w:sz w:val="24"/>
          <w:highlight w:val="none"/>
        </w:rPr>
        <w:fldChar w:fldCharType="end"/>
      </w:r>
    </w:p>
    <w:p w14:paraId="4B6FD407">
      <w:pPr>
        <w:pStyle w:val="17"/>
        <w:tabs>
          <w:tab w:val="right" w:leader="dot" w:pos="8869"/>
        </w:tabs>
        <w:snapToGrid w:val="0"/>
        <w:spacing w:line="500" w:lineRule="atLeast"/>
        <w:rPr>
          <w:rFonts w:hint="eastAsia" w:ascii="宋体" w:hAnsi="宋体"/>
          <w:b/>
          <w:color w:val="auto"/>
          <w:sz w:val="24"/>
          <w:highlight w:val="none"/>
        </w:rPr>
      </w:pPr>
      <w:r>
        <w:rPr>
          <w:color w:val="auto"/>
          <w:highlight w:val="none"/>
        </w:rPr>
        <w:fldChar w:fldCharType="begin"/>
      </w:r>
      <w:r>
        <w:rPr>
          <w:color w:val="auto"/>
          <w:highlight w:val="none"/>
        </w:rPr>
        <w:instrText xml:space="preserve"> HYPERLINK \l "_Toc74323457" </w:instrText>
      </w:r>
      <w:r>
        <w:rPr>
          <w:color w:val="auto"/>
          <w:highlight w:val="none"/>
        </w:rPr>
        <w:fldChar w:fldCharType="separate"/>
      </w:r>
      <w:r>
        <w:rPr>
          <w:rStyle w:val="25"/>
          <w:rFonts w:hint="eastAsia" w:ascii="宋体" w:hAnsi="宋体"/>
          <w:b/>
          <w:color w:val="auto"/>
          <w:sz w:val="24"/>
          <w:highlight w:val="none"/>
        </w:rPr>
        <w:t>第二章</w:t>
      </w:r>
      <w:r>
        <w:rPr>
          <w:rStyle w:val="25"/>
          <w:rFonts w:ascii="宋体" w:hAnsi="宋体"/>
          <w:b/>
          <w:color w:val="auto"/>
          <w:sz w:val="24"/>
          <w:highlight w:val="none"/>
        </w:rPr>
        <w:t xml:space="preserve"> </w:t>
      </w:r>
      <w:r>
        <w:rPr>
          <w:rStyle w:val="25"/>
          <w:rFonts w:hint="eastAsia" w:ascii="宋体" w:hAnsi="宋体"/>
          <w:b/>
          <w:color w:val="auto"/>
          <w:sz w:val="24"/>
          <w:highlight w:val="none"/>
        </w:rPr>
        <w:t>供应</w:t>
      </w:r>
      <w:bookmarkStart w:id="0" w:name="_Hlt82161237"/>
      <w:r>
        <w:rPr>
          <w:rStyle w:val="25"/>
          <w:rFonts w:hint="eastAsia" w:ascii="宋体" w:hAnsi="宋体"/>
          <w:b/>
          <w:color w:val="auto"/>
          <w:sz w:val="24"/>
          <w:highlight w:val="none"/>
        </w:rPr>
        <w:t>商</w:t>
      </w:r>
      <w:bookmarkEnd w:id="0"/>
      <w:r>
        <w:rPr>
          <w:rStyle w:val="25"/>
          <w:rFonts w:hint="eastAsia" w:ascii="宋体" w:hAnsi="宋体"/>
          <w:b/>
          <w:color w:val="auto"/>
          <w:sz w:val="24"/>
          <w:highlight w:val="none"/>
        </w:rPr>
        <w:t>须知</w:t>
      </w:r>
      <w:r>
        <w:rPr>
          <w:rFonts w:ascii="宋体" w:hAnsi="宋体"/>
          <w:b/>
          <w:color w:val="auto"/>
          <w:sz w:val="24"/>
          <w:highlight w:val="none"/>
        </w:rPr>
        <w:tab/>
      </w:r>
      <w:r>
        <w:rPr>
          <w:rFonts w:ascii="宋体" w:hAnsi="宋体"/>
          <w:b/>
          <w:color w:val="auto"/>
          <w:sz w:val="24"/>
          <w:highlight w:val="none"/>
        </w:rPr>
        <w:fldChar w:fldCharType="begin"/>
      </w:r>
      <w:r>
        <w:rPr>
          <w:rFonts w:ascii="宋体" w:hAnsi="宋体"/>
          <w:b/>
          <w:color w:val="auto"/>
          <w:sz w:val="24"/>
          <w:highlight w:val="none"/>
        </w:rPr>
        <w:instrText xml:space="preserve"> PAGEREF _Toc74323457 \h </w:instrText>
      </w:r>
      <w:r>
        <w:rPr>
          <w:rFonts w:ascii="宋体" w:hAnsi="宋体"/>
          <w:b/>
          <w:color w:val="auto"/>
          <w:sz w:val="24"/>
          <w:highlight w:val="none"/>
        </w:rPr>
        <w:fldChar w:fldCharType="separate"/>
      </w:r>
      <w:r>
        <w:rPr>
          <w:rFonts w:ascii="宋体" w:hAnsi="宋体"/>
          <w:b/>
          <w:color w:val="auto"/>
          <w:sz w:val="24"/>
          <w:highlight w:val="none"/>
        </w:rPr>
        <w:t>6</w:t>
      </w:r>
      <w:r>
        <w:rPr>
          <w:rFonts w:ascii="宋体" w:hAnsi="宋体"/>
          <w:b/>
          <w:color w:val="auto"/>
          <w:sz w:val="24"/>
          <w:highlight w:val="none"/>
        </w:rPr>
        <w:fldChar w:fldCharType="end"/>
      </w:r>
      <w:r>
        <w:rPr>
          <w:rFonts w:ascii="宋体" w:hAnsi="宋体"/>
          <w:b/>
          <w:color w:val="auto"/>
          <w:sz w:val="24"/>
          <w:highlight w:val="none"/>
        </w:rPr>
        <w:fldChar w:fldCharType="end"/>
      </w:r>
    </w:p>
    <w:p w14:paraId="2EA2E900">
      <w:pPr>
        <w:pStyle w:val="17"/>
        <w:tabs>
          <w:tab w:val="right" w:leader="dot" w:pos="8869"/>
        </w:tabs>
        <w:snapToGrid w:val="0"/>
        <w:spacing w:line="500" w:lineRule="atLeast"/>
        <w:rPr>
          <w:rFonts w:hint="eastAsia" w:ascii="宋体" w:hAnsi="宋体"/>
          <w:b/>
          <w:color w:val="auto"/>
          <w:sz w:val="24"/>
          <w:highlight w:val="none"/>
        </w:rPr>
      </w:pPr>
      <w:r>
        <w:rPr>
          <w:color w:val="auto"/>
          <w:highlight w:val="none"/>
        </w:rPr>
        <w:fldChar w:fldCharType="begin"/>
      </w:r>
      <w:r>
        <w:rPr>
          <w:color w:val="auto"/>
          <w:highlight w:val="none"/>
        </w:rPr>
        <w:instrText xml:space="preserve"> HYPERLINK \l "_Toc74323458" </w:instrText>
      </w:r>
      <w:r>
        <w:rPr>
          <w:color w:val="auto"/>
          <w:highlight w:val="none"/>
        </w:rPr>
        <w:fldChar w:fldCharType="separate"/>
      </w:r>
      <w:r>
        <w:rPr>
          <w:rStyle w:val="25"/>
          <w:rFonts w:hint="eastAsia" w:ascii="宋体" w:hAnsi="宋体"/>
          <w:b/>
          <w:color w:val="auto"/>
          <w:sz w:val="24"/>
          <w:highlight w:val="none"/>
        </w:rPr>
        <w:t>第三章</w:t>
      </w:r>
      <w:r>
        <w:rPr>
          <w:rStyle w:val="25"/>
          <w:rFonts w:ascii="宋体" w:hAnsi="宋体"/>
          <w:b/>
          <w:color w:val="auto"/>
          <w:sz w:val="24"/>
          <w:highlight w:val="none"/>
        </w:rPr>
        <w:t xml:space="preserve"> </w:t>
      </w:r>
      <w:r>
        <w:rPr>
          <w:rStyle w:val="25"/>
          <w:rFonts w:hint="eastAsia" w:ascii="宋体" w:hAnsi="宋体"/>
          <w:b/>
          <w:color w:val="auto"/>
          <w:sz w:val="24"/>
          <w:highlight w:val="none"/>
        </w:rPr>
        <w:t>采购需</w:t>
      </w:r>
      <w:bookmarkStart w:id="1" w:name="_Hlt82166940"/>
      <w:r>
        <w:rPr>
          <w:rStyle w:val="25"/>
          <w:rFonts w:hint="eastAsia" w:ascii="宋体" w:hAnsi="宋体"/>
          <w:b/>
          <w:color w:val="auto"/>
          <w:sz w:val="24"/>
          <w:highlight w:val="none"/>
        </w:rPr>
        <w:t>求</w:t>
      </w:r>
      <w:bookmarkEnd w:id="1"/>
      <w:bookmarkStart w:id="2" w:name="_Hlt102419822"/>
      <w:bookmarkStart w:id="3" w:name="_Hlt102419823"/>
      <w:r>
        <w:rPr>
          <w:rFonts w:ascii="宋体" w:hAnsi="宋体"/>
          <w:b/>
          <w:color w:val="auto"/>
          <w:sz w:val="24"/>
          <w:highlight w:val="none"/>
        </w:rPr>
        <w:tab/>
      </w:r>
      <w:bookmarkEnd w:id="2"/>
      <w:bookmarkEnd w:id="3"/>
      <w:r>
        <w:rPr>
          <w:rFonts w:ascii="宋体" w:hAnsi="宋体"/>
          <w:b/>
          <w:color w:val="auto"/>
          <w:sz w:val="24"/>
          <w:highlight w:val="none"/>
        </w:rPr>
        <w:fldChar w:fldCharType="begin"/>
      </w:r>
      <w:r>
        <w:rPr>
          <w:rFonts w:ascii="宋体" w:hAnsi="宋体"/>
          <w:b/>
          <w:color w:val="auto"/>
          <w:sz w:val="24"/>
          <w:highlight w:val="none"/>
        </w:rPr>
        <w:instrText xml:space="preserve"> PAGEREF _Toc74323458 \h </w:instrText>
      </w:r>
      <w:r>
        <w:rPr>
          <w:rFonts w:ascii="宋体" w:hAnsi="宋体"/>
          <w:b/>
          <w:color w:val="auto"/>
          <w:sz w:val="24"/>
          <w:highlight w:val="none"/>
        </w:rPr>
        <w:fldChar w:fldCharType="separate"/>
      </w:r>
      <w:r>
        <w:rPr>
          <w:rFonts w:ascii="宋体" w:hAnsi="宋体"/>
          <w:b/>
          <w:color w:val="auto"/>
          <w:sz w:val="24"/>
          <w:highlight w:val="none"/>
        </w:rPr>
        <w:t>24</w:t>
      </w:r>
      <w:r>
        <w:rPr>
          <w:rFonts w:ascii="宋体" w:hAnsi="宋体"/>
          <w:b/>
          <w:color w:val="auto"/>
          <w:sz w:val="24"/>
          <w:highlight w:val="none"/>
        </w:rPr>
        <w:fldChar w:fldCharType="end"/>
      </w:r>
      <w:r>
        <w:rPr>
          <w:rFonts w:ascii="宋体" w:hAnsi="宋体"/>
          <w:b/>
          <w:color w:val="auto"/>
          <w:sz w:val="24"/>
          <w:highlight w:val="none"/>
        </w:rPr>
        <w:fldChar w:fldCharType="end"/>
      </w:r>
    </w:p>
    <w:p w14:paraId="5AD9A2EF">
      <w:pPr>
        <w:pStyle w:val="17"/>
        <w:tabs>
          <w:tab w:val="right" w:leader="dot" w:pos="8869"/>
        </w:tabs>
        <w:snapToGrid w:val="0"/>
        <w:spacing w:line="500" w:lineRule="atLeast"/>
        <w:rPr>
          <w:rFonts w:hint="eastAsia" w:ascii="宋体" w:hAnsi="宋体"/>
          <w:b/>
          <w:color w:val="auto"/>
          <w:sz w:val="24"/>
          <w:highlight w:val="none"/>
        </w:rPr>
      </w:pPr>
      <w:r>
        <w:rPr>
          <w:color w:val="auto"/>
          <w:highlight w:val="none"/>
        </w:rPr>
        <w:fldChar w:fldCharType="begin"/>
      </w:r>
      <w:r>
        <w:rPr>
          <w:color w:val="auto"/>
          <w:highlight w:val="none"/>
        </w:rPr>
        <w:instrText xml:space="preserve"> HYPERLINK \l "_Toc74323459" </w:instrText>
      </w:r>
      <w:r>
        <w:rPr>
          <w:color w:val="auto"/>
          <w:highlight w:val="none"/>
        </w:rPr>
        <w:fldChar w:fldCharType="separate"/>
      </w:r>
      <w:r>
        <w:rPr>
          <w:rStyle w:val="25"/>
          <w:rFonts w:hint="eastAsia" w:ascii="宋体" w:hAnsi="宋体"/>
          <w:b/>
          <w:color w:val="auto"/>
          <w:sz w:val="24"/>
          <w:highlight w:val="none"/>
        </w:rPr>
        <w:t>第四章</w:t>
      </w:r>
      <w:r>
        <w:rPr>
          <w:rStyle w:val="25"/>
          <w:rFonts w:ascii="宋体" w:hAnsi="宋体"/>
          <w:b/>
          <w:color w:val="auto"/>
          <w:sz w:val="24"/>
          <w:highlight w:val="none"/>
        </w:rPr>
        <w:t xml:space="preserve"> </w:t>
      </w:r>
      <w:r>
        <w:rPr>
          <w:rStyle w:val="25"/>
          <w:rFonts w:hint="eastAsia" w:ascii="宋体" w:hAnsi="宋体"/>
          <w:b/>
          <w:color w:val="auto"/>
          <w:sz w:val="24"/>
          <w:highlight w:val="none"/>
        </w:rPr>
        <w:t>评审程序、</w:t>
      </w:r>
      <w:bookmarkStart w:id="4" w:name="_Hlt82166000"/>
      <w:r>
        <w:rPr>
          <w:rStyle w:val="25"/>
          <w:rFonts w:hint="eastAsia" w:ascii="宋体" w:hAnsi="宋体"/>
          <w:b/>
          <w:color w:val="auto"/>
          <w:sz w:val="24"/>
          <w:highlight w:val="none"/>
        </w:rPr>
        <w:t>评</w:t>
      </w:r>
      <w:bookmarkEnd w:id="4"/>
      <w:r>
        <w:rPr>
          <w:rStyle w:val="25"/>
          <w:rFonts w:hint="eastAsia" w:ascii="宋体" w:hAnsi="宋体"/>
          <w:b/>
          <w:color w:val="auto"/>
          <w:sz w:val="24"/>
          <w:highlight w:val="none"/>
        </w:rPr>
        <w:t>审方法和评审标</w:t>
      </w:r>
      <w:bookmarkStart w:id="5" w:name="_Hlt100217602"/>
      <w:bookmarkStart w:id="6" w:name="_Hlt100217601"/>
      <w:r>
        <w:rPr>
          <w:rStyle w:val="25"/>
          <w:rFonts w:hint="eastAsia" w:ascii="宋体" w:hAnsi="宋体"/>
          <w:b/>
          <w:color w:val="auto"/>
          <w:sz w:val="24"/>
          <w:highlight w:val="none"/>
        </w:rPr>
        <w:t>准</w:t>
      </w:r>
      <w:bookmarkEnd w:id="5"/>
      <w:bookmarkEnd w:id="6"/>
      <w:r>
        <w:rPr>
          <w:rFonts w:ascii="宋体" w:hAnsi="宋体"/>
          <w:b/>
          <w:color w:val="auto"/>
          <w:sz w:val="24"/>
          <w:highlight w:val="none"/>
        </w:rPr>
        <w:tab/>
      </w:r>
      <w:r>
        <w:rPr>
          <w:rFonts w:ascii="宋体" w:hAnsi="宋体"/>
          <w:b/>
          <w:color w:val="auto"/>
          <w:sz w:val="24"/>
          <w:highlight w:val="none"/>
        </w:rPr>
        <w:fldChar w:fldCharType="begin"/>
      </w:r>
      <w:r>
        <w:rPr>
          <w:rFonts w:ascii="宋体" w:hAnsi="宋体"/>
          <w:b/>
          <w:color w:val="auto"/>
          <w:sz w:val="24"/>
          <w:highlight w:val="none"/>
        </w:rPr>
        <w:instrText xml:space="preserve"> PAGEREF _Toc74323459 \h </w:instrText>
      </w:r>
      <w:r>
        <w:rPr>
          <w:rFonts w:ascii="宋体" w:hAnsi="宋体"/>
          <w:b/>
          <w:color w:val="auto"/>
          <w:sz w:val="24"/>
          <w:highlight w:val="none"/>
        </w:rPr>
        <w:fldChar w:fldCharType="separate"/>
      </w:r>
      <w:r>
        <w:rPr>
          <w:rFonts w:ascii="宋体" w:hAnsi="宋体"/>
          <w:b/>
          <w:color w:val="auto"/>
          <w:sz w:val="24"/>
          <w:highlight w:val="none"/>
        </w:rPr>
        <w:t>27</w:t>
      </w:r>
      <w:r>
        <w:rPr>
          <w:rFonts w:ascii="宋体" w:hAnsi="宋体"/>
          <w:b/>
          <w:color w:val="auto"/>
          <w:sz w:val="24"/>
          <w:highlight w:val="none"/>
        </w:rPr>
        <w:fldChar w:fldCharType="end"/>
      </w:r>
      <w:r>
        <w:rPr>
          <w:rFonts w:ascii="宋体" w:hAnsi="宋体"/>
          <w:b/>
          <w:color w:val="auto"/>
          <w:sz w:val="24"/>
          <w:highlight w:val="none"/>
        </w:rPr>
        <w:fldChar w:fldCharType="end"/>
      </w:r>
    </w:p>
    <w:p w14:paraId="4354AE7E">
      <w:pPr>
        <w:pStyle w:val="17"/>
        <w:tabs>
          <w:tab w:val="right" w:leader="dot" w:pos="8869"/>
        </w:tabs>
        <w:snapToGrid w:val="0"/>
        <w:spacing w:line="500" w:lineRule="atLeast"/>
        <w:rPr>
          <w:rFonts w:hint="eastAsia" w:ascii="宋体" w:hAnsi="宋体"/>
          <w:b/>
          <w:color w:val="auto"/>
          <w:sz w:val="24"/>
          <w:highlight w:val="none"/>
        </w:rPr>
      </w:pPr>
      <w:r>
        <w:rPr>
          <w:color w:val="auto"/>
          <w:highlight w:val="none"/>
        </w:rPr>
        <w:fldChar w:fldCharType="begin"/>
      </w:r>
      <w:r>
        <w:rPr>
          <w:color w:val="auto"/>
          <w:highlight w:val="none"/>
        </w:rPr>
        <w:instrText xml:space="preserve"> HYPERLINK \l "_Toc74323460" </w:instrText>
      </w:r>
      <w:r>
        <w:rPr>
          <w:color w:val="auto"/>
          <w:highlight w:val="none"/>
        </w:rPr>
        <w:fldChar w:fldCharType="separate"/>
      </w:r>
      <w:r>
        <w:rPr>
          <w:rStyle w:val="25"/>
          <w:rFonts w:hint="eastAsia" w:ascii="宋体" w:hAnsi="宋体"/>
          <w:b/>
          <w:color w:val="auto"/>
          <w:sz w:val="24"/>
          <w:highlight w:val="none"/>
        </w:rPr>
        <w:t>第五章</w:t>
      </w:r>
      <w:r>
        <w:rPr>
          <w:rStyle w:val="25"/>
          <w:rFonts w:ascii="宋体" w:hAnsi="宋体"/>
          <w:b/>
          <w:color w:val="auto"/>
          <w:sz w:val="24"/>
          <w:highlight w:val="none"/>
        </w:rPr>
        <w:t xml:space="preserve"> </w:t>
      </w:r>
      <w:r>
        <w:rPr>
          <w:rStyle w:val="25"/>
          <w:rFonts w:hint="eastAsia" w:ascii="宋体" w:hAnsi="宋体"/>
          <w:b/>
          <w:color w:val="auto"/>
          <w:sz w:val="24"/>
          <w:highlight w:val="none"/>
        </w:rPr>
        <w:t>响应文件格式</w:t>
      </w:r>
      <w:r>
        <w:rPr>
          <w:rFonts w:ascii="宋体" w:hAnsi="宋体"/>
          <w:b/>
          <w:color w:val="auto"/>
          <w:sz w:val="24"/>
          <w:highlight w:val="none"/>
        </w:rPr>
        <w:tab/>
      </w:r>
      <w:r>
        <w:rPr>
          <w:rFonts w:ascii="宋体" w:hAnsi="宋体"/>
          <w:b/>
          <w:color w:val="auto"/>
          <w:sz w:val="24"/>
          <w:highlight w:val="none"/>
        </w:rPr>
        <w:fldChar w:fldCharType="begin"/>
      </w:r>
      <w:r>
        <w:rPr>
          <w:rFonts w:ascii="宋体" w:hAnsi="宋体"/>
          <w:b/>
          <w:color w:val="auto"/>
          <w:sz w:val="24"/>
          <w:highlight w:val="none"/>
        </w:rPr>
        <w:instrText xml:space="preserve"> PAGEREF _Toc74323460 \h </w:instrText>
      </w:r>
      <w:r>
        <w:rPr>
          <w:rFonts w:ascii="宋体" w:hAnsi="宋体"/>
          <w:b/>
          <w:color w:val="auto"/>
          <w:sz w:val="24"/>
          <w:highlight w:val="none"/>
        </w:rPr>
        <w:fldChar w:fldCharType="separate"/>
      </w:r>
      <w:r>
        <w:rPr>
          <w:rFonts w:ascii="宋体" w:hAnsi="宋体"/>
          <w:b/>
          <w:color w:val="auto"/>
          <w:sz w:val="24"/>
          <w:highlight w:val="none"/>
        </w:rPr>
        <w:t>39</w:t>
      </w:r>
      <w:r>
        <w:rPr>
          <w:rFonts w:ascii="宋体" w:hAnsi="宋体"/>
          <w:b/>
          <w:color w:val="auto"/>
          <w:sz w:val="24"/>
          <w:highlight w:val="none"/>
        </w:rPr>
        <w:fldChar w:fldCharType="end"/>
      </w:r>
      <w:r>
        <w:rPr>
          <w:rFonts w:ascii="宋体" w:hAnsi="宋体"/>
          <w:b/>
          <w:color w:val="auto"/>
          <w:sz w:val="24"/>
          <w:highlight w:val="none"/>
        </w:rPr>
        <w:fldChar w:fldCharType="end"/>
      </w:r>
    </w:p>
    <w:p w14:paraId="1375DE22">
      <w:pPr>
        <w:pStyle w:val="17"/>
        <w:tabs>
          <w:tab w:val="right" w:leader="dot" w:pos="8869"/>
        </w:tabs>
        <w:snapToGrid w:val="0"/>
        <w:spacing w:line="500" w:lineRule="atLeast"/>
        <w:rPr>
          <w:rFonts w:hint="eastAsia" w:ascii="宋体" w:hAnsi="宋体"/>
          <w:color w:val="auto"/>
          <w:sz w:val="24"/>
          <w:highlight w:val="none"/>
        </w:rPr>
      </w:pPr>
      <w:r>
        <w:rPr>
          <w:color w:val="auto"/>
          <w:highlight w:val="none"/>
        </w:rPr>
        <w:fldChar w:fldCharType="begin"/>
      </w:r>
      <w:r>
        <w:rPr>
          <w:color w:val="auto"/>
          <w:highlight w:val="none"/>
        </w:rPr>
        <w:instrText xml:space="preserve"> HYPERLINK \l "_Toc74323461" </w:instrText>
      </w:r>
      <w:r>
        <w:rPr>
          <w:color w:val="auto"/>
          <w:highlight w:val="none"/>
        </w:rPr>
        <w:fldChar w:fldCharType="separate"/>
      </w:r>
      <w:r>
        <w:rPr>
          <w:rStyle w:val="25"/>
          <w:rFonts w:hint="eastAsia" w:ascii="宋体" w:hAnsi="宋体"/>
          <w:b/>
          <w:color w:val="auto"/>
          <w:sz w:val="24"/>
          <w:highlight w:val="none"/>
        </w:rPr>
        <w:t>第六章</w:t>
      </w:r>
      <w:r>
        <w:rPr>
          <w:rStyle w:val="25"/>
          <w:rFonts w:ascii="宋体" w:hAnsi="宋体"/>
          <w:b/>
          <w:color w:val="auto"/>
          <w:sz w:val="24"/>
          <w:highlight w:val="none"/>
        </w:rPr>
        <w:t xml:space="preserve"> </w:t>
      </w:r>
      <w:r>
        <w:rPr>
          <w:rStyle w:val="25"/>
          <w:rFonts w:hint="eastAsia" w:ascii="宋体" w:hAnsi="宋体"/>
          <w:b/>
          <w:color w:val="auto"/>
          <w:sz w:val="24"/>
          <w:highlight w:val="none"/>
        </w:rPr>
        <w:t>合同文本</w:t>
      </w:r>
      <w:r>
        <w:rPr>
          <w:rFonts w:ascii="宋体" w:hAnsi="宋体"/>
          <w:b/>
          <w:color w:val="auto"/>
          <w:sz w:val="24"/>
          <w:highlight w:val="none"/>
        </w:rPr>
        <w:tab/>
      </w:r>
      <w:r>
        <w:rPr>
          <w:rFonts w:ascii="宋体" w:hAnsi="宋体"/>
          <w:b/>
          <w:color w:val="auto"/>
          <w:sz w:val="24"/>
          <w:highlight w:val="none"/>
        </w:rPr>
        <w:fldChar w:fldCharType="begin"/>
      </w:r>
      <w:r>
        <w:rPr>
          <w:rFonts w:ascii="宋体" w:hAnsi="宋体"/>
          <w:b/>
          <w:color w:val="auto"/>
          <w:sz w:val="24"/>
          <w:highlight w:val="none"/>
        </w:rPr>
        <w:instrText xml:space="preserve"> PAGEREF _Toc74323461 \h </w:instrText>
      </w:r>
      <w:r>
        <w:rPr>
          <w:rFonts w:ascii="宋体" w:hAnsi="宋体"/>
          <w:b/>
          <w:color w:val="auto"/>
          <w:sz w:val="24"/>
          <w:highlight w:val="none"/>
        </w:rPr>
        <w:fldChar w:fldCharType="separate"/>
      </w:r>
      <w:r>
        <w:rPr>
          <w:rFonts w:ascii="宋体" w:hAnsi="宋体"/>
          <w:b/>
          <w:color w:val="auto"/>
          <w:sz w:val="24"/>
          <w:highlight w:val="none"/>
        </w:rPr>
        <w:t>64</w:t>
      </w:r>
      <w:r>
        <w:rPr>
          <w:rFonts w:ascii="宋体" w:hAnsi="宋体"/>
          <w:b/>
          <w:color w:val="auto"/>
          <w:sz w:val="24"/>
          <w:highlight w:val="none"/>
        </w:rPr>
        <w:fldChar w:fldCharType="end"/>
      </w:r>
      <w:r>
        <w:rPr>
          <w:rFonts w:ascii="宋体" w:hAnsi="宋体"/>
          <w:b/>
          <w:color w:val="auto"/>
          <w:sz w:val="24"/>
          <w:highlight w:val="none"/>
        </w:rPr>
        <w:fldChar w:fldCharType="end"/>
      </w:r>
    </w:p>
    <w:p w14:paraId="0DFAED0E">
      <w:pPr>
        <w:pStyle w:val="18"/>
        <w:tabs>
          <w:tab w:val="right" w:leader="dot" w:pos="8931"/>
          <w:tab w:val="clear" w:pos="8296"/>
        </w:tabs>
        <w:snapToGrid w:val="0"/>
        <w:spacing w:line="500" w:lineRule="atLeast"/>
        <w:ind w:left="0" w:leftChars="0"/>
        <w:rPr>
          <w:rFonts w:hint="eastAsia" w:ascii="宋体" w:hAnsi="宋体"/>
          <w:b/>
          <w:color w:val="auto"/>
          <w:sz w:val="24"/>
          <w:highlight w:val="none"/>
        </w:rPr>
      </w:pPr>
      <w:r>
        <w:rPr>
          <w:rFonts w:ascii="宋体" w:hAnsi="宋体"/>
          <w:b/>
          <w:color w:val="auto"/>
          <w:sz w:val="24"/>
          <w:highlight w:val="none"/>
        </w:rPr>
        <w:fldChar w:fldCharType="end"/>
      </w:r>
    </w:p>
    <w:p w14:paraId="678ED9A4">
      <w:pPr>
        <w:spacing w:line="400" w:lineRule="exact"/>
        <w:jc w:val="left"/>
        <w:rPr>
          <w:rFonts w:hint="eastAsia" w:ascii="宋体" w:hAnsi="宋体"/>
          <w:b/>
          <w:color w:val="auto"/>
          <w:sz w:val="32"/>
          <w:szCs w:val="32"/>
          <w:highlight w:val="none"/>
        </w:rPr>
      </w:pPr>
    </w:p>
    <w:p w14:paraId="27D5FC46">
      <w:pPr>
        <w:spacing w:line="400" w:lineRule="exact"/>
        <w:jc w:val="center"/>
        <w:rPr>
          <w:rFonts w:hint="eastAsia" w:ascii="宋体" w:hAnsi="宋体"/>
          <w:b/>
          <w:color w:val="auto"/>
          <w:sz w:val="32"/>
          <w:szCs w:val="32"/>
          <w:highlight w:val="none"/>
        </w:rPr>
      </w:pPr>
    </w:p>
    <w:p w14:paraId="2F6193FF">
      <w:pPr>
        <w:spacing w:line="400" w:lineRule="exact"/>
        <w:jc w:val="center"/>
        <w:rPr>
          <w:rFonts w:hint="eastAsia" w:ascii="宋体" w:hAnsi="宋体"/>
          <w:b/>
          <w:color w:val="auto"/>
          <w:sz w:val="32"/>
          <w:szCs w:val="32"/>
          <w:highlight w:val="none"/>
        </w:rPr>
      </w:pPr>
    </w:p>
    <w:p w14:paraId="7C4D470E">
      <w:pPr>
        <w:spacing w:line="400" w:lineRule="exact"/>
        <w:jc w:val="center"/>
        <w:rPr>
          <w:rFonts w:hint="eastAsia" w:ascii="宋体" w:hAnsi="宋体"/>
          <w:b/>
          <w:color w:val="auto"/>
          <w:sz w:val="32"/>
          <w:szCs w:val="32"/>
          <w:highlight w:val="none"/>
        </w:rPr>
      </w:pPr>
    </w:p>
    <w:p w14:paraId="5D86D2B8">
      <w:pPr>
        <w:spacing w:line="400" w:lineRule="exact"/>
        <w:jc w:val="center"/>
        <w:rPr>
          <w:rFonts w:hint="eastAsia" w:ascii="宋体" w:hAnsi="宋体"/>
          <w:b/>
          <w:color w:val="auto"/>
          <w:sz w:val="32"/>
          <w:szCs w:val="32"/>
          <w:highlight w:val="none"/>
        </w:rPr>
      </w:pPr>
    </w:p>
    <w:p w14:paraId="1718EE46">
      <w:pPr>
        <w:spacing w:line="400" w:lineRule="exact"/>
        <w:rPr>
          <w:rFonts w:hint="eastAsia" w:ascii="宋体" w:hAnsi="宋体"/>
          <w:b/>
          <w:color w:val="auto"/>
          <w:sz w:val="32"/>
          <w:szCs w:val="32"/>
          <w:highlight w:val="none"/>
        </w:rPr>
        <w:sectPr>
          <w:footerReference r:id="rId8" w:type="first"/>
          <w:footerReference r:id="rId7" w:type="default"/>
          <w:pgSz w:w="11906" w:h="16838"/>
          <w:pgMar w:top="1440" w:right="1440" w:bottom="1440" w:left="1587" w:header="851" w:footer="992" w:gutter="0"/>
          <w:pgNumType w:fmt="decimal" w:start="1"/>
          <w:cols w:space="720" w:num="1"/>
          <w:titlePg/>
          <w:docGrid w:type="lines" w:linePitch="312" w:charSpace="0"/>
        </w:sectPr>
      </w:pPr>
    </w:p>
    <w:p w14:paraId="3338403B">
      <w:pPr>
        <w:pStyle w:val="3"/>
        <w:spacing w:line="240" w:lineRule="auto"/>
        <w:jc w:val="center"/>
        <w:rPr>
          <w:color w:val="auto"/>
          <w:highlight w:val="none"/>
        </w:rPr>
      </w:pPr>
      <w:bookmarkStart w:id="7" w:name="_Toc74323456"/>
      <w:r>
        <w:rPr>
          <w:rFonts w:hint="eastAsia"/>
          <w:color w:val="auto"/>
          <w:highlight w:val="none"/>
        </w:rPr>
        <w:t>第一章 竞争性磋商公告</w:t>
      </w:r>
      <w:bookmarkEnd w:id="7"/>
    </w:p>
    <w:p w14:paraId="54CAB350">
      <w:pPr>
        <w:jc w:val="center"/>
        <w:rPr>
          <w:rFonts w:hint="eastAsia" w:ascii="宋体" w:hAnsi="宋体"/>
          <w:b/>
          <w:bCs/>
          <w:color w:val="auto"/>
          <w:sz w:val="32"/>
          <w:szCs w:val="32"/>
          <w:highlight w:val="none"/>
        </w:rPr>
      </w:pPr>
      <w:r>
        <w:rPr>
          <w:rFonts w:hint="eastAsia" w:ascii="宋体" w:hAnsi="宋体"/>
          <w:b/>
          <w:bCs/>
          <w:color w:val="auto"/>
          <w:sz w:val="32"/>
          <w:szCs w:val="32"/>
          <w:highlight w:val="none"/>
        </w:rPr>
        <w:t>竞争性磋商公告</w:t>
      </w:r>
    </w:p>
    <w:p w14:paraId="42978C17">
      <w:pPr>
        <w:spacing w:line="360" w:lineRule="auto"/>
        <w:rPr>
          <w:rFonts w:hint="eastAsia" w:ascii="宋体" w:hAnsi="宋体"/>
          <w:color w:val="auto"/>
          <w:szCs w:val="21"/>
          <w:highlight w:val="none"/>
        </w:rPr>
      </w:pPr>
    </w:p>
    <w:p w14:paraId="5E345C63">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项目概况</w:t>
      </w:r>
    </w:p>
    <w:p w14:paraId="0718114C">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u w:val="single"/>
          <w:lang w:eastAsia="zh-CN"/>
        </w:rPr>
        <w:t>广西高速公路智能化服务管理与发布平台系统升级及改造项目</w:t>
      </w:r>
      <w:r>
        <w:rPr>
          <w:rFonts w:hint="eastAsia" w:ascii="宋体" w:hAnsi="宋体"/>
          <w:color w:val="auto"/>
          <w:szCs w:val="21"/>
          <w:highlight w:val="none"/>
        </w:rPr>
        <w:t>的潜在供应商应在“广西政府采购云平台”（https://www.gcy.zfcg.gxzf.gov.cn/）获取（下载）竞争性磋商文件，并于</w:t>
      </w:r>
      <w:r>
        <w:rPr>
          <w:rFonts w:hint="eastAsia" w:ascii="宋体" w:hAnsi="宋体"/>
          <w:color w:val="auto"/>
          <w:szCs w:val="21"/>
          <w:highlight w:val="none"/>
          <w:u w:val="single"/>
        </w:rPr>
        <w:t>2026年</w:t>
      </w:r>
      <w:r>
        <w:rPr>
          <w:rFonts w:hint="eastAsia" w:ascii="宋体" w:hAnsi="宋体"/>
          <w:color w:val="auto"/>
          <w:szCs w:val="21"/>
          <w:highlight w:val="none"/>
          <w:u w:val="single"/>
          <w:lang w:val="en-US" w:eastAsia="zh-CN"/>
        </w:rPr>
        <w:t xml:space="preserve">6  </w:t>
      </w:r>
      <w:r>
        <w:rPr>
          <w:rFonts w:hint="eastAsia" w:ascii="宋体" w:hAnsi="宋体"/>
          <w:color w:val="auto"/>
          <w:szCs w:val="21"/>
          <w:highlight w:val="none"/>
          <w:u w:val="single"/>
        </w:rPr>
        <w:t xml:space="preserve">月 </w:t>
      </w:r>
      <w:r>
        <w:rPr>
          <w:rFonts w:hint="eastAsia" w:ascii="宋体" w:hAnsi="宋体"/>
          <w:color w:val="auto"/>
          <w:szCs w:val="21"/>
          <w:highlight w:val="none"/>
          <w:u w:val="single"/>
          <w:lang w:val="en-US" w:eastAsia="zh-CN"/>
        </w:rPr>
        <w:t xml:space="preserve">15 </w:t>
      </w:r>
      <w:r>
        <w:rPr>
          <w:rFonts w:hint="eastAsia" w:ascii="宋体" w:hAnsi="宋体"/>
          <w:color w:val="auto"/>
          <w:szCs w:val="21"/>
          <w:highlight w:val="none"/>
          <w:u w:val="single"/>
        </w:rPr>
        <w:t>日</w:t>
      </w:r>
      <w:r>
        <w:rPr>
          <w:rFonts w:hint="eastAsia" w:ascii="宋体" w:hAnsi="宋体"/>
          <w:bCs/>
          <w:color w:val="auto"/>
          <w:szCs w:val="21"/>
          <w:highlight w:val="none"/>
          <w:u w:val="single"/>
        </w:rPr>
        <w:t>9：30（</w:t>
      </w:r>
      <w:r>
        <w:rPr>
          <w:rFonts w:hint="eastAsia" w:ascii="宋体" w:hAnsi="宋体"/>
          <w:bCs/>
          <w:color w:val="auto"/>
          <w:szCs w:val="21"/>
          <w:highlight w:val="none"/>
        </w:rPr>
        <w:t>北京时间）前提交（上传）</w:t>
      </w:r>
      <w:r>
        <w:rPr>
          <w:rFonts w:hint="eastAsia" w:ascii="宋体" w:hAnsi="宋体"/>
          <w:color w:val="auto"/>
          <w:szCs w:val="21"/>
          <w:highlight w:val="none"/>
        </w:rPr>
        <w:t>响应</w:t>
      </w:r>
      <w:r>
        <w:rPr>
          <w:rFonts w:hint="eastAsia" w:ascii="宋体" w:hAnsi="宋体"/>
          <w:bCs/>
          <w:color w:val="auto"/>
          <w:szCs w:val="21"/>
          <w:highlight w:val="none"/>
        </w:rPr>
        <w:t>文件</w:t>
      </w:r>
      <w:r>
        <w:rPr>
          <w:rFonts w:hint="eastAsia" w:ascii="宋体" w:hAnsi="宋体"/>
          <w:color w:val="auto"/>
          <w:szCs w:val="21"/>
          <w:highlight w:val="none"/>
        </w:rPr>
        <w:t>。</w:t>
      </w:r>
    </w:p>
    <w:p w14:paraId="4243C807">
      <w:pPr>
        <w:spacing w:line="360" w:lineRule="auto"/>
        <w:rPr>
          <w:rFonts w:hint="eastAsia" w:ascii="宋体" w:hAnsi="宋体"/>
          <w:color w:val="auto"/>
          <w:szCs w:val="21"/>
          <w:highlight w:val="none"/>
        </w:rPr>
      </w:pPr>
    </w:p>
    <w:p w14:paraId="5D245187">
      <w:pPr>
        <w:ind w:firstLine="354" w:firstLineChars="147"/>
        <w:rPr>
          <w:rFonts w:hint="eastAsia" w:ascii="黑体" w:hAnsi="黑体" w:eastAsia="黑体"/>
          <w:b/>
          <w:color w:val="auto"/>
          <w:sz w:val="24"/>
          <w:highlight w:val="none"/>
        </w:rPr>
      </w:pPr>
      <w:bookmarkStart w:id="8" w:name="_Toc28359012"/>
      <w:bookmarkStart w:id="9" w:name="_Toc28359089"/>
      <w:bookmarkStart w:id="10" w:name="_Toc35393629"/>
      <w:bookmarkStart w:id="11" w:name="_Toc35393798"/>
      <w:bookmarkStart w:id="12" w:name="_Toc71365905"/>
      <w:bookmarkStart w:id="13" w:name="_Toc44229878"/>
      <w:r>
        <w:rPr>
          <w:rFonts w:hint="eastAsia" w:ascii="黑体" w:hAnsi="黑体" w:eastAsia="黑体"/>
          <w:b/>
          <w:color w:val="auto"/>
          <w:sz w:val="24"/>
          <w:highlight w:val="none"/>
        </w:rPr>
        <w:t>一、项目基本情况</w:t>
      </w:r>
      <w:bookmarkEnd w:id="8"/>
      <w:bookmarkEnd w:id="9"/>
      <w:bookmarkEnd w:id="10"/>
      <w:bookmarkEnd w:id="11"/>
      <w:bookmarkEnd w:id="12"/>
      <w:bookmarkEnd w:id="13"/>
    </w:p>
    <w:p w14:paraId="7B04CC9F">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项目编号：GXZC2026-C3-001630-JGJD（政府采购计划编号：</w:t>
      </w:r>
      <w:r>
        <w:rPr>
          <w:rFonts w:hint="eastAsia" w:ascii="宋体" w:hAnsi="宋体" w:eastAsia="宋体" w:cs="Times New Roman"/>
          <w:i w:val="0"/>
          <w:iCs w:val="0"/>
          <w:caps w:val="0"/>
          <w:color w:val="auto"/>
          <w:spacing w:val="0"/>
          <w:sz w:val="21"/>
          <w:szCs w:val="21"/>
          <w:highlight w:val="none"/>
          <w:shd w:val="clear"/>
        </w:rPr>
        <w:t>广西政采[2026]10090号</w:t>
      </w:r>
      <w:r>
        <w:rPr>
          <w:rFonts w:hint="eastAsia" w:ascii="宋体" w:hAnsi="宋体"/>
          <w:color w:val="auto"/>
          <w:szCs w:val="21"/>
          <w:highlight w:val="none"/>
        </w:rPr>
        <w:t>）</w:t>
      </w:r>
    </w:p>
    <w:p w14:paraId="3B94782F">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项目名称：</w:t>
      </w:r>
      <w:r>
        <w:rPr>
          <w:rFonts w:hint="eastAsia" w:ascii="宋体" w:hAnsi="宋体"/>
          <w:color w:val="auto"/>
          <w:szCs w:val="21"/>
          <w:highlight w:val="none"/>
          <w:lang w:eastAsia="zh-CN"/>
        </w:rPr>
        <w:t>广西高速公路智能化服务管理与发布平台系统升级及改造项目</w:t>
      </w:r>
    </w:p>
    <w:p w14:paraId="21F0D40D">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采购方式：竞争性磋商</w:t>
      </w:r>
    </w:p>
    <w:p w14:paraId="1853322B">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预算金额：</w:t>
      </w:r>
      <w:r>
        <w:rPr>
          <w:rFonts w:hint="eastAsia" w:ascii="宋体" w:hAnsi="宋体"/>
          <w:color w:val="auto"/>
          <w:szCs w:val="21"/>
          <w:highlight w:val="none"/>
          <w:lang w:val="en-US" w:eastAsia="zh-CN"/>
        </w:rPr>
        <w:t>1190800.00</w:t>
      </w:r>
      <w:r>
        <w:rPr>
          <w:rFonts w:hint="eastAsia" w:ascii="宋体" w:hAnsi="宋体"/>
          <w:color w:val="auto"/>
          <w:szCs w:val="21"/>
          <w:highlight w:val="none"/>
        </w:rPr>
        <w:t>元</w:t>
      </w:r>
    </w:p>
    <w:p w14:paraId="5FEE88D7">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最高限价（如有）：同预算金额</w:t>
      </w:r>
    </w:p>
    <w:p w14:paraId="25DD3211">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采购需求：</w:t>
      </w:r>
      <w:r>
        <w:rPr>
          <w:rFonts w:ascii="宋体" w:hAnsi="宋体"/>
          <w:color w:val="auto"/>
          <w:szCs w:val="21"/>
          <w:highlight w:val="none"/>
        </w:rPr>
        <w:t xml:space="preserve"> </w:t>
      </w:r>
    </w:p>
    <w:tbl>
      <w:tblPr>
        <w:tblStyle w:val="20"/>
        <w:tblW w:w="893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9"/>
        <w:gridCol w:w="2616"/>
        <w:gridCol w:w="1154"/>
        <w:gridCol w:w="4451"/>
      </w:tblGrid>
      <w:tr w14:paraId="5BAF5B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6"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14:paraId="3378E367">
            <w:pPr>
              <w:snapToGrid w:val="0"/>
              <w:spacing w:line="400" w:lineRule="exact"/>
              <w:jc w:val="center"/>
              <w:rPr>
                <w:rFonts w:hint="eastAsia" w:ascii="宋体" w:hAnsi="宋体"/>
                <w:color w:val="auto"/>
                <w:szCs w:val="21"/>
                <w:highlight w:val="none"/>
              </w:rPr>
            </w:pPr>
            <w:r>
              <w:rPr>
                <w:rFonts w:ascii="宋体" w:hAnsi="宋体"/>
                <w:color w:val="auto"/>
                <w:szCs w:val="21"/>
                <w:highlight w:val="none"/>
              </w:rPr>
              <w:t>序号</w:t>
            </w:r>
          </w:p>
        </w:tc>
        <w:tc>
          <w:tcPr>
            <w:tcW w:w="2616" w:type="dxa"/>
            <w:tcBorders>
              <w:top w:val="single" w:color="auto" w:sz="4" w:space="0"/>
              <w:left w:val="single" w:color="auto" w:sz="4" w:space="0"/>
              <w:bottom w:val="single" w:color="auto" w:sz="4" w:space="0"/>
              <w:right w:val="single" w:color="auto" w:sz="4" w:space="0"/>
            </w:tcBorders>
            <w:vAlign w:val="center"/>
          </w:tcPr>
          <w:p w14:paraId="7C2090FD">
            <w:pPr>
              <w:snapToGrid w:val="0"/>
              <w:spacing w:line="400" w:lineRule="exact"/>
              <w:jc w:val="center"/>
              <w:rPr>
                <w:rFonts w:hint="eastAsia" w:ascii="宋体" w:hAnsi="宋体"/>
                <w:color w:val="auto"/>
                <w:szCs w:val="21"/>
                <w:highlight w:val="none"/>
              </w:rPr>
            </w:pPr>
            <w:r>
              <w:rPr>
                <w:rFonts w:ascii="宋体" w:hAnsi="宋体"/>
                <w:color w:val="auto"/>
                <w:szCs w:val="21"/>
                <w:highlight w:val="none"/>
              </w:rPr>
              <w:t>标的名称</w:t>
            </w:r>
          </w:p>
        </w:tc>
        <w:tc>
          <w:tcPr>
            <w:tcW w:w="1154" w:type="dxa"/>
            <w:tcBorders>
              <w:top w:val="single" w:color="auto" w:sz="4" w:space="0"/>
              <w:left w:val="single" w:color="auto" w:sz="4" w:space="0"/>
              <w:bottom w:val="single" w:color="auto" w:sz="4" w:space="0"/>
              <w:right w:val="single" w:color="auto" w:sz="4" w:space="0"/>
            </w:tcBorders>
            <w:vAlign w:val="center"/>
          </w:tcPr>
          <w:p w14:paraId="29030817">
            <w:pPr>
              <w:snapToGrid w:val="0"/>
              <w:spacing w:line="400" w:lineRule="exact"/>
              <w:jc w:val="center"/>
              <w:rPr>
                <w:rFonts w:hint="eastAsia" w:ascii="宋体" w:hAnsi="宋体"/>
                <w:color w:val="auto"/>
                <w:szCs w:val="21"/>
                <w:highlight w:val="none"/>
              </w:rPr>
            </w:pPr>
            <w:r>
              <w:rPr>
                <w:rFonts w:ascii="宋体" w:hAnsi="宋体"/>
                <w:color w:val="auto"/>
                <w:szCs w:val="21"/>
                <w:highlight w:val="none"/>
              </w:rPr>
              <w:t>数量</w:t>
            </w:r>
          </w:p>
        </w:tc>
        <w:tc>
          <w:tcPr>
            <w:tcW w:w="4451" w:type="dxa"/>
            <w:tcBorders>
              <w:top w:val="single" w:color="auto" w:sz="4" w:space="0"/>
              <w:left w:val="single" w:color="auto" w:sz="4" w:space="0"/>
              <w:bottom w:val="single" w:color="auto" w:sz="4" w:space="0"/>
              <w:right w:val="single" w:color="auto" w:sz="4" w:space="0"/>
            </w:tcBorders>
            <w:vAlign w:val="center"/>
          </w:tcPr>
          <w:p w14:paraId="411085AC">
            <w:pPr>
              <w:snapToGrid w:val="0"/>
              <w:spacing w:line="400" w:lineRule="exact"/>
              <w:jc w:val="center"/>
              <w:rPr>
                <w:rFonts w:hint="eastAsia" w:ascii="宋体" w:hAnsi="宋体"/>
                <w:color w:val="auto"/>
                <w:szCs w:val="21"/>
                <w:highlight w:val="none"/>
              </w:rPr>
            </w:pPr>
            <w:r>
              <w:rPr>
                <w:rFonts w:ascii="宋体" w:hAnsi="宋体"/>
                <w:color w:val="auto"/>
                <w:szCs w:val="21"/>
                <w:highlight w:val="none"/>
              </w:rPr>
              <w:t>简要技术需求或者服务要求</w:t>
            </w:r>
          </w:p>
        </w:tc>
      </w:tr>
      <w:tr w14:paraId="1397D8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6" w:hRule="atLeast"/>
          <w:jc w:val="center"/>
        </w:trPr>
        <w:tc>
          <w:tcPr>
            <w:tcW w:w="709" w:type="dxa"/>
            <w:tcBorders>
              <w:top w:val="single" w:color="auto" w:sz="4" w:space="0"/>
              <w:left w:val="single" w:color="auto" w:sz="4" w:space="0"/>
              <w:bottom w:val="single" w:color="auto" w:sz="4" w:space="0"/>
              <w:right w:val="single" w:color="auto" w:sz="4" w:space="0"/>
            </w:tcBorders>
          </w:tcPr>
          <w:p w14:paraId="00E26F14">
            <w:pPr>
              <w:snapToGrid w:val="0"/>
              <w:spacing w:line="400" w:lineRule="exact"/>
              <w:jc w:val="center"/>
              <w:rPr>
                <w:rFonts w:hint="eastAsia" w:ascii="宋体" w:hAnsi="宋体"/>
                <w:color w:val="auto"/>
                <w:szCs w:val="21"/>
                <w:highlight w:val="none"/>
              </w:rPr>
            </w:pPr>
            <w:r>
              <w:rPr>
                <w:rFonts w:ascii="宋体" w:hAnsi="宋体"/>
                <w:color w:val="auto"/>
                <w:szCs w:val="21"/>
                <w:highlight w:val="none"/>
              </w:rPr>
              <w:t>01</w:t>
            </w:r>
          </w:p>
        </w:tc>
        <w:tc>
          <w:tcPr>
            <w:tcW w:w="2616" w:type="dxa"/>
            <w:tcBorders>
              <w:top w:val="single" w:color="auto" w:sz="4" w:space="0"/>
              <w:left w:val="single" w:color="auto" w:sz="4" w:space="0"/>
              <w:bottom w:val="single" w:color="auto" w:sz="4" w:space="0"/>
              <w:right w:val="single" w:color="auto" w:sz="4" w:space="0"/>
            </w:tcBorders>
          </w:tcPr>
          <w:p w14:paraId="436A3780">
            <w:pPr>
              <w:snapToGrid w:val="0"/>
              <w:spacing w:line="400" w:lineRule="exact"/>
              <w:jc w:val="left"/>
              <w:rPr>
                <w:rFonts w:hint="eastAsia" w:ascii="宋体" w:hAnsi="宋体"/>
                <w:color w:val="auto"/>
                <w:szCs w:val="21"/>
                <w:highlight w:val="none"/>
              </w:rPr>
            </w:pPr>
            <w:r>
              <w:rPr>
                <w:rFonts w:hint="eastAsia" w:ascii="宋体" w:hAnsi="宋体"/>
                <w:color w:val="auto"/>
                <w:szCs w:val="21"/>
                <w:highlight w:val="none"/>
                <w:lang w:eastAsia="zh-CN"/>
              </w:rPr>
              <w:t>广西高速公路智能化服务管理与发布平台系统升级及改造项目</w:t>
            </w:r>
          </w:p>
        </w:tc>
        <w:tc>
          <w:tcPr>
            <w:tcW w:w="1154" w:type="dxa"/>
            <w:tcBorders>
              <w:top w:val="single" w:color="auto" w:sz="4" w:space="0"/>
              <w:left w:val="single" w:color="auto" w:sz="4" w:space="0"/>
              <w:bottom w:val="single" w:color="auto" w:sz="4" w:space="0"/>
              <w:right w:val="single" w:color="auto" w:sz="4" w:space="0"/>
            </w:tcBorders>
            <w:vAlign w:val="center"/>
          </w:tcPr>
          <w:p w14:paraId="228B1BB7">
            <w:pPr>
              <w:snapToGrid w:val="0"/>
              <w:spacing w:line="400" w:lineRule="exact"/>
              <w:jc w:val="center"/>
              <w:rPr>
                <w:rFonts w:hint="eastAsia" w:ascii="宋体" w:hAnsi="宋体"/>
                <w:color w:val="auto"/>
                <w:szCs w:val="21"/>
                <w:highlight w:val="none"/>
              </w:rPr>
            </w:pPr>
            <w:r>
              <w:rPr>
                <w:rFonts w:ascii="宋体" w:hAnsi="宋体"/>
                <w:color w:val="auto"/>
                <w:szCs w:val="21"/>
                <w:highlight w:val="none"/>
              </w:rPr>
              <w:t>1项</w:t>
            </w:r>
          </w:p>
        </w:tc>
        <w:tc>
          <w:tcPr>
            <w:tcW w:w="4451" w:type="dxa"/>
            <w:tcBorders>
              <w:top w:val="single" w:color="auto" w:sz="4" w:space="0"/>
              <w:left w:val="single" w:color="auto" w:sz="4" w:space="0"/>
              <w:bottom w:val="single" w:color="auto" w:sz="4" w:space="0"/>
              <w:right w:val="single" w:color="auto" w:sz="4" w:space="0"/>
            </w:tcBorders>
            <w:vAlign w:val="center"/>
          </w:tcPr>
          <w:p w14:paraId="2CBB650B">
            <w:pPr>
              <w:adjustRightInd w:val="0"/>
              <w:snapToGrid w:val="0"/>
              <w:spacing w:line="400" w:lineRule="exact"/>
              <w:jc w:val="center"/>
              <w:rPr>
                <w:rFonts w:hint="eastAsia" w:ascii="宋体" w:hAnsi="宋体"/>
                <w:color w:val="auto"/>
                <w:szCs w:val="21"/>
                <w:highlight w:val="none"/>
              </w:rPr>
            </w:pPr>
            <w:r>
              <w:rPr>
                <w:rFonts w:hint="eastAsia" w:ascii="宋体" w:hAnsi="宋体"/>
                <w:color w:val="auto"/>
                <w:szCs w:val="21"/>
                <w:highlight w:val="none"/>
                <w:lang w:val="en-US" w:eastAsia="zh-CN"/>
              </w:rPr>
              <w:t>项目建设内容涉及系统升级、应用系统改造、应用系统商密应用改造、应用支撑平台共4部分。项目应用范围覆盖广西壮族自治区高速公路发展中心、南宁/柳州/百色/桂林/玉林5个分中心、高速运营公司及社会公众等用户。</w:t>
            </w:r>
            <w:r>
              <w:rPr>
                <w:rFonts w:hint="eastAsia" w:ascii="宋体" w:hAnsi="宋体"/>
                <w:color w:val="auto"/>
                <w:szCs w:val="21"/>
                <w:highlight w:val="none"/>
                <w:lang w:eastAsia="en-US"/>
              </w:rPr>
              <w:t>具体内容详见采购文件。</w:t>
            </w:r>
          </w:p>
        </w:tc>
      </w:tr>
    </w:tbl>
    <w:p w14:paraId="6EBDED6F">
      <w:pPr>
        <w:spacing w:line="360" w:lineRule="auto"/>
        <w:ind w:firstLine="420" w:firstLineChars="200"/>
        <w:rPr>
          <w:rFonts w:hint="eastAsia" w:ascii="宋体" w:hAnsi="宋体" w:eastAsia="宋体"/>
          <w:color w:val="auto"/>
          <w:szCs w:val="21"/>
          <w:highlight w:val="none"/>
          <w:u w:val="single"/>
          <w:lang w:val="en-US" w:eastAsia="zh-CN"/>
        </w:rPr>
      </w:pPr>
      <w:r>
        <w:rPr>
          <w:rFonts w:hint="eastAsia" w:ascii="宋体" w:hAnsi="宋体" w:cs="宋体"/>
          <w:color w:val="auto"/>
          <w:szCs w:val="21"/>
          <w:highlight w:val="none"/>
        </w:rPr>
        <w:t>交付时间：</w:t>
      </w:r>
      <w:r>
        <w:rPr>
          <w:rFonts w:hint="eastAsia" w:ascii="宋体" w:hAnsi="宋体" w:eastAsia="宋体" w:cs="宋体"/>
          <w:color w:val="auto"/>
          <w:kern w:val="0"/>
          <w:sz w:val="21"/>
          <w:szCs w:val="21"/>
          <w:highlight w:val="none"/>
          <w:lang w:bidi="ar"/>
        </w:rPr>
        <w:t>合同签订之日起至完成本项目竣工验收止</w:t>
      </w:r>
      <w:r>
        <w:rPr>
          <w:rFonts w:hint="eastAsia" w:ascii="宋体" w:hAnsi="宋体" w:cs="宋体"/>
          <w:color w:val="auto"/>
          <w:kern w:val="0"/>
          <w:sz w:val="21"/>
          <w:szCs w:val="21"/>
          <w:highlight w:val="none"/>
          <w:lang w:eastAsia="zh-CN" w:bidi="ar"/>
        </w:rPr>
        <w:t>。</w:t>
      </w:r>
    </w:p>
    <w:p w14:paraId="2AC3267B">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本项目（不）接受联合体。</w:t>
      </w:r>
    </w:p>
    <w:p w14:paraId="14C78CCC">
      <w:pPr>
        <w:ind w:firstLine="354" w:firstLineChars="147"/>
        <w:rPr>
          <w:rFonts w:hint="eastAsia" w:ascii="黑体" w:hAnsi="黑体" w:eastAsia="黑体"/>
          <w:b/>
          <w:color w:val="auto"/>
          <w:sz w:val="24"/>
          <w:highlight w:val="none"/>
        </w:rPr>
      </w:pPr>
      <w:bookmarkStart w:id="14" w:name="_Toc35393799"/>
      <w:bookmarkStart w:id="15" w:name="_Toc44229879"/>
      <w:bookmarkStart w:id="16" w:name="_Toc71365906"/>
      <w:bookmarkStart w:id="17" w:name="_Toc35393630"/>
      <w:bookmarkStart w:id="18" w:name="_Toc28359090"/>
      <w:bookmarkStart w:id="19" w:name="_Toc28359013"/>
      <w:r>
        <w:rPr>
          <w:rFonts w:hint="eastAsia" w:ascii="黑体" w:hAnsi="黑体" w:eastAsia="黑体"/>
          <w:b/>
          <w:color w:val="auto"/>
          <w:sz w:val="24"/>
          <w:highlight w:val="none"/>
        </w:rPr>
        <w:t>二、申请人的资格条件：</w:t>
      </w:r>
      <w:bookmarkEnd w:id="14"/>
      <w:bookmarkEnd w:id="15"/>
      <w:bookmarkEnd w:id="16"/>
      <w:bookmarkEnd w:id="17"/>
      <w:bookmarkEnd w:id="18"/>
      <w:bookmarkEnd w:id="19"/>
    </w:p>
    <w:p w14:paraId="0885F67A">
      <w:pPr>
        <w:spacing w:line="440" w:lineRule="exact"/>
        <w:ind w:firstLine="420" w:firstLineChars="200"/>
        <w:rPr>
          <w:rFonts w:hint="eastAsia" w:ascii="宋体" w:hAnsi="宋体"/>
          <w:color w:val="auto"/>
          <w:szCs w:val="21"/>
          <w:highlight w:val="none"/>
        </w:rPr>
      </w:pPr>
      <w:bookmarkStart w:id="20" w:name="_Toc28359014"/>
      <w:bookmarkStart w:id="21" w:name="_Toc35393631"/>
      <w:bookmarkStart w:id="22" w:name="_Toc44229880"/>
      <w:bookmarkStart w:id="23" w:name="_Toc28359091"/>
      <w:bookmarkStart w:id="24" w:name="_Toc35393800"/>
      <w:r>
        <w:rPr>
          <w:rFonts w:hint="eastAsia" w:ascii="宋体" w:hAnsi="宋体"/>
          <w:color w:val="auto"/>
          <w:szCs w:val="21"/>
          <w:highlight w:val="none"/>
        </w:rPr>
        <w:t>1.满足《中华人民共和国政府采购法》第二十二条规定；</w:t>
      </w:r>
    </w:p>
    <w:p w14:paraId="3AF19093">
      <w:pPr>
        <w:spacing w:line="440" w:lineRule="exact"/>
        <w:ind w:firstLine="422" w:firstLineChars="200"/>
        <w:rPr>
          <w:rFonts w:hint="eastAsia" w:ascii="宋体" w:hAnsi="宋体"/>
          <w:b/>
          <w:bCs/>
          <w:color w:val="auto"/>
          <w:szCs w:val="21"/>
          <w:highlight w:val="none"/>
        </w:rPr>
      </w:pPr>
      <w:r>
        <w:rPr>
          <w:rFonts w:hint="eastAsia" w:ascii="宋体" w:hAnsi="宋体"/>
          <w:b/>
          <w:bCs/>
          <w:color w:val="auto"/>
          <w:szCs w:val="21"/>
          <w:highlight w:val="none"/>
        </w:rPr>
        <w:t>2.落实政府采购政策需满足的资格要求：</w:t>
      </w:r>
    </w:p>
    <w:p w14:paraId="12D77BB7">
      <w:pPr>
        <w:spacing w:line="44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□专门面向中小企业采购的项目（供应商应为中小微企业、监狱企业、残疾人福利性单位)</w:t>
      </w:r>
    </w:p>
    <w:p w14:paraId="1ABA6BB2">
      <w:pPr>
        <w:spacing w:line="440" w:lineRule="exact"/>
        <w:ind w:firstLine="420" w:firstLineChars="200"/>
        <w:rPr>
          <w:rFonts w:hint="eastAsia" w:ascii="宋体" w:hAnsi="宋体"/>
          <w:color w:val="auto"/>
          <w:szCs w:val="21"/>
          <w:highlight w:val="none"/>
        </w:rPr>
      </w:pPr>
      <w:r>
        <w:rPr>
          <w:rFonts w:hint="eastAsia" w:ascii="宋体" w:hAnsi="宋体"/>
          <w:color w:val="auto"/>
          <w:szCs w:val="21"/>
          <w:highlight w:val="none"/>
        </w:rPr>
        <w:t>☑非专门面向中小企业采购的项目</w:t>
      </w:r>
    </w:p>
    <w:p w14:paraId="4E09B7CA">
      <w:pPr>
        <w:numPr>
          <w:ilvl w:val="0"/>
          <w:numId w:val="2"/>
        </w:numPr>
        <w:spacing w:line="440" w:lineRule="exact"/>
        <w:ind w:firstLine="420" w:firstLineChars="200"/>
        <w:rPr>
          <w:rFonts w:hint="eastAsia" w:ascii="宋体" w:hAnsi="宋体"/>
          <w:bCs/>
          <w:color w:val="auto"/>
          <w:szCs w:val="21"/>
          <w:highlight w:val="none"/>
        </w:rPr>
      </w:pPr>
      <w:r>
        <w:rPr>
          <w:rFonts w:hint="eastAsia" w:ascii="宋体" w:hAnsi="宋体"/>
          <w:color w:val="auto"/>
          <w:szCs w:val="21"/>
          <w:highlight w:val="none"/>
        </w:rPr>
        <w:t>本项目的特定资格要求：</w:t>
      </w:r>
      <w:r>
        <w:rPr>
          <w:rFonts w:hint="eastAsia" w:ascii="宋体" w:hAnsi="宋体"/>
          <w:bCs/>
          <w:color w:val="auto"/>
          <w:szCs w:val="21"/>
          <w:highlight w:val="none"/>
          <w:lang w:val="en-US" w:eastAsia="zh-CN"/>
        </w:rPr>
        <w:t xml:space="preserve"> </w:t>
      </w:r>
      <w:r>
        <w:rPr>
          <w:rFonts w:hint="eastAsia" w:ascii="宋体" w:hAnsi="宋体" w:cs="宋体"/>
          <w:color w:val="auto"/>
          <w:szCs w:val="21"/>
          <w:highlight w:val="none"/>
          <w:lang w:val="en-US" w:eastAsia="zh-CN"/>
        </w:rPr>
        <w:t>无</w:t>
      </w:r>
      <w:r>
        <w:rPr>
          <w:rFonts w:hint="eastAsia" w:ascii="宋体" w:hAnsi="宋体" w:eastAsia="宋体" w:cs="Times New Roman"/>
          <w:iCs/>
          <w:color w:val="auto"/>
          <w:szCs w:val="21"/>
          <w:highlight w:val="none"/>
          <w:lang w:eastAsia="zh-CN"/>
        </w:rPr>
        <w:t>。</w:t>
      </w:r>
      <w:r>
        <w:rPr>
          <w:rFonts w:hint="eastAsia" w:ascii="宋体" w:hAnsi="宋体"/>
          <w:bCs/>
          <w:color w:val="auto"/>
          <w:szCs w:val="21"/>
          <w:highlight w:val="none"/>
          <w:lang w:val="en-US" w:eastAsia="zh-CN"/>
        </w:rPr>
        <w:t xml:space="preserve"> </w:t>
      </w:r>
    </w:p>
    <w:p w14:paraId="58FBF59F">
      <w:pPr>
        <w:numPr>
          <w:ilvl w:val="0"/>
          <w:numId w:val="0"/>
        </w:numPr>
        <w:spacing w:line="440" w:lineRule="exact"/>
        <w:ind w:firstLine="420" w:firstLineChars="200"/>
        <w:rPr>
          <w:rFonts w:hint="eastAsia" w:ascii="宋体" w:hAnsi="宋体"/>
          <w:color w:val="auto"/>
          <w:szCs w:val="21"/>
          <w:highlight w:val="none"/>
        </w:rPr>
      </w:pPr>
      <w:r>
        <w:rPr>
          <w:rFonts w:hint="eastAsia" w:ascii="宋体" w:hAnsi="宋体"/>
          <w:color w:val="auto"/>
          <w:szCs w:val="21"/>
          <w:highlight w:val="none"/>
        </w:rPr>
        <w:t>4.本项目的特定条件：无</w:t>
      </w:r>
    </w:p>
    <w:p w14:paraId="657746B4">
      <w:pPr>
        <w:snapToGrid w:val="0"/>
        <w:spacing w:line="44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5.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3663D90B">
      <w:pPr>
        <w:spacing w:line="440" w:lineRule="exact"/>
        <w:ind w:firstLine="420" w:firstLineChars="200"/>
        <w:rPr>
          <w:rFonts w:hint="eastAsia" w:ascii="宋体" w:hAnsi="宋体"/>
          <w:color w:val="auto"/>
          <w:szCs w:val="21"/>
          <w:highlight w:val="none"/>
        </w:rPr>
      </w:pPr>
      <w:r>
        <w:rPr>
          <w:rFonts w:hint="eastAsia" w:ascii="宋体" w:hAnsi="宋体"/>
          <w:color w:val="auto"/>
          <w:szCs w:val="21"/>
          <w:highlight w:val="none"/>
        </w:rPr>
        <w:t>6. 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p w14:paraId="66855DD8">
      <w:pPr>
        <w:spacing w:line="360" w:lineRule="auto"/>
        <w:ind w:firstLine="482" w:firstLineChars="200"/>
        <w:rPr>
          <w:rFonts w:hint="eastAsia" w:ascii="黑体" w:hAnsi="黑体" w:eastAsia="黑体"/>
          <w:b/>
          <w:color w:val="auto"/>
          <w:sz w:val="24"/>
          <w:highlight w:val="none"/>
        </w:rPr>
      </w:pPr>
      <w:bookmarkStart w:id="25" w:name="_Toc71365907"/>
      <w:r>
        <w:rPr>
          <w:rFonts w:hint="eastAsia" w:ascii="黑体" w:hAnsi="黑体" w:eastAsia="黑体"/>
          <w:b/>
          <w:color w:val="auto"/>
          <w:sz w:val="24"/>
          <w:highlight w:val="none"/>
        </w:rPr>
        <w:t>三、获取竞争性磋商文件</w:t>
      </w:r>
      <w:bookmarkEnd w:id="20"/>
      <w:bookmarkEnd w:id="21"/>
      <w:bookmarkEnd w:id="22"/>
      <w:bookmarkEnd w:id="23"/>
      <w:bookmarkEnd w:id="24"/>
      <w:bookmarkEnd w:id="25"/>
    </w:p>
    <w:p w14:paraId="07BD4491">
      <w:pPr>
        <w:spacing w:line="360" w:lineRule="auto"/>
        <w:ind w:firstLine="420" w:firstLineChars="200"/>
        <w:rPr>
          <w:rFonts w:hint="eastAsia" w:ascii="宋体" w:hAnsi="宋体"/>
          <w:color w:val="auto"/>
          <w:highlight w:val="none"/>
        </w:rPr>
      </w:pPr>
      <w:bookmarkStart w:id="26" w:name="_Toc28359082"/>
      <w:bookmarkStart w:id="27" w:name="_Toc44229881"/>
      <w:bookmarkStart w:id="28" w:name="_Toc35393801"/>
      <w:bookmarkStart w:id="29" w:name="_Toc28359092"/>
      <w:bookmarkStart w:id="30" w:name="_Toc35393632"/>
      <w:bookmarkStart w:id="31" w:name="_Toc28359015"/>
      <w:r>
        <w:rPr>
          <w:rFonts w:hint="eastAsia" w:ascii="宋体" w:hAnsi="宋体"/>
          <w:color w:val="auto"/>
          <w:highlight w:val="none"/>
        </w:rPr>
        <w:t>时间：2026年</w:t>
      </w:r>
      <w:r>
        <w:rPr>
          <w:rFonts w:hint="eastAsia" w:ascii="宋体" w:hAnsi="宋体"/>
          <w:color w:val="auto"/>
          <w:highlight w:val="none"/>
          <w:lang w:val="en-US" w:eastAsia="zh-CN"/>
        </w:rPr>
        <w:t xml:space="preserve"> 6 </w:t>
      </w:r>
      <w:r>
        <w:rPr>
          <w:rFonts w:hint="eastAsia" w:ascii="宋体" w:hAnsi="宋体"/>
          <w:color w:val="auto"/>
          <w:highlight w:val="none"/>
        </w:rPr>
        <w:t>月</w:t>
      </w:r>
      <w:r>
        <w:rPr>
          <w:rFonts w:hint="eastAsia" w:ascii="宋体" w:hAnsi="宋体"/>
          <w:color w:val="auto"/>
          <w:highlight w:val="none"/>
          <w:lang w:val="en-US" w:eastAsia="zh-CN"/>
        </w:rPr>
        <w:t>2</w:t>
      </w:r>
      <w:r>
        <w:rPr>
          <w:rFonts w:hint="eastAsia" w:ascii="宋体" w:hAnsi="宋体"/>
          <w:color w:val="auto"/>
          <w:highlight w:val="none"/>
        </w:rPr>
        <w:t xml:space="preserve"> 日至2026年</w:t>
      </w:r>
      <w:r>
        <w:rPr>
          <w:rFonts w:hint="eastAsia" w:ascii="宋体" w:hAnsi="宋体"/>
          <w:color w:val="auto"/>
          <w:highlight w:val="none"/>
          <w:lang w:val="en-US" w:eastAsia="zh-CN"/>
        </w:rPr>
        <w:t xml:space="preserve"> 6 </w:t>
      </w:r>
      <w:r>
        <w:rPr>
          <w:rFonts w:hint="eastAsia" w:ascii="宋体" w:hAnsi="宋体"/>
          <w:color w:val="auto"/>
          <w:highlight w:val="none"/>
        </w:rPr>
        <w:t xml:space="preserve">月 </w:t>
      </w:r>
      <w:r>
        <w:rPr>
          <w:rFonts w:hint="eastAsia" w:ascii="宋体" w:hAnsi="宋体"/>
          <w:color w:val="auto"/>
          <w:highlight w:val="none"/>
          <w:lang w:val="en-US" w:eastAsia="zh-CN"/>
        </w:rPr>
        <w:t>9</w:t>
      </w:r>
      <w:r>
        <w:rPr>
          <w:rFonts w:hint="eastAsia" w:ascii="宋体" w:hAnsi="宋体"/>
          <w:color w:val="auto"/>
          <w:highlight w:val="none"/>
        </w:rPr>
        <w:t>日，每天上午08:00至11:59，下午12:00至23:59（北京时间，法定节假日除外）</w:t>
      </w:r>
      <w:bookmarkEnd w:id="26"/>
    </w:p>
    <w:p w14:paraId="49AE32C5">
      <w:pPr>
        <w:spacing w:line="360" w:lineRule="auto"/>
        <w:ind w:firstLine="420" w:firstLineChars="200"/>
        <w:rPr>
          <w:rFonts w:hint="eastAsia" w:ascii="黑体" w:hAnsi="宋体" w:eastAsia="黑体"/>
          <w:b/>
          <w:bCs/>
          <w:color w:val="auto"/>
          <w:highlight w:val="none"/>
        </w:rPr>
      </w:pPr>
      <w:r>
        <w:rPr>
          <w:rFonts w:hint="eastAsia" w:ascii="宋体" w:hAnsi="宋体"/>
          <w:color w:val="auto"/>
          <w:highlight w:val="none"/>
        </w:rPr>
        <w:t>获取方式:网上下载。本项目不发放纸质采购文件，供应商可自行在</w:t>
      </w:r>
      <w:r>
        <w:rPr>
          <w:rFonts w:hint="eastAsia" w:ascii="宋体" w:hAnsi="宋体" w:cs="宋体"/>
          <w:color w:val="auto"/>
          <w:szCs w:val="21"/>
          <w:highlight w:val="none"/>
        </w:rPr>
        <w:t>广西政府采购云平台（https://www.gcy.zfcg.gxzf.gov.cn/）</w:t>
      </w:r>
      <w:r>
        <w:rPr>
          <w:rFonts w:hint="eastAsia" w:ascii="宋体" w:hAnsi="宋体"/>
          <w:color w:val="auto"/>
          <w:highlight w:val="none"/>
        </w:rPr>
        <w:t>下载采购文件（操作路径：登录</w:t>
      </w:r>
      <w:r>
        <w:rPr>
          <w:rFonts w:hint="eastAsia" w:ascii="宋体" w:hAnsi="宋体" w:cs="宋体"/>
          <w:color w:val="auto"/>
          <w:szCs w:val="21"/>
          <w:highlight w:val="none"/>
        </w:rPr>
        <w:t>广西政府采购云平台</w:t>
      </w:r>
      <w:r>
        <w:rPr>
          <w:rFonts w:hint="eastAsia" w:ascii="宋体" w:hAnsi="宋体"/>
          <w:color w:val="auto"/>
          <w:highlight w:val="none"/>
        </w:rPr>
        <w:t>-项目采购-获取采购文件-找到本项目-点击“申请获取采购文件”），电子响应文件制作需要基于广西政府采购云平台（https://www.gcy.zfcg.gxzf.gov.cn/）获取的采购文件编制。</w:t>
      </w:r>
    </w:p>
    <w:p w14:paraId="788EE97D">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highlight w:val="none"/>
        </w:rPr>
        <w:t>售价：0元。</w:t>
      </w:r>
      <w:bookmarkStart w:id="32" w:name="_Toc71365908"/>
    </w:p>
    <w:p w14:paraId="61746CDF">
      <w:pPr>
        <w:ind w:firstLine="354" w:firstLineChars="147"/>
        <w:rPr>
          <w:rFonts w:hint="eastAsia" w:ascii="黑体" w:hAnsi="黑体" w:eastAsia="黑体"/>
          <w:b/>
          <w:color w:val="auto"/>
          <w:sz w:val="24"/>
          <w:highlight w:val="none"/>
        </w:rPr>
      </w:pPr>
      <w:r>
        <w:rPr>
          <w:rFonts w:hint="eastAsia" w:ascii="黑体" w:hAnsi="黑体" w:eastAsia="黑体"/>
          <w:b/>
          <w:color w:val="auto"/>
          <w:sz w:val="24"/>
          <w:highlight w:val="none"/>
        </w:rPr>
        <w:t>四、响应文件提交</w:t>
      </w:r>
      <w:bookmarkEnd w:id="27"/>
      <w:bookmarkEnd w:id="28"/>
      <w:bookmarkEnd w:id="29"/>
      <w:bookmarkEnd w:id="30"/>
      <w:bookmarkEnd w:id="31"/>
      <w:bookmarkEnd w:id="32"/>
    </w:p>
    <w:p w14:paraId="1568AF69">
      <w:pPr>
        <w:spacing w:line="360" w:lineRule="auto"/>
        <w:ind w:firstLine="420" w:firstLineChars="200"/>
        <w:rPr>
          <w:rFonts w:hint="eastAsia" w:ascii="宋体" w:hAnsi="宋体"/>
          <w:color w:val="auto"/>
          <w:highlight w:val="none"/>
          <w:u w:val="single"/>
        </w:rPr>
      </w:pPr>
      <w:bookmarkStart w:id="33" w:name="_Toc28359016"/>
      <w:bookmarkStart w:id="34" w:name="_Toc44229882"/>
      <w:bookmarkStart w:id="35" w:name="_Toc28359093"/>
      <w:bookmarkStart w:id="36" w:name="_Toc35393633"/>
      <w:bookmarkStart w:id="37" w:name="_Toc35393802"/>
      <w:r>
        <w:rPr>
          <w:rFonts w:hint="eastAsia" w:ascii="宋体" w:hAnsi="宋体"/>
          <w:color w:val="auto"/>
          <w:highlight w:val="none"/>
        </w:rPr>
        <w:t>1、首次响应文件提交截止时间</w:t>
      </w:r>
      <w:r>
        <w:rPr>
          <w:rFonts w:hint="eastAsia" w:ascii="宋体" w:hAnsi="宋体"/>
          <w:bCs/>
          <w:color w:val="auto"/>
          <w:highlight w:val="none"/>
        </w:rPr>
        <w:t>（北京时间）：</w:t>
      </w:r>
      <w:r>
        <w:rPr>
          <w:rFonts w:hint="eastAsia" w:ascii="宋体" w:hAnsi="宋体"/>
          <w:color w:val="auto"/>
          <w:highlight w:val="none"/>
          <w:u w:val="single"/>
        </w:rPr>
        <w:t>2026年</w:t>
      </w:r>
      <w:r>
        <w:rPr>
          <w:rFonts w:hint="eastAsia" w:ascii="宋体" w:hAnsi="宋体"/>
          <w:color w:val="auto"/>
          <w:highlight w:val="none"/>
          <w:u w:val="single"/>
          <w:lang w:val="en-US" w:eastAsia="zh-CN"/>
        </w:rPr>
        <w:t xml:space="preserve"> 6 </w:t>
      </w:r>
      <w:r>
        <w:rPr>
          <w:rFonts w:hint="eastAsia" w:ascii="宋体" w:hAnsi="宋体"/>
          <w:color w:val="auto"/>
          <w:highlight w:val="none"/>
          <w:u w:val="single"/>
        </w:rPr>
        <w:t xml:space="preserve">月 </w:t>
      </w:r>
      <w:r>
        <w:rPr>
          <w:rFonts w:hint="eastAsia" w:ascii="宋体" w:hAnsi="宋体"/>
          <w:color w:val="auto"/>
          <w:highlight w:val="none"/>
          <w:u w:val="single"/>
          <w:lang w:val="en-US" w:eastAsia="zh-CN"/>
        </w:rPr>
        <w:t>15</w:t>
      </w:r>
      <w:r>
        <w:rPr>
          <w:rFonts w:hint="eastAsia" w:ascii="宋体" w:hAnsi="宋体"/>
          <w:color w:val="auto"/>
          <w:highlight w:val="none"/>
          <w:u w:val="single"/>
        </w:rPr>
        <w:t>日09:30:00（从磋商文件开始发出之日起至供应商提交首次响应文件截止之日止不得少于10日）</w:t>
      </w:r>
    </w:p>
    <w:p w14:paraId="16619F44">
      <w:pPr>
        <w:spacing w:line="360" w:lineRule="auto"/>
        <w:ind w:firstLine="420" w:firstLineChars="200"/>
        <w:rPr>
          <w:rFonts w:hint="eastAsia" w:ascii="宋体" w:hAnsi="宋体"/>
          <w:color w:val="auto"/>
          <w:highlight w:val="none"/>
        </w:rPr>
      </w:pPr>
      <w:r>
        <w:rPr>
          <w:rFonts w:hint="eastAsia" w:ascii="宋体" w:hAnsi="宋体"/>
          <w:color w:val="auto"/>
          <w:highlight w:val="none"/>
        </w:rPr>
        <w:t>2、首次响应文件提交地点：</w:t>
      </w:r>
    </w:p>
    <w:p w14:paraId="5583E0B5">
      <w:pPr>
        <w:spacing w:line="360" w:lineRule="auto"/>
        <w:ind w:firstLine="420" w:firstLineChars="200"/>
        <w:rPr>
          <w:rFonts w:hint="eastAsia" w:ascii="宋体" w:hAnsi="宋体"/>
          <w:color w:val="auto"/>
          <w:highlight w:val="none"/>
        </w:rPr>
      </w:pPr>
      <w:r>
        <w:rPr>
          <w:rFonts w:hint="eastAsia" w:ascii="宋体" w:hAnsi="宋体"/>
          <w:color w:val="auto"/>
          <w:highlight w:val="none"/>
        </w:rPr>
        <w:t>（1）响应文件提交方式：本项目为全流程电子化项目，通过广西政府采购云平台（https://www.gcy.zfcg.gxzf.gov.cn/）实行在线电子响应，供应商应先安装“广西政府采购云平台电子交易客户端”（请自行前往“广西政府采购云平台”进行下载），并按照本项目采购文件和“广西政府采购云平台”的要求编制、加密后在竞标截止时间前通过网络上传至“广西政府采购云平台”，</w:t>
      </w:r>
      <w:r>
        <w:rPr>
          <w:rFonts w:hint="eastAsia" w:ascii="宋体" w:hAnsi="宋体"/>
          <w:b/>
          <w:color w:val="auto"/>
          <w:highlight w:val="none"/>
        </w:rPr>
        <w:t>供应商在“广西政府采购云平台”提交电子版响应文件时，请填写参加远程采购活动经办人联系方式，</w:t>
      </w:r>
      <w:r>
        <w:rPr>
          <w:rFonts w:hint="eastAsia" w:ascii="宋体" w:hAnsi="宋体"/>
          <w:color w:val="auto"/>
          <w:highlight w:val="none"/>
        </w:rPr>
        <w:t>电子响应文件具体操作流程详见本公告附件3。</w:t>
      </w:r>
    </w:p>
    <w:p w14:paraId="1370365B">
      <w:pPr>
        <w:spacing w:line="360" w:lineRule="auto"/>
        <w:ind w:firstLine="420" w:firstLineChars="200"/>
        <w:rPr>
          <w:rFonts w:hint="eastAsia" w:ascii="宋体" w:hAnsi="宋体"/>
          <w:color w:val="auto"/>
          <w:highlight w:val="none"/>
        </w:rPr>
      </w:pPr>
      <w:r>
        <w:rPr>
          <w:rFonts w:hint="eastAsia" w:ascii="宋体" w:hAnsi="宋体"/>
          <w:color w:val="auto"/>
          <w:highlight w:val="none"/>
        </w:rPr>
        <w:t>（2）未进行网上注册并办理数字证书（CA认证）的供应商将无法参与本项目政府采购活动，潜在供应商应当在竞标截止时间前，完成电子交易平台上的CA数字证书办理（申领流程见本公告附件2）及响应文件的提交。完成CA数字证书办理预计7日左右，供应商只需办理其中一家CA数字证书及签章。</w:t>
      </w:r>
    </w:p>
    <w:p w14:paraId="3C271394">
      <w:pPr>
        <w:spacing w:line="360" w:lineRule="auto"/>
        <w:ind w:firstLine="420" w:firstLineChars="200"/>
        <w:rPr>
          <w:rFonts w:hint="eastAsia" w:ascii="宋体" w:hAnsi="宋体"/>
          <w:color w:val="auto"/>
          <w:highlight w:val="none"/>
        </w:rPr>
      </w:pPr>
      <w:r>
        <w:rPr>
          <w:rFonts w:hint="eastAsia" w:ascii="宋体" w:hAnsi="宋体"/>
          <w:color w:val="auto"/>
          <w:highlight w:val="none"/>
        </w:rPr>
        <w:t>（3）为确保网上操作合法、有效和安全，请供应商确保在电子响应过程中能够对相关数据电文进行加密和使用电子签章，妥善保管CA数字证书并使用有效的CA数字证书参与整个采购活动。</w:t>
      </w:r>
    </w:p>
    <w:p w14:paraId="752F44F2">
      <w:pPr>
        <w:spacing w:line="360" w:lineRule="auto"/>
        <w:ind w:firstLine="420" w:firstLineChars="200"/>
        <w:rPr>
          <w:rFonts w:hint="eastAsia" w:ascii="宋体" w:hAnsi="宋体"/>
          <w:bCs/>
          <w:color w:val="auto"/>
          <w:highlight w:val="none"/>
          <w:u w:val="single"/>
        </w:rPr>
      </w:pPr>
      <w:r>
        <w:rPr>
          <w:rFonts w:hint="eastAsia" w:ascii="宋体" w:hAnsi="宋体"/>
          <w:bCs/>
          <w:color w:val="auto"/>
          <w:highlight w:val="none"/>
          <w:u w:val="single"/>
        </w:rPr>
        <w:t>注：供应商应当在首次响应文件提交截止时间前完成电子响应文件的上传、递交，响应文件提交截止时间前可以补充、修改或者撤回响应文件。补充或者修改响应文件的，应当先行撤回原文件，补充、修改后重新上传、递交。响应截止时间前未完成上传、递交的，视为撤回响应文件。响应文件提交截止时间以后上传递交的响应文件的，“广西政府采购云平台”将予以拒收。</w:t>
      </w:r>
    </w:p>
    <w:p w14:paraId="6CBD755E">
      <w:pPr>
        <w:snapToGrid w:val="0"/>
        <w:spacing w:line="360" w:lineRule="auto"/>
        <w:ind w:firstLine="420" w:firstLineChars="200"/>
        <w:rPr>
          <w:rFonts w:hint="eastAsia" w:ascii="宋体" w:hAnsi="宋体"/>
          <w:color w:val="auto"/>
          <w:highlight w:val="none"/>
        </w:rPr>
      </w:pPr>
      <w:r>
        <w:rPr>
          <w:rFonts w:hint="eastAsia" w:ascii="宋体" w:hAnsi="宋体"/>
          <w:color w:val="auto"/>
          <w:highlight w:val="none"/>
        </w:rPr>
        <w:t>3、CA证书在线解密：首次响应文件开启时，</w:t>
      </w:r>
      <w:r>
        <w:rPr>
          <w:rFonts w:hint="eastAsia" w:ascii="宋体" w:hAnsi="宋体"/>
          <w:b/>
          <w:bCs/>
          <w:color w:val="auto"/>
          <w:highlight w:val="none"/>
        </w:rPr>
        <w:t>需要供应商携带制作响应文件时用来加密的有效数字证书（CA认证）</w:t>
      </w:r>
      <w:r>
        <w:rPr>
          <w:rFonts w:hint="eastAsia" w:ascii="宋体" w:hAnsi="宋体"/>
          <w:color w:val="auto"/>
          <w:highlight w:val="none"/>
        </w:rPr>
        <w:t>登录“广西政府采购云平台”电子开标大厅现场按规定时间对加密的响应文件进行解密，未能按要求进行解密的，</w:t>
      </w:r>
      <w:r>
        <w:rPr>
          <w:rFonts w:hint="eastAsia" w:ascii="宋体" w:hAnsi="宋体"/>
          <w:color w:val="auto"/>
          <w:kern w:val="0"/>
          <w:highlight w:val="none"/>
        </w:rPr>
        <w:t>由此产生的后果由磋商人自行承担。</w:t>
      </w:r>
    </w:p>
    <w:p w14:paraId="4828C3C9">
      <w:pPr>
        <w:spacing w:line="360" w:lineRule="auto"/>
        <w:ind w:firstLine="420" w:firstLineChars="200"/>
        <w:rPr>
          <w:rFonts w:hint="eastAsia" w:ascii="宋体" w:hAnsi="宋体"/>
          <w:color w:val="auto"/>
          <w:szCs w:val="21"/>
          <w:highlight w:val="none"/>
        </w:rPr>
      </w:pPr>
      <w:r>
        <w:rPr>
          <w:rFonts w:hint="eastAsia" w:ascii="宋体" w:hAnsi="宋体"/>
          <w:color w:val="auto"/>
          <w:highlight w:val="none"/>
        </w:rPr>
        <w:t>4、供应商需要在具备摄像头及语音功能且互联网网络状况良好的电脑登录“广西政府采购云平台”远程开标大厅参与本次磋商，否则后果自负。</w:t>
      </w:r>
    </w:p>
    <w:p w14:paraId="20E79AA2">
      <w:pPr>
        <w:spacing w:line="360" w:lineRule="auto"/>
        <w:ind w:firstLine="482" w:firstLineChars="200"/>
        <w:rPr>
          <w:rFonts w:hint="eastAsia" w:ascii="黑体" w:hAnsi="黑体" w:eastAsia="黑体"/>
          <w:b/>
          <w:color w:val="auto"/>
          <w:sz w:val="24"/>
          <w:highlight w:val="none"/>
        </w:rPr>
      </w:pPr>
      <w:bookmarkStart w:id="38" w:name="_Toc71365909"/>
      <w:r>
        <w:rPr>
          <w:rFonts w:hint="eastAsia" w:ascii="黑体" w:hAnsi="黑体" w:eastAsia="黑体"/>
          <w:b/>
          <w:color w:val="auto"/>
          <w:sz w:val="24"/>
          <w:highlight w:val="none"/>
        </w:rPr>
        <w:t>五、开启</w:t>
      </w:r>
      <w:bookmarkEnd w:id="33"/>
      <w:bookmarkEnd w:id="34"/>
      <w:bookmarkEnd w:id="35"/>
      <w:bookmarkEnd w:id="36"/>
      <w:bookmarkEnd w:id="37"/>
      <w:bookmarkEnd w:id="38"/>
      <w:r>
        <w:rPr>
          <w:rFonts w:hint="eastAsia" w:ascii="黑体" w:hAnsi="黑体" w:eastAsia="黑体"/>
          <w:b/>
          <w:color w:val="auto"/>
          <w:sz w:val="24"/>
          <w:highlight w:val="none"/>
        </w:rPr>
        <w:t>（</w:t>
      </w:r>
      <w:r>
        <w:rPr>
          <w:rFonts w:hint="eastAsia" w:ascii="黑体" w:hAnsi="黑体" w:eastAsia="黑体"/>
          <w:b/>
          <w:bCs/>
          <w:color w:val="auto"/>
          <w:highlight w:val="none"/>
        </w:rPr>
        <w:t>首次响应文件开启时间）</w:t>
      </w:r>
    </w:p>
    <w:p w14:paraId="346A2543">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1.时间（北京时间）：2026年</w:t>
      </w:r>
      <w:r>
        <w:rPr>
          <w:rFonts w:hint="eastAsia" w:ascii="宋体" w:hAnsi="宋体"/>
          <w:color w:val="auto"/>
          <w:szCs w:val="21"/>
          <w:highlight w:val="none"/>
          <w:lang w:val="en-US" w:eastAsia="zh-CN"/>
        </w:rPr>
        <w:t xml:space="preserve"> 6 </w:t>
      </w:r>
      <w:r>
        <w:rPr>
          <w:rFonts w:hint="eastAsia" w:ascii="宋体" w:hAnsi="宋体"/>
          <w:color w:val="auto"/>
          <w:szCs w:val="21"/>
          <w:highlight w:val="none"/>
        </w:rPr>
        <w:t xml:space="preserve">月 </w:t>
      </w:r>
      <w:r>
        <w:rPr>
          <w:rFonts w:hint="eastAsia" w:ascii="宋体" w:hAnsi="宋体"/>
          <w:color w:val="auto"/>
          <w:szCs w:val="21"/>
          <w:highlight w:val="none"/>
          <w:lang w:val="en-US" w:eastAsia="zh-CN"/>
        </w:rPr>
        <w:t>15</w:t>
      </w:r>
      <w:r>
        <w:rPr>
          <w:rFonts w:hint="eastAsia" w:ascii="宋体" w:hAnsi="宋体"/>
          <w:color w:val="auto"/>
          <w:szCs w:val="21"/>
          <w:highlight w:val="none"/>
        </w:rPr>
        <w:t>日09:30:00</w:t>
      </w:r>
    </w:p>
    <w:p w14:paraId="1FF9C325">
      <w:pPr>
        <w:spacing w:line="360" w:lineRule="auto"/>
        <w:ind w:firstLine="420" w:firstLineChars="200"/>
        <w:rPr>
          <w:rFonts w:hint="eastAsia" w:ascii="宋体" w:hAnsi="宋体"/>
          <w:bCs/>
          <w:color w:val="auto"/>
          <w:szCs w:val="21"/>
          <w:highlight w:val="none"/>
          <w:u w:val="single"/>
        </w:rPr>
      </w:pPr>
      <w:r>
        <w:rPr>
          <w:rFonts w:hint="eastAsia" w:ascii="宋体" w:hAnsi="宋体"/>
          <w:color w:val="auto"/>
          <w:szCs w:val="21"/>
          <w:highlight w:val="none"/>
        </w:rPr>
        <w:t>2.地点：广西政府采购云平台（https://www.gcy.zfcg.gxzf.gov.cn/） </w:t>
      </w:r>
    </w:p>
    <w:p w14:paraId="0BC2D359">
      <w:pPr>
        <w:ind w:firstLine="354" w:firstLineChars="147"/>
        <w:rPr>
          <w:rFonts w:hint="eastAsia" w:ascii="黑体" w:hAnsi="黑体" w:eastAsia="黑体"/>
          <w:b/>
          <w:color w:val="auto"/>
          <w:sz w:val="24"/>
          <w:highlight w:val="none"/>
        </w:rPr>
      </w:pPr>
      <w:bookmarkStart w:id="39" w:name="_Toc71365910"/>
      <w:bookmarkStart w:id="40" w:name="_Toc35393634"/>
      <w:bookmarkStart w:id="41" w:name="_Toc28359094"/>
      <w:bookmarkStart w:id="42" w:name="_Toc35393803"/>
      <w:bookmarkStart w:id="43" w:name="_Toc44229883"/>
      <w:bookmarkStart w:id="44" w:name="_Toc28359017"/>
      <w:r>
        <w:rPr>
          <w:rFonts w:hint="eastAsia" w:ascii="黑体" w:hAnsi="黑体" w:eastAsia="黑体"/>
          <w:b/>
          <w:color w:val="auto"/>
          <w:sz w:val="24"/>
          <w:highlight w:val="none"/>
        </w:rPr>
        <w:t>六、公告期限</w:t>
      </w:r>
      <w:bookmarkEnd w:id="39"/>
      <w:bookmarkEnd w:id="40"/>
      <w:bookmarkEnd w:id="41"/>
      <w:bookmarkEnd w:id="42"/>
      <w:bookmarkEnd w:id="43"/>
      <w:bookmarkEnd w:id="44"/>
    </w:p>
    <w:p w14:paraId="549C09C5">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自本公告发布之日起5个工作日。</w:t>
      </w:r>
    </w:p>
    <w:p w14:paraId="08880318">
      <w:pPr>
        <w:ind w:firstLine="354" w:firstLineChars="147"/>
        <w:rPr>
          <w:rFonts w:hint="eastAsia" w:ascii="黑体" w:hAnsi="黑体" w:eastAsia="黑体"/>
          <w:b/>
          <w:color w:val="auto"/>
          <w:sz w:val="24"/>
          <w:highlight w:val="none"/>
        </w:rPr>
      </w:pPr>
      <w:bookmarkStart w:id="45" w:name="_Toc35393804"/>
      <w:bookmarkStart w:id="46" w:name="_Toc35393635"/>
      <w:bookmarkStart w:id="47" w:name="_Toc71365911"/>
      <w:bookmarkStart w:id="48" w:name="_Toc44229884"/>
      <w:r>
        <w:rPr>
          <w:rFonts w:hint="eastAsia" w:ascii="黑体" w:hAnsi="黑体" w:eastAsia="黑体"/>
          <w:b/>
          <w:color w:val="auto"/>
          <w:sz w:val="24"/>
          <w:highlight w:val="none"/>
        </w:rPr>
        <w:t>七、其他补充事宜</w:t>
      </w:r>
      <w:bookmarkEnd w:id="45"/>
      <w:bookmarkEnd w:id="46"/>
      <w:bookmarkEnd w:id="47"/>
      <w:bookmarkEnd w:id="48"/>
    </w:p>
    <w:p w14:paraId="79EC0C0B">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 磋商保证金</w:t>
      </w:r>
      <w:r>
        <w:rPr>
          <w:rFonts w:hint="eastAsia" w:ascii="宋体" w:hAnsi="宋体" w:cs="宋体"/>
          <w:color w:val="auto"/>
          <w:kern w:val="0"/>
          <w:szCs w:val="21"/>
          <w:highlight w:val="none"/>
          <w:lang w:bidi="ar"/>
        </w:rPr>
        <w:t>（人民币）</w:t>
      </w:r>
      <w:r>
        <w:rPr>
          <w:rFonts w:hint="eastAsia" w:ascii="宋体" w:hAnsi="宋体" w:cs="宋体"/>
          <w:color w:val="auto"/>
          <w:kern w:val="0"/>
          <w:szCs w:val="21"/>
          <w:highlight w:val="none"/>
        </w:rPr>
        <w:t>：壹万元整（¥10000.00）。</w:t>
      </w:r>
    </w:p>
    <w:p w14:paraId="721BE9F4">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磋商保证金的交纳方式：银行转账、支票、汇票、本票或者金融机构、担保机构出具的保函，禁止采用现钞方式。采用银行转账方式的，在投标截止时间前交至采购代理机构指定账户并且到账：【开户名称：广西建设工程机电设备招标中心有限公司，开户银行：招商银行南宁分行营业部，银行账号：7719 0142 3310 201】，并备注：（</w:t>
      </w:r>
      <w:r>
        <w:rPr>
          <w:rFonts w:hint="eastAsia" w:ascii="宋体" w:hAnsi="宋体"/>
          <w:color w:val="auto"/>
          <w:szCs w:val="21"/>
          <w:highlight w:val="none"/>
          <w:lang w:eastAsia="zh-CN"/>
        </w:rPr>
        <w:t>项目编号</w:t>
      </w:r>
      <w:r>
        <w:rPr>
          <w:rFonts w:hint="eastAsia" w:ascii="宋体" w:hAnsi="宋体" w:cs="宋体"/>
          <w:color w:val="auto"/>
          <w:kern w:val="0"/>
          <w:szCs w:val="21"/>
          <w:highlight w:val="none"/>
        </w:rPr>
        <w:t>）；采用支票、汇票、本票或者保函等方式的，在投标截止时间前，供应商应当递交单独密封的支票、汇票、本票或者保函原件。否则视为无效磋商保证金。</w:t>
      </w:r>
    </w:p>
    <w:p w14:paraId="51AEB3DD">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ascii="宋体" w:hAnsi="宋体" w:cs="宋体"/>
          <w:color w:val="auto"/>
          <w:kern w:val="0"/>
          <w:szCs w:val="21"/>
          <w:highlight w:val="none"/>
        </w:rPr>
        <w:t>.</w:t>
      </w:r>
      <w:r>
        <w:rPr>
          <w:rFonts w:hint="eastAsia" w:ascii="宋体" w:hAnsi="宋体" w:cs="宋体"/>
          <w:color w:val="auto"/>
          <w:kern w:val="0"/>
          <w:szCs w:val="21"/>
          <w:highlight w:val="none"/>
        </w:rPr>
        <w:t>网上查询地址</w:t>
      </w:r>
    </w:p>
    <w:p w14:paraId="3E21DF86">
      <w:pPr>
        <w:spacing w:line="360" w:lineRule="auto"/>
        <w:ind w:firstLine="420" w:firstLineChars="200"/>
        <w:rPr>
          <w:rFonts w:hint="eastAsia" w:ascii="宋体" w:hAnsi="宋体" w:cs="宋体"/>
          <w:color w:val="auto"/>
          <w:kern w:val="0"/>
          <w:szCs w:val="21"/>
          <w:highlight w:val="none"/>
          <w:lang w:val="en"/>
        </w:rPr>
      </w:pPr>
      <w:r>
        <w:rPr>
          <w:rFonts w:hint="eastAsia" w:ascii="宋体" w:hAnsi="宋体" w:cs="宋体"/>
          <w:color w:val="auto"/>
          <w:kern w:val="0"/>
          <w:szCs w:val="21"/>
          <w:highlight w:val="none"/>
        </w:rPr>
        <w:t>www.ccgp.gov.cn（中国政府采购网）、zfcg.gxzf.gov.cn（广西壮族自治区政府采购网）、</w:t>
      </w:r>
      <w:r>
        <w:rPr>
          <w:rFonts w:hint="eastAsia" w:ascii="宋体" w:hAnsi="宋体" w:cs="宋体"/>
          <w:color w:val="auto"/>
          <w:kern w:val="0"/>
          <w:szCs w:val="21"/>
          <w:highlight w:val="none"/>
          <w:lang w:val="en"/>
        </w:rPr>
        <w:t>http://www.guangxibid.com.cn/（</w:t>
      </w:r>
      <w:r>
        <w:rPr>
          <w:rFonts w:hint="eastAsia" w:ascii="宋体" w:hAnsi="宋体"/>
          <w:color w:val="auto"/>
          <w:szCs w:val="21"/>
          <w:highlight w:val="none"/>
        </w:rPr>
        <w:t>广西招标网</w:t>
      </w:r>
      <w:r>
        <w:rPr>
          <w:rFonts w:hint="eastAsia" w:ascii="宋体" w:hAnsi="宋体" w:cs="宋体"/>
          <w:color w:val="auto"/>
          <w:kern w:val="0"/>
          <w:szCs w:val="21"/>
          <w:highlight w:val="none"/>
          <w:lang w:val="en"/>
        </w:rPr>
        <w:t>）</w:t>
      </w:r>
    </w:p>
    <w:p w14:paraId="0D350158">
      <w:pPr>
        <w:spacing w:line="360" w:lineRule="auto"/>
        <w:ind w:firstLine="424" w:firstLineChars="202"/>
        <w:rPr>
          <w:rFonts w:hint="eastAsia" w:ascii="宋体" w:hAnsi="宋体" w:cs="宋体"/>
          <w:color w:val="auto"/>
          <w:kern w:val="0"/>
          <w:szCs w:val="21"/>
          <w:highlight w:val="none"/>
        </w:rPr>
      </w:pPr>
      <w:bookmarkStart w:id="49" w:name="_Hlk37429674"/>
      <w:bookmarkStart w:id="50" w:name="_Toc35393636"/>
      <w:bookmarkStart w:id="51" w:name="_Toc28359095"/>
      <w:bookmarkStart w:id="52" w:name="_Toc35393805"/>
      <w:bookmarkStart w:id="53" w:name="_Toc28359018"/>
      <w:bookmarkStart w:id="54" w:name="_Toc44229885"/>
      <w:r>
        <w:rPr>
          <w:rFonts w:hint="eastAsia" w:ascii="宋体" w:hAnsi="宋体"/>
          <w:color w:val="auto"/>
          <w:szCs w:val="21"/>
          <w:highlight w:val="none"/>
        </w:rPr>
        <w:t>3</w:t>
      </w:r>
      <w:r>
        <w:rPr>
          <w:rFonts w:ascii="宋体" w:hAnsi="宋体"/>
          <w:color w:val="auto"/>
          <w:szCs w:val="21"/>
          <w:highlight w:val="none"/>
        </w:rPr>
        <w:t>.</w:t>
      </w:r>
      <w:r>
        <w:rPr>
          <w:rFonts w:hint="eastAsia" w:ascii="宋体" w:hAnsi="宋体" w:cs="宋体"/>
          <w:color w:val="auto"/>
          <w:kern w:val="0"/>
          <w:szCs w:val="21"/>
          <w:highlight w:val="none"/>
        </w:rPr>
        <w:t>本项目需要落实的政府采购政策</w:t>
      </w:r>
    </w:p>
    <w:p w14:paraId="43028E7A">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（1）政府采购促进中小企业发展。</w:t>
      </w:r>
    </w:p>
    <w:p w14:paraId="32E3DE38">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（2）政府采购促进残疾人就业政策。</w:t>
      </w:r>
    </w:p>
    <w:p w14:paraId="1297195E">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（3）政府采购支持监狱企业发展。</w:t>
      </w:r>
    </w:p>
    <w:bookmarkEnd w:id="49"/>
    <w:p w14:paraId="072D0E1B">
      <w:pPr>
        <w:widowControl/>
        <w:spacing w:line="360" w:lineRule="auto"/>
        <w:ind w:firstLine="420" w:firstLineChars="200"/>
        <w:jc w:val="left"/>
        <w:rPr>
          <w:rFonts w:hint="eastAsia" w:ascii="宋体" w:hAnsi="宋体"/>
          <w:bCs/>
          <w:color w:val="auto"/>
          <w:szCs w:val="21"/>
          <w:highlight w:val="none"/>
        </w:rPr>
      </w:pPr>
      <w:r>
        <w:rPr>
          <w:rFonts w:hint="eastAsia" w:ascii="宋体" w:hAnsi="宋体" w:cs="宋体"/>
          <w:color w:val="auto"/>
          <w:kern w:val="0"/>
          <w:szCs w:val="21"/>
          <w:highlight w:val="none"/>
        </w:rPr>
        <w:t>4.供应商认为采购文件使自己的权益受到损害的，可以自获取采购文件之日或者采购文件公告期限届满之日（公告期限届满后获取采购文件的，以公告期限届满之日为准）起7个工作日内以书面形式一次性向采购人和采购代理机构提出同一环节的质疑。否则，逾期的质疑采购人及招标代理机构可不予接受。质疑供应商对采购人、采购代理机构的答复不满意或者采购人、采购代理机构未在规定的时间内作出答复的，可以在答复期满后十五个工作日内向同级政府采购监督管理部门投诉。</w:t>
      </w:r>
    </w:p>
    <w:p w14:paraId="4947A697">
      <w:pPr>
        <w:spacing w:line="360" w:lineRule="auto"/>
        <w:ind w:firstLine="420" w:firstLineChars="200"/>
        <w:rPr>
          <w:rFonts w:hint="eastAsia" w:ascii="宋体" w:hAnsi="宋体"/>
          <w:color w:val="auto"/>
          <w:szCs w:val="21"/>
          <w:highlight w:val="none"/>
          <w:u w:val="single"/>
        </w:rPr>
      </w:pPr>
      <w:r>
        <w:rPr>
          <w:rFonts w:hint="eastAsia" w:ascii="宋体" w:hAnsi="宋体" w:cs="宋体"/>
          <w:color w:val="auto"/>
          <w:kern w:val="0"/>
          <w:szCs w:val="21"/>
          <w:highlight w:val="none"/>
        </w:rPr>
        <w:t>5.若对项目采购电子交易系统操作有疑问，可登录“广西政府采购云平台”（https://www.zcygov.cn/），点击右侧咨询小采，获取采小蜜智能服务管家帮助，或拨打广西政府采购云平台服务热线95763获取热线服务帮助。</w:t>
      </w:r>
    </w:p>
    <w:p w14:paraId="6082D2DF">
      <w:pPr>
        <w:ind w:firstLine="354" w:firstLineChars="147"/>
        <w:rPr>
          <w:rFonts w:hint="eastAsia" w:ascii="黑体" w:hAnsi="黑体" w:eastAsia="黑体"/>
          <w:b/>
          <w:color w:val="auto"/>
          <w:sz w:val="24"/>
          <w:highlight w:val="none"/>
        </w:rPr>
      </w:pPr>
      <w:r>
        <w:rPr>
          <w:rFonts w:hint="eastAsia" w:ascii="黑体" w:hAnsi="黑体" w:eastAsia="黑体"/>
          <w:b/>
          <w:color w:val="auto"/>
          <w:sz w:val="24"/>
          <w:highlight w:val="none"/>
        </w:rPr>
        <w:t>八、凡对本次采购提出询问，请按</w:t>
      </w:r>
      <w:r>
        <w:rPr>
          <w:rFonts w:ascii="黑体" w:hAnsi="黑体" w:eastAsia="黑体"/>
          <w:b/>
          <w:color w:val="auto"/>
          <w:sz w:val="24"/>
          <w:highlight w:val="none"/>
        </w:rPr>
        <w:t>以下方式</w:t>
      </w:r>
      <w:r>
        <w:rPr>
          <w:rFonts w:hint="eastAsia" w:ascii="黑体" w:hAnsi="黑体" w:eastAsia="黑体"/>
          <w:b/>
          <w:color w:val="auto"/>
          <w:sz w:val="24"/>
          <w:highlight w:val="none"/>
        </w:rPr>
        <w:t>联系。</w:t>
      </w:r>
      <w:bookmarkEnd w:id="50"/>
      <w:bookmarkEnd w:id="51"/>
      <w:bookmarkEnd w:id="52"/>
      <w:bookmarkEnd w:id="53"/>
      <w:bookmarkEnd w:id="54"/>
    </w:p>
    <w:p w14:paraId="353FEE40">
      <w:pPr>
        <w:spacing w:line="400" w:lineRule="exact"/>
        <w:ind w:firstLine="420" w:firstLineChars="200"/>
        <w:rPr>
          <w:rFonts w:hint="eastAsia" w:ascii="宋体" w:hAnsi="宋体" w:cs="仿宋"/>
          <w:color w:val="auto"/>
          <w:kern w:val="0"/>
          <w:szCs w:val="21"/>
          <w:highlight w:val="none"/>
          <w:lang w:eastAsia="zh-CN"/>
        </w:rPr>
      </w:pPr>
      <w:r>
        <w:rPr>
          <w:rFonts w:hint="eastAsia" w:ascii="宋体" w:hAnsi="宋体" w:cs="仿宋"/>
          <w:color w:val="auto"/>
          <w:kern w:val="0"/>
          <w:szCs w:val="21"/>
          <w:highlight w:val="none"/>
        </w:rPr>
        <w:t>名    称：</w:t>
      </w:r>
      <w:r>
        <w:rPr>
          <w:rFonts w:hint="eastAsia" w:ascii="宋体" w:hAnsi="宋体" w:cs="仿宋"/>
          <w:color w:val="auto"/>
          <w:kern w:val="0"/>
          <w:szCs w:val="21"/>
          <w:highlight w:val="none"/>
          <w:lang w:eastAsia="zh-CN"/>
        </w:rPr>
        <w:t>广西壮族自治区高速公路发展中心</w:t>
      </w:r>
    </w:p>
    <w:p w14:paraId="26E26C30">
      <w:pPr>
        <w:spacing w:line="400" w:lineRule="exact"/>
        <w:ind w:firstLine="420" w:firstLineChars="200"/>
        <w:rPr>
          <w:rFonts w:hint="eastAsia" w:ascii="宋体" w:hAnsi="宋体" w:cs="仿宋"/>
          <w:color w:val="auto"/>
          <w:kern w:val="0"/>
          <w:szCs w:val="21"/>
          <w:highlight w:val="none"/>
        </w:rPr>
      </w:pPr>
      <w:r>
        <w:rPr>
          <w:rFonts w:hint="eastAsia" w:ascii="宋体" w:hAnsi="宋体" w:cs="仿宋"/>
          <w:color w:val="auto"/>
          <w:kern w:val="0"/>
          <w:szCs w:val="21"/>
          <w:highlight w:val="none"/>
        </w:rPr>
        <w:t>地    址：南宁市青秀区滨湖路66号</w:t>
      </w:r>
    </w:p>
    <w:p w14:paraId="0D353B1E">
      <w:pPr>
        <w:spacing w:line="400" w:lineRule="exact"/>
        <w:ind w:firstLine="420" w:firstLineChars="200"/>
        <w:rPr>
          <w:rFonts w:hint="default" w:ascii="宋体" w:hAnsi="宋体" w:eastAsia="宋体" w:cs="仿宋"/>
          <w:color w:val="auto"/>
          <w:kern w:val="0"/>
          <w:szCs w:val="21"/>
          <w:highlight w:val="none"/>
          <w:lang w:val="en-US" w:eastAsia="zh-CN"/>
        </w:rPr>
      </w:pPr>
      <w:r>
        <w:rPr>
          <w:rFonts w:hint="eastAsia" w:ascii="宋体" w:hAnsi="宋体" w:cs="仿宋"/>
          <w:color w:val="auto"/>
          <w:kern w:val="0"/>
          <w:szCs w:val="21"/>
          <w:highlight w:val="none"/>
        </w:rPr>
        <w:t>联系方式：龚宇；0771-21159</w:t>
      </w:r>
      <w:r>
        <w:rPr>
          <w:rFonts w:hint="eastAsia" w:ascii="宋体" w:hAnsi="宋体" w:cs="仿宋"/>
          <w:color w:val="auto"/>
          <w:kern w:val="0"/>
          <w:szCs w:val="21"/>
          <w:highlight w:val="none"/>
          <w:lang w:val="en-US" w:eastAsia="zh-CN"/>
        </w:rPr>
        <w:t>27</w:t>
      </w:r>
    </w:p>
    <w:p w14:paraId="4F645481">
      <w:pPr>
        <w:spacing w:line="400" w:lineRule="exact"/>
        <w:ind w:firstLine="420" w:firstLineChars="200"/>
        <w:rPr>
          <w:rFonts w:hint="eastAsia" w:ascii="宋体" w:hAnsi="宋体" w:cs="仿宋"/>
          <w:color w:val="auto"/>
          <w:kern w:val="0"/>
          <w:szCs w:val="21"/>
          <w:highlight w:val="none"/>
        </w:rPr>
      </w:pPr>
      <w:r>
        <w:rPr>
          <w:rFonts w:hint="eastAsia" w:ascii="宋体" w:hAnsi="宋体" w:cs="仿宋"/>
          <w:color w:val="auto"/>
          <w:kern w:val="0"/>
          <w:szCs w:val="21"/>
          <w:highlight w:val="none"/>
        </w:rPr>
        <w:t>2.采购代理机构信息</w:t>
      </w:r>
    </w:p>
    <w:p w14:paraId="40C11F88">
      <w:pPr>
        <w:spacing w:line="400" w:lineRule="exact"/>
        <w:ind w:firstLine="420" w:firstLineChars="200"/>
        <w:rPr>
          <w:rFonts w:hint="eastAsia" w:ascii="宋体" w:hAnsi="宋体" w:cs="仿宋"/>
          <w:color w:val="auto"/>
          <w:kern w:val="0"/>
          <w:szCs w:val="21"/>
          <w:highlight w:val="none"/>
        </w:rPr>
      </w:pPr>
      <w:bookmarkStart w:id="55" w:name="_Toc35393808"/>
      <w:bookmarkStart w:id="56" w:name="_Toc35393639"/>
      <w:bookmarkStart w:id="57" w:name="_Toc28359098"/>
      <w:bookmarkStart w:id="58" w:name="_Toc28359021"/>
      <w:r>
        <w:rPr>
          <w:rFonts w:hint="eastAsia" w:ascii="宋体" w:hAnsi="宋体" w:cs="仿宋"/>
          <w:color w:val="auto"/>
          <w:kern w:val="0"/>
          <w:szCs w:val="21"/>
          <w:highlight w:val="none"/>
        </w:rPr>
        <w:t>名称：广西建设工程机电设备招标中心有限公司　　</w:t>
      </w:r>
    </w:p>
    <w:p w14:paraId="26CC83E0">
      <w:pPr>
        <w:spacing w:line="400" w:lineRule="exact"/>
        <w:ind w:firstLine="420" w:firstLineChars="200"/>
        <w:rPr>
          <w:rFonts w:hint="eastAsia" w:ascii="宋体" w:hAnsi="宋体" w:cs="仿宋"/>
          <w:color w:val="auto"/>
          <w:kern w:val="0"/>
          <w:szCs w:val="21"/>
          <w:highlight w:val="none"/>
        </w:rPr>
      </w:pPr>
      <w:r>
        <w:rPr>
          <w:rFonts w:hint="eastAsia" w:ascii="宋体" w:hAnsi="宋体" w:cs="仿宋"/>
          <w:color w:val="auto"/>
          <w:kern w:val="0"/>
          <w:szCs w:val="21"/>
          <w:highlight w:val="none"/>
        </w:rPr>
        <w:t>地　　址：南宁市</w:t>
      </w:r>
      <w:r>
        <w:rPr>
          <w:rFonts w:hint="eastAsia" w:ascii="宋体" w:hAnsi="宋体" w:cs="仿宋"/>
          <w:color w:val="auto"/>
          <w:kern w:val="0"/>
          <w:szCs w:val="21"/>
          <w:highlight w:val="none"/>
          <w:lang w:val="en-US" w:eastAsia="zh-CN"/>
        </w:rPr>
        <w:t>枫林路18号国控大厦裙楼三楼</w:t>
      </w:r>
    </w:p>
    <w:p w14:paraId="6E0D124E">
      <w:pPr>
        <w:spacing w:line="400" w:lineRule="exact"/>
        <w:ind w:firstLine="420" w:firstLineChars="200"/>
        <w:rPr>
          <w:rFonts w:hint="eastAsia" w:ascii="宋体" w:hAnsi="宋体" w:cs="仿宋"/>
          <w:color w:val="auto"/>
          <w:kern w:val="0"/>
          <w:szCs w:val="21"/>
          <w:highlight w:val="none"/>
        </w:rPr>
      </w:pPr>
      <w:r>
        <w:rPr>
          <w:rFonts w:hint="eastAsia" w:ascii="宋体" w:hAnsi="宋体" w:cs="仿宋"/>
          <w:color w:val="auto"/>
          <w:kern w:val="0"/>
          <w:szCs w:val="21"/>
          <w:highlight w:val="none"/>
        </w:rPr>
        <w:t>联系电话：0771-2810302</w:t>
      </w:r>
    </w:p>
    <w:p w14:paraId="32728CE7">
      <w:pPr>
        <w:spacing w:line="400" w:lineRule="exact"/>
        <w:ind w:firstLine="420" w:firstLineChars="200"/>
        <w:rPr>
          <w:rFonts w:hint="eastAsia" w:ascii="宋体" w:hAnsi="宋体" w:cs="仿宋"/>
          <w:color w:val="auto"/>
          <w:kern w:val="0"/>
          <w:szCs w:val="21"/>
          <w:highlight w:val="none"/>
        </w:rPr>
      </w:pPr>
      <w:r>
        <w:rPr>
          <w:rFonts w:hint="eastAsia" w:ascii="宋体" w:hAnsi="宋体" w:cs="仿宋"/>
          <w:color w:val="auto"/>
          <w:kern w:val="0"/>
          <w:szCs w:val="21"/>
          <w:highlight w:val="none"/>
        </w:rPr>
        <w:t>3.项目联系方式</w:t>
      </w:r>
      <w:bookmarkEnd w:id="55"/>
      <w:bookmarkEnd w:id="56"/>
      <w:bookmarkEnd w:id="57"/>
      <w:bookmarkEnd w:id="58"/>
    </w:p>
    <w:p w14:paraId="3CBF197C">
      <w:pPr>
        <w:spacing w:line="400" w:lineRule="exact"/>
        <w:ind w:firstLine="420" w:firstLineChars="200"/>
        <w:rPr>
          <w:rFonts w:hint="eastAsia" w:ascii="宋体" w:hAnsi="宋体" w:cs="仿宋"/>
          <w:color w:val="auto"/>
          <w:kern w:val="0"/>
          <w:szCs w:val="21"/>
          <w:highlight w:val="none"/>
          <w:lang w:eastAsia="zh-CN"/>
        </w:rPr>
      </w:pPr>
      <w:r>
        <w:rPr>
          <w:rFonts w:hint="eastAsia" w:ascii="宋体" w:hAnsi="宋体" w:cs="仿宋"/>
          <w:color w:val="auto"/>
          <w:kern w:val="0"/>
          <w:szCs w:val="21"/>
          <w:highlight w:val="none"/>
        </w:rPr>
        <w:t>项目联系人：</w:t>
      </w:r>
      <w:r>
        <w:rPr>
          <w:rFonts w:hint="eastAsia" w:ascii="宋体" w:hAnsi="宋体" w:cs="仿宋"/>
          <w:color w:val="auto"/>
          <w:kern w:val="0"/>
          <w:szCs w:val="21"/>
          <w:highlight w:val="none"/>
          <w:lang w:eastAsia="zh-CN"/>
        </w:rPr>
        <w:t>杨小凤、谌金群</w:t>
      </w:r>
    </w:p>
    <w:p w14:paraId="07094453">
      <w:pPr>
        <w:spacing w:line="400" w:lineRule="exact"/>
        <w:ind w:firstLine="420" w:firstLineChars="200"/>
        <w:rPr>
          <w:rFonts w:hint="eastAsia" w:ascii="宋体" w:hAnsi="宋体" w:cs="仿宋"/>
          <w:color w:val="auto"/>
          <w:kern w:val="0"/>
          <w:szCs w:val="21"/>
          <w:highlight w:val="none"/>
        </w:rPr>
      </w:pPr>
      <w:r>
        <w:rPr>
          <w:rFonts w:hint="eastAsia" w:ascii="宋体" w:hAnsi="宋体" w:cs="仿宋"/>
          <w:color w:val="auto"/>
          <w:kern w:val="0"/>
          <w:szCs w:val="21"/>
          <w:highlight w:val="none"/>
        </w:rPr>
        <w:t>电　　话：0771-2810302</w:t>
      </w:r>
    </w:p>
    <w:p w14:paraId="3E25CDD3">
      <w:pPr>
        <w:spacing w:line="400" w:lineRule="exact"/>
        <w:ind w:firstLine="420" w:firstLineChars="200"/>
        <w:rPr>
          <w:rFonts w:hint="eastAsia" w:ascii="宋体" w:hAnsi="宋体" w:cs="仿宋"/>
          <w:color w:val="auto"/>
          <w:kern w:val="0"/>
          <w:szCs w:val="21"/>
          <w:highlight w:val="none"/>
        </w:rPr>
      </w:pPr>
    </w:p>
    <w:p w14:paraId="6A753259">
      <w:pPr>
        <w:spacing w:line="360" w:lineRule="auto"/>
        <w:ind w:firstLine="420" w:firstLineChars="200"/>
        <w:jc w:val="right"/>
        <w:rPr>
          <w:rFonts w:hint="eastAsia" w:ascii="宋体" w:hAnsi="宋体"/>
          <w:color w:val="auto"/>
          <w:szCs w:val="21"/>
          <w:highlight w:val="none"/>
        </w:rPr>
      </w:pPr>
    </w:p>
    <w:p w14:paraId="0E87A9FC">
      <w:pPr>
        <w:spacing w:line="360" w:lineRule="auto"/>
        <w:ind w:firstLine="420" w:firstLineChars="200"/>
        <w:jc w:val="right"/>
        <w:rPr>
          <w:rFonts w:hint="eastAsia" w:ascii="宋体" w:hAnsi="宋体"/>
          <w:color w:val="auto"/>
          <w:szCs w:val="21"/>
          <w:highlight w:val="none"/>
        </w:rPr>
      </w:pPr>
    </w:p>
    <w:p w14:paraId="0B58CE81">
      <w:pPr>
        <w:spacing w:line="360" w:lineRule="auto"/>
        <w:ind w:firstLine="420" w:firstLineChars="200"/>
        <w:jc w:val="right"/>
        <w:rPr>
          <w:rFonts w:hint="eastAsia" w:ascii="宋体" w:hAnsi="宋体"/>
          <w:color w:val="auto"/>
          <w:szCs w:val="21"/>
          <w:highlight w:val="none"/>
        </w:rPr>
      </w:pPr>
      <w:r>
        <w:rPr>
          <w:rFonts w:hint="eastAsia" w:ascii="宋体" w:hAnsi="宋体"/>
          <w:color w:val="auto"/>
          <w:szCs w:val="21"/>
          <w:highlight w:val="none"/>
        </w:rPr>
        <w:t>广西建设工程机电设备招标中心有限公司</w:t>
      </w:r>
    </w:p>
    <w:p w14:paraId="1E7BEDAE">
      <w:pPr>
        <w:spacing w:line="360" w:lineRule="auto"/>
        <w:ind w:firstLine="420" w:firstLineChars="200"/>
        <w:jc w:val="right"/>
        <w:rPr>
          <w:rFonts w:hint="eastAsia" w:ascii="宋体" w:hAnsi="宋体"/>
          <w:color w:val="auto"/>
          <w:szCs w:val="21"/>
          <w:highlight w:val="none"/>
        </w:rPr>
      </w:pPr>
      <w:r>
        <w:rPr>
          <w:rFonts w:hint="eastAsia" w:ascii="宋体" w:hAnsi="宋体"/>
          <w:color w:val="auto"/>
          <w:szCs w:val="21"/>
          <w:highlight w:val="none"/>
        </w:rPr>
        <w:t>2026年</w:t>
      </w:r>
      <w:r>
        <w:rPr>
          <w:rFonts w:hint="eastAsia" w:ascii="宋体" w:hAnsi="宋体"/>
          <w:color w:val="auto"/>
          <w:szCs w:val="21"/>
          <w:highlight w:val="none"/>
          <w:lang w:val="en-US" w:eastAsia="zh-CN"/>
        </w:rPr>
        <w:t xml:space="preserve"> 6 </w:t>
      </w:r>
      <w:r>
        <w:rPr>
          <w:rFonts w:hint="eastAsia" w:ascii="宋体" w:hAnsi="宋体"/>
          <w:color w:val="auto"/>
          <w:szCs w:val="21"/>
          <w:highlight w:val="none"/>
        </w:rPr>
        <w:t>月</w:t>
      </w:r>
      <w:r>
        <w:rPr>
          <w:rFonts w:hint="eastAsia" w:ascii="宋体" w:hAnsi="宋体"/>
          <w:color w:val="auto"/>
          <w:szCs w:val="21"/>
          <w:highlight w:val="none"/>
          <w:lang w:val="en-US" w:eastAsia="zh-CN"/>
        </w:rPr>
        <w:t xml:space="preserve"> 2 </w:t>
      </w:r>
      <w:r>
        <w:rPr>
          <w:rFonts w:hint="eastAsia" w:ascii="宋体" w:hAnsi="宋体"/>
          <w:color w:val="auto"/>
          <w:szCs w:val="21"/>
          <w:highlight w:val="none"/>
        </w:rPr>
        <w:t>日</w:t>
      </w:r>
    </w:p>
    <w:p w14:paraId="659DDC38">
      <w:pPr>
        <w:pStyle w:val="2"/>
        <w:rPr>
          <w:rFonts w:hint="eastAsia" w:ascii="宋体" w:hAnsi="宋体"/>
          <w:color w:val="auto"/>
          <w:szCs w:val="21"/>
          <w:highlight w:val="none"/>
        </w:rPr>
      </w:pPr>
    </w:p>
    <w:p w14:paraId="19C4E3CC">
      <w:pPr>
        <w:rPr>
          <w:rFonts w:hint="eastAsia" w:ascii="宋体" w:hAnsi="宋体"/>
          <w:color w:val="auto"/>
          <w:szCs w:val="21"/>
          <w:highlight w:val="none"/>
        </w:rPr>
      </w:pPr>
    </w:p>
    <w:p w14:paraId="2D5E1FA7">
      <w:pPr>
        <w:pStyle w:val="2"/>
        <w:rPr>
          <w:rFonts w:hint="eastAsia" w:ascii="宋体" w:hAnsi="宋体"/>
          <w:color w:val="auto"/>
          <w:szCs w:val="21"/>
          <w:highlight w:val="none"/>
        </w:rPr>
      </w:pPr>
    </w:p>
    <w:p w14:paraId="3FF74686">
      <w:pPr>
        <w:rPr>
          <w:rFonts w:hint="eastAsia" w:ascii="宋体" w:hAnsi="宋体"/>
          <w:color w:val="auto"/>
          <w:szCs w:val="21"/>
          <w:highlight w:val="none"/>
        </w:rPr>
      </w:pPr>
    </w:p>
    <w:p w14:paraId="38B0A3D2">
      <w:pPr>
        <w:pStyle w:val="2"/>
        <w:rPr>
          <w:rFonts w:hint="eastAsia" w:ascii="宋体" w:hAnsi="宋体"/>
          <w:color w:val="auto"/>
          <w:szCs w:val="21"/>
          <w:highlight w:val="none"/>
        </w:rPr>
      </w:pPr>
    </w:p>
    <w:p w14:paraId="55971297">
      <w:pPr>
        <w:rPr>
          <w:rFonts w:hint="eastAsia" w:ascii="宋体" w:hAnsi="宋体"/>
          <w:color w:val="auto"/>
          <w:szCs w:val="21"/>
          <w:highlight w:val="none"/>
        </w:rPr>
      </w:pPr>
    </w:p>
    <w:p w14:paraId="6CA4CF82">
      <w:pPr>
        <w:pStyle w:val="2"/>
        <w:rPr>
          <w:rFonts w:hint="eastAsia" w:ascii="宋体" w:hAnsi="宋体"/>
          <w:color w:val="auto"/>
          <w:szCs w:val="21"/>
          <w:highlight w:val="none"/>
        </w:rPr>
      </w:pPr>
    </w:p>
    <w:p w14:paraId="7DFA07B3">
      <w:pPr>
        <w:ind w:firstLineChars="600"/>
        <w:rPr>
          <w:rFonts w:hint="eastAsia"/>
          <w:color w:val="auto"/>
          <w:highlight w:val="none"/>
        </w:rPr>
      </w:pPr>
      <w:bookmarkStart w:id="59" w:name="_Toc74323457"/>
      <w:r>
        <w:rPr>
          <w:rFonts w:hint="eastAsia"/>
          <w:color w:val="auto"/>
          <w:highlight w:val="none"/>
        </w:rPr>
        <w:br w:type="page"/>
      </w:r>
    </w:p>
    <w:p w14:paraId="7D28CDC8">
      <w:pPr>
        <w:pStyle w:val="3"/>
        <w:spacing w:line="240" w:lineRule="auto"/>
        <w:ind w:firstLine="2650" w:firstLineChars="600"/>
        <w:rPr>
          <w:color w:val="auto"/>
          <w:highlight w:val="none"/>
        </w:rPr>
      </w:pPr>
      <w:r>
        <w:rPr>
          <w:rFonts w:hint="eastAsia"/>
          <w:color w:val="auto"/>
          <w:highlight w:val="none"/>
        </w:rPr>
        <w:t>第二章 供应商须知</w:t>
      </w:r>
      <w:bookmarkEnd w:id="59"/>
    </w:p>
    <w:p w14:paraId="3DD09215">
      <w:pPr>
        <w:jc w:val="center"/>
        <w:rPr>
          <w:rFonts w:hint="eastAsia" w:ascii="宋体" w:hAnsi="宋体"/>
          <w:b/>
          <w:color w:val="auto"/>
          <w:sz w:val="32"/>
          <w:szCs w:val="32"/>
          <w:highlight w:val="none"/>
        </w:rPr>
      </w:pPr>
      <w:r>
        <w:rPr>
          <w:rFonts w:hint="eastAsia" w:ascii="宋体" w:hAnsi="宋体"/>
          <w:b/>
          <w:color w:val="auto"/>
          <w:sz w:val="32"/>
          <w:szCs w:val="32"/>
          <w:highlight w:val="none"/>
        </w:rPr>
        <w:t>供应商须知前附表</w:t>
      </w:r>
    </w:p>
    <w:p w14:paraId="20EACF16">
      <w:pPr>
        <w:spacing w:line="400" w:lineRule="exact"/>
        <w:jc w:val="center"/>
        <w:rPr>
          <w:rFonts w:hint="eastAsia" w:ascii="宋体" w:hAnsi="宋体"/>
          <w:b/>
          <w:color w:val="auto"/>
          <w:sz w:val="32"/>
          <w:szCs w:val="32"/>
          <w:highlight w:val="none"/>
        </w:rPr>
      </w:pPr>
    </w:p>
    <w:tbl>
      <w:tblPr>
        <w:tblStyle w:val="2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2"/>
        <w:gridCol w:w="7912"/>
      </w:tblGrid>
      <w:tr w14:paraId="6623CC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Pr>
          <w:p w14:paraId="45732387">
            <w:pPr>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条款号</w:t>
            </w:r>
          </w:p>
        </w:tc>
        <w:tc>
          <w:tcPr>
            <w:tcW w:w="7912" w:type="dxa"/>
          </w:tcPr>
          <w:p w14:paraId="5663690E">
            <w:pPr>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内    容</w:t>
            </w:r>
          </w:p>
        </w:tc>
      </w:tr>
      <w:tr w14:paraId="765AA1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0" w:hRule="atLeast"/>
          <w:jc w:val="center"/>
        </w:trPr>
        <w:tc>
          <w:tcPr>
            <w:tcW w:w="992" w:type="dxa"/>
            <w:vAlign w:val="center"/>
          </w:tcPr>
          <w:p w14:paraId="7F4B2BA9">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7912" w:type="dxa"/>
            <w:vAlign w:val="center"/>
          </w:tcPr>
          <w:p w14:paraId="6013B87F">
            <w:pPr>
              <w:spacing w:line="360" w:lineRule="auto"/>
              <w:rPr>
                <w:rFonts w:hint="eastAsia" w:ascii="宋体" w:hAnsi="宋体" w:cs="宋体"/>
                <w:color w:val="auto"/>
                <w:szCs w:val="21"/>
                <w:highlight w:val="none"/>
              </w:rPr>
            </w:pPr>
            <w:r>
              <w:rPr>
                <w:rFonts w:hint="eastAsia" w:ascii="宋体" w:hAnsi="宋体" w:cs="宋体"/>
                <w:bCs/>
                <w:color w:val="auto"/>
                <w:szCs w:val="21"/>
                <w:highlight w:val="none"/>
              </w:rPr>
              <w:t>1.供应商的资格条件</w:t>
            </w:r>
            <w:r>
              <w:rPr>
                <w:rFonts w:hint="eastAsia" w:ascii="宋体" w:hAnsi="宋体" w:cs="宋体"/>
                <w:color w:val="auto"/>
                <w:szCs w:val="21"/>
                <w:highlight w:val="none"/>
              </w:rPr>
              <w:t>：详见竞争性磋商公告</w:t>
            </w:r>
          </w:p>
        </w:tc>
      </w:tr>
      <w:tr w14:paraId="46B522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1" w:hRule="atLeast"/>
          <w:jc w:val="center"/>
        </w:trPr>
        <w:tc>
          <w:tcPr>
            <w:tcW w:w="992" w:type="dxa"/>
            <w:vAlign w:val="center"/>
          </w:tcPr>
          <w:p w14:paraId="465D62C5">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5.1</w:t>
            </w:r>
          </w:p>
        </w:tc>
        <w:tc>
          <w:tcPr>
            <w:tcW w:w="7912" w:type="dxa"/>
            <w:vAlign w:val="center"/>
          </w:tcPr>
          <w:p w14:paraId="4BCB58B9">
            <w:pPr>
              <w:spacing w:line="360" w:lineRule="auto"/>
              <w:rPr>
                <w:rFonts w:hint="eastAsia" w:ascii="宋体" w:hAnsi="宋体" w:cs="宋体"/>
                <w:color w:val="auto"/>
                <w:szCs w:val="21"/>
                <w:highlight w:val="none"/>
              </w:rPr>
            </w:pPr>
            <w:bookmarkStart w:id="60" w:name="PO_3000001868_PM007"/>
            <w:r>
              <w:rPr>
                <w:rFonts w:hint="eastAsia" w:ascii="宋体" w:hAnsi="宋体" w:cs="宋体"/>
                <w:color w:val="auto"/>
                <w:szCs w:val="21"/>
                <w:highlight w:val="none"/>
              </w:rPr>
              <w:t>本项目不</w:t>
            </w:r>
            <w:r>
              <w:rPr>
                <w:rFonts w:hint="eastAsia" w:ascii="宋体" w:hAnsi="宋体"/>
                <w:color w:val="auto"/>
                <w:szCs w:val="21"/>
                <w:highlight w:val="none"/>
              </w:rPr>
              <w:t>允许联合体竞标。</w:t>
            </w:r>
            <w:bookmarkEnd w:id="60"/>
          </w:p>
        </w:tc>
      </w:tr>
      <w:tr w14:paraId="2CACB9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4E6756B4">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6.2</w:t>
            </w:r>
          </w:p>
        </w:tc>
        <w:tc>
          <w:tcPr>
            <w:tcW w:w="7912" w:type="dxa"/>
            <w:vAlign w:val="center"/>
          </w:tcPr>
          <w:p w14:paraId="58D4ED00">
            <w:pPr>
              <w:pStyle w:val="10"/>
              <w:spacing w:line="360" w:lineRule="auto"/>
              <w:rPr>
                <w:rFonts w:hint="eastAsia" w:ascii="宋体" w:hAnsi="宋体"/>
                <w:color w:val="auto"/>
                <w:szCs w:val="21"/>
                <w:highlight w:val="none"/>
              </w:rPr>
            </w:pPr>
            <w:r>
              <w:rPr>
                <w:rFonts w:hint="eastAsia" w:ascii="MS Mincho" w:hAnsi="MS Mincho" w:eastAsia="MS Mincho" w:cs="MS Mincho"/>
                <w:color w:val="auto"/>
                <w:sz w:val="24"/>
                <w:szCs w:val="21"/>
                <w:highlight w:val="none"/>
              </w:rPr>
              <w:t>☑</w:t>
            </w:r>
            <w:r>
              <w:rPr>
                <w:rFonts w:hint="eastAsia" w:ascii="宋体" w:hAnsi="宋体"/>
                <w:color w:val="auto"/>
                <w:szCs w:val="21"/>
                <w:highlight w:val="none"/>
              </w:rPr>
              <w:t>不允许分包、转包</w:t>
            </w:r>
          </w:p>
          <w:p w14:paraId="2528597C">
            <w:pPr>
              <w:pStyle w:val="10"/>
              <w:spacing w:line="360" w:lineRule="auto"/>
              <w:rPr>
                <w:rFonts w:hint="eastAsia" w:ascii="宋体" w:hAnsi="宋体"/>
                <w:color w:val="auto"/>
                <w:szCs w:val="21"/>
                <w:highlight w:val="none"/>
              </w:rPr>
            </w:pPr>
            <w:r>
              <w:rPr>
                <w:rFonts w:hint="eastAsia" w:ascii="宋体" w:hAnsi="宋体"/>
                <w:color w:val="auto"/>
                <w:szCs w:val="21"/>
                <w:highlight w:val="none"/>
              </w:rPr>
              <w:t>□允许分包</w:t>
            </w:r>
          </w:p>
          <w:p w14:paraId="4A4F7328">
            <w:pPr>
              <w:spacing w:line="360" w:lineRule="auto"/>
              <w:jc w:val="left"/>
              <w:rPr>
                <w:rFonts w:hint="eastAsia" w:ascii="宋体" w:hAnsi="宋体"/>
                <w:color w:val="auto"/>
                <w:szCs w:val="21"/>
                <w:highlight w:val="none"/>
                <w:u w:val="single"/>
              </w:rPr>
            </w:pPr>
            <w:r>
              <w:rPr>
                <w:rFonts w:hint="eastAsia" w:ascii="宋体" w:hAnsi="宋体"/>
                <w:color w:val="auto"/>
                <w:szCs w:val="21"/>
                <w:highlight w:val="none"/>
              </w:rPr>
              <w:t>分包内容：</w:t>
            </w:r>
            <w:r>
              <w:rPr>
                <w:rFonts w:hint="eastAsia" w:ascii="宋体" w:hAnsi="宋体"/>
                <w:color w:val="auto"/>
                <w:szCs w:val="21"/>
                <w:highlight w:val="none"/>
                <w:u w:val="single"/>
              </w:rPr>
              <w:t xml:space="preserve">     /     </w:t>
            </w:r>
          </w:p>
          <w:p w14:paraId="1B651E7D">
            <w:pPr>
              <w:pStyle w:val="10"/>
              <w:spacing w:line="360" w:lineRule="auto"/>
              <w:rPr>
                <w:rFonts w:hint="eastAsia" w:ascii="宋体" w:hAnsi="宋体" w:cs="宋体"/>
                <w:color w:val="auto"/>
                <w:szCs w:val="21"/>
                <w:highlight w:val="none"/>
              </w:rPr>
            </w:pPr>
            <w:r>
              <w:rPr>
                <w:rFonts w:hint="eastAsia" w:ascii="宋体" w:hAnsi="宋体"/>
                <w:color w:val="auto"/>
                <w:szCs w:val="21"/>
                <w:highlight w:val="none"/>
              </w:rPr>
              <w:t>分包金额或者比例：</w:t>
            </w:r>
            <w:r>
              <w:rPr>
                <w:rFonts w:hint="eastAsia" w:ascii="宋体" w:hAnsi="宋体"/>
                <w:color w:val="auto"/>
                <w:szCs w:val="21"/>
                <w:highlight w:val="none"/>
                <w:u w:val="single"/>
              </w:rPr>
              <w:t xml:space="preserve">      /     </w:t>
            </w:r>
          </w:p>
        </w:tc>
      </w:tr>
      <w:tr w14:paraId="6E0747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C40CFE7">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12.1.</w:t>
            </w:r>
            <w:r>
              <w:rPr>
                <w:rFonts w:ascii="宋体" w:hAnsi="宋体" w:cs="宋体"/>
                <w:color w:val="auto"/>
                <w:szCs w:val="21"/>
                <w:highlight w:val="none"/>
              </w:rPr>
              <w:t>1</w:t>
            </w:r>
          </w:p>
        </w:tc>
        <w:tc>
          <w:tcPr>
            <w:tcW w:w="7912" w:type="dxa"/>
            <w:vAlign w:val="center"/>
          </w:tcPr>
          <w:p w14:paraId="4D84CDA6">
            <w:pPr>
              <w:snapToGrid w:val="0"/>
              <w:spacing w:line="360" w:lineRule="auto"/>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rPr>
              <w:t>资格证明文件</w:t>
            </w:r>
          </w:p>
          <w:p w14:paraId="69372E19">
            <w:pPr>
              <w:snapToGrid w:val="0"/>
              <w:spacing w:line="360" w:lineRule="auto"/>
              <w:ind w:firstLine="420" w:firstLineChars="200"/>
              <w:rPr>
                <w:rFonts w:hint="eastAsia" w:ascii="宋体" w:hAnsi="宋体"/>
                <w:color w:val="auto"/>
                <w:szCs w:val="21"/>
                <w:highlight w:val="none"/>
              </w:rPr>
            </w:pPr>
            <w:r>
              <w:rPr>
                <w:rFonts w:hint="eastAsia" w:ascii="宋体" w:hAnsi="宋体" w:cs="宋体"/>
                <w:color w:val="auto"/>
                <w:szCs w:val="21"/>
                <w:highlight w:val="none"/>
              </w:rPr>
              <w:t>1.供应商为法人或者其他组织的提供其营业执照等证明文件（如营业执照或者事业单位法人证书或者执业许可证或者登记证书等），供应商为自然人的提供其身份证复印件；（</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6CF6B7C4">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 供应商依法缴纳税收的相关材料（</w:t>
            </w:r>
            <w:r>
              <w:rPr>
                <w:rFonts w:hint="eastAsia" w:ascii="宋体" w:hAnsi="宋体" w:cs="宋体"/>
                <w:color w:val="auto"/>
                <w:szCs w:val="21"/>
                <w:highlight w:val="none"/>
                <w:u w:val="single"/>
              </w:rPr>
              <w:t xml:space="preserve"> 2025年</w:t>
            </w:r>
            <w:r>
              <w:rPr>
                <w:rFonts w:hint="eastAsia" w:ascii="宋体" w:hAnsi="宋体" w:cs="宋体"/>
                <w:color w:val="auto"/>
                <w:szCs w:val="21"/>
                <w:highlight w:val="none"/>
                <w:u w:val="single"/>
                <w:lang w:val="en-US" w:eastAsia="zh-CN"/>
              </w:rPr>
              <w:t>10</w:t>
            </w:r>
            <w:r>
              <w:rPr>
                <w:rFonts w:hint="eastAsia" w:ascii="宋体" w:hAnsi="宋体" w:cs="宋体"/>
                <w:color w:val="auto"/>
                <w:szCs w:val="21"/>
                <w:highlight w:val="none"/>
                <w:u w:val="single"/>
              </w:rPr>
              <w:t>月至首次响应文件提交截止时间前</w:t>
            </w:r>
            <w:r>
              <w:rPr>
                <w:rFonts w:hint="eastAsia" w:ascii="宋体" w:hAnsi="宋体" w:cs="宋体"/>
                <w:color w:val="auto"/>
                <w:szCs w:val="21"/>
                <w:highlight w:val="none"/>
              </w:rPr>
              <w:t>任意连续</w:t>
            </w:r>
            <w:r>
              <w:rPr>
                <w:rFonts w:ascii="宋体" w:hAnsi="宋体" w:cs="宋体"/>
                <w:color w:val="auto"/>
                <w:szCs w:val="21"/>
                <w:highlight w:val="none"/>
                <w:u w:val="single"/>
              </w:rPr>
              <w:t>3</w:t>
            </w:r>
            <w:r>
              <w:rPr>
                <w:rFonts w:hint="eastAsia" w:ascii="宋体" w:hAnsi="宋体" w:cs="宋体"/>
                <w:color w:val="auto"/>
                <w:szCs w:val="21"/>
                <w:highlight w:val="none"/>
              </w:rPr>
              <w:t>个月的依法缴纳税收的凭据复印件；</w:t>
            </w:r>
            <w:r>
              <w:rPr>
                <w:rFonts w:hint="eastAsia"/>
                <w:color w:val="auto"/>
                <w:highlight w:val="none"/>
              </w:rPr>
              <w:t>依法免税的，必须提供相应文件证明其依法免税。</w:t>
            </w:r>
            <w:r>
              <w:rPr>
                <w:rFonts w:hint="eastAsia" w:ascii="宋体" w:hAnsi="宋体" w:cs="宋体"/>
                <w:color w:val="auto"/>
                <w:szCs w:val="21"/>
                <w:highlight w:val="none"/>
              </w:rPr>
              <w:t>从</w:t>
            </w:r>
            <w:r>
              <w:rPr>
                <w:color w:val="auto"/>
                <w:szCs w:val="21"/>
                <w:highlight w:val="none"/>
              </w:rPr>
              <w:t>成立</w:t>
            </w:r>
            <w:r>
              <w:rPr>
                <w:rFonts w:hint="eastAsia"/>
                <w:color w:val="auto"/>
                <w:szCs w:val="21"/>
                <w:highlight w:val="none"/>
              </w:rPr>
              <w:t>之日起</w:t>
            </w:r>
            <w:r>
              <w:rPr>
                <w:rFonts w:hint="eastAsia" w:ascii="宋体" w:hAnsi="宋体" w:cs="宋体"/>
                <w:color w:val="auto"/>
                <w:szCs w:val="21"/>
                <w:highlight w:val="none"/>
              </w:rPr>
              <w:t>到响应文件提交截止时间止不足要求月数的，只需提供从</w:t>
            </w:r>
            <w:r>
              <w:rPr>
                <w:color w:val="auto"/>
                <w:szCs w:val="21"/>
                <w:highlight w:val="none"/>
              </w:rPr>
              <w:t>成立</w:t>
            </w:r>
            <w:r>
              <w:rPr>
                <w:rFonts w:hint="eastAsia"/>
                <w:color w:val="auto"/>
                <w:szCs w:val="21"/>
                <w:highlight w:val="none"/>
              </w:rPr>
              <w:t>之日起</w:t>
            </w:r>
            <w:r>
              <w:rPr>
                <w:rFonts w:hint="eastAsia" w:ascii="宋体" w:hAnsi="宋体" w:cs="宋体"/>
                <w:color w:val="auto"/>
                <w:szCs w:val="21"/>
                <w:highlight w:val="none"/>
              </w:rPr>
              <w:t>的依法缴纳税收</w:t>
            </w:r>
            <w:r>
              <w:rPr>
                <w:rFonts w:hint="eastAsia"/>
                <w:color w:val="auto"/>
                <w:highlight w:val="none"/>
              </w:rPr>
              <w:t>相应证明文件</w:t>
            </w:r>
            <w:r>
              <w:rPr>
                <w:rFonts w:hint="eastAsia" w:ascii="宋体" w:hAnsi="宋体" w:cs="宋体"/>
                <w:color w:val="auto"/>
                <w:szCs w:val="21"/>
                <w:highlight w:val="none"/>
              </w:rPr>
              <w:t>）；（</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31D6AEEB">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 供应商依法缴纳社会保障资金的相关材料[</w:t>
            </w:r>
            <w:r>
              <w:rPr>
                <w:rFonts w:hint="eastAsia" w:ascii="宋体" w:hAnsi="宋体" w:cs="宋体"/>
                <w:color w:val="auto"/>
                <w:szCs w:val="21"/>
                <w:highlight w:val="none"/>
                <w:u w:val="single"/>
              </w:rPr>
              <w:t xml:space="preserve"> 2025年</w:t>
            </w:r>
            <w:r>
              <w:rPr>
                <w:rFonts w:hint="eastAsia" w:ascii="宋体" w:hAnsi="宋体" w:cs="宋体"/>
                <w:color w:val="auto"/>
                <w:szCs w:val="21"/>
                <w:highlight w:val="none"/>
                <w:u w:val="single"/>
                <w:lang w:val="en-US" w:eastAsia="zh-CN"/>
              </w:rPr>
              <w:t>10</w:t>
            </w:r>
            <w:r>
              <w:rPr>
                <w:rFonts w:hint="eastAsia" w:ascii="宋体" w:hAnsi="宋体" w:cs="宋体"/>
                <w:color w:val="auto"/>
                <w:szCs w:val="21"/>
                <w:highlight w:val="none"/>
                <w:u w:val="single"/>
              </w:rPr>
              <w:t>月至首次响应文件提交截止时间前</w:t>
            </w:r>
            <w:r>
              <w:rPr>
                <w:rFonts w:hint="eastAsia" w:ascii="宋体" w:hAnsi="宋体" w:cs="宋体"/>
                <w:color w:val="auto"/>
                <w:szCs w:val="21"/>
                <w:highlight w:val="none"/>
              </w:rPr>
              <w:t>任意连续</w:t>
            </w:r>
            <w:r>
              <w:rPr>
                <w:rFonts w:ascii="宋体" w:hAnsi="宋体" w:cs="宋体"/>
                <w:color w:val="auto"/>
                <w:szCs w:val="21"/>
                <w:highlight w:val="none"/>
                <w:u w:val="single"/>
              </w:rPr>
              <w:t>3</w:t>
            </w:r>
            <w:r>
              <w:rPr>
                <w:rFonts w:hint="eastAsia" w:ascii="宋体" w:hAnsi="宋体" w:cs="宋体"/>
                <w:color w:val="auto"/>
                <w:szCs w:val="21"/>
                <w:highlight w:val="none"/>
              </w:rPr>
              <w:t>个月的依法缴纳社会保障资金的缴费凭证（专用收据或者社会保险缴纳清单）复印件；</w:t>
            </w:r>
            <w:r>
              <w:rPr>
                <w:rFonts w:hint="eastAsia"/>
                <w:color w:val="auto"/>
                <w:highlight w:val="none"/>
              </w:rPr>
              <w:t>依法不需要缴纳社会保障资金的，必须提供相应文件证明不需要缴纳社会保障资金。</w:t>
            </w:r>
            <w:r>
              <w:rPr>
                <w:rFonts w:hint="eastAsia" w:ascii="宋体" w:hAnsi="宋体" w:cs="宋体"/>
                <w:color w:val="auto"/>
                <w:szCs w:val="21"/>
                <w:highlight w:val="none"/>
              </w:rPr>
              <w:t>从</w:t>
            </w:r>
            <w:r>
              <w:rPr>
                <w:color w:val="auto"/>
                <w:szCs w:val="21"/>
                <w:highlight w:val="none"/>
              </w:rPr>
              <w:t>成立</w:t>
            </w:r>
            <w:r>
              <w:rPr>
                <w:rFonts w:hint="eastAsia"/>
                <w:color w:val="auto"/>
                <w:szCs w:val="21"/>
                <w:highlight w:val="none"/>
              </w:rPr>
              <w:t>之日起</w:t>
            </w:r>
            <w:r>
              <w:rPr>
                <w:rFonts w:hint="eastAsia" w:ascii="宋体" w:hAnsi="宋体" w:cs="宋体"/>
                <w:color w:val="auto"/>
                <w:szCs w:val="21"/>
                <w:highlight w:val="none"/>
              </w:rPr>
              <w:t>到响应文件提交截止时间止不足要求月数的只需提供从</w:t>
            </w:r>
            <w:r>
              <w:rPr>
                <w:color w:val="auto"/>
                <w:szCs w:val="21"/>
                <w:highlight w:val="none"/>
              </w:rPr>
              <w:t>成立</w:t>
            </w:r>
            <w:r>
              <w:rPr>
                <w:rFonts w:hint="eastAsia"/>
                <w:color w:val="auto"/>
                <w:szCs w:val="21"/>
                <w:highlight w:val="none"/>
              </w:rPr>
              <w:t>之日起</w:t>
            </w:r>
            <w:r>
              <w:rPr>
                <w:rFonts w:hint="eastAsia" w:ascii="宋体" w:hAnsi="宋体" w:cs="宋体"/>
                <w:color w:val="auto"/>
                <w:szCs w:val="21"/>
                <w:highlight w:val="none"/>
              </w:rPr>
              <w:t>的依法缴纳社会保障资金的</w:t>
            </w:r>
            <w:r>
              <w:rPr>
                <w:rFonts w:hint="eastAsia"/>
                <w:color w:val="auto"/>
                <w:highlight w:val="none"/>
              </w:rPr>
              <w:t>相应证明文件</w:t>
            </w:r>
            <w:r>
              <w:rPr>
                <w:rFonts w:hint="eastAsia" w:ascii="宋体" w:hAnsi="宋体" w:cs="宋体"/>
                <w:color w:val="auto"/>
                <w:szCs w:val="21"/>
                <w:highlight w:val="none"/>
              </w:rPr>
              <w:t>]；（</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6591C5E0">
            <w:pPr>
              <w:snapToGrid w:val="0"/>
              <w:spacing w:line="360" w:lineRule="auto"/>
              <w:ind w:firstLine="420" w:firstLineChars="200"/>
              <w:jc w:val="left"/>
              <w:rPr>
                <w:rFonts w:hint="eastAsia" w:ascii="宋体" w:hAnsi="宋体" w:cs="宋体"/>
                <w:b/>
                <w:color w:val="auto"/>
                <w:szCs w:val="21"/>
                <w:highlight w:val="none"/>
              </w:rPr>
            </w:pPr>
            <w:r>
              <w:rPr>
                <w:rFonts w:hint="eastAsia" w:ascii="宋体" w:hAnsi="宋体" w:cs="宋体"/>
                <w:color w:val="auto"/>
                <w:szCs w:val="21"/>
                <w:highlight w:val="none"/>
              </w:rPr>
              <w:t>4.供应商</w:t>
            </w:r>
            <w:r>
              <w:rPr>
                <w:rFonts w:hint="eastAsia"/>
                <w:color w:val="auto"/>
                <w:szCs w:val="21"/>
                <w:highlight w:val="none"/>
              </w:rPr>
              <w:t>财务状况报告（</w:t>
            </w:r>
            <w:r>
              <w:rPr>
                <w:rFonts w:hint="eastAsia"/>
                <w:color w:val="auto"/>
                <w:highlight w:val="none"/>
                <w:u w:val="single"/>
              </w:rPr>
              <w:t>2024年度</w:t>
            </w:r>
            <w:r>
              <w:rPr>
                <w:rFonts w:hint="eastAsia"/>
                <w:color w:val="auto"/>
                <w:highlight w:val="none"/>
                <w:u w:val="single"/>
                <w:lang w:eastAsia="zh-CN"/>
              </w:rPr>
              <w:t>或</w:t>
            </w:r>
            <w:r>
              <w:rPr>
                <w:rFonts w:hint="eastAsia"/>
                <w:color w:val="auto"/>
                <w:highlight w:val="none"/>
                <w:u w:val="single"/>
                <w:lang w:val="en-US" w:eastAsia="zh-CN"/>
              </w:rPr>
              <w:t>2025年度</w:t>
            </w:r>
            <w:r>
              <w:rPr>
                <w:rFonts w:hint="eastAsia"/>
                <w:color w:val="auto"/>
                <w:highlight w:val="none"/>
                <w:u w:val="single"/>
              </w:rPr>
              <w:t>财务报表</w:t>
            </w:r>
            <w:r>
              <w:rPr>
                <w:rFonts w:hint="eastAsia"/>
                <w:color w:val="auto"/>
                <w:szCs w:val="21"/>
                <w:highlight w:val="none"/>
              </w:rPr>
              <w:t>复印件，或者银行出具的资信证明，或者中国人民银行征信中心出具的信用报告（企业竞标的提供企业信用报告，自然人竞标的提供个人信用报告）；供应商属于</w:t>
            </w:r>
            <w:r>
              <w:rPr>
                <w:rFonts w:hint="eastAsia"/>
                <w:color w:val="auto"/>
                <w:highlight w:val="none"/>
              </w:rPr>
              <w:t>成立时间</w:t>
            </w:r>
            <w:r>
              <w:rPr>
                <w:rFonts w:hint="eastAsia"/>
                <w:color w:val="auto"/>
                <w:kern w:val="0"/>
                <w:highlight w:val="none"/>
              </w:rPr>
              <w:t>在规定年度之后</w:t>
            </w:r>
            <w:r>
              <w:rPr>
                <w:rFonts w:hint="eastAsia"/>
                <w:color w:val="auto"/>
                <w:highlight w:val="none"/>
              </w:rPr>
              <w:t>的</w:t>
            </w:r>
            <w:r>
              <w:rPr>
                <w:rFonts w:hint="eastAsia"/>
                <w:color w:val="auto"/>
                <w:szCs w:val="21"/>
                <w:highlight w:val="none"/>
              </w:rPr>
              <w:t>法人或其他组织</w:t>
            </w:r>
            <w:r>
              <w:rPr>
                <w:rFonts w:hint="eastAsia"/>
                <w:color w:val="auto"/>
                <w:highlight w:val="none"/>
              </w:rPr>
              <w:t>，需提供成立之日起至响应文件提交截止时间前的月报表</w:t>
            </w:r>
            <w:r>
              <w:rPr>
                <w:rFonts w:hint="eastAsia"/>
                <w:color w:val="auto"/>
                <w:szCs w:val="21"/>
                <w:highlight w:val="none"/>
              </w:rPr>
              <w:t>或银行出具的资信证明或者中国人民银行征信中心出具的企业信用报告；资信证明应在有效期内，未注明有效期的，银行出具时间至响应文件提交截止时间不超过一年）</w:t>
            </w:r>
            <w:r>
              <w:rPr>
                <w:rFonts w:hint="eastAsia" w:ascii="宋体" w:hAnsi="宋体" w:cs="宋体"/>
                <w:color w:val="auto"/>
                <w:szCs w:val="21"/>
                <w:highlight w:val="none"/>
              </w:rPr>
              <w:t>；</w:t>
            </w:r>
            <w:r>
              <w:rPr>
                <w:rFonts w:hint="eastAsia" w:ascii="宋体" w:hAnsi="宋体" w:cs="宋体"/>
                <w:bCs/>
                <w:color w:val="auto"/>
                <w:szCs w:val="21"/>
                <w:highlight w:val="none"/>
              </w:rPr>
              <w:t>（</w:t>
            </w:r>
            <w:r>
              <w:rPr>
                <w:rFonts w:hint="eastAsia" w:ascii="宋体" w:hAnsi="宋体"/>
                <w:b/>
                <w:color w:val="auto"/>
                <w:szCs w:val="21"/>
                <w:highlight w:val="none"/>
              </w:rPr>
              <w:t>必须提供</w:t>
            </w:r>
            <w:r>
              <w:rPr>
                <w:rFonts w:hint="eastAsia" w:ascii="宋体" w:hAnsi="宋体" w:cs="宋体"/>
                <w:b/>
                <w:color w:val="auto"/>
                <w:szCs w:val="21"/>
                <w:highlight w:val="none"/>
              </w:rPr>
              <w:t>，否则响应文件按无效响应处理</w:t>
            </w:r>
            <w:r>
              <w:rPr>
                <w:rFonts w:hint="eastAsia" w:ascii="宋体" w:hAnsi="宋体" w:cs="宋体"/>
                <w:bCs/>
                <w:color w:val="auto"/>
                <w:szCs w:val="21"/>
                <w:highlight w:val="none"/>
              </w:rPr>
              <w:t>）</w:t>
            </w:r>
          </w:p>
          <w:p w14:paraId="5EFD478A">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5.供应商直接控股、管理关系信息表（格式后附）；（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25EBF241">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6.竞标声明（格式后附）；（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1BE7F8E7">
            <w:pPr>
              <w:numPr>
                <w:ilvl w:val="255"/>
                <w:numId w:val="0"/>
              </w:numPr>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.除磋商文件规定必须提供以外，供应商认为需要提供的其他证明材料；（如有请提供）</w:t>
            </w:r>
          </w:p>
          <w:p w14:paraId="0DBD38F3">
            <w:pPr>
              <w:rPr>
                <w:color w:val="auto"/>
                <w:highlight w:val="none"/>
              </w:rPr>
            </w:pPr>
            <w:r>
              <w:rPr>
                <w:rFonts w:hint="eastAsia" w:ascii="宋体" w:hAnsi="宋体" w:cs="宋体"/>
                <w:b/>
                <w:color w:val="auto"/>
                <w:szCs w:val="21"/>
                <w:highlight w:val="none"/>
              </w:rPr>
              <w:t>注：</w:t>
            </w:r>
          </w:p>
          <w:p w14:paraId="5ECE2A97">
            <w:pPr>
              <w:rPr>
                <w:color w:val="auto"/>
                <w:highlight w:val="none"/>
              </w:rPr>
            </w:pPr>
            <w:r>
              <w:rPr>
                <w:rFonts w:hint="eastAsia" w:ascii="宋体" w:hAnsi="宋体" w:cs="宋体"/>
                <w:b/>
                <w:color w:val="auto"/>
                <w:szCs w:val="21"/>
                <w:highlight w:val="none"/>
              </w:rPr>
              <w:t>以上标明“必须提供”的材料属于复印件的，必须加盖供应商电子签章，否则响应文件按无效处理。</w:t>
            </w:r>
          </w:p>
          <w:p w14:paraId="60042127">
            <w:pPr>
              <w:snapToGrid w:val="0"/>
              <w:spacing w:line="360" w:lineRule="auto"/>
              <w:ind w:firstLine="420" w:firstLineChars="200"/>
              <w:jc w:val="left"/>
              <w:rPr>
                <w:color w:val="auto"/>
                <w:highlight w:val="none"/>
              </w:rPr>
            </w:pPr>
          </w:p>
        </w:tc>
      </w:tr>
      <w:tr w14:paraId="1B45A2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992" w:type="dxa"/>
            <w:vAlign w:val="center"/>
          </w:tcPr>
          <w:p w14:paraId="7CE5AE97">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12.</w:t>
            </w:r>
            <w:r>
              <w:rPr>
                <w:rFonts w:ascii="宋体" w:hAnsi="宋体" w:cs="宋体"/>
                <w:color w:val="auto"/>
                <w:szCs w:val="21"/>
                <w:highlight w:val="none"/>
              </w:rPr>
              <w:t>1</w:t>
            </w:r>
            <w:r>
              <w:rPr>
                <w:rFonts w:hint="eastAsia" w:ascii="宋体" w:hAnsi="宋体" w:cs="宋体"/>
                <w:color w:val="auto"/>
                <w:szCs w:val="21"/>
                <w:highlight w:val="none"/>
              </w:rPr>
              <w:t>.2</w:t>
            </w:r>
          </w:p>
        </w:tc>
        <w:tc>
          <w:tcPr>
            <w:tcW w:w="7912" w:type="dxa"/>
            <w:vAlign w:val="center"/>
          </w:tcPr>
          <w:p w14:paraId="7EF92525">
            <w:pPr>
              <w:spacing w:line="360" w:lineRule="auto"/>
              <w:rPr>
                <w:rFonts w:hint="eastAsia" w:ascii="宋体" w:hAnsi="宋体" w:cs="宋体"/>
                <w:b/>
                <w:bCs/>
                <w:color w:val="auto"/>
                <w:szCs w:val="21"/>
                <w:highlight w:val="none"/>
              </w:rPr>
            </w:pPr>
            <w:r>
              <w:rPr>
                <w:rFonts w:hint="eastAsia" w:ascii="宋体" w:hAnsi="宋体" w:cs="宋体"/>
                <w:b/>
                <w:bCs/>
                <w:color w:val="auto"/>
                <w:szCs w:val="21"/>
                <w:highlight w:val="none"/>
              </w:rPr>
              <w:t>报价商务技术文件</w:t>
            </w:r>
          </w:p>
          <w:p w14:paraId="4F64035D">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1.无串通竞标行为的承诺函（格式后附）；（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4C3F0735">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2.磋商报价表（格式后附）；（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6B12A009">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3.法定代表人身份证明书及法定代表人有效身份证正反面复印件（格式后附）；（</w:t>
            </w:r>
            <w:r>
              <w:rPr>
                <w:rFonts w:hint="eastAsia" w:ascii="宋体" w:hAnsi="宋体" w:cs="宋体"/>
                <w:b/>
                <w:bCs/>
                <w:color w:val="auto"/>
                <w:szCs w:val="21"/>
                <w:highlight w:val="none"/>
              </w:rPr>
              <w:t>除自然人竞标外</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3C4FA959">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4.授权委托书及委托代理人有效身份证正反面复印件（格式后附）；（</w:t>
            </w:r>
            <w:r>
              <w:rPr>
                <w:rFonts w:hint="eastAsia" w:ascii="宋体" w:hAnsi="宋体" w:cs="宋体"/>
                <w:b/>
                <w:color w:val="auto"/>
                <w:szCs w:val="21"/>
                <w:highlight w:val="none"/>
              </w:rPr>
              <w:t>委托时必须提供，否则响应文件按无效响应处理</w:t>
            </w:r>
            <w:r>
              <w:rPr>
                <w:rFonts w:hint="eastAsia" w:ascii="宋体" w:hAnsi="宋体" w:cs="宋体"/>
                <w:color w:val="auto"/>
                <w:szCs w:val="21"/>
                <w:highlight w:val="none"/>
              </w:rPr>
              <w:t>）</w:t>
            </w:r>
          </w:p>
          <w:p w14:paraId="4D3F6D55">
            <w:pPr>
              <w:pStyle w:val="2"/>
              <w:rPr>
                <w:rFonts w:hint="eastAsia" w:ascii="宋体" w:hAnsi="宋体" w:cs="宋体"/>
                <w:color w:val="auto"/>
                <w:szCs w:val="21"/>
                <w:highlight w:val="none"/>
              </w:rPr>
            </w:pPr>
            <w:r>
              <w:rPr>
                <w:rFonts w:hint="eastAsia"/>
                <w:color w:val="auto"/>
                <w:highlight w:val="none"/>
              </w:rPr>
              <w:t>5.磋商保证金提交凭证；</w:t>
            </w:r>
            <w:r>
              <w:rPr>
                <w:rFonts w:hint="eastAsia"/>
                <w:b/>
                <w:bCs/>
                <w:color w:val="auto"/>
                <w:highlight w:val="none"/>
              </w:rPr>
              <w:t>（必须提供，否则响应文件按无效响应处理）</w:t>
            </w:r>
          </w:p>
          <w:p w14:paraId="1F960C60">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6.商务要求偏离表（格式后附）；（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3E18D4AE">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7.总体服务方案（格式自拟）；（如有请提供）</w:t>
            </w:r>
          </w:p>
          <w:p w14:paraId="132827BB">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8.技术要求偏离表（格式后附）；（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07A68BD2">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9.项目实施人员一览表（格式后附）； （</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11D85CBD">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10.项目组织与管理计划；（如有请提供）</w:t>
            </w:r>
          </w:p>
          <w:p w14:paraId="3FF765E4">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11.服务承诺和质量保障措施；（如有请提供）</w:t>
            </w:r>
          </w:p>
          <w:p w14:paraId="759BD990">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12.业绩；（如有请提供）</w:t>
            </w:r>
          </w:p>
          <w:p w14:paraId="3B9DE9FD">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13.对应采购需求的技术需求提供的其他文件资料；（如有请提供）</w:t>
            </w:r>
          </w:p>
          <w:p w14:paraId="7EDE832A">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14.对应采购需求的商务条款提供的其他文件资料；（如有请提供）</w:t>
            </w:r>
          </w:p>
          <w:p w14:paraId="4210F7FF">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15.供应商认为需要提供的有关资料。（如有请提供）</w:t>
            </w:r>
          </w:p>
          <w:p w14:paraId="67A2F911">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16.供应商针对报价需要说明的其他文件和说明；如中小企业声明函或残疾人福利性单位声明函或监狱企业证明文件。（如有请提供）</w:t>
            </w:r>
          </w:p>
          <w:p w14:paraId="5690F0DD">
            <w:pPr>
              <w:snapToGrid w:val="0"/>
              <w:spacing w:line="360" w:lineRule="auto"/>
              <w:jc w:val="left"/>
              <w:rPr>
                <w:rFonts w:hint="eastAsia" w:ascii="宋体" w:hAnsi="宋体" w:cs="宋体"/>
                <w:b/>
                <w:color w:val="auto"/>
                <w:szCs w:val="21"/>
                <w:highlight w:val="none"/>
              </w:rPr>
            </w:pPr>
            <w:r>
              <w:rPr>
                <w:rFonts w:hint="eastAsia" w:ascii="宋体" w:hAnsi="宋体" w:cs="宋体"/>
                <w:b/>
                <w:color w:val="auto"/>
                <w:szCs w:val="21"/>
                <w:highlight w:val="none"/>
              </w:rPr>
              <w:t>注：以上标明“必须提供”的材料属于复印件的，必须加盖供应商</w:t>
            </w:r>
            <w:r>
              <w:rPr>
                <w:rFonts w:hint="eastAsia" w:ascii="宋体" w:hAnsi="宋体"/>
                <w:b/>
                <w:bCs/>
                <w:color w:val="auto"/>
                <w:szCs w:val="21"/>
                <w:highlight w:val="none"/>
              </w:rPr>
              <w:t>电子签章</w:t>
            </w:r>
            <w:r>
              <w:rPr>
                <w:rFonts w:hint="eastAsia" w:ascii="宋体" w:hAnsi="宋体" w:cs="宋体"/>
                <w:b/>
                <w:color w:val="auto"/>
                <w:szCs w:val="21"/>
                <w:highlight w:val="none"/>
              </w:rPr>
              <w:t>，否则响应文件按无效响应处理。</w:t>
            </w:r>
          </w:p>
        </w:tc>
      </w:tr>
      <w:tr w14:paraId="08BB7C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37" w:hRule="atLeast"/>
          <w:jc w:val="center"/>
        </w:trPr>
        <w:tc>
          <w:tcPr>
            <w:tcW w:w="992" w:type="dxa"/>
            <w:vAlign w:val="center"/>
          </w:tcPr>
          <w:p w14:paraId="6518C466">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15.2</w:t>
            </w:r>
          </w:p>
        </w:tc>
        <w:tc>
          <w:tcPr>
            <w:tcW w:w="7912" w:type="dxa"/>
            <w:vAlign w:val="center"/>
          </w:tcPr>
          <w:p w14:paraId="7FBA2736">
            <w:pPr>
              <w:adjustRightInd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报价是为完成采购人指定服务全部内容的报价，采购人不另行支付其他费用；竞标人应充分考虑由于国家政策变化、自然灾害、战争等不可抗力因素造成本合同中断引起损失风险。</w:t>
            </w:r>
          </w:p>
        </w:tc>
      </w:tr>
      <w:tr w14:paraId="20CBE0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9" w:hRule="atLeast"/>
          <w:jc w:val="center"/>
        </w:trPr>
        <w:tc>
          <w:tcPr>
            <w:tcW w:w="992" w:type="dxa"/>
            <w:vAlign w:val="center"/>
          </w:tcPr>
          <w:p w14:paraId="3479A07B">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16.</w:t>
            </w:r>
            <w:r>
              <w:rPr>
                <w:rFonts w:ascii="宋体" w:hAnsi="宋体" w:cs="宋体"/>
                <w:color w:val="auto"/>
                <w:szCs w:val="21"/>
                <w:highlight w:val="none"/>
              </w:rPr>
              <w:t>2</w:t>
            </w:r>
          </w:p>
        </w:tc>
        <w:tc>
          <w:tcPr>
            <w:tcW w:w="7912" w:type="dxa"/>
            <w:vAlign w:val="center"/>
          </w:tcPr>
          <w:p w14:paraId="13C963A9">
            <w:pPr>
              <w:pStyle w:val="9"/>
              <w:tabs>
                <w:tab w:val="left" w:pos="720"/>
                <w:tab w:val="left" w:pos="840"/>
              </w:tabs>
              <w:snapToGrid w:val="0"/>
              <w:spacing w:line="360" w:lineRule="auto"/>
              <w:ind w:left="283" w:hanging="283" w:hangingChars="135"/>
              <w:rPr>
                <w:rFonts w:hint="eastAsia" w:ascii="宋体" w:hAnsi="宋体" w:cs="宋体"/>
                <w:color w:val="auto"/>
                <w:szCs w:val="21"/>
                <w:highlight w:val="none"/>
              </w:rPr>
            </w:pPr>
            <w:r>
              <w:rPr>
                <w:rFonts w:hint="eastAsia" w:ascii="宋体" w:hAnsi="宋体" w:cs="宋体"/>
                <w:color w:val="auto"/>
                <w:szCs w:val="21"/>
                <w:highlight w:val="none"/>
              </w:rPr>
              <w:t>竞标有效期：自首次响应文件提交截止之日起</w:t>
            </w:r>
            <w:r>
              <w:rPr>
                <w:rFonts w:ascii="宋体" w:hAnsi="宋体" w:cs="宋体"/>
                <w:color w:val="auto"/>
                <w:szCs w:val="21"/>
                <w:highlight w:val="none"/>
                <w:u w:val="single"/>
              </w:rPr>
              <w:t xml:space="preserve"> 90</w:t>
            </w:r>
            <w:r>
              <w:rPr>
                <w:rFonts w:hint="eastAsia" w:ascii="宋体" w:hAnsi="宋体" w:cs="宋体"/>
                <w:color w:val="auto"/>
                <w:szCs w:val="21"/>
                <w:highlight w:val="none"/>
              </w:rPr>
              <w:t>日。</w:t>
            </w:r>
          </w:p>
        </w:tc>
      </w:tr>
      <w:tr w14:paraId="2346EB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2" w:hRule="atLeast"/>
          <w:jc w:val="center"/>
        </w:trPr>
        <w:tc>
          <w:tcPr>
            <w:tcW w:w="992" w:type="dxa"/>
            <w:vAlign w:val="center"/>
          </w:tcPr>
          <w:p w14:paraId="6F746120">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17.1</w:t>
            </w:r>
          </w:p>
        </w:tc>
        <w:tc>
          <w:tcPr>
            <w:tcW w:w="7912" w:type="dxa"/>
            <w:vAlign w:val="center"/>
          </w:tcPr>
          <w:p w14:paraId="233DF4E0">
            <w:pPr>
              <w:autoSpaceDE w:val="0"/>
              <w:autoSpaceDN w:val="0"/>
              <w:snapToGrid w:val="0"/>
              <w:spacing w:line="360" w:lineRule="auto"/>
              <w:textAlignment w:val="bottom"/>
              <w:rPr>
                <w:rFonts w:hint="eastAsia" w:ascii="宋体" w:hAnsi="宋体"/>
                <w:color w:val="auto"/>
                <w:szCs w:val="21"/>
                <w:highlight w:val="none"/>
              </w:rPr>
            </w:pPr>
            <w:r>
              <w:rPr>
                <w:rFonts w:hint="eastAsia" w:ascii="宋体" w:hAnsi="宋体"/>
                <w:color w:val="auto"/>
                <w:szCs w:val="21"/>
                <w:highlight w:val="none"/>
              </w:rPr>
              <w:t>□本项目不收取磋商保证金。</w:t>
            </w:r>
          </w:p>
          <w:p w14:paraId="6B02F25B">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☑本项目收取磋商保证金，具体规定如下：</w:t>
            </w:r>
          </w:p>
          <w:p w14:paraId="6913AFCB">
            <w:pPr>
              <w:spacing w:line="360" w:lineRule="auto"/>
              <w:ind w:firstLine="210" w:firstLineChars="100"/>
              <w:rPr>
                <w:rFonts w:hint="eastAsia" w:ascii="宋体" w:hAnsi="宋体" w:cs="宋体"/>
                <w:color w:val="auto"/>
                <w:kern w:val="0"/>
                <w:szCs w:val="21"/>
                <w:highlight w:val="none"/>
              </w:rPr>
            </w:pPr>
            <w:r>
              <w:rPr>
                <w:rFonts w:hint="eastAsia" w:ascii="宋体" w:hAnsi="宋体" w:cs="宋体"/>
                <w:color w:val="auto"/>
                <w:kern w:val="0"/>
                <w:szCs w:val="21"/>
                <w:highlight w:val="none"/>
              </w:rPr>
              <w:t>磋商保证金：壹万元整（¥10000.00）。</w:t>
            </w:r>
          </w:p>
          <w:p w14:paraId="4231CEF9">
            <w:pPr>
              <w:spacing w:line="360" w:lineRule="auto"/>
              <w:ind w:firstLine="210" w:firstLineChars="100"/>
              <w:rPr>
                <w:rFonts w:hint="eastAsia" w:ascii="宋体" w:hAnsi="宋体"/>
                <w:color w:val="auto"/>
                <w:szCs w:val="21"/>
                <w:highlight w:val="none"/>
              </w:rPr>
            </w:pPr>
            <w:r>
              <w:rPr>
                <w:rFonts w:hint="eastAsia" w:ascii="宋体" w:hAnsi="宋体"/>
                <w:color w:val="auto"/>
                <w:szCs w:val="21"/>
                <w:highlight w:val="none"/>
              </w:rPr>
              <w:t>竞标人必须于响应文件递交截止时间前将投标保证金从竞标人的银行账户以转账或电汇形式转出并到达广西建设工程机电设备招标中心有限公司，账户如下：</w:t>
            </w:r>
          </w:p>
          <w:p w14:paraId="010AD5A8">
            <w:pPr>
              <w:spacing w:line="360" w:lineRule="auto"/>
              <w:ind w:firstLine="210" w:firstLineChars="100"/>
              <w:rPr>
                <w:rFonts w:hint="eastAsia" w:ascii="宋体" w:hAnsi="宋体" w:cs="宋体"/>
                <w:bCs/>
                <w:color w:val="auto"/>
                <w:szCs w:val="21"/>
                <w:highlight w:val="none"/>
                <w:u w:val="single"/>
                <w:shd w:val="clear" w:color="auto" w:fill="FFFFFF"/>
              </w:rPr>
            </w:pPr>
            <w:r>
              <w:rPr>
                <w:rFonts w:hint="eastAsia" w:ascii="宋体" w:hAnsi="宋体"/>
                <w:color w:val="auto"/>
                <w:szCs w:val="21"/>
                <w:highlight w:val="none"/>
              </w:rPr>
              <w:t>开户名称：</w:t>
            </w:r>
            <w:r>
              <w:rPr>
                <w:rFonts w:hint="eastAsia" w:ascii="宋体" w:hAnsi="宋体" w:cs="宋体"/>
                <w:bCs/>
                <w:color w:val="auto"/>
                <w:szCs w:val="21"/>
                <w:highlight w:val="none"/>
                <w:u w:val="single"/>
                <w:shd w:val="clear" w:color="auto" w:fill="FFFFFF"/>
              </w:rPr>
              <w:t>广西建设工程机电设备招标中心有限公司</w:t>
            </w:r>
          </w:p>
          <w:p w14:paraId="3911BA7A">
            <w:pPr>
              <w:spacing w:line="360" w:lineRule="auto"/>
              <w:ind w:firstLine="210" w:firstLineChars="100"/>
              <w:rPr>
                <w:rFonts w:hint="eastAsia" w:ascii="宋体" w:hAnsi="宋体"/>
                <w:color w:val="auto"/>
                <w:szCs w:val="21"/>
                <w:highlight w:val="none"/>
              </w:rPr>
            </w:pPr>
            <w:r>
              <w:rPr>
                <w:rFonts w:hint="eastAsia" w:ascii="宋体" w:hAnsi="宋体"/>
                <w:color w:val="auto"/>
                <w:szCs w:val="21"/>
                <w:highlight w:val="none"/>
              </w:rPr>
              <w:t>开户银行：</w:t>
            </w:r>
            <w:r>
              <w:rPr>
                <w:rFonts w:hint="eastAsia" w:ascii="宋体" w:hAnsi="宋体" w:cs="宋体"/>
                <w:bCs/>
                <w:color w:val="auto"/>
                <w:szCs w:val="21"/>
                <w:highlight w:val="none"/>
                <w:u w:val="single"/>
                <w:shd w:val="clear" w:color="auto" w:fill="FFFFFF"/>
              </w:rPr>
              <w:t>招商银行南宁分行营业部</w:t>
            </w:r>
          </w:p>
          <w:p w14:paraId="3A9B0F72">
            <w:pPr>
              <w:spacing w:line="360" w:lineRule="auto"/>
              <w:ind w:firstLine="210" w:firstLineChars="100"/>
              <w:rPr>
                <w:color w:val="auto"/>
                <w:highlight w:val="none"/>
              </w:rPr>
            </w:pPr>
            <w:r>
              <w:rPr>
                <w:rFonts w:hint="eastAsia" w:ascii="宋体" w:hAnsi="宋体"/>
                <w:color w:val="auto"/>
                <w:szCs w:val="21"/>
                <w:highlight w:val="none"/>
              </w:rPr>
              <w:t>银行账号：</w:t>
            </w:r>
            <w:r>
              <w:rPr>
                <w:rFonts w:hint="eastAsia" w:ascii="宋体" w:hAnsi="宋体" w:cs="宋体"/>
                <w:bCs/>
                <w:color w:val="auto"/>
                <w:szCs w:val="21"/>
                <w:highlight w:val="none"/>
                <w:u w:val="single"/>
                <w:shd w:val="clear" w:color="auto" w:fill="FFFFFF"/>
              </w:rPr>
              <w:t>7719 0142 3310 201</w:t>
            </w:r>
          </w:p>
          <w:p w14:paraId="32A4468F">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相关要求：</w:t>
            </w:r>
          </w:p>
          <w:p w14:paraId="4E76D17D">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1.磋商保证金采用银行转账交纳方式的，在响应文件提交截止时间前交至指定账户并且到账，供应商应将银行转账底单的复印件作为磋商保证金提交凭证，放置于商务技术文件中，</w:t>
            </w:r>
            <w:r>
              <w:rPr>
                <w:rFonts w:hint="eastAsia" w:ascii="宋体" w:hAnsi="宋体" w:cs="宋体"/>
                <w:b/>
                <w:color w:val="auto"/>
                <w:szCs w:val="21"/>
                <w:highlight w:val="none"/>
              </w:rPr>
              <w:t>否则响应文件按无效响应处理</w:t>
            </w:r>
            <w:r>
              <w:rPr>
                <w:rFonts w:hint="eastAsia" w:ascii="宋体" w:hAnsi="宋体" w:cs="宋体"/>
                <w:color w:val="auto"/>
                <w:szCs w:val="21"/>
                <w:highlight w:val="none"/>
              </w:rPr>
              <w:t>。</w:t>
            </w:r>
          </w:p>
          <w:p w14:paraId="2881F734">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2.磋商保证金采用支票、汇票、本票或者金融机构、担保机构出具的保函交纳方式的，供应商应将支票、汇票、本票或者金融机构、担保机构出具的保函的复印件作为磋商保证金提交凭证，放置于</w:t>
            </w:r>
            <w:r>
              <w:rPr>
                <w:rFonts w:hint="eastAsia" w:ascii="宋体" w:hAnsi="宋体" w:cs="宋体"/>
                <w:color w:val="auto"/>
                <w:szCs w:val="21"/>
                <w:highlight w:val="none"/>
              </w:rPr>
              <w:t>商务技术文件</w:t>
            </w:r>
            <w:r>
              <w:rPr>
                <w:rFonts w:hint="eastAsia" w:ascii="宋体" w:hAnsi="宋体"/>
                <w:color w:val="auto"/>
                <w:szCs w:val="21"/>
                <w:highlight w:val="none"/>
              </w:rPr>
              <w:t>中，</w:t>
            </w:r>
            <w:r>
              <w:rPr>
                <w:rFonts w:hint="eastAsia" w:ascii="宋体" w:hAnsi="宋体" w:cs="宋体"/>
                <w:b/>
                <w:color w:val="auto"/>
                <w:szCs w:val="21"/>
                <w:highlight w:val="none"/>
              </w:rPr>
              <w:t>否则响应文件按无效处理</w:t>
            </w:r>
            <w:r>
              <w:rPr>
                <w:rFonts w:hint="eastAsia" w:ascii="宋体" w:hAnsi="宋体"/>
                <w:color w:val="auto"/>
                <w:szCs w:val="21"/>
                <w:highlight w:val="none"/>
              </w:rPr>
              <w:t>。供应商必须</w:t>
            </w:r>
            <w:r>
              <w:rPr>
                <w:rFonts w:hint="eastAsia"/>
                <w:color w:val="auto"/>
                <w:highlight w:val="none"/>
              </w:rPr>
              <w:t>在响应文件提交截止时间前采用现场或邮寄方式（现场提交地址：</w:t>
            </w:r>
            <w:r>
              <w:rPr>
                <w:rFonts w:hint="eastAsia" w:ascii="宋体" w:hAnsi="宋体" w:cs="仿宋"/>
                <w:color w:val="auto"/>
                <w:szCs w:val="21"/>
                <w:highlight w:val="none"/>
                <w:u w:val="single"/>
              </w:rPr>
              <w:t>广西建设工程机电设备招标中心有限公司</w:t>
            </w:r>
            <w:r>
              <w:rPr>
                <w:rFonts w:hint="eastAsia"/>
                <w:color w:val="auto"/>
                <w:highlight w:val="none"/>
              </w:rPr>
              <w:t>；邮寄地址：</w:t>
            </w:r>
            <w:r>
              <w:rPr>
                <w:rFonts w:hint="eastAsia" w:ascii="宋体" w:hAnsi="宋体" w:cs="仿宋"/>
                <w:color w:val="auto"/>
                <w:szCs w:val="21"/>
                <w:highlight w:val="none"/>
                <w:u w:val="single"/>
              </w:rPr>
              <w:t>南宁市青秀区枫林路18号广西国控集团（枫林路办公区）裙楼三层</w:t>
            </w:r>
            <w:r>
              <w:rPr>
                <w:rFonts w:hint="eastAsia"/>
                <w:color w:val="auto"/>
                <w:highlight w:val="none"/>
              </w:rPr>
              <w:t>，收件人：</w:t>
            </w:r>
            <w:r>
              <w:rPr>
                <w:rFonts w:hint="eastAsia"/>
                <w:color w:val="auto"/>
                <w:highlight w:val="none"/>
                <w:u w:val="single"/>
                <w:lang w:eastAsia="zh-CN"/>
              </w:rPr>
              <w:t>杨小凤</w:t>
            </w:r>
            <w:r>
              <w:rPr>
                <w:rFonts w:hint="eastAsia"/>
                <w:color w:val="auto"/>
                <w:highlight w:val="none"/>
              </w:rPr>
              <w:t>，联系方式：</w:t>
            </w:r>
            <w:r>
              <w:rPr>
                <w:rFonts w:hint="eastAsia" w:ascii="宋体" w:hAnsi="宋体" w:cs="仿宋"/>
                <w:color w:val="auto"/>
                <w:kern w:val="0"/>
                <w:szCs w:val="21"/>
                <w:highlight w:val="none"/>
                <w:u w:val="single"/>
              </w:rPr>
              <w:t>0771-</w:t>
            </w:r>
            <w:r>
              <w:rPr>
                <w:rFonts w:hint="eastAsia" w:ascii="宋体" w:hAnsi="宋体" w:cs="仿宋"/>
                <w:color w:val="auto"/>
                <w:kern w:val="0"/>
                <w:szCs w:val="21"/>
                <w:highlight w:val="none"/>
                <w:u w:val="single"/>
                <w:lang w:val="en-US" w:eastAsia="zh-CN"/>
              </w:rPr>
              <w:t>2810302</w:t>
            </w:r>
            <w:r>
              <w:rPr>
                <w:rFonts w:hint="eastAsia"/>
                <w:color w:val="auto"/>
                <w:highlight w:val="none"/>
              </w:rPr>
              <w:t>）</w:t>
            </w:r>
            <w:r>
              <w:rPr>
                <w:rFonts w:hint="eastAsia" w:ascii="宋体" w:hAnsi="宋体"/>
                <w:color w:val="auto"/>
                <w:szCs w:val="21"/>
                <w:highlight w:val="none"/>
              </w:rPr>
              <w:t>将</w:t>
            </w:r>
            <w:r>
              <w:rPr>
                <w:rFonts w:hint="eastAsia" w:ascii="宋体" w:hAnsi="宋体" w:cs="宋体"/>
                <w:color w:val="auto"/>
                <w:kern w:val="0"/>
                <w:szCs w:val="21"/>
                <w:highlight w:val="none"/>
              </w:rPr>
              <w:t>单独密封的</w:t>
            </w:r>
            <w:r>
              <w:rPr>
                <w:rFonts w:hint="eastAsia" w:ascii="宋体" w:hAnsi="宋体"/>
                <w:color w:val="auto"/>
                <w:szCs w:val="21"/>
                <w:highlight w:val="none"/>
              </w:rPr>
              <w:t>支票、汇票、本票或者金融机构、担保机构出具的保函原件提交给采购人或者采购代理机构，由采购人或者采购代理机构向供应商出具回执（邮寄方式的除外），并妥善保管。</w:t>
            </w:r>
          </w:p>
          <w:p w14:paraId="7B348D3A">
            <w:pPr>
              <w:rPr>
                <w:color w:val="auto"/>
                <w:highlight w:val="none"/>
              </w:rPr>
            </w:pPr>
          </w:p>
          <w:p w14:paraId="57D35B01">
            <w:pPr>
              <w:snapToGrid w:val="0"/>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 xml:space="preserve">备注： </w:t>
            </w:r>
          </w:p>
          <w:p w14:paraId="2C3092E9">
            <w:pPr>
              <w:snapToGrid w:val="0"/>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1.磋商保证金在响应文件提交截止时间后提交的，或者不按规定交纳方式交纳的，或者未足额交纳的（包含保函额度不足的），视为无效磋商保证金。</w:t>
            </w:r>
          </w:p>
          <w:p w14:paraId="05D734B5">
            <w:pPr>
              <w:snapToGrid w:val="0"/>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2.供应商采用现钞方式或者从个人账户（自然人竞标除外）转出的磋商保证金，视为无效磋商保证金。</w:t>
            </w:r>
          </w:p>
          <w:p w14:paraId="227749D1">
            <w:pPr>
              <w:snapToGrid w:val="0"/>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3.支票、汇票或者本票出现无效或者背书情形的，视为无效磋商保证金。</w:t>
            </w:r>
          </w:p>
          <w:p w14:paraId="11B16BD9">
            <w:pPr>
              <w:snapToGrid w:val="0"/>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4.保函有效期低于竞标有效期的，视为无效磋商保证金。</w:t>
            </w:r>
          </w:p>
          <w:p w14:paraId="392BBD7F">
            <w:pPr>
              <w:snapToGrid w:val="0"/>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5.采用金融机构、担保机构出具保函的，必须为无条件保函，否则视为无效磋商保证金。</w:t>
            </w:r>
          </w:p>
          <w:p w14:paraId="6F218E47">
            <w:pPr>
              <w:spacing w:line="360" w:lineRule="auto"/>
              <w:rPr>
                <w:color w:val="auto"/>
                <w:highlight w:val="none"/>
              </w:rPr>
            </w:pPr>
            <w:r>
              <w:rPr>
                <w:rFonts w:hint="eastAsia" w:ascii="宋体" w:hAnsi="宋体"/>
                <w:b/>
                <w:color w:val="auto"/>
                <w:szCs w:val="21"/>
                <w:highlight w:val="none"/>
              </w:rPr>
              <w:t>6</w:t>
            </w:r>
            <w:r>
              <w:rPr>
                <w:rFonts w:ascii="宋体" w:hAnsi="宋体"/>
                <w:b/>
                <w:color w:val="auto"/>
                <w:szCs w:val="21"/>
                <w:highlight w:val="none"/>
              </w:rPr>
              <w:t>.政采云平台</w:t>
            </w:r>
            <w:r>
              <w:rPr>
                <w:rFonts w:hint="eastAsia" w:ascii="宋体" w:hAnsi="宋体"/>
                <w:b/>
                <w:color w:val="auto"/>
                <w:szCs w:val="21"/>
                <w:highlight w:val="none"/>
              </w:rPr>
              <w:t>暂未</w:t>
            </w:r>
            <w:r>
              <w:rPr>
                <w:rFonts w:ascii="宋体" w:hAnsi="宋体"/>
                <w:b/>
                <w:color w:val="auto"/>
                <w:szCs w:val="21"/>
                <w:highlight w:val="none"/>
              </w:rPr>
              <w:t>支持电子保函功能</w:t>
            </w:r>
            <w:r>
              <w:rPr>
                <w:rFonts w:hint="eastAsia" w:ascii="宋体" w:hAnsi="宋体"/>
                <w:b/>
                <w:color w:val="auto"/>
                <w:szCs w:val="21"/>
                <w:highlight w:val="none"/>
              </w:rPr>
              <w:t>，</w:t>
            </w:r>
            <w:r>
              <w:rPr>
                <w:rFonts w:ascii="宋体" w:hAnsi="宋体"/>
                <w:b/>
                <w:color w:val="auto"/>
                <w:szCs w:val="21"/>
                <w:highlight w:val="none"/>
              </w:rPr>
              <w:t>故本项目暂不接受电子保函形式的保证金</w:t>
            </w:r>
            <w:r>
              <w:rPr>
                <w:rFonts w:hint="eastAsia" w:ascii="宋体" w:hAnsi="宋体"/>
                <w:b/>
                <w:color w:val="auto"/>
                <w:szCs w:val="21"/>
                <w:highlight w:val="none"/>
              </w:rPr>
              <w:t>。</w:t>
            </w:r>
          </w:p>
        </w:tc>
      </w:tr>
      <w:tr w14:paraId="22E235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8" w:hRule="atLeast"/>
          <w:jc w:val="center"/>
        </w:trPr>
        <w:tc>
          <w:tcPr>
            <w:tcW w:w="992" w:type="dxa"/>
            <w:vAlign w:val="center"/>
          </w:tcPr>
          <w:p w14:paraId="7D9C8B7C">
            <w:pPr>
              <w:spacing w:line="360" w:lineRule="auto"/>
              <w:jc w:val="center"/>
              <w:rPr>
                <w:rFonts w:hint="eastAsia" w:ascii="宋体" w:hAnsi="宋体" w:cs="宋体"/>
                <w:color w:val="auto"/>
                <w:szCs w:val="21"/>
                <w:highlight w:val="none"/>
              </w:rPr>
            </w:pPr>
            <w:r>
              <w:rPr>
                <w:rFonts w:ascii="宋体" w:hAnsi="宋体" w:cs="宋体"/>
                <w:color w:val="auto"/>
                <w:szCs w:val="21"/>
                <w:highlight w:val="none"/>
              </w:rPr>
              <w:t>19</w:t>
            </w:r>
          </w:p>
        </w:tc>
        <w:tc>
          <w:tcPr>
            <w:tcW w:w="7912" w:type="dxa"/>
            <w:vAlign w:val="center"/>
          </w:tcPr>
          <w:p w14:paraId="345BB0C4">
            <w:pPr>
              <w:spacing w:line="360" w:lineRule="auto"/>
              <w:rPr>
                <w:rFonts w:hint="eastAsia" w:ascii="宋体" w:hAnsi="宋体" w:cs="宋体"/>
                <w:color w:val="auto"/>
                <w:szCs w:val="21"/>
                <w:highlight w:val="none"/>
              </w:rPr>
            </w:pPr>
            <w:r>
              <w:rPr>
                <w:rFonts w:hint="eastAsia" w:ascii="宋体" w:hAnsi="宋体"/>
                <w:color w:val="auto"/>
                <w:szCs w:val="21"/>
                <w:highlight w:val="none"/>
              </w:rPr>
              <w:t>本项目不接受</w:t>
            </w:r>
            <w:r>
              <w:rPr>
                <w:rFonts w:hint="eastAsia"/>
                <w:color w:val="auto"/>
                <w:highlight w:val="none"/>
              </w:rPr>
              <w:t>电子</w:t>
            </w:r>
            <w:r>
              <w:rPr>
                <w:rFonts w:hint="eastAsia" w:ascii="宋体" w:hAnsi="宋体"/>
                <w:color w:val="auto"/>
                <w:szCs w:val="21"/>
                <w:highlight w:val="none"/>
              </w:rPr>
              <w:t>备份响应文件</w:t>
            </w:r>
          </w:p>
        </w:tc>
      </w:tr>
      <w:tr w14:paraId="7577A7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487A8CB">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20.1</w:t>
            </w:r>
          </w:p>
        </w:tc>
        <w:tc>
          <w:tcPr>
            <w:tcW w:w="7912" w:type="dxa"/>
            <w:vAlign w:val="center"/>
          </w:tcPr>
          <w:p w14:paraId="660F9D41">
            <w:pPr>
              <w:spacing w:line="360" w:lineRule="auto"/>
              <w:contextualSpacing/>
              <w:jc w:val="left"/>
              <w:rPr>
                <w:rFonts w:hint="eastAsia" w:ascii="宋体" w:hAnsi="宋体" w:cs="宋体"/>
                <w:color w:val="auto"/>
                <w:szCs w:val="21"/>
                <w:highlight w:val="none"/>
                <w:u w:val="single"/>
              </w:rPr>
            </w:pPr>
            <w:r>
              <w:rPr>
                <w:rFonts w:hint="eastAsia" w:ascii="宋体" w:hAnsi="宋体" w:cs="宋体"/>
                <w:color w:val="auto"/>
                <w:szCs w:val="21"/>
                <w:highlight w:val="none"/>
              </w:rPr>
              <w:t>响应文件提交截止时间：详见竞争性磋商公告。</w:t>
            </w:r>
          </w:p>
          <w:p w14:paraId="1DA80353">
            <w:pPr>
              <w:spacing w:line="360" w:lineRule="auto"/>
              <w:contextualSpacing/>
              <w:jc w:val="left"/>
              <w:rPr>
                <w:rFonts w:hint="eastAsia" w:ascii="宋体" w:hAnsi="宋体" w:cs="宋体"/>
                <w:color w:val="auto"/>
                <w:szCs w:val="21"/>
                <w:highlight w:val="none"/>
              </w:rPr>
            </w:pPr>
            <w:r>
              <w:rPr>
                <w:rFonts w:hint="eastAsia" w:ascii="宋体" w:hAnsi="宋体" w:cs="宋体"/>
                <w:color w:val="auto"/>
                <w:szCs w:val="21"/>
                <w:highlight w:val="none"/>
              </w:rPr>
              <w:t>响应文件提交地点：详见竞争性磋商公告。</w:t>
            </w:r>
          </w:p>
        </w:tc>
      </w:tr>
      <w:tr w14:paraId="29C8FD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69DEED2">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24.1</w:t>
            </w:r>
          </w:p>
        </w:tc>
        <w:tc>
          <w:tcPr>
            <w:tcW w:w="7912" w:type="dxa"/>
            <w:vAlign w:val="center"/>
          </w:tcPr>
          <w:p w14:paraId="03F81BA2">
            <w:pPr>
              <w:snapToGrid w:val="0"/>
              <w:spacing w:line="360" w:lineRule="auto"/>
              <w:jc w:val="left"/>
              <w:rPr>
                <w:rFonts w:hint="eastAsia" w:ascii="宋体" w:hAnsi="宋体" w:cs="宋体"/>
                <w:color w:val="auto"/>
                <w:szCs w:val="21"/>
                <w:highlight w:val="none"/>
                <w:u w:val="single"/>
              </w:rPr>
            </w:pPr>
            <w:r>
              <w:rPr>
                <w:rFonts w:hint="eastAsia" w:ascii="宋体" w:hAnsi="宋体" w:cs="宋体"/>
                <w:color w:val="auto"/>
                <w:szCs w:val="21"/>
                <w:highlight w:val="none"/>
              </w:rPr>
              <w:t>磋商小组的人数：</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3</w:t>
            </w:r>
            <w:r>
              <w:rPr>
                <w:rFonts w:hint="eastAsia" w:ascii="宋体" w:hAnsi="宋体" w:cs="宋体"/>
                <w:color w:val="auto"/>
                <w:szCs w:val="21"/>
                <w:highlight w:val="none"/>
              </w:rPr>
              <w:t>人。</w:t>
            </w:r>
          </w:p>
        </w:tc>
      </w:tr>
      <w:tr w14:paraId="73D4E9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720903F">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5</w:t>
            </w:r>
          </w:p>
        </w:tc>
        <w:tc>
          <w:tcPr>
            <w:tcW w:w="7912" w:type="dxa"/>
            <w:vAlign w:val="center"/>
          </w:tcPr>
          <w:p w14:paraId="6DDB30B9">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首次响应文件开启时间详见“竞争性磋商公告”</w:t>
            </w:r>
          </w:p>
          <w:p w14:paraId="276C1A4F">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首次响应文件解密时间：</w:t>
            </w:r>
            <w:r>
              <w:rPr>
                <w:rFonts w:hAnsi="宋体"/>
                <w:color w:val="auto"/>
                <w:highlight w:val="none"/>
                <w:u w:val="single"/>
              </w:rPr>
              <w:t xml:space="preserve">30 </w:t>
            </w:r>
            <w:r>
              <w:rPr>
                <w:rFonts w:hint="eastAsia" w:hAnsi="宋体"/>
                <w:color w:val="auto"/>
                <w:highlight w:val="none"/>
              </w:rPr>
              <w:t>分钟</w:t>
            </w:r>
          </w:p>
        </w:tc>
      </w:tr>
      <w:tr w14:paraId="15547E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992" w:type="dxa"/>
            <w:vAlign w:val="center"/>
          </w:tcPr>
          <w:p w14:paraId="1E9E939C">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6.3</w:t>
            </w:r>
          </w:p>
        </w:tc>
        <w:tc>
          <w:tcPr>
            <w:tcW w:w="7912" w:type="dxa"/>
            <w:vAlign w:val="center"/>
          </w:tcPr>
          <w:p w14:paraId="52918204">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商务要求评审中允许负偏离的条款数为</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0</w:t>
            </w:r>
            <w:r>
              <w:rPr>
                <w:rFonts w:hint="eastAsia" w:ascii="宋体" w:hAnsi="宋体" w:cs="宋体"/>
                <w:color w:val="auto"/>
                <w:szCs w:val="21"/>
                <w:highlight w:val="none"/>
              </w:rPr>
              <w:t>项，</w:t>
            </w:r>
            <w:r>
              <w:rPr>
                <w:rFonts w:hint="eastAsia" w:hAnsi="宋体"/>
                <w:color w:val="auto"/>
                <w:highlight w:val="none"/>
              </w:rPr>
              <w:t>（负偏离达到</w:t>
            </w:r>
            <w:r>
              <w:rPr>
                <w:rFonts w:hAnsi="宋体"/>
                <w:color w:val="auto"/>
                <w:highlight w:val="none"/>
              </w:rPr>
              <w:t>1</w:t>
            </w:r>
            <w:r>
              <w:rPr>
                <w:rFonts w:hint="eastAsia" w:hAnsi="宋体"/>
                <w:color w:val="auto"/>
                <w:highlight w:val="none"/>
              </w:rPr>
              <w:t>项或以上则竞标无效）</w:t>
            </w:r>
            <w:r>
              <w:rPr>
                <w:rFonts w:hint="eastAsia" w:ascii="宋体" w:hAnsi="宋体" w:cs="宋体"/>
                <w:color w:val="auto"/>
                <w:szCs w:val="21"/>
                <w:highlight w:val="none"/>
              </w:rPr>
              <w:t>。</w:t>
            </w:r>
          </w:p>
          <w:p w14:paraId="5743BA85">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技术要求评审中允许负偏离的条款数为</w:t>
            </w:r>
            <w:r>
              <w:rPr>
                <w:rFonts w:hint="eastAsia" w:ascii="宋体" w:hAnsi="宋体" w:cs="宋体"/>
                <w:color w:val="auto"/>
                <w:szCs w:val="21"/>
                <w:highlight w:val="none"/>
                <w:u w:val="single"/>
              </w:rPr>
              <w:t xml:space="preserve"> 0</w:t>
            </w:r>
            <w:r>
              <w:rPr>
                <w:rFonts w:hint="eastAsia" w:ascii="宋体" w:hAnsi="宋体" w:cs="宋体"/>
                <w:color w:val="auto"/>
                <w:szCs w:val="21"/>
                <w:highlight w:val="none"/>
              </w:rPr>
              <w:t>项，</w:t>
            </w:r>
            <w:r>
              <w:rPr>
                <w:rFonts w:hint="eastAsia" w:hAnsi="宋体"/>
                <w:color w:val="auto"/>
                <w:highlight w:val="none"/>
              </w:rPr>
              <w:t>（负偏离达到1项或以上则竞标无效）</w:t>
            </w:r>
            <w:r>
              <w:rPr>
                <w:rFonts w:hint="eastAsia" w:ascii="宋体" w:hAnsi="宋体" w:cs="宋体"/>
                <w:color w:val="auto"/>
                <w:szCs w:val="21"/>
                <w:highlight w:val="none"/>
              </w:rPr>
              <w:t>。</w:t>
            </w:r>
          </w:p>
        </w:tc>
      </w:tr>
      <w:tr w14:paraId="0632AA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4D1EACDF">
            <w:pPr>
              <w:spacing w:line="360" w:lineRule="auto"/>
              <w:jc w:val="center"/>
              <w:rPr>
                <w:rFonts w:hint="eastAsia" w:ascii="宋体" w:hAnsi="宋体" w:cs="宋体"/>
                <w:color w:val="auto"/>
                <w:szCs w:val="21"/>
                <w:highlight w:val="none"/>
              </w:rPr>
            </w:pPr>
            <w:r>
              <w:rPr>
                <w:rFonts w:ascii="宋体" w:hAnsi="宋体" w:cs="宋体"/>
                <w:color w:val="auto"/>
                <w:szCs w:val="21"/>
                <w:highlight w:val="none"/>
              </w:rPr>
              <w:t>28.1</w:t>
            </w:r>
          </w:p>
        </w:tc>
        <w:tc>
          <w:tcPr>
            <w:tcW w:w="7912" w:type="dxa"/>
            <w:vAlign w:val="center"/>
          </w:tcPr>
          <w:p w14:paraId="22E2F172">
            <w:pPr>
              <w:autoSpaceDE w:val="0"/>
              <w:autoSpaceDN w:val="0"/>
              <w:snapToGrid w:val="0"/>
              <w:spacing w:line="360" w:lineRule="auto"/>
              <w:textAlignment w:val="bottom"/>
              <w:rPr>
                <w:rFonts w:hint="eastAsia" w:ascii="宋体" w:hAnsi="宋体"/>
                <w:color w:val="auto"/>
                <w:szCs w:val="21"/>
                <w:highlight w:val="none"/>
              </w:rPr>
            </w:pPr>
            <w:r>
              <w:rPr>
                <w:rFonts w:hint="eastAsia" w:ascii="宋体" w:hAnsi="宋体"/>
                <w:color w:val="auto"/>
                <w:szCs w:val="21"/>
                <w:highlight w:val="none"/>
              </w:rPr>
              <w:t>☑本项目不收取履约保证金。</w:t>
            </w:r>
          </w:p>
          <w:p w14:paraId="0A4A1062">
            <w:pPr>
              <w:autoSpaceDE w:val="0"/>
              <w:autoSpaceDN w:val="0"/>
              <w:snapToGrid w:val="0"/>
              <w:spacing w:line="360" w:lineRule="auto"/>
              <w:textAlignment w:val="bottom"/>
              <w:rPr>
                <w:rFonts w:hint="eastAsia" w:ascii="宋体" w:hAnsi="宋体"/>
                <w:color w:val="auto"/>
                <w:szCs w:val="21"/>
                <w:highlight w:val="none"/>
              </w:rPr>
            </w:pPr>
            <w:r>
              <w:rPr>
                <w:rFonts w:hint="eastAsia" w:ascii="宋体" w:hAnsi="宋体"/>
                <w:color w:val="auto"/>
                <w:szCs w:val="21"/>
                <w:highlight w:val="none"/>
              </w:rPr>
              <w:t>□本项目收取履约保证金，具体规定如下：</w:t>
            </w:r>
          </w:p>
          <w:p w14:paraId="3CA54005">
            <w:pPr>
              <w:autoSpaceDE w:val="0"/>
              <w:autoSpaceDN w:val="0"/>
              <w:snapToGrid w:val="0"/>
              <w:spacing w:line="360" w:lineRule="auto"/>
              <w:textAlignment w:val="bottom"/>
              <w:rPr>
                <w:rFonts w:hint="eastAsia" w:ascii="宋体" w:hAnsi="宋体"/>
                <w:color w:val="auto"/>
                <w:szCs w:val="21"/>
                <w:highlight w:val="none"/>
              </w:rPr>
            </w:pPr>
            <w:r>
              <w:rPr>
                <w:rFonts w:hint="eastAsia" w:ascii="宋体" w:hAnsi="宋体"/>
                <w:color w:val="auto"/>
                <w:szCs w:val="21"/>
                <w:highlight w:val="none"/>
              </w:rPr>
              <w:t>履约保证金金额：按成交金额的</w:t>
            </w:r>
            <w:r>
              <w:rPr>
                <w:rFonts w:hint="eastAsia" w:ascii="宋体" w:hAnsi="宋体" w:cs="Arial"/>
                <w:color w:val="auto"/>
                <w:szCs w:val="21"/>
                <w:highlight w:val="none"/>
                <w:u w:val="single"/>
              </w:rPr>
              <w:t xml:space="preserve">   </w:t>
            </w:r>
            <w:r>
              <w:rPr>
                <w:rFonts w:hint="eastAsia" w:ascii="宋体" w:hAnsi="宋体"/>
                <w:color w:val="auto"/>
                <w:szCs w:val="21"/>
                <w:highlight w:val="none"/>
              </w:rPr>
              <w:t>%。</w:t>
            </w:r>
          </w:p>
          <w:p w14:paraId="0C77BFB9">
            <w:pPr>
              <w:autoSpaceDE w:val="0"/>
              <w:autoSpaceDN w:val="0"/>
              <w:snapToGrid w:val="0"/>
              <w:spacing w:line="360" w:lineRule="auto"/>
              <w:textAlignment w:val="bottom"/>
              <w:rPr>
                <w:rFonts w:hint="eastAsia" w:ascii="宋体" w:hAnsi="宋体"/>
                <w:color w:val="auto"/>
                <w:szCs w:val="21"/>
                <w:highlight w:val="none"/>
              </w:rPr>
            </w:pPr>
            <w:r>
              <w:rPr>
                <w:rFonts w:hint="eastAsia" w:ascii="宋体" w:hAnsi="宋体"/>
                <w:color w:val="auto"/>
                <w:szCs w:val="21"/>
                <w:highlight w:val="none"/>
              </w:rPr>
              <w:t>履约保证金递交方式：银行转账、支票、汇票、本票或者金融机构、担保机构出具的保函等非现金方式（参照投标保证金）</w:t>
            </w:r>
          </w:p>
          <w:p w14:paraId="0A8C7EBD">
            <w:pPr>
              <w:autoSpaceDE w:val="0"/>
              <w:autoSpaceDN w:val="0"/>
              <w:snapToGrid w:val="0"/>
              <w:spacing w:line="360" w:lineRule="auto"/>
              <w:textAlignment w:val="bottom"/>
              <w:rPr>
                <w:rFonts w:hint="eastAsia" w:ascii="宋体" w:hAnsi="宋体"/>
                <w:color w:val="auto"/>
                <w:szCs w:val="21"/>
                <w:highlight w:val="none"/>
              </w:rPr>
            </w:pPr>
            <w:r>
              <w:rPr>
                <w:rFonts w:hint="eastAsia" w:ascii="宋体" w:hAnsi="宋体"/>
                <w:color w:val="auto"/>
                <w:szCs w:val="21"/>
                <w:highlight w:val="none"/>
              </w:rPr>
              <w:t>履约保证金缴纳期限：自签订合同之日起5个工作日内。</w:t>
            </w:r>
          </w:p>
          <w:p w14:paraId="64E55150">
            <w:pPr>
              <w:autoSpaceDE w:val="0"/>
              <w:autoSpaceDN w:val="0"/>
              <w:snapToGrid w:val="0"/>
              <w:spacing w:line="360" w:lineRule="auto"/>
              <w:textAlignment w:val="bottom"/>
              <w:rPr>
                <w:rFonts w:hint="eastAsia" w:ascii="宋体" w:hAnsi="宋体"/>
                <w:color w:val="auto"/>
                <w:szCs w:val="21"/>
                <w:highlight w:val="none"/>
                <w:u w:val="single"/>
              </w:rPr>
            </w:pPr>
            <w:r>
              <w:rPr>
                <w:rFonts w:hint="eastAsia" w:ascii="宋体" w:hAnsi="宋体"/>
                <w:color w:val="auto"/>
                <w:szCs w:val="21"/>
                <w:highlight w:val="none"/>
              </w:rPr>
              <w:t>履约保证金退付方式、时间及条件：</w:t>
            </w:r>
          </w:p>
          <w:p w14:paraId="4AF3959E">
            <w:pPr>
              <w:autoSpaceDE w:val="0"/>
              <w:autoSpaceDN w:val="0"/>
              <w:snapToGrid w:val="0"/>
              <w:spacing w:line="360" w:lineRule="auto"/>
              <w:textAlignment w:val="bottom"/>
              <w:rPr>
                <w:rFonts w:hint="eastAsia" w:ascii="宋体" w:hAnsi="宋体"/>
                <w:color w:val="auto"/>
                <w:szCs w:val="21"/>
                <w:highlight w:val="none"/>
              </w:rPr>
            </w:pPr>
            <w:r>
              <w:rPr>
                <w:rFonts w:hint="eastAsia" w:ascii="宋体" w:hAnsi="宋体"/>
                <w:color w:val="auto"/>
                <w:szCs w:val="21"/>
                <w:highlight w:val="none"/>
              </w:rPr>
              <w:t>履约保证金指定账户：</w:t>
            </w:r>
          </w:p>
          <w:p w14:paraId="5679255E">
            <w:pPr>
              <w:spacing w:line="360" w:lineRule="auto"/>
              <w:jc w:val="left"/>
              <w:rPr>
                <w:rFonts w:hint="eastAsia" w:ascii="宋体" w:hAnsi="宋体" w:cs="Courier New"/>
                <w:color w:val="auto"/>
                <w:szCs w:val="21"/>
                <w:highlight w:val="none"/>
              </w:rPr>
            </w:pPr>
            <w:r>
              <w:rPr>
                <w:rFonts w:hint="eastAsia" w:ascii="宋体" w:hAnsi="宋体" w:cs="Courier New"/>
                <w:color w:val="auto"/>
                <w:szCs w:val="21"/>
                <w:highlight w:val="none"/>
              </w:rPr>
              <w:t xml:space="preserve">开户名称： </w:t>
            </w:r>
          </w:p>
          <w:p w14:paraId="711607D9">
            <w:pPr>
              <w:spacing w:line="360" w:lineRule="auto"/>
              <w:jc w:val="left"/>
              <w:rPr>
                <w:rFonts w:hint="eastAsia" w:ascii="宋体" w:hAnsi="宋体" w:cs="Courier New"/>
                <w:color w:val="auto"/>
                <w:szCs w:val="21"/>
                <w:highlight w:val="none"/>
              </w:rPr>
            </w:pPr>
            <w:r>
              <w:rPr>
                <w:rFonts w:hint="eastAsia" w:ascii="宋体" w:hAnsi="宋体" w:cs="Courier New"/>
                <w:color w:val="auto"/>
                <w:szCs w:val="21"/>
                <w:highlight w:val="none"/>
              </w:rPr>
              <w:t xml:space="preserve">开户银行： </w:t>
            </w:r>
          </w:p>
          <w:p w14:paraId="26629F0E">
            <w:pPr>
              <w:spacing w:line="360" w:lineRule="auto"/>
              <w:jc w:val="left"/>
              <w:rPr>
                <w:rFonts w:hint="eastAsia" w:ascii="宋体" w:hAnsi="宋体" w:cs="Courier New"/>
                <w:color w:val="auto"/>
                <w:szCs w:val="21"/>
                <w:highlight w:val="none"/>
              </w:rPr>
            </w:pPr>
            <w:r>
              <w:rPr>
                <w:rFonts w:hint="eastAsia" w:ascii="宋体" w:hAnsi="宋体" w:cs="Courier New"/>
                <w:color w:val="auto"/>
                <w:szCs w:val="21"/>
                <w:highlight w:val="none"/>
                <w:lang w:eastAsia="zh-CN"/>
              </w:rPr>
              <w:t>银行账号</w:t>
            </w:r>
            <w:r>
              <w:rPr>
                <w:rFonts w:hint="eastAsia" w:ascii="宋体" w:hAnsi="宋体" w:cs="Courier New"/>
                <w:color w:val="auto"/>
                <w:szCs w:val="21"/>
                <w:highlight w:val="none"/>
              </w:rPr>
              <w:t xml:space="preserve">： </w:t>
            </w:r>
          </w:p>
          <w:p w14:paraId="07818090">
            <w:pPr>
              <w:spacing w:line="360" w:lineRule="auto"/>
              <w:jc w:val="left"/>
              <w:rPr>
                <w:rFonts w:hint="eastAsia" w:ascii="宋体" w:hAnsi="宋体" w:cs="Courier New"/>
                <w:color w:val="auto"/>
                <w:szCs w:val="21"/>
                <w:highlight w:val="none"/>
              </w:rPr>
            </w:pPr>
            <w:r>
              <w:rPr>
                <w:rFonts w:ascii="宋体" w:hAnsi="宋体" w:cs="Courier New"/>
                <w:color w:val="auto"/>
                <w:szCs w:val="21"/>
                <w:highlight w:val="none"/>
              </w:rPr>
              <w:t>备注：</w:t>
            </w:r>
          </w:p>
          <w:p w14:paraId="2F197834">
            <w:pPr>
              <w:spacing w:line="360" w:lineRule="auto"/>
              <w:jc w:val="left"/>
              <w:rPr>
                <w:rFonts w:hint="eastAsia" w:ascii="宋体" w:hAnsi="宋体"/>
                <w:b/>
                <w:color w:val="auto"/>
                <w:szCs w:val="21"/>
                <w:highlight w:val="none"/>
              </w:rPr>
            </w:pPr>
            <w:r>
              <w:rPr>
                <w:rFonts w:ascii="宋体" w:hAnsi="宋体"/>
                <w:b/>
                <w:color w:val="auto"/>
                <w:szCs w:val="21"/>
                <w:highlight w:val="none"/>
              </w:rPr>
              <w:t>1.</w:t>
            </w:r>
            <w:r>
              <w:rPr>
                <w:rFonts w:hint="eastAsia" w:ascii="宋体" w:hAnsi="宋体"/>
                <w:b/>
                <w:color w:val="auto"/>
                <w:szCs w:val="21"/>
                <w:highlight w:val="none"/>
              </w:rPr>
              <w:t xml:space="preserve"> 根据《广西壮族自治区财政厅关于持续优化政府采购营商环境推动高质量发展的通知》（桂财采〔2024〕55号）的规定，履约保证金数额不得超过政府采购合同金额的5%；对中小企业收取的履约保证金数额不得超过政府采购合同金额的2%</w:t>
            </w:r>
            <w:r>
              <w:rPr>
                <w:rFonts w:hint="eastAsia" w:ascii="宋体" w:hAnsi="宋体" w:cs="宋体"/>
                <w:b/>
                <w:color w:val="auto"/>
                <w:kern w:val="0"/>
                <w:sz w:val="24"/>
                <w:highlight w:val="none"/>
              </w:rPr>
              <w:t>。</w:t>
            </w:r>
          </w:p>
          <w:p w14:paraId="243E836D">
            <w:pPr>
              <w:spacing w:line="360" w:lineRule="auto"/>
              <w:jc w:val="left"/>
              <w:rPr>
                <w:rFonts w:hint="eastAsia" w:ascii="宋体" w:hAnsi="宋体"/>
                <w:b/>
                <w:color w:val="auto"/>
                <w:szCs w:val="21"/>
                <w:highlight w:val="none"/>
              </w:rPr>
            </w:pPr>
            <w:r>
              <w:rPr>
                <w:rFonts w:ascii="宋体" w:hAnsi="宋体"/>
                <w:b/>
                <w:color w:val="auto"/>
                <w:szCs w:val="21"/>
                <w:highlight w:val="none"/>
              </w:rPr>
              <w:t>2.</w:t>
            </w:r>
            <w:r>
              <w:rPr>
                <w:rFonts w:hint="eastAsia" w:ascii="宋体" w:hAnsi="宋体"/>
                <w:color w:val="auto"/>
                <w:szCs w:val="21"/>
                <w:highlight w:val="none"/>
              </w:rPr>
              <w:t xml:space="preserve"> </w:t>
            </w:r>
            <w:r>
              <w:rPr>
                <w:rFonts w:hint="eastAsia" w:ascii="宋体" w:hAnsi="宋体"/>
                <w:b/>
                <w:color w:val="auto"/>
                <w:szCs w:val="21"/>
                <w:highlight w:val="none"/>
              </w:rPr>
              <w:t>履约保证金不足额缴纳的（包含保函额度不足的），或者不按规定提交方式提交的，或者保函有效期低于合同履行期限（即合同中规定的当事人履行自己的义务，如交付标的物、价款或者报酬，履行劳务、完成工作的时间界限）的，不予签订合同。</w:t>
            </w:r>
            <w:r>
              <w:rPr>
                <w:rFonts w:ascii="宋体" w:hAnsi="宋体"/>
                <w:b/>
                <w:color w:val="auto"/>
                <w:szCs w:val="21"/>
                <w:highlight w:val="none"/>
              </w:rPr>
              <w:br w:type="textWrapping"/>
            </w:r>
            <w:r>
              <w:rPr>
                <w:rFonts w:ascii="宋体" w:hAnsi="宋体"/>
                <w:b/>
                <w:color w:val="auto"/>
                <w:szCs w:val="21"/>
                <w:highlight w:val="none"/>
              </w:rPr>
              <w:t>3.采用</w:t>
            </w:r>
            <w:r>
              <w:rPr>
                <w:rFonts w:hint="eastAsia" w:ascii="宋体" w:hAnsi="宋体"/>
                <w:b/>
                <w:color w:val="auto"/>
                <w:szCs w:val="21"/>
                <w:highlight w:val="none"/>
              </w:rPr>
              <w:t>金融机构、担保机构出具的保函</w:t>
            </w:r>
            <w:r>
              <w:rPr>
                <w:rFonts w:ascii="宋体" w:hAnsi="宋体"/>
                <w:b/>
                <w:color w:val="auto"/>
                <w:szCs w:val="21"/>
                <w:highlight w:val="none"/>
              </w:rPr>
              <w:t>的，必须为无条件保函，否则不予签订合同。</w:t>
            </w:r>
          </w:p>
          <w:p w14:paraId="51EE44E4">
            <w:pPr>
              <w:spacing w:line="360" w:lineRule="auto"/>
              <w:jc w:val="left"/>
              <w:rPr>
                <w:rFonts w:hint="eastAsia" w:ascii="宋体" w:hAnsi="宋体" w:cs="宋体"/>
                <w:color w:val="auto"/>
                <w:kern w:val="0"/>
                <w:szCs w:val="21"/>
                <w:highlight w:val="none"/>
              </w:rPr>
            </w:pPr>
            <w:r>
              <w:rPr>
                <w:rFonts w:ascii="宋体" w:hAnsi="宋体"/>
                <w:b/>
                <w:color w:val="auto"/>
                <w:szCs w:val="21"/>
                <w:highlight w:val="none"/>
              </w:rPr>
              <w:t>4.</w:t>
            </w:r>
            <w:r>
              <w:rPr>
                <w:rFonts w:hint="eastAsia" w:ascii="宋体" w:hAnsi="宋体"/>
                <w:b/>
                <w:color w:val="auto"/>
                <w:szCs w:val="21"/>
                <w:highlight w:val="none"/>
                <w:lang w:eastAsia="zh-CN"/>
              </w:rPr>
              <w:t>供应商</w:t>
            </w:r>
            <w:r>
              <w:rPr>
                <w:rFonts w:hint="eastAsia" w:ascii="宋体" w:hAnsi="宋体"/>
                <w:b/>
                <w:color w:val="auto"/>
                <w:szCs w:val="21"/>
                <w:highlight w:val="none"/>
              </w:rPr>
              <w:t>为联合体的，由联合体其中一方按规定提交的履约保证金，视为有效履约保证金。</w:t>
            </w:r>
          </w:p>
        </w:tc>
      </w:tr>
      <w:tr w14:paraId="4E2BB8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4EEEC38B">
            <w:pPr>
              <w:spacing w:line="360" w:lineRule="auto"/>
              <w:jc w:val="center"/>
              <w:rPr>
                <w:rFonts w:hint="eastAsia" w:ascii="宋体" w:hAnsi="宋体" w:cs="宋体"/>
                <w:color w:val="auto"/>
                <w:szCs w:val="21"/>
                <w:highlight w:val="none"/>
              </w:rPr>
            </w:pPr>
            <w:r>
              <w:rPr>
                <w:rFonts w:ascii="宋体" w:hAnsi="宋体" w:cs="宋体"/>
                <w:color w:val="auto"/>
                <w:szCs w:val="21"/>
                <w:highlight w:val="none"/>
              </w:rPr>
              <w:t>29.1</w:t>
            </w:r>
          </w:p>
        </w:tc>
        <w:tc>
          <w:tcPr>
            <w:tcW w:w="7912" w:type="dxa"/>
            <w:vAlign w:val="center"/>
          </w:tcPr>
          <w:p w14:paraId="3DDDD5B9">
            <w:pPr>
              <w:autoSpaceDE w:val="0"/>
              <w:autoSpaceDN w:val="0"/>
              <w:snapToGrid w:val="0"/>
              <w:spacing w:line="360" w:lineRule="auto"/>
              <w:textAlignment w:val="bottom"/>
              <w:rPr>
                <w:rFonts w:hint="eastAsia" w:ascii="宋体" w:hAnsi="宋体"/>
                <w:color w:val="auto"/>
                <w:szCs w:val="21"/>
                <w:highlight w:val="none"/>
              </w:rPr>
            </w:pPr>
            <w:r>
              <w:rPr>
                <w:rFonts w:hint="eastAsia" w:ascii="宋体" w:hAnsi="宋体"/>
                <w:color w:val="auto"/>
                <w:szCs w:val="21"/>
                <w:highlight w:val="none"/>
              </w:rPr>
              <w:t xml:space="preserve">签订合同携带的证明材料： </w:t>
            </w:r>
          </w:p>
          <w:p w14:paraId="0B5F6FBF">
            <w:pPr>
              <w:autoSpaceDE w:val="0"/>
              <w:autoSpaceDN w:val="0"/>
              <w:snapToGrid w:val="0"/>
              <w:spacing w:line="360" w:lineRule="auto"/>
              <w:textAlignment w:val="bottom"/>
              <w:rPr>
                <w:rFonts w:hint="eastAsia" w:ascii="宋体" w:hAnsi="宋体"/>
                <w:color w:val="auto"/>
                <w:szCs w:val="21"/>
                <w:highlight w:val="none"/>
              </w:rPr>
            </w:pPr>
            <w:r>
              <w:rPr>
                <w:rFonts w:hint="eastAsia" w:ascii="宋体" w:hAnsi="宋体"/>
                <w:color w:val="auto"/>
                <w:szCs w:val="21"/>
                <w:highlight w:val="none"/>
              </w:rPr>
              <w:t>委托代理人负责签订合同的，须携带授权委托书及委托代理人身份证原件等其他资格证件。</w:t>
            </w:r>
          </w:p>
          <w:p w14:paraId="6F219AA3">
            <w:pPr>
              <w:snapToGrid w:val="0"/>
              <w:spacing w:line="360" w:lineRule="auto"/>
              <w:rPr>
                <w:rFonts w:hint="eastAsia" w:ascii="宋体" w:hAnsi="宋体" w:cs="宋体"/>
                <w:color w:val="auto"/>
                <w:szCs w:val="21"/>
                <w:highlight w:val="none"/>
              </w:rPr>
            </w:pPr>
            <w:r>
              <w:rPr>
                <w:rFonts w:hint="eastAsia" w:ascii="宋体" w:hAnsi="宋体"/>
                <w:color w:val="auto"/>
                <w:szCs w:val="21"/>
                <w:highlight w:val="none"/>
              </w:rPr>
              <w:t>法定代表人负责签订合同的，须携带法定代表人</w:t>
            </w:r>
            <w:r>
              <w:rPr>
                <w:rFonts w:ascii="宋体" w:hAnsi="宋体"/>
                <w:color w:val="auto"/>
                <w:szCs w:val="21"/>
                <w:highlight w:val="none"/>
              </w:rPr>
              <w:t>身份证明原件</w:t>
            </w:r>
            <w:r>
              <w:rPr>
                <w:rFonts w:hint="eastAsia" w:ascii="宋体" w:hAnsi="宋体"/>
                <w:color w:val="auto"/>
                <w:szCs w:val="21"/>
                <w:highlight w:val="none"/>
              </w:rPr>
              <w:t>及</w:t>
            </w:r>
            <w:r>
              <w:rPr>
                <w:rFonts w:ascii="宋体" w:hAnsi="宋体"/>
                <w:color w:val="auto"/>
                <w:szCs w:val="21"/>
                <w:highlight w:val="none"/>
              </w:rPr>
              <w:t>身份证原件</w:t>
            </w:r>
            <w:r>
              <w:rPr>
                <w:rFonts w:hint="eastAsia" w:ascii="宋体" w:hAnsi="宋体"/>
                <w:color w:val="auto"/>
                <w:szCs w:val="21"/>
                <w:highlight w:val="none"/>
              </w:rPr>
              <w:t>等其他证明材料。</w:t>
            </w:r>
          </w:p>
        </w:tc>
      </w:tr>
      <w:tr w14:paraId="3CD8A3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4C9CDDC">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1.2</w:t>
            </w:r>
          </w:p>
        </w:tc>
        <w:tc>
          <w:tcPr>
            <w:tcW w:w="7912" w:type="dxa"/>
            <w:vAlign w:val="center"/>
          </w:tcPr>
          <w:p w14:paraId="5666512C">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接收质疑函方式：以书面形式。</w:t>
            </w:r>
          </w:p>
          <w:p w14:paraId="552FF57B">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质疑联系部门及联系方式：广西建设工程机电设备招标中心有限公司</w:t>
            </w:r>
          </w:p>
          <w:p w14:paraId="30986EBF">
            <w:pPr>
              <w:snapToGrid w:val="0"/>
              <w:spacing w:line="360" w:lineRule="auto"/>
              <w:rPr>
                <w:rFonts w:hint="default" w:ascii="宋体" w:hAnsi="宋体" w:eastAsia="宋体"/>
                <w:color w:val="auto"/>
                <w:szCs w:val="21"/>
                <w:highlight w:val="none"/>
                <w:lang w:val="en-US" w:eastAsia="zh-CN"/>
              </w:rPr>
            </w:pPr>
            <w:r>
              <w:rPr>
                <w:rFonts w:hint="eastAsia" w:ascii="宋体" w:hAnsi="宋体"/>
                <w:color w:val="auto"/>
                <w:szCs w:val="21"/>
                <w:highlight w:val="none"/>
              </w:rPr>
              <w:t>联系电话：0771-</w:t>
            </w:r>
            <w:r>
              <w:rPr>
                <w:rFonts w:hint="eastAsia" w:ascii="宋体" w:hAnsi="宋体"/>
                <w:color w:val="auto"/>
                <w:szCs w:val="21"/>
                <w:highlight w:val="none"/>
                <w:lang w:val="en-US" w:eastAsia="zh-CN"/>
              </w:rPr>
              <w:t>2810302</w:t>
            </w:r>
          </w:p>
          <w:p w14:paraId="241A1E18">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通讯地址：南宁市青秀区枫林路18号广西国控集团（枫林路办公区）裙楼三层</w:t>
            </w:r>
          </w:p>
          <w:p w14:paraId="5C416711">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业务时间：每天上午8时00分到12时00分，下午3时00分到6时 00分，双休日和法定节假日不办理业务。</w:t>
            </w:r>
          </w:p>
        </w:tc>
      </w:tr>
      <w:tr w14:paraId="579F66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324A6173">
            <w:pPr>
              <w:spacing w:line="360" w:lineRule="auto"/>
              <w:jc w:val="center"/>
              <w:rPr>
                <w:rFonts w:hint="eastAsia" w:ascii="宋体" w:hAnsi="宋体" w:cs="宋体"/>
                <w:color w:val="auto"/>
                <w:szCs w:val="21"/>
                <w:highlight w:val="none"/>
              </w:rPr>
            </w:pPr>
            <w:r>
              <w:rPr>
                <w:rFonts w:ascii="宋体" w:hAnsi="宋体" w:cs="宋体"/>
                <w:color w:val="auto"/>
                <w:szCs w:val="21"/>
                <w:highlight w:val="none"/>
              </w:rPr>
              <w:t>32.1</w:t>
            </w:r>
          </w:p>
        </w:tc>
        <w:tc>
          <w:tcPr>
            <w:tcW w:w="7912" w:type="dxa"/>
            <w:vAlign w:val="center"/>
          </w:tcPr>
          <w:p w14:paraId="43F9F9C9">
            <w:pPr>
              <w:snapToGrid w:val="0"/>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1.采购代理费支付方式：</w:t>
            </w:r>
          </w:p>
          <w:p w14:paraId="09280564">
            <w:pPr>
              <w:snapToGrid w:val="0"/>
              <w:spacing w:line="360" w:lineRule="auto"/>
              <w:rPr>
                <w:rFonts w:hint="eastAsia" w:ascii="宋体" w:hAnsi="宋体" w:cs="宋体"/>
                <w:color w:val="auto"/>
                <w:kern w:val="0"/>
                <w:szCs w:val="21"/>
                <w:highlight w:val="none"/>
              </w:rPr>
            </w:pPr>
            <w:r>
              <w:rPr>
                <w:rFonts w:hint="eastAsia" w:ascii="宋体" w:hAnsi="宋体"/>
                <w:color w:val="auto"/>
                <w:kern w:val="0"/>
                <w:sz w:val="20"/>
                <w:szCs w:val="21"/>
                <w:highlight w:val="none"/>
              </w:rPr>
              <w:t>√</w:t>
            </w:r>
            <w:r>
              <w:rPr>
                <w:rFonts w:hint="eastAsia" w:ascii="宋体" w:hAnsi="宋体" w:cs="宋体"/>
                <w:color w:val="auto"/>
                <w:kern w:val="0"/>
                <w:szCs w:val="21"/>
                <w:highlight w:val="none"/>
              </w:rPr>
              <w:t>本项目代理服务费按如下规定由</w:t>
            </w:r>
            <w:r>
              <w:rPr>
                <w:rFonts w:hint="eastAsia" w:ascii="宋体" w:hAnsi="宋体" w:cs="宋体"/>
                <w:color w:val="auto"/>
                <w:kern w:val="0"/>
                <w:szCs w:val="21"/>
                <w:highlight w:val="none"/>
                <w:u w:val="single"/>
              </w:rPr>
              <w:t>成交供应商</w:t>
            </w:r>
            <w:r>
              <w:rPr>
                <w:rFonts w:hint="eastAsia" w:ascii="宋体" w:hAnsi="宋体" w:cs="宋体"/>
                <w:color w:val="auto"/>
                <w:kern w:val="0"/>
                <w:szCs w:val="21"/>
                <w:highlight w:val="none"/>
              </w:rPr>
              <w:t>在领取成交通知书前，一次性向采购代理机构支付。</w:t>
            </w:r>
          </w:p>
          <w:p w14:paraId="0DC8BF8E">
            <w:pPr>
              <w:snapToGrid w:val="0"/>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□采购人支付。</w:t>
            </w:r>
          </w:p>
          <w:p w14:paraId="190597C4">
            <w:pPr>
              <w:snapToGrid w:val="0"/>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2.采购代理费收取标准：</w:t>
            </w:r>
          </w:p>
          <w:p w14:paraId="451426BC">
            <w:pPr>
              <w:snapToGrid w:val="0"/>
              <w:spacing w:line="360" w:lineRule="auto"/>
              <w:rPr>
                <w:rFonts w:hint="eastAsia" w:ascii="宋体" w:hAnsi="宋体" w:cs="宋体"/>
                <w:color w:val="auto"/>
                <w:kern w:val="0"/>
                <w:szCs w:val="21"/>
                <w:highlight w:val="none"/>
              </w:rPr>
            </w:pPr>
            <w:r>
              <w:rPr>
                <w:rFonts w:hint="eastAsia" w:ascii="MS Mincho" w:hAnsi="MS Mincho" w:eastAsia="MS Mincho" w:cs="MS Mincho"/>
                <w:color w:val="auto"/>
                <w:kern w:val="0"/>
                <w:sz w:val="20"/>
                <w:szCs w:val="21"/>
                <w:highlight w:val="none"/>
              </w:rPr>
              <w:t>☑</w:t>
            </w:r>
            <w:r>
              <w:rPr>
                <w:rFonts w:hint="eastAsia" w:ascii="宋体" w:hAnsi="宋体" w:cs="宋体"/>
                <w:color w:val="auto"/>
                <w:kern w:val="0"/>
                <w:szCs w:val="21"/>
                <w:highlight w:val="none"/>
              </w:rPr>
              <w:t>以分标（</w:t>
            </w:r>
            <w:r>
              <w:rPr>
                <w:rFonts w:hint="eastAsia" w:ascii="MS Mincho" w:hAnsi="MS Mincho" w:eastAsia="宋体" w:cs="MS Mincho"/>
                <w:color w:val="auto"/>
                <w:kern w:val="0"/>
                <w:sz w:val="20"/>
                <w:szCs w:val="21"/>
                <w:highlight w:val="none"/>
                <w:lang w:eastAsia="zh-CN"/>
              </w:rPr>
              <w:t>□</w:t>
            </w:r>
            <w:r>
              <w:rPr>
                <w:rFonts w:hint="eastAsia" w:ascii="宋体" w:hAnsi="宋体" w:cs="宋体"/>
                <w:color w:val="auto"/>
                <w:kern w:val="0"/>
                <w:szCs w:val="21"/>
                <w:highlight w:val="none"/>
              </w:rPr>
              <w:t>成交金额/</w:t>
            </w:r>
            <w:r>
              <w:rPr>
                <w:rFonts w:hint="eastAsia" w:ascii="宋体" w:hAnsi="宋体"/>
                <w:color w:val="auto"/>
                <w:kern w:val="0"/>
                <w:sz w:val="20"/>
                <w:szCs w:val="21"/>
                <w:highlight w:val="none"/>
                <w:lang w:eastAsia="zh-CN"/>
              </w:rPr>
              <w:t>☑</w:t>
            </w:r>
            <w:r>
              <w:rPr>
                <w:rFonts w:hint="eastAsia" w:ascii="宋体" w:hAnsi="宋体" w:cs="宋体"/>
                <w:color w:val="auto"/>
                <w:kern w:val="0"/>
                <w:szCs w:val="21"/>
                <w:highlight w:val="none"/>
              </w:rPr>
              <w:t>采购预算/□暂定成交金额/□其他</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）为计费额，按本须知正文第32.1条规定的（□货物类/</w:t>
            </w:r>
            <w:r>
              <w:rPr>
                <w:rFonts w:hint="eastAsia" w:ascii="MS Mincho" w:hAnsi="MS Mincho" w:eastAsia="MS Mincho" w:cs="MS Mincho"/>
                <w:color w:val="auto"/>
                <w:kern w:val="0"/>
                <w:sz w:val="20"/>
                <w:szCs w:val="21"/>
                <w:highlight w:val="none"/>
              </w:rPr>
              <w:t>☑</w:t>
            </w:r>
            <w:r>
              <w:rPr>
                <w:rFonts w:hint="eastAsia" w:ascii="宋体" w:hAnsi="宋体" w:cs="宋体"/>
                <w:color w:val="auto"/>
                <w:kern w:val="0"/>
                <w:szCs w:val="21"/>
                <w:highlight w:val="none"/>
              </w:rPr>
              <w:t>服务类/□工程类）标准采用差额定率累进法计算出收费基准价格，采购代理收费以（</w:t>
            </w:r>
            <w:r>
              <w:rPr>
                <w:rFonts w:hint="eastAsia" w:ascii="MS Mincho" w:hAnsi="MS Mincho" w:eastAsia="MS Mincho" w:cs="MS Mincho"/>
                <w:color w:val="auto"/>
                <w:kern w:val="0"/>
                <w:szCs w:val="21"/>
                <w:highlight w:val="none"/>
              </w:rPr>
              <w:t>☑</w:t>
            </w:r>
            <w:r>
              <w:rPr>
                <w:rFonts w:hint="eastAsia" w:ascii="宋体" w:hAnsi="宋体" w:cs="宋体"/>
                <w:color w:val="auto"/>
                <w:kern w:val="0"/>
                <w:szCs w:val="21"/>
                <w:highlight w:val="none"/>
              </w:rPr>
              <w:t>收费基准价格/□收费基准价格下浮</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/□收费基准价格上浮</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）收取。</w:t>
            </w:r>
          </w:p>
          <w:p w14:paraId="240FAB12">
            <w:pPr>
              <w:snapToGrid w:val="0"/>
              <w:spacing w:line="360" w:lineRule="auto"/>
              <w:rPr>
                <w:rFonts w:hint="eastAsia" w:ascii="宋体" w:hAnsi="宋体" w:cs="宋体"/>
                <w:color w:val="auto"/>
                <w:kern w:val="0"/>
                <w:szCs w:val="21"/>
                <w:highlight w:val="none"/>
                <w:u w:val="single"/>
              </w:rPr>
            </w:pPr>
            <w:r>
              <w:rPr>
                <w:rFonts w:hint="eastAsia" w:ascii="宋体" w:hAnsi="宋体" w:cs="宋体"/>
                <w:color w:val="auto"/>
                <w:kern w:val="0"/>
                <w:szCs w:val="21"/>
                <w:highlight w:val="none"/>
              </w:rPr>
              <w:t>□固定采购代理收费</w:t>
            </w:r>
            <w:r>
              <w:rPr>
                <w:rFonts w:hint="eastAsia" w:ascii="宋体" w:hAnsi="宋体" w:cs="宋体"/>
                <w:color w:val="auto"/>
                <w:kern w:val="0"/>
                <w:szCs w:val="21"/>
                <w:highlight w:val="none"/>
                <w:u w:val="single"/>
              </w:rPr>
              <w:t xml:space="preserve">              。</w:t>
            </w:r>
          </w:p>
          <w:p w14:paraId="652DB0F2">
            <w:pPr>
              <w:snapToGrid w:val="0"/>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3. 采购代理费收取银行账户</w:t>
            </w:r>
          </w:p>
          <w:p w14:paraId="385E3212">
            <w:pPr>
              <w:snapToGrid w:val="0"/>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账户名称：广西建设工程机电设备招标中心有限公司</w:t>
            </w:r>
          </w:p>
          <w:p w14:paraId="25119F04">
            <w:pPr>
              <w:snapToGrid w:val="0"/>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开户银行：招商银行南宁分行营业部</w:t>
            </w:r>
          </w:p>
          <w:p w14:paraId="36F06ADF">
            <w:pPr>
              <w:snapToGrid w:val="0"/>
              <w:spacing w:line="360" w:lineRule="auto"/>
              <w:rPr>
                <w:rFonts w:hint="eastAsia" w:ascii="宋体" w:hAnsi="宋体" w:cs="宋体"/>
                <w:color w:val="auto"/>
                <w:kern w:val="0"/>
                <w:szCs w:val="21"/>
                <w:highlight w:val="none"/>
                <w:u w:val="single"/>
              </w:rPr>
            </w:pPr>
            <w:r>
              <w:rPr>
                <w:rFonts w:hint="eastAsia" w:ascii="宋体" w:hAnsi="宋体" w:cs="宋体"/>
                <w:color w:val="auto"/>
                <w:kern w:val="0"/>
                <w:szCs w:val="21"/>
                <w:highlight w:val="none"/>
              </w:rPr>
              <w:t>银行账号：771901423310201</w:t>
            </w:r>
          </w:p>
        </w:tc>
      </w:tr>
      <w:tr w14:paraId="0C8A96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442D247">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3.1</w:t>
            </w:r>
          </w:p>
        </w:tc>
        <w:tc>
          <w:tcPr>
            <w:tcW w:w="7912" w:type="dxa"/>
            <w:vAlign w:val="center"/>
          </w:tcPr>
          <w:p w14:paraId="21A34EB9">
            <w:pPr>
              <w:snapToGrid w:val="0"/>
              <w:spacing w:line="360" w:lineRule="auto"/>
              <w:rPr>
                <w:rFonts w:hint="eastAsia" w:ascii="宋体" w:hAnsi="宋体" w:cs="宋体"/>
                <w:color w:val="auto"/>
                <w:szCs w:val="21"/>
                <w:highlight w:val="none"/>
              </w:rPr>
            </w:pPr>
            <w:r>
              <w:rPr>
                <w:rFonts w:hint="eastAsia" w:ascii="宋体" w:hAnsi="宋体"/>
                <w:color w:val="auto"/>
                <w:kern w:val="0"/>
                <w:szCs w:val="21"/>
                <w:highlight w:val="none"/>
              </w:rPr>
              <w:t>解释：</w:t>
            </w:r>
            <w:r>
              <w:rPr>
                <w:rFonts w:ascii="宋体" w:hAnsi="宋体"/>
                <w:color w:val="auto"/>
                <w:kern w:val="0"/>
                <w:szCs w:val="21"/>
                <w:highlight w:val="none"/>
              </w:rPr>
              <w:t>构成本</w:t>
            </w:r>
            <w:r>
              <w:rPr>
                <w:rFonts w:hint="eastAsia" w:ascii="宋体" w:hAnsi="宋体"/>
                <w:color w:val="auto"/>
                <w:kern w:val="0"/>
                <w:szCs w:val="21"/>
                <w:highlight w:val="none"/>
              </w:rPr>
              <w:t>磋商文件</w:t>
            </w:r>
            <w:r>
              <w:rPr>
                <w:rFonts w:ascii="宋体" w:hAnsi="宋体"/>
                <w:color w:val="auto"/>
                <w:kern w:val="0"/>
                <w:szCs w:val="21"/>
                <w:highlight w:val="none"/>
              </w:rPr>
              <w:t>的各个组成文件应互为解释，互为说明；除</w:t>
            </w:r>
            <w:r>
              <w:rPr>
                <w:rFonts w:hint="eastAsia" w:ascii="宋体" w:hAnsi="宋体"/>
                <w:color w:val="auto"/>
                <w:kern w:val="0"/>
                <w:szCs w:val="21"/>
                <w:highlight w:val="none"/>
              </w:rPr>
              <w:t>磋商文件</w:t>
            </w:r>
            <w:r>
              <w:rPr>
                <w:rFonts w:ascii="宋体" w:hAnsi="宋体"/>
                <w:color w:val="auto"/>
                <w:kern w:val="0"/>
                <w:szCs w:val="21"/>
                <w:highlight w:val="none"/>
              </w:rPr>
              <w:t>中有特别规定外，仅适用于</w:t>
            </w:r>
            <w:r>
              <w:rPr>
                <w:rFonts w:hint="eastAsia" w:ascii="宋体" w:hAnsi="宋体"/>
                <w:color w:val="auto"/>
                <w:kern w:val="0"/>
                <w:szCs w:val="21"/>
                <w:highlight w:val="none"/>
              </w:rPr>
              <w:t>竞标</w:t>
            </w:r>
            <w:r>
              <w:rPr>
                <w:rFonts w:ascii="宋体" w:hAnsi="宋体"/>
                <w:color w:val="auto"/>
                <w:kern w:val="0"/>
                <w:szCs w:val="21"/>
                <w:highlight w:val="none"/>
              </w:rPr>
              <w:t>阶段的规定，按</w:t>
            </w:r>
            <w:r>
              <w:rPr>
                <w:rFonts w:hint="eastAsia" w:ascii="宋体" w:hAnsi="宋体"/>
                <w:color w:val="auto"/>
                <w:kern w:val="0"/>
                <w:szCs w:val="21"/>
                <w:highlight w:val="none"/>
              </w:rPr>
              <w:t>更正公告（澄清公告）</w:t>
            </w:r>
            <w:r>
              <w:rPr>
                <w:rFonts w:ascii="宋体" w:hAnsi="宋体"/>
                <w:color w:val="auto"/>
                <w:kern w:val="0"/>
                <w:szCs w:val="21"/>
                <w:highlight w:val="none"/>
              </w:rPr>
              <w:t>、</w:t>
            </w:r>
            <w:r>
              <w:rPr>
                <w:rFonts w:hint="eastAsia" w:ascii="宋体" w:hAnsi="宋体"/>
                <w:color w:val="auto"/>
                <w:kern w:val="0"/>
                <w:szCs w:val="21"/>
                <w:highlight w:val="none"/>
              </w:rPr>
              <w:t>竞争性磋商</w:t>
            </w:r>
            <w:r>
              <w:rPr>
                <w:rFonts w:ascii="宋体" w:hAnsi="宋体"/>
                <w:color w:val="auto"/>
                <w:kern w:val="0"/>
                <w:szCs w:val="21"/>
                <w:highlight w:val="none"/>
              </w:rPr>
              <w:t>公告、</w:t>
            </w:r>
            <w:r>
              <w:rPr>
                <w:rFonts w:hint="eastAsia" w:ascii="宋体" w:hAnsi="宋体"/>
                <w:color w:val="auto"/>
                <w:kern w:val="0"/>
                <w:szCs w:val="21"/>
                <w:highlight w:val="none"/>
              </w:rPr>
              <w:t>供应商</w:t>
            </w:r>
            <w:r>
              <w:rPr>
                <w:rFonts w:ascii="宋体" w:hAnsi="宋体"/>
                <w:color w:val="auto"/>
                <w:kern w:val="0"/>
                <w:szCs w:val="21"/>
                <w:highlight w:val="none"/>
              </w:rPr>
              <w:t>须知</w:t>
            </w:r>
            <w:r>
              <w:rPr>
                <w:rFonts w:hint="eastAsia" w:ascii="宋体" w:hAnsi="宋体"/>
                <w:color w:val="auto"/>
                <w:kern w:val="0"/>
                <w:szCs w:val="21"/>
                <w:highlight w:val="none"/>
              </w:rPr>
              <w:t>、采购需求</w:t>
            </w:r>
            <w:r>
              <w:rPr>
                <w:rFonts w:ascii="宋体" w:hAnsi="宋体"/>
                <w:color w:val="auto"/>
                <w:kern w:val="0"/>
                <w:szCs w:val="21"/>
                <w:highlight w:val="none"/>
              </w:rPr>
              <w:t>、</w:t>
            </w:r>
            <w:r>
              <w:rPr>
                <w:rFonts w:hint="eastAsia" w:ascii="宋体" w:hAnsi="Courier New"/>
                <w:color w:val="auto"/>
                <w:kern w:val="0"/>
                <w:szCs w:val="21"/>
                <w:highlight w:val="none"/>
              </w:rPr>
              <w:t>评审程序、评审方法和评审标准</w:t>
            </w:r>
            <w:r>
              <w:rPr>
                <w:rFonts w:ascii="宋体" w:hAnsi="宋体"/>
                <w:color w:val="auto"/>
                <w:kern w:val="0"/>
                <w:szCs w:val="21"/>
                <w:highlight w:val="none"/>
              </w:rPr>
              <w:t>、</w:t>
            </w:r>
            <w:r>
              <w:rPr>
                <w:rFonts w:hint="eastAsia" w:ascii="宋体" w:hAnsi="宋体"/>
                <w:color w:val="auto"/>
                <w:kern w:val="0"/>
                <w:szCs w:val="21"/>
                <w:highlight w:val="none"/>
              </w:rPr>
              <w:t>响应</w:t>
            </w:r>
            <w:r>
              <w:rPr>
                <w:rFonts w:ascii="宋体" w:hAnsi="宋体"/>
                <w:color w:val="auto"/>
                <w:kern w:val="0"/>
                <w:szCs w:val="21"/>
                <w:highlight w:val="none"/>
              </w:rPr>
              <w:t>文件格式</w:t>
            </w:r>
            <w:r>
              <w:rPr>
                <w:rFonts w:hint="eastAsia" w:ascii="宋体" w:hAnsi="宋体"/>
                <w:color w:val="auto"/>
                <w:kern w:val="0"/>
                <w:szCs w:val="21"/>
                <w:highlight w:val="none"/>
              </w:rPr>
              <w:t>、合同文本</w:t>
            </w:r>
            <w:r>
              <w:rPr>
                <w:rFonts w:ascii="宋体" w:hAnsi="宋体"/>
                <w:color w:val="auto"/>
                <w:kern w:val="0"/>
                <w:szCs w:val="21"/>
                <w:highlight w:val="none"/>
              </w:rPr>
              <w:t>的先后顺序解释；同一组成文件中就同一事项的规定或者约定不一致的，以编排顺序在后者为准；同一组成文件不同版本之间有不一致的，以形成时间在后者为准；</w:t>
            </w:r>
            <w:r>
              <w:rPr>
                <w:rFonts w:hint="eastAsia" w:ascii="宋体" w:hAnsi="宋体"/>
                <w:color w:val="auto"/>
                <w:kern w:val="0"/>
                <w:szCs w:val="21"/>
                <w:highlight w:val="none"/>
              </w:rPr>
              <w:t>更正公告（澄清公告）</w:t>
            </w:r>
            <w:r>
              <w:rPr>
                <w:rFonts w:ascii="宋体" w:hAnsi="宋体"/>
                <w:color w:val="auto"/>
                <w:kern w:val="0"/>
                <w:szCs w:val="21"/>
                <w:highlight w:val="none"/>
              </w:rPr>
              <w:t>与同步更新的</w:t>
            </w:r>
            <w:r>
              <w:rPr>
                <w:rFonts w:hint="eastAsia" w:ascii="宋体" w:hAnsi="宋体"/>
                <w:color w:val="auto"/>
                <w:kern w:val="0"/>
                <w:szCs w:val="21"/>
                <w:highlight w:val="none"/>
              </w:rPr>
              <w:t>磋商文件</w:t>
            </w:r>
            <w:r>
              <w:rPr>
                <w:rFonts w:ascii="宋体" w:hAnsi="宋体"/>
                <w:color w:val="auto"/>
                <w:kern w:val="0"/>
                <w:szCs w:val="21"/>
                <w:highlight w:val="none"/>
              </w:rPr>
              <w:t>不一致时以</w:t>
            </w:r>
            <w:r>
              <w:rPr>
                <w:rFonts w:hint="eastAsia" w:ascii="宋体" w:hAnsi="宋体"/>
                <w:color w:val="auto"/>
                <w:kern w:val="0"/>
                <w:szCs w:val="21"/>
                <w:highlight w:val="none"/>
              </w:rPr>
              <w:t>更正公告（澄清公告）</w:t>
            </w:r>
            <w:r>
              <w:rPr>
                <w:rFonts w:ascii="宋体" w:hAnsi="宋体"/>
                <w:color w:val="auto"/>
                <w:kern w:val="0"/>
                <w:szCs w:val="21"/>
                <w:highlight w:val="none"/>
              </w:rPr>
              <w:t>为准。按本款前述规定仍不能形成结论的，由</w:t>
            </w:r>
            <w:r>
              <w:rPr>
                <w:rFonts w:hint="eastAsia" w:ascii="宋体" w:hAnsi="宋体"/>
                <w:color w:val="auto"/>
                <w:kern w:val="0"/>
                <w:szCs w:val="21"/>
                <w:highlight w:val="none"/>
              </w:rPr>
              <w:t>采购</w:t>
            </w:r>
            <w:r>
              <w:rPr>
                <w:rFonts w:ascii="宋体" w:hAnsi="宋体"/>
                <w:color w:val="auto"/>
                <w:kern w:val="0"/>
                <w:szCs w:val="21"/>
                <w:highlight w:val="none"/>
              </w:rPr>
              <w:t>人</w:t>
            </w:r>
            <w:r>
              <w:rPr>
                <w:rFonts w:hint="eastAsia" w:ascii="宋体" w:hAnsi="宋体"/>
                <w:color w:val="auto"/>
                <w:kern w:val="0"/>
                <w:szCs w:val="21"/>
                <w:highlight w:val="none"/>
              </w:rPr>
              <w:t>或者采购代理机构</w:t>
            </w:r>
            <w:r>
              <w:rPr>
                <w:rFonts w:ascii="宋体" w:hAnsi="宋体"/>
                <w:color w:val="auto"/>
                <w:kern w:val="0"/>
                <w:szCs w:val="21"/>
                <w:highlight w:val="none"/>
              </w:rPr>
              <w:t>负责解释。</w:t>
            </w:r>
          </w:p>
        </w:tc>
      </w:tr>
      <w:tr w14:paraId="72C802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1A5D447">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3.2</w:t>
            </w:r>
          </w:p>
        </w:tc>
        <w:tc>
          <w:tcPr>
            <w:tcW w:w="7912" w:type="dxa"/>
            <w:vAlign w:val="center"/>
          </w:tcPr>
          <w:p w14:paraId="176D331E">
            <w:pPr>
              <w:snapToGrid w:val="0"/>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242D622F">
            <w:pPr>
              <w:snapToGrid w:val="0"/>
              <w:spacing w:line="360" w:lineRule="auto"/>
              <w:rPr>
                <w:rFonts w:hint="eastAsia" w:ascii="宋体" w:hAnsi="宋体" w:cs="宋体"/>
                <w:color w:val="auto"/>
                <w:kern w:val="0"/>
                <w:szCs w:val="21"/>
                <w:highlight w:val="none"/>
              </w:rPr>
            </w:pPr>
            <w:r>
              <w:rPr>
                <w:rFonts w:hint="eastAsia" w:ascii="宋体" w:hAnsi="宋体" w:cs="宋体"/>
                <w:bCs/>
                <w:color w:val="auto"/>
                <w:kern w:val="0"/>
                <w:szCs w:val="21"/>
                <w:highlight w:val="none"/>
              </w:rPr>
              <w:t>2.本磋商文件所称的“</w:t>
            </w:r>
            <w:r>
              <w:rPr>
                <w:rFonts w:hint="eastAsia" w:ascii="宋体" w:hAnsi="宋体"/>
                <w:color w:val="auto"/>
                <w:kern w:val="0"/>
                <w:szCs w:val="21"/>
                <w:highlight w:val="none"/>
              </w:rPr>
              <w:t>电子签章</w:t>
            </w:r>
            <w:r>
              <w:rPr>
                <w:rFonts w:hint="eastAsia" w:ascii="宋体" w:hAnsi="宋体" w:cs="宋体"/>
                <w:bCs/>
                <w:color w:val="auto"/>
                <w:kern w:val="0"/>
                <w:szCs w:val="21"/>
                <w:highlight w:val="none"/>
              </w:rPr>
              <w:t>”、“电子签名”</w:t>
            </w:r>
            <w:r>
              <w:rPr>
                <w:rFonts w:hint="eastAsia" w:ascii="宋体" w:hAnsi="宋体"/>
                <w:color w:val="auto"/>
                <w:kern w:val="0"/>
                <w:szCs w:val="21"/>
                <w:highlight w:val="none"/>
              </w:rPr>
              <w:t>，是指经“广西政府采购云平台”认可的CA认证的电子签名数据为表现形式的印章，可用于签署电子响应文件，电子印章与实物印章具有同等法律效力，不因其采用电子化表现形式而否定其法律效力。</w:t>
            </w:r>
          </w:p>
          <w:p w14:paraId="7AD7E476">
            <w:pPr>
              <w:snapToGrid w:val="0"/>
              <w:spacing w:line="360" w:lineRule="auto"/>
              <w:rPr>
                <w:rFonts w:hint="eastAsia" w:ascii="宋体" w:hAnsi="宋体" w:cs="宋体"/>
                <w:bCs/>
                <w:color w:val="auto"/>
                <w:kern w:val="0"/>
                <w:szCs w:val="21"/>
                <w:highlight w:val="none"/>
              </w:rPr>
            </w:pPr>
            <w:r>
              <w:rPr>
                <w:rFonts w:ascii="宋体" w:hAnsi="宋体" w:cs="宋体"/>
                <w:color w:val="auto"/>
                <w:kern w:val="0"/>
                <w:szCs w:val="21"/>
                <w:highlight w:val="none"/>
              </w:rPr>
              <w:t>3</w:t>
            </w:r>
            <w:r>
              <w:rPr>
                <w:rFonts w:hint="eastAsia" w:ascii="宋体" w:hAnsi="宋体" w:cs="宋体"/>
                <w:color w:val="auto"/>
                <w:kern w:val="0"/>
                <w:szCs w:val="21"/>
                <w:highlight w:val="none"/>
              </w:rPr>
              <w:t>.供应商为其他组织或者自然人时，本磋商文件规定的法定代表人指负责人或者自然人。本磋商文件所称负责人是指参加竞标的其他组织</w:t>
            </w:r>
            <w:r>
              <w:rPr>
                <w:rFonts w:hint="eastAsia" w:ascii="宋体" w:hAnsi="宋体" w:cs="宋体"/>
                <w:bCs/>
                <w:color w:val="auto"/>
                <w:kern w:val="0"/>
                <w:szCs w:val="21"/>
                <w:highlight w:val="none"/>
              </w:rPr>
              <w:t>营业执照或者执业许可证等证照上的</w:t>
            </w:r>
            <w:r>
              <w:rPr>
                <w:rFonts w:hint="eastAsia" w:ascii="宋体" w:hAnsi="宋体" w:cs="宋体"/>
                <w:color w:val="auto"/>
                <w:kern w:val="0"/>
                <w:szCs w:val="21"/>
                <w:highlight w:val="none"/>
              </w:rPr>
              <w:t>负责人，本磋商文件所称自然人指参与竞标的自然人本人，</w:t>
            </w:r>
            <w:r>
              <w:rPr>
                <w:rFonts w:hint="eastAsia" w:ascii="宋体" w:hAnsi="宋体" w:cs="宋体"/>
                <w:bCs/>
                <w:color w:val="auto"/>
                <w:kern w:val="0"/>
                <w:szCs w:val="21"/>
                <w:highlight w:val="none"/>
              </w:rPr>
              <w:t>且应具备独立承担民事责任能力，自然人应当为年满18岁以上成年人（十六周岁以上的未成年人，以自己的劳动收入为主要生活来源的，视为完全民事行为能力人）。</w:t>
            </w:r>
          </w:p>
          <w:p w14:paraId="0C19F916">
            <w:pPr>
              <w:snapToGrid w:val="0"/>
              <w:spacing w:line="360" w:lineRule="auto"/>
              <w:rPr>
                <w:rFonts w:hint="eastAsia" w:ascii="宋体" w:hAnsi="宋体" w:cs="宋体"/>
                <w:color w:val="auto"/>
                <w:kern w:val="0"/>
                <w:szCs w:val="21"/>
                <w:highlight w:val="none"/>
              </w:rPr>
            </w:pPr>
            <w:r>
              <w:rPr>
                <w:rFonts w:ascii="宋体" w:hAnsi="宋体" w:cs="宋体"/>
                <w:color w:val="auto"/>
                <w:kern w:val="0"/>
                <w:szCs w:val="21"/>
                <w:highlight w:val="none"/>
              </w:rPr>
              <w:t>4.</w:t>
            </w:r>
            <w:r>
              <w:rPr>
                <w:rFonts w:hint="eastAsia" w:ascii="宋体" w:hAnsi="宋体" w:cs="宋体"/>
                <w:color w:val="auto"/>
                <w:kern w:val="0"/>
                <w:szCs w:val="21"/>
                <w:highlight w:val="none"/>
              </w:rPr>
              <w:t>本磋商文件中描述供应商的“签字”是指供应商的法定代表人或者委托代理人亲自在文件规定签署处亲笔写上个人的名字的行为，私章、签字章、印鉴、影印等其他形式均不能代替亲笔签字。</w:t>
            </w:r>
          </w:p>
          <w:p w14:paraId="521CE531">
            <w:pPr>
              <w:snapToGrid w:val="0"/>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5</w:t>
            </w:r>
            <w:r>
              <w:rPr>
                <w:rFonts w:ascii="宋体" w:hAnsi="宋体" w:cs="宋体"/>
                <w:color w:val="auto"/>
                <w:kern w:val="0"/>
                <w:szCs w:val="21"/>
                <w:highlight w:val="none"/>
              </w:rPr>
              <w:t>.</w:t>
            </w:r>
            <w:r>
              <w:rPr>
                <w:rFonts w:hint="eastAsia" w:ascii="宋体" w:hAnsi="宋体" w:cs="宋体"/>
                <w:color w:val="auto"/>
                <w:kern w:val="0"/>
                <w:szCs w:val="21"/>
                <w:highlight w:val="none"/>
              </w:rPr>
              <w:t>本磋商文件所称的“以上”“以下”“以内”“届满”，包括本数；所称的“不满”“超过”“以外”，不包括本数。</w:t>
            </w:r>
          </w:p>
        </w:tc>
      </w:tr>
    </w:tbl>
    <w:p w14:paraId="781754B0">
      <w:pPr>
        <w:spacing w:line="400" w:lineRule="exact"/>
        <w:jc w:val="center"/>
        <w:rPr>
          <w:rFonts w:hint="eastAsia" w:ascii="宋体" w:hAnsi="宋体"/>
          <w:b/>
          <w:color w:val="auto"/>
          <w:sz w:val="32"/>
          <w:szCs w:val="32"/>
          <w:highlight w:val="none"/>
        </w:rPr>
      </w:pPr>
      <w:r>
        <w:rPr>
          <w:rFonts w:ascii="宋体" w:hAnsi="宋体"/>
          <w:b/>
          <w:color w:val="auto"/>
          <w:sz w:val="32"/>
          <w:szCs w:val="32"/>
          <w:highlight w:val="none"/>
        </w:rPr>
        <w:br w:type="page"/>
      </w:r>
      <w:r>
        <w:rPr>
          <w:rFonts w:hint="eastAsia" w:ascii="宋体" w:hAnsi="宋体"/>
          <w:b/>
          <w:color w:val="auto"/>
          <w:sz w:val="32"/>
          <w:szCs w:val="32"/>
          <w:highlight w:val="none"/>
        </w:rPr>
        <w:t>供应商须知正文</w:t>
      </w:r>
    </w:p>
    <w:p w14:paraId="2FE83AAD">
      <w:pPr>
        <w:spacing w:line="400" w:lineRule="exact"/>
        <w:jc w:val="center"/>
        <w:rPr>
          <w:rFonts w:hint="eastAsia" w:ascii="宋体" w:hAnsi="宋体"/>
          <w:b/>
          <w:color w:val="auto"/>
          <w:sz w:val="32"/>
          <w:szCs w:val="32"/>
          <w:highlight w:val="none"/>
        </w:rPr>
      </w:pPr>
    </w:p>
    <w:p w14:paraId="7F02EEBF">
      <w:pPr>
        <w:spacing w:line="400" w:lineRule="exact"/>
        <w:jc w:val="center"/>
        <w:rPr>
          <w:rFonts w:hint="eastAsia" w:ascii="宋体" w:hAnsi="宋体"/>
          <w:b/>
          <w:color w:val="auto"/>
          <w:sz w:val="32"/>
          <w:szCs w:val="32"/>
          <w:highlight w:val="none"/>
        </w:rPr>
      </w:pPr>
      <w:r>
        <w:rPr>
          <w:rFonts w:hint="eastAsia" w:ascii="宋体" w:hAnsi="宋体"/>
          <w:b/>
          <w:color w:val="auto"/>
          <w:sz w:val="32"/>
          <w:szCs w:val="32"/>
          <w:highlight w:val="none"/>
        </w:rPr>
        <w:t>一、总则</w:t>
      </w:r>
    </w:p>
    <w:p w14:paraId="233E135C">
      <w:pPr>
        <w:spacing w:line="400" w:lineRule="exact"/>
        <w:rPr>
          <w:rFonts w:hint="eastAsia" w:ascii="宋体" w:hAnsi="宋体"/>
          <w:color w:val="auto"/>
          <w:szCs w:val="21"/>
          <w:highlight w:val="none"/>
        </w:rPr>
      </w:pPr>
    </w:p>
    <w:p w14:paraId="2E77B92F">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1.适用范围</w:t>
      </w:r>
    </w:p>
    <w:p w14:paraId="06383D8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1.1本项目采购人、采购代理机构、供应商、磋商小组的相关行为均受《</w:t>
      </w:r>
      <w:r>
        <w:rPr>
          <w:rFonts w:hint="eastAsia" w:ascii="宋体" w:hAnsi="宋体" w:cs="宋体"/>
          <w:color w:val="auto"/>
          <w:szCs w:val="21"/>
          <w:highlight w:val="none"/>
          <w:lang w:eastAsia="zh-CN"/>
        </w:rPr>
        <w:t>中华人民共和国政府采购法</w:t>
      </w:r>
      <w:r>
        <w:rPr>
          <w:rFonts w:hint="eastAsia" w:ascii="宋体" w:hAnsi="宋体" w:cs="宋体"/>
          <w:color w:val="auto"/>
          <w:szCs w:val="21"/>
          <w:highlight w:val="none"/>
        </w:rPr>
        <w:t>》《中华人民共和国政府采购法实施条例》</w:t>
      </w:r>
      <w:r>
        <w:rPr>
          <w:rFonts w:hint="eastAsia" w:ascii="宋体" w:hAnsi="宋体"/>
          <w:color w:val="auto"/>
          <w:szCs w:val="21"/>
          <w:highlight w:val="none"/>
        </w:rPr>
        <w:t>《政府采购竞争性磋商采购方式管理暂行办法》《财政部关于政府采购竞争性磋商采购方式管理暂行办法有关问题的补充通知》</w:t>
      </w:r>
      <w:r>
        <w:rPr>
          <w:rFonts w:hint="eastAsia" w:ascii="宋体" w:hAnsi="宋体" w:cs="宋体"/>
          <w:color w:val="auto"/>
          <w:szCs w:val="21"/>
          <w:highlight w:val="none"/>
        </w:rPr>
        <w:t>及本项目本级和上级财政部门政府采购有关规定的约束和保护。</w:t>
      </w:r>
    </w:p>
    <w:p w14:paraId="787D5C3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w:t>
      </w:r>
      <w:r>
        <w:rPr>
          <w:rFonts w:hint="eastAsia" w:ascii="宋体" w:hAnsi="宋体" w:cs="宋体"/>
          <w:color w:val="auto"/>
          <w:spacing w:val="-6"/>
          <w:szCs w:val="21"/>
          <w:highlight w:val="none"/>
        </w:rPr>
        <w:t>本竞争性磋商文件（以下简称磋商文件）适用于本项目的所有采购程序和环节（法律、法规另有规定的，从其规定）。</w:t>
      </w:r>
    </w:p>
    <w:p w14:paraId="511CA951">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2.定义</w:t>
      </w:r>
    </w:p>
    <w:p w14:paraId="487C323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2.1“采购人”是指依法进行政府采购的国家机关、事业单位、团体组织。</w:t>
      </w:r>
    </w:p>
    <w:p w14:paraId="2DFA24BB">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2.2“采购代理机构”是指政府采购集中采购机构和集中采购机构以外的采购代理机构。</w:t>
      </w:r>
    </w:p>
    <w:p w14:paraId="2E8619B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2.3“供应商”是指向采购人提供货物、工程或者服务的法人、其他组织或者自然人。</w:t>
      </w:r>
    </w:p>
    <w:p w14:paraId="75E7DBAC">
      <w:pPr>
        <w:spacing w:line="360" w:lineRule="auto"/>
        <w:ind w:firstLine="420" w:firstLineChars="200"/>
        <w:rPr>
          <w:rFonts w:hint="eastAsia" w:ascii="宋体" w:hAnsi="宋体" w:cs="宋体"/>
          <w:color w:val="auto"/>
          <w:szCs w:val="21"/>
          <w:highlight w:val="none"/>
        </w:rPr>
      </w:pPr>
      <w:r>
        <w:rPr>
          <w:rFonts w:hint="eastAsia" w:ascii="宋体" w:hAnsi="宋体"/>
          <w:color w:val="auto"/>
          <w:szCs w:val="21"/>
          <w:highlight w:val="none"/>
        </w:rPr>
        <w:t>2.4“服务”是指除货物和工程以外的其他政府采购对象。</w:t>
      </w:r>
    </w:p>
    <w:p w14:paraId="38BD5C9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5</w:t>
      </w:r>
      <w:r>
        <w:rPr>
          <w:rFonts w:hint="eastAsia" w:ascii="宋体" w:hAnsi="宋体" w:cs="宋体"/>
          <w:color w:val="auto"/>
          <w:szCs w:val="21"/>
          <w:highlight w:val="none"/>
        </w:rPr>
        <w:t>“竞标”是指供应商按照本项目竞争性磋商公告或者邀请函规定的方式获取磋商文件、提交响应文件并希望获得标的的行为。</w:t>
      </w:r>
    </w:p>
    <w:p w14:paraId="08CEB1C6">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2.6“书面形式”是指合同书、信件和数据电文（包括电报、电传、传真、电子数据交换和电子邮件）等可以有形地表现所载内容的形式。</w:t>
      </w:r>
    </w:p>
    <w:p w14:paraId="5FC6C34A">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2.7“响应文件”</w:t>
      </w:r>
      <w:r>
        <w:rPr>
          <w:rFonts w:hint="eastAsia" w:ascii="宋体" w:hAnsi="宋体" w:cs="宋体"/>
          <w:color w:val="auto"/>
          <w:spacing w:val="-6"/>
          <w:szCs w:val="21"/>
          <w:highlight w:val="none"/>
        </w:rPr>
        <w:t>是指：供应商根据本磋商文件要求，编制包含资格证明、报价、商务技术等所有内容的文件。</w:t>
      </w:r>
    </w:p>
    <w:p w14:paraId="3227764D">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2.8“实质性要求”是指磋商文件中已经指明不满足则响应文件按无效响应处理的条款，或者不能负偏离的条款，或者采购需求中带“▲”的条款。</w:t>
      </w:r>
    </w:p>
    <w:p w14:paraId="2C73BD46">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2.9“正偏离”，是指响应文件对磋商文件“采购需求”中有关条款作出的响应优于条款要求并有利于采购人的情形。</w:t>
      </w:r>
    </w:p>
    <w:p w14:paraId="4CC46A0D">
      <w:pPr>
        <w:spacing w:line="360" w:lineRule="auto"/>
        <w:ind w:firstLine="420" w:firstLineChars="200"/>
        <w:contextualSpacing/>
        <w:rPr>
          <w:rFonts w:hint="eastAsia"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10“负偏离”，是指响应文件对磋商文件“采购需求”中有关条款作出的响应不满足条款要求，导致采购人要求不能得到满足的情形。</w:t>
      </w:r>
    </w:p>
    <w:p w14:paraId="3F7CB0C4">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2.11“允许负偏离的条款”是指采购需求中的不属于“实质性要求”的条款。</w:t>
      </w:r>
    </w:p>
    <w:p w14:paraId="5C8231FD">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1</w:t>
      </w:r>
      <w:r>
        <w:rPr>
          <w:rFonts w:hint="eastAsia" w:ascii="宋体" w:hAnsi="宋体" w:cs="宋体"/>
          <w:color w:val="auto"/>
          <w:szCs w:val="21"/>
          <w:highlight w:val="none"/>
        </w:rPr>
        <w:t>2“首次报价”是指供应商提交的首次响应文件中的报价。</w:t>
      </w:r>
    </w:p>
    <w:p w14:paraId="0FC83610">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3.供应商的资格条件</w:t>
      </w:r>
    </w:p>
    <w:p w14:paraId="76769D2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供应商的资格条件详见“供应商须知前附表”。</w:t>
      </w:r>
    </w:p>
    <w:p w14:paraId="5192DAF8">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4.竞标费用</w:t>
      </w:r>
    </w:p>
    <w:p w14:paraId="30DB44E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供应商应承担参与本次采购活动有关的所有费用，包括但不限于获取磋商文件、勘查现场、编制和提交响应文件、参加磋商与应答、签订合同等，不论竞标结果如何，均应自行承担。</w:t>
      </w:r>
    </w:p>
    <w:p w14:paraId="00BF940D">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5.联合体竞标</w:t>
      </w:r>
    </w:p>
    <w:p w14:paraId="3C13031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5.1本项目是否接受联合体竞标，详见“供应商须知前附表”。</w:t>
      </w:r>
    </w:p>
    <w:p w14:paraId="5234B55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5.2</w:t>
      </w:r>
      <w:r>
        <w:rPr>
          <w:rFonts w:hint="eastAsia" w:ascii="宋体" w:hAnsi="宋体"/>
          <w:color w:val="auto"/>
          <w:highlight w:val="none"/>
        </w:rPr>
        <w:t>如接受联合体竞标，</w:t>
      </w:r>
      <w:r>
        <w:rPr>
          <w:rFonts w:hint="eastAsia" w:ascii="宋体" w:hAnsi="宋体" w:cs="宋体"/>
          <w:color w:val="auto"/>
          <w:szCs w:val="21"/>
          <w:highlight w:val="none"/>
        </w:rPr>
        <w:t>联合体竞标要求详见“供应商须知前附表”。</w:t>
      </w:r>
    </w:p>
    <w:p w14:paraId="7A04B98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5.3</w:t>
      </w:r>
      <w:bookmarkStart w:id="61" w:name="_Hlk66782192"/>
      <w:r>
        <w:rPr>
          <w:rFonts w:hint="eastAsia" w:ascii="宋体" w:hAnsi="宋体"/>
          <w:color w:val="auto"/>
          <w:szCs w:val="21"/>
          <w:highlight w:val="none"/>
        </w:rPr>
        <w:t>根据《政府采购促进中小企业发展管理办法》（财库〔2020〕46号）及</w:t>
      </w:r>
      <w:r>
        <w:rPr>
          <w:rFonts w:hint="eastAsia" w:ascii="宋体" w:hAnsi="宋体"/>
          <w:bCs/>
          <w:color w:val="auto"/>
          <w:szCs w:val="21"/>
          <w:highlight w:val="none"/>
        </w:rPr>
        <w:t>《广西壮族自治区财政厅关于持续优化政府采购营商环境推动高质量发展的通知》（桂财采〔2024〕55号）</w:t>
      </w:r>
      <w:r>
        <w:rPr>
          <w:rFonts w:hint="eastAsia" w:ascii="宋体" w:hAnsi="宋体"/>
          <w:color w:val="auto"/>
          <w:szCs w:val="21"/>
          <w:highlight w:val="none"/>
        </w:rPr>
        <w:t>的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6%的扣除，用扣除后的价格参加评审。</w:t>
      </w:r>
      <w:bookmarkEnd w:id="61"/>
    </w:p>
    <w:p w14:paraId="5F320F74">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 xml:space="preserve">6.转包与分包             </w:t>
      </w:r>
    </w:p>
    <w:p w14:paraId="184DAF76">
      <w:pPr>
        <w:pStyle w:val="7"/>
        <w:keepNext w:val="0"/>
        <w:keepLines w:val="0"/>
        <w:spacing w:before="0" w:after="0" w:line="360" w:lineRule="auto"/>
        <w:ind w:left="420" w:leftChars="200"/>
        <w:rPr>
          <w:rFonts w:hint="eastAsia" w:ascii="宋体" w:hAnsi="宋体"/>
          <w:b w:val="0"/>
          <w:color w:val="auto"/>
          <w:sz w:val="21"/>
          <w:szCs w:val="21"/>
          <w:highlight w:val="none"/>
        </w:rPr>
      </w:pPr>
      <w:bookmarkStart w:id="62" w:name="_Toc254970673"/>
      <w:bookmarkStart w:id="63" w:name="_Toc254970532"/>
      <w:r>
        <w:rPr>
          <w:rFonts w:hint="eastAsia" w:ascii="宋体" w:hAnsi="宋体"/>
          <w:b w:val="0"/>
          <w:color w:val="auto"/>
          <w:sz w:val="21"/>
          <w:szCs w:val="21"/>
          <w:highlight w:val="none"/>
        </w:rPr>
        <w:t>6.1本项目不允许转包。</w:t>
      </w:r>
    </w:p>
    <w:p w14:paraId="49F562A8">
      <w:pPr>
        <w:pStyle w:val="7"/>
        <w:keepNext w:val="0"/>
        <w:keepLines w:val="0"/>
        <w:spacing w:before="0" w:after="0" w:line="360" w:lineRule="auto"/>
        <w:ind w:firstLine="315" w:firstLineChars="150"/>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6.2本项目是否允许分包详见“供应商须知前附表”，本项目不允许违法分包。允许分包的非主体、非关键性工作，根据法律法规规定承担该工作需要行政许可的，如该工作由供应商自行承担，供应商应具备相应的行政许可，如供应商不具备相应的行政许可必须采用分包的方式，但分包供应商应具备相应行政许可。</w:t>
      </w:r>
    </w:p>
    <w:p w14:paraId="5AE0A5C0">
      <w:pPr>
        <w:pStyle w:val="7"/>
        <w:keepNext w:val="0"/>
        <w:keepLines w:val="0"/>
        <w:spacing w:before="0" w:after="0" w:line="360" w:lineRule="auto"/>
        <w:ind w:firstLine="315" w:firstLineChars="150"/>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6.3供应商根据磋商文件的规定和采购项目的实际情况，拟在成交后将成交项目的非主体、非关键性工作分包的，应当在响应文件中载明分包承担主体，分包承担主体应当具备相应资质条件且不得再次分包。</w:t>
      </w:r>
    </w:p>
    <w:p w14:paraId="2F3E4F70">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7.特别说明</w:t>
      </w:r>
      <w:bookmarkEnd w:id="62"/>
      <w:bookmarkEnd w:id="63"/>
    </w:p>
    <w:p w14:paraId="5EBE99DD">
      <w:pPr>
        <w:spacing w:line="360" w:lineRule="auto"/>
        <w:ind w:firstLine="420" w:firstLineChars="200"/>
        <w:rPr>
          <w:rFonts w:hint="eastAsia" w:ascii="宋体" w:hAnsi="宋体" w:cs="宋体"/>
          <w:color w:val="auto"/>
          <w:szCs w:val="21"/>
          <w:highlight w:val="none"/>
        </w:rPr>
      </w:pPr>
      <w:bookmarkStart w:id="64" w:name="_8.1提供相同品牌产品且通过资格审查、符合性审查的不同投标人参加同一合"/>
      <w:bookmarkEnd w:id="64"/>
      <w:r>
        <w:rPr>
          <w:rFonts w:hint="eastAsia" w:ascii="宋体" w:hAnsi="宋体" w:cs="宋体"/>
          <w:color w:val="auto"/>
          <w:szCs w:val="21"/>
          <w:highlight w:val="none"/>
        </w:rPr>
        <w:t>7.</w:t>
      </w:r>
      <w:r>
        <w:rPr>
          <w:rFonts w:ascii="宋体" w:hAnsi="宋体" w:cs="宋体"/>
          <w:color w:val="auto"/>
          <w:szCs w:val="21"/>
          <w:highlight w:val="none"/>
        </w:rPr>
        <w:t>1</w:t>
      </w:r>
      <w:bookmarkStart w:id="65" w:name="_Hlk65832145"/>
      <w:r>
        <w:rPr>
          <w:rFonts w:hint="eastAsia" w:ascii="宋体" w:hAnsi="宋体"/>
          <w:color w:val="auto"/>
          <w:szCs w:val="21"/>
          <w:highlight w:val="none"/>
        </w:rPr>
        <w:t xml:space="preserve">如果本磋商文件要求提供供应商或制造商的资格、信誉、荣誉、业绩与企业认证等材料的，资格、信誉、荣誉、业绩与企业认证等必须为供应商或者制造商所拥有或自身获得 </w:t>
      </w:r>
      <w:r>
        <w:rPr>
          <w:rFonts w:hint="eastAsia" w:ascii="宋体" w:hAnsi="宋体" w:cs="宋体"/>
          <w:color w:val="auto"/>
          <w:szCs w:val="21"/>
          <w:highlight w:val="none"/>
        </w:rPr>
        <w:t>。</w:t>
      </w:r>
    </w:p>
    <w:bookmarkEnd w:id="65"/>
    <w:p w14:paraId="46F06C4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w:t>
      </w:r>
      <w:r>
        <w:rPr>
          <w:rFonts w:ascii="宋体" w:hAnsi="宋体" w:cs="宋体"/>
          <w:color w:val="auto"/>
          <w:szCs w:val="21"/>
          <w:highlight w:val="none"/>
        </w:rPr>
        <w:t>2</w:t>
      </w:r>
      <w:r>
        <w:rPr>
          <w:rFonts w:hint="eastAsia" w:ascii="宋体" w:hAnsi="宋体" w:cs="宋体"/>
          <w:color w:val="auto"/>
          <w:szCs w:val="21"/>
          <w:highlight w:val="none"/>
        </w:rPr>
        <w:t>供应商应仔细阅读磋商文件的所有内容，按照磋商文件的要求提交响应文件，并对所提供的全部资料的真实性承担法律责任。</w:t>
      </w:r>
    </w:p>
    <w:p w14:paraId="5666A62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w:t>
      </w:r>
      <w:r>
        <w:rPr>
          <w:rFonts w:ascii="宋体" w:hAnsi="宋体" w:cs="宋体"/>
          <w:color w:val="auto"/>
          <w:szCs w:val="21"/>
          <w:highlight w:val="none"/>
        </w:rPr>
        <w:t>3</w:t>
      </w:r>
      <w:r>
        <w:rPr>
          <w:rFonts w:hint="eastAsia" w:ascii="宋体" w:hAnsi="宋体" w:cs="宋体"/>
          <w:color w:val="auto"/>
          <w:szCs w:val="21"/>
          <w:highlight w:val="none"/>
        </w:rPr>
        <w:t>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4934203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w:t>
      </w:r>
      <w:r>
        <w:rPr>
          <w:rFonts w:ascii="宋体" w:hAnsi="宋体" w:cs="宋体"/>
          <w:color w:val="auto"/>
          <w:szCs w:val="21"/>
          <w:highlight w:val="none"/>
        </w:rPr>
        <w:t>4</w:t>
      </w:r>
      <w:r>
        <w:rPr>
          <w:rFonts w:hint="eastAsia" w:ascii="宋体" w:hAnsi="宋体" w:cs="宋体"/>
          <w:color w:val="auto"/>
          <w:szCs w:val="21"/>
          <w:highlight w:val="none"/>
        </w:rPr>
        <w:t>在政府采购活动中，采购人员及相关人员与供应商有下列利害关系之一的，应当回避：</w:t>
      </w:r>
    </w:p>
    <w:p w14:paraId="76E9807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（1）参加采购活动前3年内与供应商存在劳动关系；</w:t>
      </w:r>
    </w:p>
    <w:p w14:paraId="3F9A786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（2）参加采购活动前3年内担任供应商的董事、监事；</w:t>
      </w:r>
    </w:p>
    <w:p w14:paraId="7F3E8BC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（3）参加采购活动前3年内是供应商的控股股东或者实际控制人；</w:t>
      </w:r>
    </w:p>
    <w:p w14:paraId="089F209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（4）与供应商的法定代表人或者负责人有夫妻、直系血亲、三代以内旁系血亲或者近姻亲关系；</w:t>
      </w:r>
    </w:p>
    <w:p w14:paraId="48FE01B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（5）与供应商有其他可能影响政府采购活动公平、公正进行的关系。</w:t>
      </w:r>
    </w:p>
    <w:p w14:paraId="2120B2E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3F19B3F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w:t>
      </w:r>
      <w:r>
        <w:rPr>
          <w:rFonts w:ascii="宋体" w:hAnsi="宋体" w:cs="宋体"/>
          <w:color w:val="auto"/>
          <w:szCs w:val="21"/>
          <w:highlight w:val="none"/>
        </w:rPr>
        <w:t>5</w:t>
      </w:r>
      <w:r>
        <w:rPr>
          <w:rFonts w:hint="eastAsia" w:ascii="宋体" w:hAnsi="宋体" w:cs="宋体"/>
          <w:color w:val="auto"/>
          <w:szCs w:val="21"/>
          <w:highlight w:val="none"/>
        </w:rPr>
        <w:t>有下列情形之一的视为供应商相互串通竞标，响应文件将被视为无效：</w:t>
      </w:r>
    </w:p>
    <w:p w14:paraId="47FE5E3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（1）不同供应商的响应文件由同一单位或者个人编制或者不同供应商报名的IP地址一致的；或者编制标书硬件设备CPU编号、硬盘编号、网卡地址一致的情况； </w:t>
      </w:r>
    </w:p>
    <w:p w14:paraId="7EBEB22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（2）不同供应商委托同一单位或者个人办理竞标事宜；</w:t>
      </w:r>
    </w:p>
    <w:p w14:paraId="756AC7E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（3）不同的供应商的响应文件载明的项目管理员为同一个人；</w:t>
      </w:r>
    </w:p>
    <w:p w14:paraId="510847C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（4）不同供应商的响应文件异常一致或者报价呈规律性差异；</w:t>
      </w:r>
    </w:p>
    <w:p w14:paraId="15D4171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（5）不同供应商的响应文件相互混装；</w:t>
      </w:r>
    </w:p>
    <w:p w14:paraId="3C3B052F">
      <w:pPr>
        <w:tabs>
          <w:tab w:val="left" w:pos="6931"/>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（6）不同供应商的磋商保证金从同一单位或者个人账户转出。</w:t>
      </w:r>
      <w:r>
        <w:rPr>
          <w:rFonts w:ascii="宋体" w:hAnsi="宋体" w:cs="宋体"/>
          <w:color w:val="auto"/>
          <w:szCs w:val="21"/>
          <w:highlight w:val="none"/>
        </w:rPr>
        <w:tab/>
      </w:r>
    </w:p>
    <w:p w14:paraId="49ED1E4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w:t>
      </w:r>
      <w:r>
        <w:rPr>
          <w:rFonts w:ascii="宋体" w:hAnsi="宋体" w:cs="宋体"/>
          <w:color w:val="auto"/>
          <w:szCs w:val="21"/>
          <w:highlight w:val="none"/>
        </w:rPr>
        <w:t>6</w:t>
      </w:r>
      <w:r>
        <w:rPr>
          <w:rFonts w:hint="eastAsia" w:ascii="宋体" w:hAnsi="宋体" w:cs="宋体"/>
          <w:color w:val="auto"/>
          <w:szCs w:val="21"/>
          <w:highlight w:val="none"/>
        </w:rPr>
        <w:t>供应商有下列情形之一的，属于恶意串通行为，将报同级监督管理部门：</w:t>
      </w:r>
    </w:p>
    <w:p w14:paraId="5D0D92B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（1）供应商直接或者间接从采购人或者采购代理机构处获得其他供应商的相关信息并修改其响应文件；</w:t>
      </w:r>
    </w:p>
    <w:p w14:paraId="11A292E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（2）供应商按照采购人或者采购代理机构的授意撤换、修改响应文件；</w:t>
      </w:r>
    </w:p>
    <w:p w14:paraId="02C2E69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（3）供应商之间协商报价、技术方案等响应文件或者响应文件的实质性内容；</w:t>
      </w:r>
    </w:p>
    <w:p w14:paraId="60E66A6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（4）属于同一集团、协会、商会等组织成员的供应商按照该组织要求协同参加政府采购活动；</w:t>
      </w:r>
    </w:p>
    <w:p w14:paraId="17165AC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036BC65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（6）供应商之间商定部分供应商放弃参加政府采购活动或者放弃成交；</w:t>
      </w:r>
    </w:p>
    <w:p w14:paraId="52E67CE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（7）供应商与采购人或者采购代理机构之间、供应商相互之间，为谋求特定供应商成交或者排斥其他供应商的其他串通行为。</w:t>
      </w:r>
    </w:p>
    <w:p w14:paraId="5724B2FB">
      <w:pPr>
        <w:snapToGrid w:val="0"/>
        <w:spacing w:line="360" w:lineRule="auto"/>
        <w:ind w:firstLine="420" w:firstLineChars="200"/>
        <w:rPr>
          <w:rFonts w:hint="eastAsia" w:ascii="宋体" w:hAnsi="宋体"/>
          <w:bCs/>
          <w:color w:val="auto"/>
          <w:szCs w:val="21"/>
          <w:highlight w:val="none"/>
        </w:rPr>
      </w:pPr>
      <w:r>
        <w:rPr>
          <w:rFonts w:hint="eastAsia" w:ascii="宋体" w:hAnsi="宋体" w:cs="宋体"/>
          <w:color w:val="auto"/>
          <w:szCs w:val="21"/>
          <w:highlight w:val="none"/>
        </w:rPr>
        <w:t>7.7</w:t>
      </w:r>
      <w:r>
        <w:rPr>
          <w:rFonts w:hint="eastAsia" w:ascii="宋体" w:hAnsi="宋体" w:cs="宋体"/>
          <w:bCs/>
          <w:color w:val="auto"/>
          <w:kern w:val="0"/>
          <w:szCs w:val="21"/>
          <w:highlight w:val="none"/>
        </w:rPr>
        <w:t>异常低价响应的风险警示：为维护公平竞争和项目质量，磋商小组将对疑似异常低价的响应进行认定。若供应商的最后报价被认定为异常低价且无法在合理期限内证明其报价合理性的，其报价将被视为无效。具体认定标准和处理程序，详见“第四章  评审程序、评审方法和评审标准”。</w:t>
      </w:r>
    </w:p>
    <w:p w14:paraId="04F48E28">
      <w:pPr>
        <w:snapToGrid w:val="0"/>
        <w:spacing w:line="360" w:lineRule="auto"/>
        <w:ind w:firstLine="420" w:firstLineChars="200"/>
        <w:rPr>
          <w:rFonts w:hint="eastAsia" w:ascii="宋体" w:hAnsi="宋体"/>
          <w:bCs/>
          <w:color w:val="auto"/>
          <w:szCs w:val="21"/>
          <w:highlight w:val="none"/>
        </w:rPr>
      </w:pPr>
    </w:p>
    <w:p w14:paraId="1CB32286">
      <w:pPr>
        <w:spacing w:line="360" w:lineRule="auto"/>
        <w:jc w:val="center"/>
        <w:rPr>
          <w:rFonts w:hint="eastAsia" w:ascii="宋体" w:hAnsi="宋体"/>
          <w:b/>
          <w:bCs/>
          <w:color w:val="auto"/>
          <w:sz w:val="32"/>
          <w:szCs w:val="32"/>
          <w:highlight w:val="none"/>
        </w:rPr>
      </w:pPr>
      <w:bookmarkStart w:id="66" w:name="_Toc254970675"/>
      <w:bookmarkStart w:id="67" w:name="_Toc254970534"/>
      <w:r>
        <w:rPr>
          <w:rFonts w:hint="eastAsia" w:ascii="宋体" w:hAnsi="宋体"/>
          <w:b/>
          <w:bCs/>
          <w:color w:val="auto"/>
          <w:sz w:val="32"/>
          <w:szCs w:val="32"/>
          <w:highlight w:val="none"/>
        </w:rPr>
        <w:t>二、磋商文件</w:t>
      </w:r>
      <w:bookmarkEnd w:id="66"/>
      <w:bookmarkEnd w:id="67"/>
    </w:p>
    <w:p w14:paraId="05024C28">
      <w:pPr>
        <w:spacing w:line="360" w:lineRule="auto"/>
        <w:rPr>
          <w:rFonts w:hint="eastAsia" w:ascii="宋体" w:hAnsi="宋体"/>
          <w:color w:val="auto"/>
          <w:szCs w:val="21"/>
          <w:highlight w:val="none"/>
        </w:rPr>
      </w:pPr>
    </w:p>
    <w:p w14:paraId="561DBF4E">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8.磋商文件的构成</w:t>
      </w:r>
    </w:p>
    <w:p w14:paraId="369E7614">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（1）竞争性磋商公告/竞标邀请函；</w:t>
      </w:r>
    </w:p>
    <w:p w14:paraId="004FCC0D">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 xml:space="preserve">（2）供应商须知； </w:t>
      </w:r>
    </w:p>
    <w:p w14:paraId="200069FB">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（3）采购需求；</w:t>
      </w:r>
    </w:p>
    <w:p w14:paraId="50A9D92C">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（4）评审程序、评审方法和评审标准；</w:t>
      </w:r>
    </w:p>
    <w:p w14:paraId="36DF4072">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（5）响应文件格式；</w:t>
      </w:r>
    </w:p>
    <w:p w14:paraId="323F43D6">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（6）合同文本。</w:t>
      </w:r>
    </w:p>
    <w:p w14:paraId="0EC78C39">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9.供应商的询问</w:t>
      </w:r>
    </w:p>
    <w:p w14:paraId="749E47AE">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供应商应认真阅读磋商文件的采购需求，如供应商对磋商文件有疑问的，如要求采购人作出澄清或者修改的，供应商尽可能在</w:t>
      </w:r>
      <w:r>
        <w:rPr>
          <w:rFonts w:ascii="宋体" w:hAnsi="宋体"/>
          <w:color w:val="auto"/>
          <w:szCs w:val="21"/>
          <w:highlight w:val="none"/>
        </w:rPr>
        <w:t>提交首次响应文件截止之日前</w:t>
      </w:r>
      <w:r>
        <w:rPr>
          <w:rFonts w:hint="eastAsia" w:ascii="宋体" w:hAnsi="宋体"/>
          <w:color w:val="auto"/>
          <w:szCs w:val="21"/>
          <w:highlight w:val="none"/>
        </w:rPr>
        <w:t>，以书面形式向</w:t>
      </w:r>
      <w:r>
        <w:rPr>
          <w:rFonts w:ascii="宋体" w:hAnsi="宋体"/>
          <w:color w:val="auto"/>
          <w:szCs w:val="21"/>
          <w:highlight w:val="none"/>
        </w:rPr>
        <w:t>采购人、采购代理机构</w:t>
      </w:r>
      <w:r>
        <w:rPr>
          <w:rFonts w:hint="eastAsia" w:ascii="宋体" w:hAnsi="宋体"/>
          <w:color w:val="auto"/>
          <w:szCs w:val="21"/>
          <w:highlight w:val="none"/>
        </w:rPr>
        <w:t>提出。</w:t>
      </w:r>
    </w:p>
    <w:p w14:paraId="6BDB8A69">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10.磋商文件的澄清和修改</w:t>
      </w:r>
    </w:p>
    <w:p w14:paraId="2696FEB2">
      <w:pPr>
        <w:spacing w:line="360" w:lineRule="auto"/>
        <w:ind w:firstLine="420" w:firstLineChars="200"/>
        <w:rPr>
          <w:rFonts w:hint="eastAsia" w:ascii="宋体" w:hAnsi="宋体"/>
          <w:color w:val="auto"/>
          <w:szCs w:val="21"/>
          <w:highlight w:val="none"/>
        </w:rPr>
      </w:pPr>
      <w:r>
        <w:rPr>
          <w:rFonts w:ascii="宋体" w:hAnsi="宋体"/>
          <w:color w:val="auto"/>
          <w:szCs w:val="21"/>
          <w:highlight w:val="none"/>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3个工作日前，以书面形式通知所有</w:t>
      </w:r>
      <w:r>
        <w:rPr>
          <w:rFonts w:hint="eastAsia" w:ascii="宋体" w:hAnsi="宋体"/>
          <w:color w:val="auto"/>
          <w:szCs w:val="21"/>
          <w:highlight w:val="none"/>
        </w:rPr>
        <w:t>获取</w:t>
      </w:r>
      <w:r>
        <w:rPr>
          <w:rFonts w:ascii="宋体" w:hAnsi="宋体"/>
          <w:color w:val="auto"/>
          <w:szCs w:val="21"/>
          <w:highlight w:val="none"/>
        </w:rPr>
        <w:t>磋商文件的供应商，不足3个工作日的，应当顺延提交首次响应文件截止之日。</w:t>
      </w:r>
    </w:p>
    <w:p w14:paraId="52335821">
      <w:pPr>
        <w:spacing w:line="360" w:lineRule="auto"/>
        <w:rPr>
          <w:rFonts w:hint="eastAsia" w:ascii="宋体" w:hAnsi="宋体"/>
          <w:color w:val="auto"/>
          <w:szCs w:val="21"/>
          <w:highlight w:val="none"/>
        </w:rPr>
      </w:pPr>
    </w:p>
    <w:p w14:paraId="48D04F8D">
      <w:pPr>
        <w:spacing w:line="360" w:lineRule="auto"/>
        <w:jc w:val="center"/>
        <w:rPr>
          <w:rFonts w:hint="eastAsia" w:ascii="宋体" w:hAnsi="宋体"/>
          <w:b/>
          <w:bCs/>
          <w:color w:val="auto"/>
          <w:szCs w:val="21"/>
          <w:highlight w:val="none"/>
        </w:rPr>
      </w:pPr>
      <w:r>
        <w:rPr>
          <w:rFonts w:hint="eastAsia" w:ascii="宋体" w:hAnsi="宋体"/>
          <w:b/>
          <w:bCs/>
          <w:color w:val="auto"/>
          <w:sz w:val="32"/>
          <w:szCs w:val="32"/>
          <w:highlight w:val="none"/>
        </w:rPr>
        <w:t>三、响应文件的编制</w:t>
      </w:r>
    </w:p>
    <w:p w14:paraId="57305577">
      <w:pPr>
        <w:spacing w:line="360" w:lineRule="auto"/>
        <w:rPr>
          <w:rFonts w:hint="eastAsia" w:ascii="宋体" w:hAnsi="宋体"/>
          <w:color w:val="auto"/>
          <w:szCs w:val="21"/>
          <w:highlight w:val="none"/>
        </w:rPr>
      </w:pPr>
    </w:p>
    <w:p w14:paraId="2DC7C303">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11.响应文件的编制原则</w:t>
      </w:r>
    </w:p>
    <w:p w14:paraId="6A9149B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供应商必须按照磋商文件的要求编制响应文件，并对其提交的响应文件的真实性、合法性承担法律责任。响应文件必须对磋商文件作出实质性响应。</w:t>
      </w:r>
    </w:p>
    <w:p w14:paraId="548BE6CD">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12.响应文件的组成</w:t>
      </w:r>
    </w:p>
    <w:p w14:paraId="6682C49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12.1响应文件由资格证明文件、报价文件商务技术文件</w:t>
      </w:r>
      <w:r>
        <w:rPr>
          <w:rFonts w:hint="eastAsia" w:ascii="宋体" w:hAnsi="宋体" w:cs="宋体"/>
          <w:color w:val="auto"/>
          <w:szCs w:val="21"/>
          <w:highlight w:val="none"/>
          <w:lang w:val="en-US" w:eastAsia="zh-CN"/>
        </w:rPr>
        <w:t>二</w:t>
      </w:r>
      <w:r>
        <w:rPr>
          <w:rFonts w:hint="eastAsia" w:ascii="宋体" w:hAnsi="宋体" w:cs="宋体"/>
          <w:color w:val="auto"/>
          <w:szCs w:val="21"/>
          <w:highlight w:val="none"/>
        </w:rPr>
        <w:t>部分组成。</w:t>
      </w:r>
    </w:p>
    <w:p w14:paraId="5B3EC7D0">
      <w:pPr>
        <w:spacing w:line="360" w:lineRule="auto"/>
        <w:ind w:left="840" w:leftChars="200" w:hanging="420" w:hangingChars="200"/>
        <w:rPr>
          <w:rFonts w:hint="eastAsia" w:ascii="宋体" w:hAnsi="宋体" w:cs="宋体"/>
          <w:color w:val="auto"/>
          <w:szCs w:val="21"/>
          <w:highlight w:val="none"/>
        </w:rPr>
      </w:pPr>
      <w:r>
        <w:rPr>
          <w:rFonts w:hint="eastAsia" w:ascii="宋体" w:hAnsi="宋体" w:cs="宋体"/>
          <w:color w:val="auto"/>
          <w:szCs w:val="21"/>
          <w:highlight w:val="none"/>
        </w:rPr>
        <w:t>12.1.1资格证明文件：详见“供应商须知前附表”</w:t>
      </w:r>
    </w:p>
    <w:p w14:paraId="19CE7CBA">
      <w:pPr>
        <w:spacing w:line="360" w:lineRule="auto"/>
        <w:ind w:left="840" w:leftChars="200" w:hanging="420" w:hangingChars="200"/>
        <w:rPr>
          <w:rFonts w:hint="eastAsia" w:ascii="宋体" w:hAnsi="宋体" w:cs="宋体"/>
          <w:color w:val="auto"/>
          <w:szCs w:val="21"/>
          <w:highlight w:val="none"/>
        </w:rPr>
      </w:pPr>
      <w:r>
        <w:rPr>
          <w:rFonts w:hint="eastAsia" w:ascii="宋体" w:hAnsi="宋体" w:cs="宋体"/>
          <w:color w:val="auto"/>
          <w:szCs w:val="21"/>
          <w:highlight w:val="none"/>
        </w:rPr>
        <w:t>12.1.2报价商务技术文件：详见“供应商须知前附表”</w:t>
      </w:r>
    </w:p>
    <w:p w14:paraId="6AB6748D">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13.计量单位</w:t>
      </w:r>
    </w:p>
    <w:p w14:paraId="2125623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磋商文件已有明确规定的，使用磋商文件规定的计量单位；磋商文件没有规定的，应采用中华人民共和国法定计量单位，货币种类为人民币，否则视同未响应。</w:t>
      </w:r>
    </w:p>
    <w:p w14:paraId="43D1803C">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14.竞标的风险</w:t>
      </w:r>
    </w:p>
    <w:p w14:paraId="2E0EE29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供应商没有按照磋商文件要求提供全部资料，或者供应商没有对磋商文件在各方面作出实质性响应可能导致其响应无效，是供应商应当考虑的风险。</w:t>
      </w:r>
    </w:p>
    <w:p w14:paraId="1413A833">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15.竞标报价</w:t>
      </w:r>
    </w:p>
    <w:p w14:paraId="2319AD74">
      <w:pPr>
        <w:tabs>
          <w:tab w:val="left" w:pos="2492"/>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15.1竞标报价应按磋商文件中“磋商报价表”格式填写。</w:t>
      </w:r>
    </w:p>
    <w:p w14:paraId="53C47CFE">
      <w:pPr>
        <w:tabs>
          <w:tab w:val="left" w:pos="2492"/>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15.2竞标报价的内容见“供应商须知前附表”。</w:t>
      </w:r>
    </w:p>
    <w:p w14:paraId="7087C1DA">
      <w:pPr>
        <w:spacing w:line="360" w:lineRule="auto"/>
        <w:ind w:left="426" w:leftChars="203"/>
        <w:rPr>
          <w:rFonts w:hint="eastAsia" w:ascii="宋体" w:hAnsi="宋体" w:cs="宋体"/>
          <w:color w:val="auto"/>
          <w:szCs w:val="21"/>
          <w:highlight w:val="none"/>
        </w:rPr>
      </w:pPr>
      <w:r>
        <w:rPr>
          <w:rFonts w:hint="eastAsia" w:ascii="宋体" w:hAnsi="宋体" w:cs="宋体"/>
          <w:color w:val="auto"/>
          <w:szCs w:val="21"/>
          <w:highlight w:val="none"/>
        </w:rPr>
        <w:t>15.3竞标报价要求</w:t>
      </w:r>
    </w:p>
    <w:p w14:paraId="2017C28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5.3.1</w:t>
      </w:r>
      <w:r>
        <w:rPr>
          <w:rFonts w:hint="eastAsia" w:ascii="宋体" w:hAnsi="宋体" w:cs="宋体"/>
          <w:color w:val="auto"/>
          <w:szCs w:val="21"/>
          <w:highlight w:val="none"/>
        </w:rPr>
        <w:t>供应商的竞标报价应符合以下要求，否则响应文件按无效响应处理：</w:t>
      </w:r>
    </w:p>
    <w:p w14:paraId="693C4AB9">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（1）供应商必须就“采购需求”中所竞标的每个分标的全部内容分别作完整唯一总价报价，</w:t>
      </w:r>
    </w:p>
    <w:p w14:paraId="30B51BF8">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不得存在漏项报价；</w:t>
      </w:r>
    </w:p>
    <w:p w14:paraId="25964CF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）供应商必须就所竞标的分标的单项内容作唯一报价。</w:t>
      </w:r>
    </w:p>
    <w:p w14:paraId="3AE5138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15.3.</w:t>
      </w:r>
      <w:r>
        <w:rPr>
          <w:rFonts w:ascii="宋体" w:hAnsi="宋体" w:cs="宋体"/>
          <w:color w:val="auto"/>
          <w:szCs w:val="21"/>
          <w:highlight w:val="none"/>
        </w:rPr>
        <w:t>2</w:t>
      </w:r>
      <w:r>
        <w:rPr>
          <w:rFonts w:hint="eastAsia" w:ascii="宋体" w:hAnsi="宋体" w:cs="宋体"/>
          <w:color w:val="auto"/>
          <w:szCs w:val="21"/>
          <w:highlight w:val="none"/>
        </w:rPr>
        <w:t>竞标报价（包含首次报价、最后报价）超过所竞标分标规定的采购预算金额或者最高限价的，或者</w:t>
      </w:r>
      <w:r>
        <w:rPr>
          <w:rFonts w:hint="eastAsia" w:ascii="宋体" w:hAnsi="宋体"/>
          <w:color w:val="auto"/>
          <w:szCs w:val="21"/>
          <w:highlight w:val="none"/>
        </w:rPr>
        <w:t>经启动异常低价响应审查程序后，供应商不能证明其最后报价合理性的</w:t>
      </w:r>
      <w:r>
        <w:rPr>
          <w:rFonts w:hint="eastAsia" w:ascii="宋体" w:hAnsi="宋体" w:cs="宋体"/>
          <w:color w:val="auto"/>
          <w:szCs w:val="21"/>
          <w:highlight w:val="none"/>
        </w:rPr>
        <w:t>，其响应文件将按无效处理。</w:t>
      </w:r>
    </w:p>
    <w:p w14:paraId="34B1221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15.3.</w:t>
      </w:r>
      <w:r>
        <w:rPr>
          <w:rFonts w:ascii="宋体" w:hAnsi="宋体" w:cs="宋体"/>
          <w:color w:val="auto"/>
          <w:szCs w:val="21"/>
          <w:highlight w:val="none"/>
        </w:rPr>
        <w:t>3</w:t>
      </w:r>
      <w:bookmarkStart w:id="68" w:name="_Hlk42592874"/>
      <w:r>
        <w:rPr>
          <w:rFonts w:hint="eastAsia" w:ascii="宋体" w:hAnsi="宋体" w:cs="宋体"/>
          <w:color w:val="auto"/>
          <w:szCs w:val="21"/>
          <w:highlight w:val="none"/>
        </w:rPr>
        <w:t>竞标报价（包含首次报价、最后报价）超过分项采购预算金额或者最高限价的，其响应文件将按无效处理。</w:t>
      </w:r>
    </w:p>
    <w:bookmarkEnd w:id="68"/>
    <w:p w14:paraId="0401AAEE">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16.竞标有效期</w:t>
      </w:r>
    </w:p>
    <w:p w14:paraId="285432F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16.1竞标有效期是指为保证采购人有足够的时间在提交响应文件后完成评审、确定成交供应商、合同签订等工作而要求供应商提交的响应文件在一定时间内保持有效的期限。</w:t>
      </w:r>
    </w:p>
    <w:p w14:paraId="5ACBF04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16.2 竞标有效期应由供应商按“供应商须知前附表”规定的期限作出响应。</w:t>
      </w:r>
    </w:p>
    <w:p w14:paraId="6E9D46C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16.3供应商的响应文件在竞标有效期内均保持有效。</w:t>
      </w:r>
    </w:p>
    <w:p w14:paraId="7A3304BD">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17.磋商保证金</w:t>
      </w:r>
    </w:p>
    <w:p w14:paraId="3A1ECC58">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17.1供应商须按“供应商须知前附表”的规定提交磋商保证金。</w:t>
      </w:r>
    </w:p>
    <w:p w14:paraId="496AE1FE">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17.2磋商保证金的退还</w:t>
      </w:r>
    </w:p>
    <w:p w14:paraId="72BF41B8">
      <w:pPr>
        <w:spacing w:line="360" w:lineRule="auto"/>
        <w:ind w:firstLine="420" w:firstLineChars="200"/>
        <w:rPr>
          <w:rFonts w:hint="eastAsia" w:ascii="宋体" w:hAnsi="宋体" w:cs="宋体"/>
          <w:color w:val="auto"/>
          <w:szCs w:val="21"/>
          <w:highlight w:val="none"/>
        </w:rPr>
      </w:pPr>
      <w:bookmarkStart w:id="69" w:name="_Hlk66782243"/>
      <w:r>
        <w:rPr>
          <w:rFonts w:hint="eastAsia" w:ascii="宋体" w:hAnsi="宋体" w:cs="宋体"/>
          <w:color w:val="auto"/>
          <w:szCs w:val="21"/>
          <w:highlight w:val="none"/>
        </w:rPr>
        <w:t>未</w:t>
      </w:r>
      <w:r>
        <w:rPr>
          <w:rFonts w:hint="eastAsia" w:ascii="宋体" w:hAnsi="宋体" w:cs="宋体"/>
          <w:color w:val="auto"/>
          <w:spacing w:val="-6"/>
          <w:szCs w:val="21"/>
          <w:highlight w:val="none"/>
        </w:rPr>
        <w:t>成交供应商的</w:t>
      </w:r>
      <w:r>
        <w:rPr>
          <w:rFonts w:hint="eastAsia" w:ascii="宋体" w:hAnsi="宋体" w:cs="宋体"/>
          <w:color w:val="auto"/>
          <w:spacing w:val="-6"/>
          <w:szCs w:val="21"/>
          <w:highlight w:val="none"/>
          <w:lang w:eastAsia="zh-CN"/>
        </w:rPr>
        <w:t>磋商保证金</w:t>
      </w:r>
      <w:r>
        <w:rPr>
          <w:rFonts w:hint="eastAsia" w:ascii="宋体" w:hAnsi="宋体" w:cs="宋体"/>
          <w:color w:val="auto"/>
          <w:spacing w:val="-6"/>
          <w:szCs w:val="21"/>
          <w:highlight w:val="none"/>
        </w:rPr>
        <w:t>自成交通知书发出之日起5个工作日内退还；</w:t>
      </w:r>
      <w:r>
        <w:rPr>
          <w:rFonts w:hint="eastAsia" w:ascii="宋体" w:hAnsi="宋体" w:cs="宋体"/>
          <w:color w:val="auto"/>
          <w:szCs w:val="21"/>
          <w:highlight w:val="none"/>
        </w:rPr>
        <w:t>成交供应商的磋商保证金自签订合同之日起5个工作日内退还。</w:t>
      </w:r>
      <w:bookmarkEnd w:id="69"/>
      <w:r>
        <w:rPr>
          <w:rFonts w:hint="eastAsia" w:ascii="宋体" w:hAnsi="宋体" w:cs="宋体"/>
          <w:color w:val="auto"/>
          <w:szCs w:val="21"/>
          <w:highlight w:val="none"/>
        </w:rPr>
        <w:t xml:space="preserve"> </w:t>
      </w:r>
    </w:p>
    <w:p w14:paraId="619309AF">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17.3磋商保证金不计息。</w:t>
      </w:r>
    </w:p>
    <w:p w14:paraId="0CE4B8A6">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 xml:space="preserve">17.4供应商有下列情形之一的，磋商保证金将不予退还： </w:t>
      </w:r>
    </w:p>
    <w:p w14:paraId="1CEFF55B">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（1）供应商在提交响应文件截止时间后撤回响应文件的；</w:t>
      </w:r>
    </w:p>
    <w:p w14:paraId="1B7185ED">
      <w:pPr>
        <w:spacing w:line="360" w:lineRule="auto"/>
        <w:ind w:left="420" w:leftChars="200"/>
        <w:rPr>
          <w:rFonts w:hint="eastAsia" w:ascii="宋体" w:hAnsi="宋体" w:cs="宋体"/>
          <w:color w:val="auto"/>
          <w:szCs w:val="21"/>
          <w:highlight w:val="none"/>
        </w:rPr>
      </w:pPr>
      <w:r>
        <w:rPr>
          <w:rFonts w:hint="eastAsia" w:ascii="宋体" w:hAnsi="宋体"/>
          <w:color w:val="auto"/>
          <w:szCs w:val="21"/>
          <w:highlight w:val="none"/>
        </w:rPr>
        <w:t>（2）未按规定提交履约保证金的；</w:t>
      </w:r>
    </w:p>
    <w:p w14:paraId="786CA7E5">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（3）供应商在响应文件中提供虚假材料的；</w:t>
      </w:r>
    </w:p>
    <w:p w14:paraId="2745366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（4）除因不可抗力或者磋商文件认可的情形以外，成交供应商不与采购人签订合同的；</w:t>
      </w:r>
    </w:p>
    <w:p w14:paraId="032C69E9">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（5）供应商与采购人、其他供应商或者采购代理机构恶意串通的；</w:t>
      </w:r>
    </w:p>
    <w:p w14:paraId="4ADC7E00">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（6）法律法规规定的其他情形。</w:t>
      </w:r>
    </w:p>
    <w:p w14:paraId="78C1A745">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18.响应文件编制的要求</w:t>
      </w:r>
    </w:p>
    <w:p w14:paraId="25C2E10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18.1供应商应先安装“广西政府采购云平台电子交易客户端”（请自行前往“广西政府采购云平台”进行下载），并按照本项目磋商文件规定的格式和顺序和“广西政府采购云平台”的要求编制并加密。响应文件内容不完整、编排混乱导致响应文件被误读、漏读或者查找不到相关内容的，由此引发的后果由供应商承担。</w:t>
      </w:r>
    </w:p>
    <w:p w14:paraId="1B10ADD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18.2为确保网上操作合法、有效和安全，供应商应当在提交响应文件截止时间前完成在“广西政府采购云平台”的身份认证，确保在电子竞标过程中能够对相关数据电文进行加密和使用电子签章。</w:t>
      </w:r>
    </w:p>
    <w:p w14:paraId="2463291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18.3响应文件须由供应商在规定位置签字、盖章（具体以供应商须知前附表或响应文件格式规定为准），否则按无效响应处理。</w:t>
      </w:r>
    </w:p>
    <w:p w14:paraId="042856C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18.4响应文件中标注的供应商名称应与主体资格证明（如营业执照或者事业单位法人证书或者执业许可证或者登记证书等）及公章一致，供应商为自然人的，标注的供应商名称应与身份证姓名及签名一致，否则其响应文件按无效响应处理。</w:t>
      </w:r>
    </w:p>
    <w:p w14:paraId="3AEFE67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18.5响应文件应尽量避免涂改、行间插字或者删除。如果出现上述情况，改动之处应由供应商的法定代表人或者其委托代理人签字（或者电子签名）或者加盖公章或者加盖电子签章。响应文件因涂改、行间插字或者删除导致字迹潦草或者表达不清所引起的后果由供应商承担。</w:t>
      </w:r>
    </w:p>
    <w:p w14:paraId="4B0AFAB1">
      <w:pPr>
        <w:spacing w:line="360" w:lineRule="auto"/>
        <w:ind w:firstLine="482" w:firstLineChars="200"/>
        <w:rPr>
          <w:rFonts w:hint="eastAsia" w:ascii="黑体" w:hAnsi="黑体" w:eastAsia="黑体"/>
          <w:color w:val="auto"/>
          <w:sz w:val="24"/>
          <w:highlight w:val="none"/>
        </w:rPr>
      </w:pPr>
      <w:r>
        <w:rPr>
          <w:rFonts w:hint="eastAsia" w:ascii="黑体" w:hAnsi="黑体" w:eastAsia="黑体" w:cs="宋体"/>
          <w:b/>
          <w:bCs/>
          <w:color w:val="auto"/>
          <w:sz w:val="24"/>
          <w:highlight w:val="none"/>
        </w:rPr>
        <w:t>19.电子</w:t>
      </w:r>
      <w:r>
        <w:rPr>
          <w:rFonts w:hint="eastAsia" w:ascii="黑体" w:hAnsi="黑体" w:eastAsia="黑体"/>
          <w:b/>
          <w:color w:val="auto"/>
          <w:sz w:val="24"/>
          <w:highlight w:val="none"/>
        </w:rPr>
        <w:t>备份响应文件</w:t>
      </w:r>
    </w:p>
    <w:p w14:paraId="1517BF74">
      <w:pPr>
        <w:spacing w:line="360" w:lineRule="auto"/>
        <w:ind w:firstLine="420" w:firstLineChars="200"/>
        <w:rPr>
          <w:rFonts w:hint="eastAsia" w:ascii="宋体" w:hAnsi="宋体" w:cs="宋体"/>
          <w:color w:val="auto"/>
          <w:szCs w:val="21"/>
          <w:highlight w:val="none"/>
        </w:rPr>
      </w:pPr>
      <w:r>
        <w:rPr>
          <w:rFonts w:hint="eastAsia"/>
          <w:color w:val="auto"/>
          <w:highlight w:val="none"/>
        </w:rPr>
        <w:t>电子备份响应文件是指通过“广西政府采购云平台电子竞标客户端”在线编制生成且后缀名为“</w:t>
      </w:r>
      <w:r>
        <w:rPr>
          <w:color w:val="auto"/>
          <w:highlight w:val="none"/>
        </w:rPr>
        <w:t>bfbs</w:t>
      </w:r>
      <w:r>
        <w:rPr>
          <w:rFonts w:hint="eastAsia"/>
          <w:color w:val="auto"/>
          <w:highlight w:val="none"/>
        </w:rPr>
        <w:t>”的文件，是否接受电子备份响应文件</w:t>
      </w:r>
      <w:r>
        <w:rPr>
          <w:rFonts w:hint="eastAsia"/>
          <w:color w:val="auto"/>
          <w:highlight w:val="none"/>
          <w:lang w:eastAsia="zh-CN"/>
        </w:rPr>
        <w:t>详见</w:t>
      </w:r>
      <w:r>
        <w:rPr>
          <w:rFonts w:hint="eastAsia" w:hAnsi="宋体"/>
          <w:bCs/>
          <w:color w:val="auto"/>
          <w:szCs w:val="21"/>
          <w:highlight w:val="none"/>
        </w:rPr>
        <w:t>“供应商须知前附表”。</w:t>
      </w:r>
    </w:p>
    <w:p w14:paraId="355B95E0">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20.响应文件的提交</w:t>
      </w:r>
    </w:p>
    <w:p w14:paraId="2036714F">
      <w:pPr>
        <w:spacing w:line="360" w:lineRule="auto"/>
        <w:ind w:firstLine="420" w:firstLineChars="200"/>
        <w:rPr>
          <w:rFonts w:hint="eastAsia" w:hAnsi="宋体"/>
          <w:b/>
          <w:color w:val="auto"/>
          <w:highlight w:val="none"/>
        </w:rPr>
      </w:pPr>
      <w:r>
        <w:rPr>
          <w:rFonts w:hint="eastAsia" w:hAnsi="宋体"/>
          <w:bCs/>
          <w:color w:val="auto"/>
          <w:szCs w:val="21"/>
          <w:highlight w:val="none"/>
        </w:rPr>
        <w:t>20.1供应商必须按“供应商须知前附表”规定的</w:t>
      </w:r>
      <w:r>
        <w:rPr>
          <w:rFonts w:hint="eastAsia" w:ascii="宋体" w:hAnsi="宋体" w:cs="宋体"/>
          <w:color w:val="auto"/>
          <w:szCs w:val="21"/>
          <w:highlight w:val="none"/>
        </w:rPr>
        <w:t>时间</w:t>
      </w:r>
      <w:r>
        <w:rPr>
          <w:rFonts w:hint="eastAsia" w:ascii="宋体" w:hAnsi="宋体"/>
          <w:color w:val="auto"/>
          <w:szCs w:val="21"/>
          <w:highlight w:val="none"/>
        </w:rPr>
        <w:t>及</w:t>
      </w:r>
      <w:r>
        <w:rPr>
          <w:rFonts w:hint="eastAsia" w:hAnsi="宋体"/>
          <w:bCs/>
          <w:color w:val="auto"/>
          <w:szCs w:val="21"/>
          <w:highlight w:val="none"/>
        </w:rPr>
        <w:t>地点提交响应文件。电子响应文件应在制作完成后，</w:t>
      </w:r>
      <w:r>
        <w:rPr>
          <w:rFonts w:hAnsi="宋体"/>
          <w:bCs/>
          <w:color w:val="auto"/>
          <w:szCs w:val="21"/>
          <w:highlight w:val="none"/>
        </w:rPr>
        <w:t>在</w:t>
      </w:r>
      <w:r>
        <w:rPr>
          <w:rFonts w:hint="eastAsia" w:hAnsi="宋体"/>
          <w:bCs/>
          <w:color w:val="auto"/>
          <w:szCs w:val="21"/>
          <w:highlight w:val="none"/>
        </w:rPr>
        <w:t>提交响应文件截止</w:t>
      </w:r>
      <w:r>
        <w:rPr>
          <w:rFonts w:hAnsi="宋体"/>
          <w:bCs/>
          <w:color w:val="auto"/>
          <w:szCs w:val="21"/>
          <w:highlight w:val="none"/>
        </w:rPr>
        <w:t>时间前</w:t>
      </w:r>
      <w:r>
        <w:rPr>
          <w:rFonts w:hint="eastAsia" w:hAnsi="宋体"/>
          <w:bCs/>
          <w:color w:val="auto"/>
          <w:szCs w:val="21"/>
          <w:highlight w:val="none"/>
        </w:rPr>
        <w:t>通过有效数字证书（CA认证锁）进行电子签章、加密，然后通过网络将加密的电子响应文件提交至</w:t>
      </w:r>
      <w:r>
        <w:rPr>
          <w:rFonts w:hint="eastAsia" w:ascii="宋体" w:hAnsi="宋体"/>
          <w:color w:val="auto"/>
          <w:szCs w:val="21"/>
          <w:highlight w:val="none"/>
        </w:rPr>
        <w:t>“广西政府采购云平台”</w:t>
      </w:r>
      <w:r>
        <w:rPr>
          <w:rFonts w:hint="eastAsia" w:hAnsi="宋体"/>
          <w:bCs/>
          <w:color w:val="auto"/>
          <w:szCs w:val="21"/>
          <w:highlight w:val="none"/>
        </w:rPr>
        <w:t xml:space="preserve">。 </w:t>
      </w:r>
      <w:r>
        <w:rPr>
          <w:rFonts w:hint="eastAsia" w:hAnsi="宋体"/>
          <w:b/>
          <w:color w:val="auto"/>
          <w:highlight w:val="none"/>
        </w:rPr>
        <w:t xml:space="preserve"> </w:t>
      </w:r>
    </w:p>
    <w:p w14:paraId="6F6F3DA2">
      <w:pPr>
        <w:spacing w:line="360" w:lineRule="auto"/>
        <w:ind w:firstLine="422" w:firstLineChars="200"/>
        <w:rPr>
          <w:rFonts w:hint="eastAsia" w:ascii="宋体" w:hAnsi="宋体" w:cs="宋体"/>
          <w:color w:val="auto"/>
          <w:szCs w:val="21"/>
          <w:highlight w:val="none"/>
        </w:rPr>
      </w:pPr>
      <w:r>
        <w:rPr>
          <w:rFonts w:hint="eastAsia" w:ascii="宋体" w:hAnsi="宋体"/>
          <w:b/>
          <w:color w:val="auto"/>
          <w:szCs w:val="21"/>
          <w:highlight w:val="none"/>
        </w:rPr>
        <w:t>20.</w:t>
      </w:r>
      <w:r>
        <w:rPr>
          <w:rFonts w:ascii="宋体" w:hAnsi="宋体"/>
          <w:b/>
          <w:color w:val="auto"/>
          <w:szCs w:val="21"/>
          <w:highlight w:val="none"/>
        </w:rPr>
        <w:t>2</w:t>
      </w:r>
      <w:r>
        <w:rPr>
          <w:rFonts w:hint="eastAsia" w:ascii="宋体" w:hAnsi="宋体"/>
          <w:b/>
          <w:color w:val="auto"/>
          <w:szCs w:val="21"/>
          <w:highlight w:val="none"/>
        </w:rPr>
        <w:t>未在规定时间内提交或者未按照磋商文件要求加密的电子响应文件，“广西政府采购云平台”将拒收。</w:t>
      </w:r>
    </w:p>
    <w:p w14:paraId="2A9A01FB">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21.首次响应文件的补充、修改与撤回</w:t>
      </w:r>
    </w:p>
    <w:p w14:paraId="008952FB">
      <w:pPr>
        <w:snapToGrid w:val="0"/>
        <w:spacing w:line="360" w:lineRule="auto"/>
        <w:ind w:firstLine="420"/>
        <w:jc w:val="left"/>
        <w:rPr>
          <w:rFonts w:hint="eastAsia" w:ascii="宋体" w:hAnsi="宋体"/>
          <w:color w:val="auto"/>
          <w:szCs w:val="21"/>
          <w:highlight w:val="none"/>
        </w:rPr>
      </w:pPr>
      <w:bookmarkStart w:id="70" w:name="_Toc254970684"/>
      <w:bookmarkStart w:id="71" w:name="_Toc254970543"/>
      <w:r>
        <w:rPr>
          <w:rFonts w:ascii="宋体" w:hAnsi="宋体" w:cs="宋体"/>
          <w:color w:val="auto"/>
          <w:szCs w:val="21"/>
          <w:highlight w:val="none"/>
        </w:rPr>
        <w:t>2</w:t>
      </w:r>
      <w:r>
        <w:rPr>
          <w:rFonts w:hint="eastAsia" w:ascii="宋体" w:hAnsi="宋体" w:cs="宋体"/>
          <w:color w:val="auto"/>
          <w:szCs w:val="21"/>
          <w:highlight w:val="none"/>
        </w:rPr>
        <w:t>1.1</w:t>
      </w:r>
      <w:r>
        <w:rPr>
          <w:rFonts w:hint="eastAsia" w:ascii="宋体" w:hAnsi="宋体"/>
          <w:bCs/>
          <w:color w:val="auto"/>
          <w:szCs w:val="21"/>
          <w:highlight w:val="none"/>
        </w:rPr>
        <w:t>供应商应当在</w:t>
      </w:r>
      <w:r>
        <w:rPr>
          <w:rFonts w:hint="eastAsia" w:hAnsi="宋体"/>
          <w:bCs/>
          <w:color w:val="auto"/>
          <w:szCs w:val="21"/>
          <w:highlight w:val="none"/>
        </w:rPr>
        <w:t>提交响应文件截止</w:t>
      </w:r>
      <w:r>
        <w:rPr>
          <w:rFonts w:hAnsi="宋体"/>
          <w:bCs/>
          <w:color w:val="auto"/>
          <w:szCs w:val="21"/>
          <w:highlight w:val="none"/>
        </w:rPr>
        <w:t>时间</w:t>
      </w:r>
      <w:r>
        <w:rPr>
          <w:rFonts w:hint="eastAsia" w:ascii="宋体" w:hAnsi="宋体"/>
          <w:bCs/>
          <w:color w:val="auto"/>
          <w:szCs w:val="21"/>
          <w:highlight w:val="none"/>
        </w:rPr>
        <w:t>前完成电子响应文件的提交（上传），</w:t>
      </w:r>
      <w:r>
        <w:rPr>
          <w:rFonts w:hint="eastAsia" w:hAnsi="宋体"/>
          <w:bCs/>
          <w:color w:val="auto"/>
          <w:szCs w:val="21"/>
          <w:highlight w:val="none"/>
        </w:rPr>
        <w:t>提交响应文件截止</w:t>
      </w:r>
      <w:r>
        <w:rPr>
          <w:rFonts w:hAnsi="宋体"/>
          <w:bCs/>
          <w:color w:val="auto"/>
          <w:szCs w:val="21"/>
          <w:highlight w:val="none"/>
        </w:rPr>
        <w:t>时间</w:t>
      </w:r>
      <w:r>
        <w:rPr>
          <w:rFonts w:hint="eastAsia" w:hAnsi="宋体"/>
          <w:bCs/>
          <w:color w:val="auto"/>
          <w:szCs w:val="21"/>
          <w:highlight w:val="none"/>
        </w:rPr>
        <w:t>前</w:t>
      </w:r>
      <w:r>
        <w:rPr>
          <w:rFonts w:hint="eastAsia" w:ascii="宋体" w:hAnsi="宋体"/>
          <w:bCs/>
          <w:color w:val="auto"/>
          <w:szCs w:val="21"/>
          <w:highlight w:val="none"/>
        </w:rPr>
        <w:t>可以补充、修改或者撤回响应文件。补充或者修改响应文件的，应当先行撤回原响应文件，补充、修改后重新提交（上传），</w:t>
      </w:r>
      <w:r>
        <w:rPr>
          <w:rFonts w:hint="eastAsia" w:hAnsi="宋体"/>
          <w:bCs/>
          <w:color w:val="auto"/>
          <w:szCs w:val="21"/>
          <w:highlight w:val="none"/>
        </w:rPr>
        <w:t>提交响应文件截止</w:t>
      </w:r>
      <w:r>
        <w:rPr>
          <w:rFonts w:hAnsi="宋体"/>
          <w:bCs/>
          <w:color w:val="auto"/>
          <w:szCs w:val="21"/>
          <w:highlight w:val="none"/>
        </w:rPr>
        <w:t>时间</w:t>
      </w:r>
      <w:r>
        <w:rPr>
          <w:rFonts w:hint="eastAsia" w:hAnsi="宋体"/>
          <w:bCs/>
          <w:color w:val="auto"/>
          <w:szCs w:val="21"/>
          <w:highlight w:val="none"/>
        </w:rPr>
        <w:t>前</w:t>
      </w:r>
      <w:r>
        <w:rPr>
          <w:rFonts w:hint="eastAsia" w:ascii="宋体" w:hAnsi="宋体"/>
          <w:bCs/>
          <w:color w:val="auto"/>
          <w:szCs w:val="21"/>
          <w:highlight w:val="none"/>
        </w:rPr>
        <w:t>未完成提交（上传）的，视为撤回响应文件。</w:t>
      </w:r>
      <w:r>
        <w:rPr>
          <w:rFonts w:hint="eastAsia" w:hAnsi="宋体"/>
          <w:bCs/>
          <w:color w:val="auto"/>
          <w:szCs w:val="21"/>
          <w:highlight w:val="none"/>
        </w:rPr>
        <w:t>提交响应文件截止</w:t>
      </w:r>
      <w:r>
        <w:rPr>
          <w:rFonts w:hAnsi="宋体"/>
          <w:bCs/>
          <w:color w:val="auto"/>
          <w:szCs w:val="21"/>
          <w:highlight w:val="none"/>
        </w:rPr>
        <w:t>时间</w:t>
      </w:r>
      <w:r>
        <w:rPr>
          <w:rFonts w:hint="eastAsia" w:ascii="宋体" w:hAnsi="宋体"/>
          <w:bCs/>
          <w:color w:val="auto"/>
          <w:szCs w:val="21"/>
          <w:highlight w:val="none"/>
        </w:rPr>
        <w:t>以后提交（上传）的响应文件，“广西政府采购云平台”将予以拒收。</w:t>
      </w:r>
      <w:r>
        <w:rPr>
          <w:rFonts w:hint="eastAsia" w:ascii="宋体" w:hAnsi="宋体" w:cs="宋体"/>
          <w:color w:val="auto"/>
          <w:szCs w:val="21"/>
          <w:highlight w:val="none"/>
        </w:rPr>
        <w:t>（补充、修改或者撤回方式可</w:t>
      </w:r>
      <w:r>
        <w:rPr>
          <w:rFonts w:hint="eastAsia" w:ascii="宋体" w:hAnsi="宋体"/>
          <w:color w:val="auto"/>
          <w:szCs w:val="21"/>
          <w:highlight w:val="none"/>
        </w:rPr>
        <w:t>登录</w:t>
      </w:r>
      <w:r>
        <w:rPr>
          <w:rFonts w:hint="eastAsia" w:ascii="宋体" w:hAnsi="宋体" w:cs="宋体"/>
          <w:color w:val="auto"/>
          <w:kern w:val="0"/>
          <w:szCs w:val="21"/>
          <w:highlight w:val="none"/>
        </w:rPr>
        <w:t>“广西政府采购云平台”，</w:t>
      </w:r>
      <w:r>
        <w:rPr>
          <w:rFonts w:hint="eastAsia" w:ascii="宋体" w:hAnsi="宋体"/>
          <w:color w:val="auto"/>
          <w:szCs w:val="21"/>
          <w:highlight w:val="none"/>
        </w:rPr>
        <w:t>进入“服务中心”中查看</w:t>
      </w:r>
      <w:r>
        <w:rPr>
          <w:rFonts w:hint="eastAsia" w:ascii="宋体" w:hAnsi="宋体" w:cs="宋体"/>
          <w:color w:val="auto"/>
          <w:szCs w:val="21"/>
          <w:highlight w:val="none"/>
        </w:rPr>
        <w:t xml:space="preserve"> “电子竞标文件制作与投送教程”）</w:t>
      </w:r>
    </w:p>
    <w:bookmarkEnd w:id="70"/>
    <w:bookmarkEnd w:id="71"/>
    <w:p w14:paraId="660C9FDC">
      <w:pPr>
        <w:adjustRightInd w:val="0"/>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1</w:t>
      </w:r>
      <w:r>
        <w:rPr>
          <w:rFonts w:ascii="宋体" w:hAnsi="宋体" w:cs="宋体"/>
          <w:color w:val="auto"/>
          <w:szCs w:val="21"/>
          <w:highlight w:val="none"/>
        </w:rPr>
        <w:t>.</w:t>
      </w:r>
      <w:r>
        <w:rPr>
          <w:rFonts w:hint="eastAsia" w:ascii="宋体" w:hAnsi="宋体" w:cs="宋体"/>
          <w:color w:val="auto"/>
          <w:szCs w:val="21"/>
          <w:highlight w:val="none"/>
        </w:rPr>
        <w:t>2在提交响应文件截止时间前，除供应商补充、修改或者撤回响应文件外，任何单位和个人不得解密或提取响应文件。</w:t>
      </w:r>
    </w:p>
    <w:p w14:paraId="360B32B0">
      <w:pPr>
        <w:spacing w:line="360" w:lineRule="auto"/>
        <w:ind w:firstLine="482" w:firstLineChars="200"/>
        <w:rPr>
          <w:rFonts w:hint="eastAsia" w:ascii="黑体" w:hAnsi="黑体" w:eastAsia="黑体" w:cs="宋体"/>
          <w:b/>
          <w:bCs/>
          <w:color w:val="auto"/>
          <w:sz w:val="24"/>
          <w:highlight w:val="none"/>
        </w:rPr>
      </w:pPr>
      <w:bookmarkStart w:id="72" w:name="_Hlk45702405"/>
      <w:r>
        <w:rPr>
          <w:rFonts w:hint="eastAsia" w:ascii="黑体" w:hAnsi="黑体" w:eastAsia="黑体" w:cs="宋体"/>
          <w:b/>
          <w:bCs/>
          <w:color w:val="auto"/>
          <w:sz w:val="24"/>
          <w:highlight w:val="none"/>
        </w:rPr>
        <w:t>22.响应文件的退回</w:t>
      </w:r>
    </w:p>
    <w:p w14:paraId="0F1E3F2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采购人和采购代理机构对已提交的响应文件概不退回。</w:t>
      </w:r>
    </w:p>
    <w:p w14:paraId="1A57C943">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23.截止时间后的撤回</w:t>
      </w:r>
    </w:p>
    <w:p w14:paraId="6B0C0FC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供应商在响应文件提交截止时间后向采购人、采购代理机构书面申请撤回响应文件的，将根据本须知正文17.4的规定不予退还其磋商保证金。</w:t>
      </w:r>
    </w:p>
    <w:bookmarkEnd w:id="72"/>
    <w:p w14:paraId="29C78F42">
      <w:pPr>
        <w:spacing w:line="360" w:lineRule="auto"/>
        <w:rPr>
          <w:rFonts w:hint="eastAsia" w:ascii="宋体" w:hAnsi="宋体"/>
          <w:color w:val="auto"/>
          <w:szCs w:val="21"/>
          <w:highlight w:val="none"/>
        </w:rPr>
      </w:pPr>
    </w:p>
    <w:p w14:paraId="40123C44">
      <w:pPr>
        <w:spacing w:line="360" w:lineRule="auto"/>
        <w:ind w:left="420" w:firstLine="420"/>
        <w:jc w:val="center"/>
        <w:rPr>
          <w:rFonts w:hint="eastAsia" w:ascii="宋体" w:hAnsi="宋体"/>
          <w:b/>
          <w:bCs/>
          <w:color w:val="auto"/>
          <w:sz w:val="32"/>
          <w:szCs w:val="32"/>
          <w:highlight w:val="none"/>
        </w:rPr>
      </w:pPr>
      <w:r>
        <w:rPr>
          <w:rFonts w:hint="eastAsia" w:ascii="宋体" w:hAnsi="宋体"/>
          <w:b/>
          <w:bCs/>
          <w:color w:val="auto"/>
          <w:sz w:val="32"/>
          <w:szCs w:val="32"/>
          <w:highlight w:val="none"/>
        </w:rPr>
        <w:t>四、评审及磋商</w:t>
      </w:r>
    </w:p>
    <w:p w14:paraId="1FBFDD90">
      <w:pPr>
        <w:spacing w:line="360" w:lineRule="auto"/>
        <w:ind w:left="420" w:firstLine="420"/>
        <w:rPr>
          <w:rFonts w:hint="eastAsia" w:ascii="宋体" w:hAnsi="宋体"/>
          <w:color w:val="auto"/>
          <w:szCs w:val="21"/>
          <w:highlight w:val="none"/>
        </w:rPr>
      </w:pPr>
    </w:p>
    <w:p w14:paraId="118C4B41">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24.磋商小组成立</w:t>
      </w:r>
    </w:p>
    <w:p w14:paraId="0CFDAE2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24.1磋商小组由3人以上单数组成。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人以上单数组成。</w:t>
      </w:r>
    </w:p>
    <w:p w14:paraId="49E2D02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13AAA62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24.3</w:t>
      </w:r>
      <w:r>
        <w:rPr>
          <w:rFonts w:hint="eastAsia" w:hAnsi="宋体"/>
          <w:bCs/>
          <w:color w:val="auto"/>
          <w:szCs w:val="21"/>
          <w:highlight w:val="none"/>
        </w:rPr>
        <w:t>采购代理机构</w:t>
      </w:r>
      <w:r>
        <w:rPr>
          <w:rFonts w:hint="eastAsia" w:hAnsi="宋体"/>
          <w:bCs/>
          <w:color w:val="auto"/>
          <w:highlight w:val="none"/>
        </w:rPr>
        <w:t>应当</w:t>
      </w:r>
      <w:r>
        <w:rPr>
          <w:rFonts w:hint="eastAsia" w:hAnsi="宋体"/>
          <w:bCs/>
          <w:color w:val="auto"/>
          <w:szCs w:val="21"/>
          <w:highlight w:val="none"/>
        </w:rPr>
        <w:t>基于“广西政府采购云平台”</w:t>
      </w:r>
      <w:r>
        <w:rPr>
          <w:rFonts w:hint="eastAsia" w:hAnsi="宋体"/>
          <w:bCs/>
          <w:color w:val="auto"/>
          <w:highlight w:val="none"/>
        </w:rPr>
        <w:t>抽（选）取</w:t>
      </w:r>
      <w:r>
        <w:rPr>
          <w:rFonts w:hint="eastAsia" w:hAnsi="宋体"/>
          <w:bCs/>
          <w:color w:val="auto"/>
          <w:szCs w:val="21"/>
          <w:highlight w:val="none"/>
        </w:rPr>
        <w:t>评审专家。</w:t>
      </w:r>
    </w:p>
    <w:p w14:paraId="6160C5B7">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25.</w:t>
      </w:r>
      <w:r>
        <w:rPr>
          <w:rFonts w:hint="eastAsia" w:ascii="黑体" w:hAnsi="黑体" w:eastAsia="黑体" w:cs="宋体"/>
          <w:b/>
          <w:bCs/>
          <w:color w:val="auto"/>
          <w:sz w:val="24"/>
          <w:highlight w:val="none"/>
        </w:rPr>
        <w:t>首次响应文件的开启和解密</w:t>
      </w:r>
    </w:p>
    <w:p w14:paraId="0D9E4063">
      <w:pPr>
        <w:spacing w:line="360" w:lineRule="auto"/>
        <w:ind w:firstLine="420" w:firstLineChars="200"/>
        <w:rPr>
          <w:rFonts w:hint="eastAsia" w:ascii="宋体" w:hAnsi="宋体" w:cs="宋体"/>
          <w:color w:val="auto"/>
          <w:szCs w:val="21"/>
          <w:highlight w:val="none"/>
        </w:rPr>
      </w:pPr>
      <w:r>
        <w:rPr>
          <w:rFonts w:hint="eastAsia" w:hAnsi="宋体"/>
          <w:bCs/>
          <w:color w:val="auto"/>
          <w:highlight w:val="none"/>
        </w:rPr>
        <w:t>采购代理机构将在“供应商须知前附表”规定的时</w:t>
      </w:r>
      <w:r>
        <w:rPr>
          <w:rFonts w:hint="eastAsia" w:hAnsi="宋体"/>
          <w:color w:val="auto"/>
          <w:highlight w:val="none"/>
        </w:rPr>
        <w:t>间通过电子交易平台组织响应文件开启，供应商的法定代表人或其委托代理人须携带加密时所用的CA锁，按平台提示和磋商文件的规定登录到“广西政府采购云平台”电子开标大厅签到，</w:t>
      </w:r>
      <w:r>
        <w:rPr>
          <w:rFonts w:hint="eastAsia"/>
          <w:color w:val="auto"/>
          <w:highlight w:val="none"/>
        </w:rPr>
        <w:t>采购代理机构依托“广西政府采购云平台”向各供应商发出电子加密响应文件【开始解密】通知，由供应商按</w:t>
      </w:r>
      <w:r>
        <w:rPr>
          <w:rFonts w:hint="eastAsia" w:hAnsi="宋体"/>
          <w:bCs/>
          <w:color w:val="auto"/>
          <w:szCs w:val="21"/>
          <w:highlight w:val="none"/>
        </w:rPr>
        <w:t>“供应商须知前附表”</w:t>
      </w:r>
      <w:r>
        <w:rPr>
          <w:rFonts w:hint="eastAsia"/>
          <w:color w:val="auto"/>
          <w:highlight w:val="none"/>
        </w:rPr>
        <w:t>规定的时间内自行进行响应文件解密</w:t>
      </w:r>
      <w:r>
        <w:rPr>
          <w:rFonts w:hint="eastAsia" w:hAnsi="宋体"/>
          <w:color w:val="auto"/>
          <w:highlight w:val="none"/>
        </w:rPr>
        <w:t>。</w:t>
      </w:r>
      <w:r>
        <w:rPr>
          <w:rFonts w:hint="eastAsia"/>
          <w:b/>
          <w:color w:val="auto"/>
          <w:highlight w:val="none"/>
        </w:rPr>
        <w:t>供应商未在</w:t>
      </w:r>
      <w:r>
        <w:rPr>
          <w:b/>
          <w:color w:val="auto"/>
          <w:highlight w:val="none"/>
        </w:rPr>
        <w:t>规定的时间内解密</w:t>
      </w:r>
      <w:r>
        <w:rPr>
          <w:rFonts w:hint="eastAsia"/>
          <w:b/>
          <w:color w:val="auto"/>
          <w:highlight w:val="none"/>
        </w:rPr>
        <w:t>响应文件</w:t>
      </w:r>
      <w:r>
        <w:rPr>
          <w:b/>
          <w:color w:val="auto"/>
          <w:highlight w:val="none"/>
        </w:rPr>
        <w:t>或</w:t>
      </w:r>
      <w:r>
        <w:rPr>
          <w:rFonts w:hint="eastAsia"/>
          <w:b/>
          <w:color w:val="auto"/>
          <w:highlight w:val="none"/>
        </w:rPr>
        <w:t>者</w:t>
      </w:r>
      <w:r>
        <w:rPr>
          <w:b/>
          <w:color w:val="auto"/>
          <w:highlight w:val="none"/>
        </w:rPr>
        <w:t>解密失败的</w:t>
      </w:r>
      <w:r>
        <w:rPr>
          <w:rFonts w:hint="eastAsia"/>
          <w:b/>
          <w:color w:val="auto"/>
          <w:highlight w:val="none"/>
        </w:rPr>
        <w:t>，供应商</w:t>
      </w:r>
      <w:r>
        <w:rPr>
          <w:rFonts w:hint="eastAsia" w:ascii="宋体" w:hAnsi="宋体"/>
          <w:b/>
          <w:color w:val="auto"/>
          <w:szCs w:val="21"/>
          <w:highlight w:val="none"/>
        </w:rPr>
        <w:t>的响应文件作无效处理</w:t>
      </w:r>
      <w:r>
        <w:rPr>
          <w:b/>
          <w:color w:val="auto"/>
          <w:highlight w:val="none"/>
        </w:rPr>
        <w:t>。</w:t>
      </w:r>
    </w:p>
    <w:p w14:paraId="6F04693F">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26</w:t>
      </w:r>
      <w:r>
        <w:rPr>
          <w:rFonts w:hint="eastAsia" w:ascii="黑体" w:hAnsi="黑体" w:eastAsia="黑体" w:cs="宋体"/>
          <w:b/>
          <w:bCs/>
          <w:color w:val="auto"/>
          <w:sz w:val="24"/>
          <w:highlight w:val="none"/>
        </w:rPr>
        <w:t>.评审程序、评审方法和评审标准</w:t>
      </w:r>
    </w:p>
    <w:p w14:paraId="7D474E4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6</w:t>
      </w:r>
      <w:r>
        <w:rPr>
          <w:rFonts w:hint="eastAsia" w:ascii="宋体" w:hAnsi="宋体" w:cs="宋体"/>
          <w:color w:val="auto"/>
          <w:szCs w:val="21"/>
          <w:highlight w:val="none"/>
        </w:rPr>
        <w:t>.1本项目的评审方法为综合评分法。</w:t>
      </w:r>
    </w:p>
    <w:p w14:paraId="75BC0347">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26.2</w:t>
      </w:r>
      <w:r>
        <w:rPr>
          <w:rFonts w:hint="eastAsia" w:ascii="宋体" w:hAnsi="宋体" w:cs="宋体"/>
          <w:color w:val="auto"/>
          <w:szCs w:val="21"/>
          <w:highlight w:val="none"/>
        </w:rPr>
        <w:t>磋商小组</w:t>
      </w:r>
      <w:r>
        <w:rPr>
          <w:rFonts w:ascii="宋体" w:hAnsi="宋体" w:cs="宋体"/>
          <w:color w:val="auto"/>
          <w:szCs w:val="21"/>
          <w:highlight w:val="none"/>
        </w:rPr>
        <w:t>按照</w:t>
      </w:r>
      <w:r>
        <w:rPr>
          <w:rFonts w:hint="eastAsia" w:ascii="宋体" w:hAnsi="宋体" w:cs="宋体"/>
          <w:color w:val="auto"/>
          <w:szCs w:val="21"/>
          <w:highlight w:val="none"/>
        </w:rPr>
        <w:t>“第四章 评审程序、评审方法和评审标准”</w:t>
      </w:r>
      <w:r>
        <w:rPr>
          <w:rFonts w:ascii="宋体" w:hAnsi="宋体" w:cs="宋体"/>
          <w:color w:val="auto"/>
          <w:szCs w:val="21"/>
          <w:highlight w:val="none"/>
        </w:rPr>
        <w:t>规定的方法、评审因素、标准和程序对</w:t>
      </w:r>
      <w:r>
        <w:rPr>
          <w:rFonts w:hint="eastAsia" w:ascii="宋体" w:hAnsi="宋体" w:cs="宋体"/>
          <w:color w:val="auto"/>
          <w:szCs w:val="21"/>
          <w:highlight w:val="none"/>
        </w:rPr>
        <w:t>响应</w:t>
      </w:r>
      <w:r>
        <w:rPr>
          <w:rFonts w:ascii="宋体" w:hAnsi="宋体" w:cs="宋体"/>
          <w:color w:val="auto"/>
          <w:szCs w:val="21"/>
          <w:highlight w:val="none"/>
        </w:rPr>
        <w:t>文件进行评审。</w:t>
      </w:r>
    </w:p>
    <w:p w14:paraId="04B278B5">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 xml:space="preserve">6.3 </w:t>
      </w:r>
      <w:r>
        <w:rPr>
          <w:rFonts w:hint="eastAsia" w:ascii="宋体" w:hAnsi="宋体"/>
          <w:color w:val="auto"/>
          <w:szCs w:val="21"/>
          <w:highlight w:val="none"/>
        </w:rPr>
        <w:t>商务/技术要求允许负偏离的条款数详见“供应商须知前附表”。</w:t>
      </w:r>
    </w:p>
    <w:p w14:paraId="6F69E13E">
      <w:pPr>
        <w:spacing w:line="360" w:lineRule="auto"/>
        <w:ind w:firstLine="420" w:firstLineChars="200"/>
        <w:rPr>
          <w:rFonts w:hint="eastAsia" w:ascii="宋体" w:hAnsi="宋体"/>
          <w:color w:val="auto"/>
          <w:szCs w:val="21"/>
          <w:highlight w:val="none"/>
        </w:rPr>
      </w:pPr>
      <w:r>
        <w:rPr>
          <w:rFonts w:hint="eastAsia" w:ascii="宋体" w:hAnsi="宋体" w:cs="宋体"/>
          <w:color w:val="auto"/>
          <w:highlight w:val="none"/>
        </w:rPr>
        <w:t>26.</w:t>
      </w:r>
      <w:r>
        <w:rPr>
          <w:rFonts w:ascii="宋体" w:hAnsi="宋体" w:cs="宋体"/>
          <w:color w:val="auto"/>
          <w:highlight w:val="none"/>
        </w:rPr>
        <w:t>4</w:t>
      </w:r>
      <w:r>
        <w:rPr>
          <w:rFonts w:hint="eastAsia" w:ascii="宋体" w:hAnsi="宋体" w:cs="宋体"/>
          <w:color w:val="auto"/>
          <w:highlight w:val="none"/>
        </w:rPr>
        <w:t>磋商小组成员要依法独立评审，并对评审意见承担个人责任。磋商小组成员对需要共同认定的事项存在争议的，按照少数服从多数的原则</w:t>
      </w:r>
      <w:r>
        <w:rPr>
          <w:rFonts w:hint="eastAsia" w:ascii="宋体" w:hAnsi="宋体" w:cs="宋体"/>
          <w:color w:val="auto"/>
          <w:highlight w:val="none"/>
          <w:lang w:eastAsia="zh-CN"/>
        </w:rPr>
        <w:t>作出</w:t>
      </w:r>
      <w:r>
        <w:rPr>
          <w:rFonts w:hint="eastAsia" w:ascii="宋体" w:hAnsi="宋体" w:cs="宋体"/>
          <w:color w:val="auto"/>
          <w:highlight w:val="none"/>
        </w:rPr>
        <w:t>结论。持不同意见的磋商小组成员应当在评审报告上签署不同意见并说明理由，否则视为同意。</w:t>
      </w:r>
    </w:p>
    <w:p w14:paraId="293C0973">
      <w:pPr>
        <w:spacing w:line="360" w:lineRule="auto"/>
        <w:ind w:firstLine="420" w:firstLineChars="200"/>
        <w:rPr>
          <w:rFonts w:hint="eastAsia" w:hAnsi="宋体"/>
          <w:color w:val="auto"/>
          <w:highlight w:val="none"/>
        </w:rPr>
      </w:pPr>
      <w:r>
        <w:rPr>
          <w:rFonts w:hint="eastAsia" w:ascii="宋体" w:hAnsi="宋体" w:cs="宋体"/>
          <w:color w:val="auto"/>
          <w:highlight w:val="none"/>
        </w:rPr>
        <w:t>2</w:t>
      </w:r>
      <w:r>
        <w:rPr>
          <w:rFonts w:ascii="宋体" w:hAnsi="宋体" w:cs="宋体"/>
          <w:color w:val="auto"/>
          <w:highlight w:val="none"/>
        </w:rPr>
        <w:t>6.5</w:t>
      </w:r>
      <w:r>
        <w:rPr>
          <w:rFonts w:hint="eastAsia" w:hAnsi="宋体"/>
          <w:color w:val="auto"/>
          <w:highlight w:val="none"/>
        </w:rPr>
        <w:t>电子交易活动的中止。采购过程中出现以下情形，导致电子交易平台无法正常运行，或者无法保证电子交易的公平、公正和安全时，采购机构可中止电子交易活动：</w:t>
      </w:r>
    </w:p>
    <w:p w14:paraId="5636A5F7">
      <w:pPr>
        <w:spacing w:line="360" w:lineRule="auto"/>
        <w:ind w:firstLine="420" w:firstLineChars="200"/>
        <w:rPr>
          <w:rFonts w:hint="eastAsia" w:hAnsi="宋体"/>
          <w:color w:val="auto"/>
          <w:highlight w:val="none"/>
        </w:rPr>
      </w:pPr>
      <w:r>
        <w:rPr>
          <w:rFonts w:hint="eastAsia" w:hAnsi="宋体"/>
          <w:color w:val="auto"/>
          <w:highlight w:val="none"/>
        </w:rPr>
        <w:t xml:space="preserve">（1）电子交易平台发生故障而无法登录访问的； </w:t>
      </w:r>
    </w:p>
    <w:p w14:paraId="16C6F90A">
      <w:pPr>
        <w:spacing w:line="360" w:lineRule="auto"/>
        <w:ind w:firstLine="420" w:firstLineChars="200"/>
        <w:rPr>
          <w:rFonts w:hint="eastAsia" w:hAnsi="宋体"/>
          <w:color w:val="auto"/>
          <w:highlight w:val="none"/>
        </w:rPr>
      </w:pPr>
      <w:r>
        <w:rPr>
          <w:rFonts w:hint="eastAsia" w:hAnsi="宋体"/>
          <w:color w:val="auto"/>
          <w:highlight w:val="none"/>
        </w:rPr>
        <w:t>（2）电子交易平台应用或数据库出现错误，不能进行正常操作的；</w:t>
      </w:r>
    </w:p>
    <w:p w14:paraId="654BE7C9">
      <w:pPr>
        <w:spacing w:line="360" w:lineRule="auto"/>
        <w:ind w:firstLine="420" w:firstLineChars="200"/>
        <w:rPr>
          <w:rFonts w:hint="eastAsia" w:hAnsi="宋体"/>
          <w:color w:val="auto"/>
          <w:highlight w:val="none"/>
        </w:rPr>
      </w:pPr>
      <w:r>
        <w:rPr>
          <w:rFonts w:hint="eastAsia" w:hAnsi="宋体"/>
          <w:color w:val="auto"/>
          <w:highlight w:val="none"/>
        </w:rPr>
        <w:t>（3）电子交易平台发现严重安全漏洞，有潜在泄密危险的；</w:t>
      </w:r>
    </w:p>
    <w:p w14:paraId="32E6DF4B">
      <w:pPr>
        <w:spacing w:line="360" w:lineRule="auto"/>
        <w:ind w:firstLine="420" w:firstLineChars="200"/>
        <w:rPr>
          <w:rFonts w:hint="eastAsia" w:hAnsi="宋体"/>
          <w:color w:val="auto"/>
          <w:highlight w:val="none"/>
        </w:rPr>
      </w:pPr>
      <w:r>
        <w:rPr>
          <w:rFonts w:hint="eastAsia" w:hAnsi="宋体"/>
          <w:color w:val="auto"/>
          <w:highlight w:val="none"/>
        </w:rPr>
        <w:t xml:space="preserve">（4）病毒发作导致不能进行正常操作的； </w:t>
      </w:r>
    </w:p>
    <w:p w14:paraId="0D740BAD">
      <w:pPr>
        <w:spacing w:line="360" w:lineRule="auto"/>
        <w:ind w:firstLine="420" w:firstLineChars="200"/>
        <w:rPr>
          <w:rFonts w:hint="eastAsia" w:hAnsi="宋体"/>
          <w:color w:val="auto"/>
          <w:highlight w:val="none"/>
        </w:rPr>
      </w:pPr>
      <w:r>
        <w:rPr>
          <w:rFonts w:hint="eastAsia" w:hAnsi="宋体"/>
          <w:color w:val="auto"/>
          <w:highlight w:val="none"/>
        </w:rPr>
        <w:t>（5）其他无法保证电子交易的公平、公正和安全的情况。</w:t>
      </w:r>
    </w:p>
    <w:p w14:paraId="105309BE">
      <w:pPr>
        <w:spacing w:line="360" w:lineRule="auto"/>
        <w:ind w:firstLine="420" w:firstLineChars="200"/>
        <w:rPr>
          <w:rFonts w:hint="eastAsia" w:ascii="宋体" w:hAnsi="宋体" w:cs="宋体"/>
          <w:color w:val="auto"/>
          <w:szCs w:val="21"/>
          <w:highlight w:val="none"/>
        </w:rPr>
      </w:pPr>
      <w:r>
        <w:rPr>
          <w:rFonts w:hint="eastAsia" w:ascii="宋体" w:hAnsi="宋体"/>
          <w:color w:val="auto"/>
          <w:highlight w:val="none"/>
        </w:rPr>
        <w:t>26.</w:t>
      </w:r>
      <w:r>
        <w:rPr>
          <w:rFonts w:ascii="宋体" w:hAnsi="宋体"/>
          <w:color w:val="auto"/>
          <w:highlight w:val="none"/>
        </w:rPr>
        <w:t>6</w:t>
      </w:r>
      <w:r>
        <w:rPr>
          <w:rFonts w:hint="eastAsia" w:hAnsi="宋体"/>
          <w:color w:val="auto"/>
          <w:highlight w:val="none"/>
        </w:rPr>
        <w:t>出现以上情形，不影响采购公平、公正性的，采购组织机构可以待上述情形消除后继续组织电子交易活动；影响或可能影响采购公平、公正性的，经采购代理机构确认，报采购人同意后，应当重新采购。采购代理机构必须对原有的资料及信息作出妥善保密处理，并报财政部门备案。</w:t>
      </w:r>
    </w:p>
    <w:p w14:paraId="6D6E3BA1">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27</w:t>
      </w:r>
      <w:r>
        <w:rPr>
          <w:rFonts w:hint="eastAsia" w:ascii="黑体" w:hAnsi="黑体" w:eastAsia="黑体" w:cs="宋体"/>
          <w:b/>
          <w:bCs/>
          <w:color w:val="auto"/>
          <w:sz w:val="24"/>
          <w:highlight w:val="none"/>
        </w:rPr>
        <w:t>.确定成交供应商及结果公告</w:t>
      </w:r>
    </w:p>
    <w:p w14:paraId="133E0CF3">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27</w:t>
      </w:r>
      <w:r>
        <w:rPr>
          <w:rFonts w:hint="eastAsia" w:ascii="宋体" w:hAnsi="宋体" w:cs="宋体"/>
          <w:color w:val="auto"/>
          <w:szCs w:val="21"/>
          <w:highlight w:val="none"/>
        </w:rPr>
        <w:t>.1</w:t>
      </w:r>
      <w:r>
        <w:rPr>
          <w:rFonts w:hint="eastAsia" w:ascii="宋体" w:hAnsi="宋体" w:cs="宋体"/>
          <w:color w:val="auto"/>
          <w:kern w:val="0"/>
          <w:szCs w:val="21"/>
          <w:highlight w:val="none"/>
        </w:rPr>
        <w:t xml:space="preserve"> </w:t>
      </w:r>
      <w:r>
        <w:rPr>
          <w:rFonts w:hint="eastAsia" w:ascii="宋体" w:hAnsi="宋体" w:cs="宋体"/>
          <w:color w:val="auto"/>
          <w:szCs w:val="21"/>
          <w:highlight w:val="none"/>
        </w:rPr>
        <w:t>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7F1172E9">
      <w:pPr>
        <w:spacing w:line="360" w:lineRule="auto"/>
        <w:ind w:firstLine="420" w:firstLineChars="200"/>
        <w:rPr>
          <w:rFonts w:hint="eastAsia" w:ascii="宋体" w:hAnsi="宋体" w:cs="Courier New"/>
          <w:color w:val="auto"/>
          <w:szCs w:val="21"/>
          <w:highlight w:val="none"/>
        </w:rPr>
      </w:pPr>
      <w:r>
        <w:rPr>
          <w:rFonts w:ascii="宋体" w:hAnsi="宋体" w:cs="宋体"/>
          <w:color w:val="auto"/>
          <w:szCs w:val="21"/>
          <w:highlight w:val="none"/>
        </w:rPr>
        <w:t>27</w:t>
      </w:r>
      <w:r>
        <w:rPr>
          <w:rFonts w:hint="eastAsia" w:ascii="宋体" w:hAnsi="宋体" w:cs="宋体"/>
          <w:color w:val="auto"/>
          <w:szCs w:val="21"/>
          <w:highlight w:val="none"/>
        </w:rPr>
        <w:t>.2采购代理机构应当在</w:t>
      </w:r>
      <w:r>
        <w:rPr>
          <w:rFonts w:hint="eastAsia" w:ascii="宋体" w:hAnsi="宋体" w:cs="宋体"/>
          <w:color w:val="auto"/>
          <w:kern w:val="0"/>
          <w:szCs w:val="21"/>
          <w:highlight w:val="none"/>
        </w:rPr>
        <w:t>成交</w:t>
      </w:r>
      <w:r>
        <w:rPr>
          <w:rFonts w:hint="eastAsia" w:ascii="宋体" w:hAnsi="宋体" w:cs="宋体"/>
          <w:color w:val="auto"/>
          <w:szCs w:val="21"/>
          <w:highlight w:val="none"/>
        </w:rPr>
        <w:t>供应商确定后2个工作日内，在省级以上财政部门指定的媒体上公告成交结果，同时向成交供应商发出成交通知书。采购人或者采购代理机构发出成交通知书前，应当对成交供应商信用进行查询，对列入失信被执行人、重大税收违法失信主体、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磋商文件一并保存。</w:t>
      </w:r>
      <w:bookmarkStart w:id="73" w:name="_Hlk66782294"/>
      <w:r>
        <w:rPr>
          <w:rFonts w:hint="eastAsia" w:ascii="宋体" w:hAnsi="宋体" w:cs="Courier New"/>
          <w:color w:val="auto"/>
          <w:szCs w:val="21"/>
          <w:highlight w:val="none"/>
        </w:rPr>
        <w:t>成交供应商享受</w:t>
      </w:r>
      <w:r>
        <w:rPr>
          <w:rFonts w:hint="eastAsia" w:ascii="宋体" w:hAnsi="宋体"/>
          <w:color w:val="auto"/>
          <w:szCs w:val="21"/>
          <w:highlight w:val="none"/>
        </w:rPr>
        <w:t>《政府采购促进中小企业发展管理办法》（财库〔2020〕46号）规定的中小企业扶持</w:t>
      </w:r>
      <w:r>
        <w:rPr>
          <w:rFonts w:hint="eastAsia" w:ascii="宋体" w:hAnsi="宋体" w:cs="Courier New"/>
          <w:color w:val="auto"/>
          <w:szCs w:val="21"/>
          <w:highlight w:val="none"/>
        </w:rPr>
        <w:t>政策的，采购人、采购代理机构应当随成交结果公开成交供应商的《中小企业声明函》。</w:t>
      </w:r>
      <w:bookmarkEnd w:id="73"/>
    </w:p>
    <w:p w14:paraId="761BFA23">
      <w:pPr>
        <w:spacing w:line="360" w:lineRule="auto"/>
        <w:ind w:firstLine="420" w:firstLineChars="200"/>
        <w:rPr>
          <w:rFonts w:hint="eastAsia" w:ascii="宋体" w:hAnsi="宋体" w:cs="Courier New"/>
          <w:color w:val="auto"/>
          <w:szCs w:val="21"/>
          <w:highlight w:val="none"/>
        </w:rPr>
      </w:pPr>
      <w:r>
        <w:rPr>
          <w:rFonts w:hint="eastAsia" w:ascii="宋体" w:hAnsi="宋体" w:cs="Courier New"/>
          <w:color w:val="auto"/>
          <w:szCs w:val="21"/>
          <w:highlight w:val="none"/>
        </w:rPr>
        <w:t>27.3出现下列情形之一的，采购人或者采购代理机构应当终止竞争性磋商采购活动，发布项目终止公告并说明原因，重新开展采购活动：</w:t>
      </w:r>
    </w:p>
    <w:p w14:paraId="74441D10">
      <w:pPr>
        <w:spacing w:line="360" w:lineRule="auto"/>
        <w:ind w:firstLine="420" w:firstLineChars="200"/>
        <w:rPr>
          <w:rFonts w:hint="eastAsia" w:ascii="宋体" w:hAnsi="宋体" w:cs="Courier New"/>
          <w:color w:val="auto"/>
          <w:szCs w:val="21"/>
          <w:highlight w:val="none"/>
        </w:rPr>
      </w:pPr>
      <w:r>
        <w:rPr>
          <w:rFonts w:hint="eastAsia" w:ascii="宋体" w:hAnsi="宋体" w:cs="Courier New"/>
          <w:color w:val="auto"/>
          <w:szCs w:val="21"/>
          <w:highlight w:val="none"/>
        </w:rPr>
        <w:t>（1）因情况变化，不再符合规定的竞争性磋商采购方式适用情形的；</w:t>
      </w:r>
    </w:p>
    <w:p w14:paraId="030E1D01">
      <w:pPr>
        <w:spacing w:line="360" w:lineRule="auto"/>
        <w:ind w:firstLine="420" w:firstLineChars="200"/>
        <w:rPr>
          <w:rFonts w:hint="eastAsia" w:ascii="宋体" w:hAnsi="宋体" w:cs="Courier New"/>
          <w:color w:val="auto"/>
          <w:szCs w:val="21"/>
          <w:highlight w:val="none"/>
        </w:rPr>
      </w:pPr>
      <w:r>
        <w:rPr>
          <w:rFonts w:hint="eastAsia" w:ascii="宋体" w:hAnsi="宋体" w:cs="Courier New"/>
          <w:color w:val="auto"/>
          <w:szCs w:val="21"/>
          <w:highlight w:val="none"/>
        </w:rPr>
        <w:t>（2）出现影响采购公正的违法、违规行为的；</w:t>
      </w:r>
    </w:p>
    <w:p w14:paraId="00565A0F">
      <w:pPr>
        <w:spacing w:line="360" w:lineRule="auto"/>
        <w:ind w:firstLine="420" w:firstLineChars="200"/>
        <w:rPr>
          <w:rFonts w:hint="eastAsia" w:ascii="宋体" w:hAnsi="宋体" w:cs="Courier New"/>
          <w:color w:val="auto"/>
          <w:szCs w:val="21"/>
          <w:highlight w:val="none"/>
        </w:rPr>
      </w:pPr>
      <w:r>
        <w:rPr>
          <w:rFonts w:hint="eastAsia" w:ascii="宋体" w:hAnsi="宋体" w:cs="Courier New"/>
          <w:color w:val="auto"/>
          <w:szCs w:val="21"/>
          <w:highlight w:val="none"/>
        </w:rPr>
        <w:t>（3）除“第四章 评审程序、评审方法和评审标准”第4.3条规定的情形外，在采购过程中符合要求的供应商或者报价未超过采购预算的供应商不足3家的。</w:t>
      </w:r>
    </w:p>
    <w:p w14:paraId="3D47E5CF">
      <w:pPr>
        <w:spacing w:line="360" w:lineRule="auto"/>
        <w:ind w:firstLine="420" w:firstLineChars="200"/>
        <w:rPr>
          <w:rFonts w:hint="eastAsia" w:ascii="宋体" w:hAnsi="宋体" w:cs="宋体"/>
          <w:color w:val="auto"/>
          <w:szCs w:val="21"/>
          <w:highlight w:val="none"/>
        </w:rPr>
      </w:pPr>
      <w:r>
        <w:rPr>
          <w:rFonts w:hint="eastAsia" w:ascii="宋体" w:hAnsi="宋体" w:cs="Courier New"/>
          <w:color w:val="auto"/>
          <w:szCs w:val="21"/>
          <w:highlight w:val="none"/>
        </w:rPr>
        <w:t>27.4 在采购活动中因重大变故，采购任务取消的，采购人或者采购代理机构应当终止采购活动，通知所有参加采购活动的供应商，并将项目实施情况和采购任务取消原因报送本级财政部门。</w:t>
      </w:r>
    </w:p>
    <w:p w14:paraId="1C924584">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28</w:t>
      </w:r>
      <w:r>
        <w:rPr>
          <w:rFonts w:hint="eastAsia" w:ascii="黑体" w:hAnsi="黑体" w:eastAsia="黑体" w:cs="宋体"/>
          <w:b/>
          <w:bCs/>
          <w:color w:val="auto"/>
          <w:sz w:val="24"/>
          <w:highlight w:val="none"/>
        </w:rPr>
        <w:t>.履约保证金</w:t>
      </w:r>
    </w:p>
    <w:p w14:paraId="2DFE508D">
      <w:pPr>
        <w:spacing w:line="360" w:lineRule="auto"/>
        <w:ind w:firstLine="424" w:firstLineChars="202"/>
        <w:rPr>
          <w:rFonts w:hint="eastAsia" w:ascii="宋体" w:hAnsi="宋体" w:cs="宋体"/>
          <w:color w:val="auto"/>
          <w:szCs w:val="21"/>
          <w:highlight w:val="none"/>
        </w:rPr>
      </w:pPr>
      <w:r>
        <w:rPr>
          <w:rFonts w:ascii="宋体" w:hAnsi="宋体" w:cs="宋体"/>
          <w:color w:val="auto"/>
          <w:szCs w:val="21"/>
          <w:highlight w:val="none"/>
        </w:rPr>
        <w:t>28</w:t>
      </w:r>
      <w:r>
        <w:rPr>
          <w:rFonts w:hint="eastAsia" w:ascii="宋体" w:hAnsi="宋体" w:cs="宋体"/>
          <w:color w:val="auto"/>
          <w:szCs w:val="21"/>
          <w:highlight w:val="none"/>
        </w:rPr>
        <w:t>.1</w:t>
      </w:r>
      <w:r>
        <w:rPr>
          <w:rFonts w:ascii="宋体" w:hAnsi="宋体" w:cs="宋体"/>
          <w:color w:val="auto"/>
          <w:szCs w:val="21"/>
          <w:highlight w:val="none"/>
        </w:rPr>
        <w:t xml:space="preserve"> </w:t>
      </w:r>
      <w:r>
        <w:rPr>
          <w:rFonts w:hint="eastAsia" w:ascii="宋体" w:hAnsi="宋体" w:cs="宋体"/>
          <w:color w:val="auto"/>
          <w:szCs w:val="21"/>
          <w:highlight w:val="none"/>
        </w:rPr>
        <w:t>履约保证金的金额、提交方式、退付的时间和条件详见 “供应商须知前附表”。成交供应商未按规定提交履约保证金的，视为拒绝</w:t>
      </w:r>
      <w:r>
        <w:rPr>
          <w:rFonts w:ascii="宋体" w:hAnsi="宋体"/>
          <w:color w:val="auto"/>
          <w:highlight w:val="none"/>
        </w:rPr>
        <w:t>与采购人</w:t>
      </w:r>
      <w:r>
        <w:rPr>
          <w:rFonts w:hint="eastAsia" w:ascii="宋体" w:hAnsi="宋体" w:cs="宋体"/>
          <w:color w:val="auto"/>
          <w:szCs w:val="21"/>
          <w:highlight w:val="none"/>
        </w:rPr>
        <w:t>签订合同。</w:t>
      </w:r>
    </w:p>
    <w:p w14:paraId="5C53C7D9">
      <w:pPr>
        <w:spacing w:line="360" w:lineRule="auto"/>
        <w:ind w:firstLine="424" w:firstLineChars="202"/>
        <w:rPr>
          <w:rFonts w:hint="eastAsia" w:ascii="宋体" w:hAnsi="宋体" w:cs="宋体"/>
          <w:color w:val="auto"/>
          <w:szCs w:val="21"/>
          <w:highlight w:val="none"/>
        </w:rPr>
      </w:pPr>
      <w:r>
        <w:rPr>
          <w:rFonts w:ascii="宋体" w:hAnsi="宋体" w:cs="宋体"/>
          <w:color w:val="auto"/>
          <w:szCs w:val="21"/>
          <w:highlight w:val="none"/>
        </w:rPr>
        <w:t>28</w:t>
      </w:r>
      <w:r>
        <w:rPr>
          <w:rFonts w:hint="eastAsia" w:ascii="宋体" w:hAnsi="宋体" w:cs="宋体"/>
          <w:color w:val="auto"/>
          <w:szCs w:val="21"/>
          <w:highlight w:val="none"/>
        </w:rPr>
        <w:t>.2在履约保证金退还日期前，若成交供应商的开户名称、开户银行、</w:t>
      </w:r>
      <w:r>
        <w:rPr>
          <w:rFonts w:hint="eastAsia" w:ascii="宋体" w:hAnsi="宋体" w:cs="宋体"/>
          <w:color w:val="auto"/>
          <w:szCs w:val="21"/>
          <w:highlight w:val="none"/>
          <w:lang w:eastAsia="zh-CN"/>
        </w:rPr>
        <w:t>账号</w:t>
      </w:r>
      <w:r>
        <w:rPr>
          <w:rFonts w:hint="eastAsia" w:ascii="宋体" w:hAnsi="宋体" w:cs="宋体"/>
          <w:color w:val="auto"/>
          <w:szCs w:val="21"/>
          <w:highlight w:val="none"/>
        </w:rPr>
        <w:t>有变动的，请以书面形式通知履约保证金收取单位，否则由此产生的后果由成交供应商自行承担。</w:t>
      </w:r>
    </w:p>
    <w:p w14:paraId="1F1941D0">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29</w:t>
      </w:r>
      <w:r>
        <w:rPr>
          <w:rFonts w:hint="eastAsia" w:ascii="黑体" w:hAnsi="黑体" w:eastAsia="黑体" w:cs="宋体"/>
          <w:b/>
          <w:bCs/>
          <w:color w:val="auto"/>
          <w:sz w:val="24"/>
          <w:highlight w:val="none"/>
        </w:rPr>
        <w:t>.签订合同</w:t>
      </w:r>
    </w:p>
    <w:p w14:paraId="78F2CDAC">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29.1签订电子采购合同：成交供应商领取电子成交通知书后，在</w:t>
      </w:r>
      <w:r>
        <w:rPr>
          <w:rFonts w:hint="eastAsia" w:ascii="宋体" w:hAnsi="宋体" w:cs="宋体"/>
          <w:color w:val="auto"/>
          <w:szCs w:val="21"/>
          <w:highlight w:val="none"/>
          <w:lang w:val="zh-CN"/>
        </w:rPr>
        <w:t>规定的日期、时间、地点，由法定代表人或其授权代表与采购人代表签订电子采购合同。如成交供应商为联合体的，由联合体成员各方法定代表人或其授权代表与采购人代表签订合同。</w:t>
      </w:r>
    </w:p>
    <w:p w14:paraId="61E8791F">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线下签订纸质合同：供应商领取成交通知书后，按“供应商须知前附表”规定向采购人出示相关证明材料，经采购人核验合格后方可签订合同。</w:t>
      </w:r>
    </w:p>
    <w:p w14:paraId="7AD13D39">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29.2签订合同时间：按成交通知书规定的时间与采购人签订合同。</w:t>
      </w:r>
    </w:p>
    <w:p w14:paraId="27BA8C15">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29.</w:t>
      </w:r>
      <w:r>
        <w:rPr>
          <w:rFonts w:ascii="宋体" w:hAnsi="宋体" w:cs="宋体"/>
          <w:color w:val="auto"/>
          <w:szCs w:val="21"/>
          <w:highlight w:val="none"/>
        </w:rPr>
        <w:t>3</w:t>
      </w:r>
      <w:r>
        <w:rPr>
          <w:rFonts w:hint="eastAsia" w:ascii="宋体" w:hAnsi="宋体" w:cs="宋体"/>
          <w:color w:val="auto"/>
          <w:szCs w:val="21"/>
          <w:highlight w:val="none"/>
        </w:rPr>
        <w:t>成交供应商拒绝签订政府采购合同（包括但不限于放弃成交、因不可抗力不能履行合同而放弃签订合同），采购人可以按照评审报告推荐的成交候选人名单排序，确定下一候选人为成交供应商，也可以重新开展政府采购活动。如采购人无正当理由拒签合同的，给成交供应商造成损失的，成交供应商可追究采购人承担相应的法律责任。</w:t>
      </w:r>
    </w:p>
    <w:p w14:paraId="50752AA5">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29.4政府采购合同是政府采购项目验收的依据，成交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468FC5CB">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29.5采购人或成交供应商不得单方面向合同另一方提出任何磋商文件没有约定的条件或不合理的要求，作为签订合同的条件；也不得协商另行订立背离磋商文件和合同实质性内容的协议。</w:t>
      </w:r>
    </w:p>
    <w:p w14:paraId="391F4102">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29.6如签订合同并生效后，供应商无故拒绝或延期，除按照合同条款处理外，将承担相应的法律责任。</w:t>
      </w:r>
    </w:p>
    <w:p w14:paraId="44AF8410">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29.7政府采购合同履行中，采购人需追加与合同标的相同的货物、工程或者服务的，在不改变合同其他条款的前提下，可以与供应商协商签订补充合同，但所有补充合同的采购金额不得超过原合同采购金额的10%。</w:t>
      </w:r>
    </w:p>
    <w:p w14:paraId="73548B9D">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30</w:t>
      </w:r>
      <w:r>
        <w:rPr>
          <w:rFonts w:hint="eastAsia" w:ascii="黑体" w:hAnsi="黑体" w:eastAsia="黑体" w:cs="宋体"/>
          <w:b/>
          <w:bCs/>
          <w:color w:val="auto"/>
          <w:sz w:val="24"/>
          <w:highlight w:val="none"/>
        </w:rPr>
        <w:t>.政府采购合同公告</w:t>
      </w:r>
    </w:p>
    <w:p w14:paraId="5084045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3365ED70">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31</w:t>
      </w:r>
      <w:r>
        <w:rPr>
          <w:rFonts w:hint="eastAsia" w:ascii="黑体" w:hAnsi="黑体" w:eastAsia="黑体" w:cs="宋体"/>
          <w:b/>
          <w:bCs/>
          <w:color w:val="auto"/>
          <w:sz w:val="24"/>
          <w:highlight w:val="none"/>
        </w:rPr>
        <w:t>. 询问、质疑和投诉</w:t>
      </w:r>
    </w:p>
    <w:p w14:paraId="2A7911C9">
      <w:pPr>
        <w:pStyle w:val="8"/>
        <w:spacing w:line="360" w:lineRule="auto"/>
        <w:rPr>
          <w:rFonts w:hint="eastAsia" w:ascii="宋体" w:hAnsi="宋体"/>
          <w:color w:val="auto"/>
          <w:szCs w:val="21"/>
          <w:highlight w:val="none"/>
        </w:rPr>
      </w:pPr>
      <w:r>
        <w:rPr>
          <w:rFonts w:hint="eastAsia" w:ascii="宋体" w:hAnsi="宋体" w:cs="宋体"/>
          <w:color w:val="auto"/>
          <w:highlight w:val="none"/>
        </w:rPr>
        <w:t>3</w:t>
      </w:r>
      <w:r>
        <w:rPr>
          <w:rFonts w:ascii="宋体" w:hAnsi="宋体" w:cs="宋体"/>
          <w:color w:val="auto"/>
          <w:highlight w:val="none"/>
        </w:rPr>
        <w:t>1</w:t>
      </w:r>
      <w:r>
        <w:rPr>
          <w:rFonts w:hint="eastAsia" w:ascii="宋体" w:hAnsi="宋体" w:cs="宋体"/>
          <w:color w:val="auto"/>
          <w:highlight w:val="none"/>
        </w:rPr>
        <w:t>.1供应商对政府采购活动事项有疑问的，可以向采购人、采购代理机构提出询问，采购人或者采购代理机构应当在3个工作日内对供应商依法提出的询问作出答复，</w:t>
      </w:r>
      <w:r>
        <w:rPr>
          <w:rFonts w:hint="eastAsia" w:ascii="宋体" w:hAnsi="宋体"/>
          <w:color w:val="auto"/>
          <w:szCs w:val="21"/>
          <w:highlight w:val="none"/>
        </w:rPr>
        <w:t>但答复的内容不得涉及商业秘密</w:t>
      </w:r>
      <w:r>
        <w:rPr>
          <w:rFonts w:hint="eastAsia" w:ascii="宋体" w:hAnsi="宋体" w:cs="宋体"/>
          <w:color w:val="auto"/>
          <w:highlight w:val="none"/>
        </w:rPr>
        <w:t>。</w:t>
      </w:r>
    </w:p>
    <w:p w14:paraId="525A8C38">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w:t>
      </w:r>
      <w:r>
        <w:rPr>
          <w:rFonts w:ascii="宋体" w:hAnsi="宋体" w:cs="宋体"/>
          <w:color w:val="auto"/>
          <w:highlight w:val="none"/>
        </w:rPr>
        <w:t>1</w:t>
      </w:r>
      <w:r>
        <w:rPr>
          <w:rFonts w:hint="eastAsia" w:ascii="宋体" w:hAnsi="宋体" w:cs="宋体"/>
          <w:color w:val="auto"/>
          <w:highlight w:val="none"/>
        </w:rPr>
        <w:t>.2供应商认为磋商文件、采购过程或者成交结果使自己的合法权益受到损害的，应当在知道或者应知其权益受到损害之日起7个工作日内，以书面形式向采购人、采购代理机构提出质疑，</w:t>
      </w:r>
      <w:r>
        <w:rPr>
          <w:rFonts w:ascii="宋体" w:hAnsi="宋体" w:cs="Arial"/>
          <w:color w:val="auto"/>
          <w:highlight w:val="none"/>
          <w:shd w:val="clear" w:color="auto" w:fill="FFFFFF"/>
        </w:rPr>
        <w:t>接收质疑函的方式、联系部门、联系电话和通讯地址等信息</w:t>
      </w:r>
      <w:r>
        <w:rPr>
          <w:rFonts w:hint="eastAsia" w:ascii="宋体" w:hAnsi="宋体" w:cs="Arial"/>
          <w:color w:val="auto"/>
          <w:highlight w:val="none"/>
          <w:shd w:val="clear" w:color="auto" w:fill="FFFFFF"/>
        </w:rPr>
        <w:t>详见</w:t>
      </w:r>
      <w:r>
        <w:rPr>
          <w:rFonts w:hint="eastAsia" w:ascii="宋体" w:hAnsi="宋体" w:cs="宋体"/>
          <w:color w:val="auto"/>
          <w:szCs w:val="21"/>
          <w:highlight w:val="none"/>
        </w:rPr>
        <w:t>“供应商须知前附表”</w:t>
      </w:r>
      <w:r>
        <w:rPr>
          <w:rFonts w:hint="eastAsia" w:ascii="宋体" w:hAnsi="宋体" w:cs="宋体"/>
          <w:color w:val="auto"/>
          <w:highlight w:val="none"/>
        </w:rPr>
        <w:t>。具体质疑起算时间如下：</w:t>
      </w:r>
    </w:p>
    <w:p w14:paraId="4A035ED7">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（1）对可以质疑的磋商文件提出质疑的，为收到磋商文件之日或者</w:t>
      </w:r>
      <w:r>
        <w:rPr>
          <w:rFonts w:hint="eastAsia" w:ascii="宋体" w:hAnsi="宋体"/>
          <w:color w:val="auto"/>
          <w:highlight w:val="none"/>
        </w:rPr>
        <w:t>竞争性磋商公告期限届满之日</w:t>
      </w:r>
      <w:r>
        <w:rPr>
          <w:rFonts w:hint="eastAsia" w:ascii="宋体" w:hAnsi="宋体" w:cs="宋体"/>
          <w:color w:val="auto"/>
          <w:highlight w:val="none"/>
        </w:rPr>
        <w:t>；</w:t>
      </w:r>
    </w:p>
    <w:p w14:paraId="5674DDAA">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（2）对采购过程提出质疑的，为各采购程序环节结束之日；</w:t>
      </w:r>
    </w:p>
    <w:p w14:paraId="26F439A0">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（3）对成交结果提出质疑的，为成交结果公告期限届满之日。</w:t>
      </w:r>
    </w:p>
    <w:p w14:paraId="307FB14F">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w:t>
      </w:r>
      <w:r>
        <w:rPr>
          <w:rFonts w:ascii="宋体" w:hAnsi="宋体" w:cs="宋体"/>
          <w:color w:val="auto"/>
          <w:highlight w:val="none"/>
        </w:rPr>
        <w:t>1</w:t>
      </w:r>
      <w:r>
        <w:rPr>
          <w:rFonts w:hint="eastAsia" w:ascii="宋体" w:hAnsi="宋体" w:cs="宋体"/>
          <w:color w:val="auto"/>
          <w:highlight w:val="none"/>
        </w:rPr>
        <w:t>.3供应商提出的询问或者质疑超出采购人对采购代理机构委托授权范围的，采购代理机构应当告知供应商向采购人提出。政府采购评审专家应当配合采购人或者采购代理机构答复供应商的询问和质疑。</w:t>
      </w:r>
    </w:p>
    <w:p w14:paraId="6C17E509">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w:t>
      </w:r>
      <w:r>
        <w:rPr>
          <w:rFonts w:ascii="宋体" w:hAnsi="宋体" w:cs="宋体"/>
          <w:color w:val="auto"/>
          <w:highlight w:val="none"/>
        </w:rPr>
        <w:t>1</w:t>
      </w:r>
      <w:r>
        <w:rPr>
          <w:rFonts w:hint="eastAsia" w:ascii="宋体" w:hAnsi="宋体" w:cs="宋体"/>
          <w:color w:val="auto"/>
          <w:highlight w:val="none"/>
        </w:rPr>
        <w:t>.4 供应商提出质疑应当提交质疑函和必要的证明材料，针对同一采购程序环节的质疑必须在法定质疑期内一次性提出。质疑函应当包括下列内容</w:t>
      </w:r>
      <w:r>
        <w:rPr>
          <w:rFonts w:hint="eastAsia" w:hAnsi="宋体"/>
          <w:bCs/>
          <w:color w:val="auto"/>
          <w:highlight w:val="none"/>
        </w:rPr>
        <w:t>（质疑函格式后附）</w:t>
      </w:r>
      <w:r>
        <w:rPr>
          <w:rFonts w:hint="eastAsia" w:ascii="宋体" w:hAnsi="宋体" w:cs="宋体"/>
          <w:color w:val="auto"/>
          <w:highlight w:val="none"/>
        </w:rPr>
        <w:t>：</w:t>
      </w:r>
    </w:p>
    <w:p w14:paraId="09E70005">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（1）供应商的姓名或者名称、地址、邮编、联系人及联系电话；</w:t>
      </w:r>
    </w:p>
    <w:p w14:paraId="0F8AA143">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（2）质疑项目的名称、编号；</w:t>
      </w:r>
    </w:p>
    <w:p w14:paraId="17B17723">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（3）具体、明确的质疑事项和与质疑事项相关的请求；</w:t>
      </w:r>
    </w:p>
    <w:p w14:paraId="42FCF72D">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（4）事实依据；</w:t>
      </w:r>
    </w:p>
    <w:p w14:paraId="55547D1D">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（5）必要的法律依据；</w:t>
      </w:r>
    </w:p>
    <w:p w14:paraId="34272DB4">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（6）提出质疑的日期。</w:t>
      </w:r>
    </w:p>
    <w:p w14:paraId="1FAD8521">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供应商为自然人的，应当由本人签字；供应商为法人或者其他组织的，应当由法定代表人、主要负责人，或者其委托代理人签字或者盖章，并加盖公章。</w:t>
      </w:r>
    </w:p>
    <w:p w14:paraId="17F89E62">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w:t>
      </w:r>
      <w:r>
        <w:rPr>
          <w:rFonts w:ascii="宋体" w:hAnsi="宋体" w:cs="宋体"/>
          <w:color w:val="auto"/>
          <w:highlight w:val="none"/>
        </w:rPr>
        <w:t>1.5</w:t>
      </w:r>
      <w:r>
        <w:rPr>
          <w:rFonts w:hint="eastAsia" w:ascii="宋体" w:hAnsi="宋体" w:cs="宋体"/>
          <w:color w:val="auto"/>
          <w:highlight w:val="none"/>
        </w:rPr>
        <w:t>采购人、采购代理机构认为供应商质疑不成立，或者成立但未对成交结果构成影响的，继续开展采购活动；认为供应商质疑成立且影响或者可能影响成交结果的，按照下列情况处理：</w:t>
      </w:r>
    </w:p>
    <w:p w14:paraId="1B7FC31A">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（一）对采购文件提出的质疑，依法通过澄清或者修改可以继续开展采购活动的，澄清或者修改采购文件后继续开展采购活动；否则应当修改采购文件后重新开展采购活动。</w:t>
      </w:r>
    </w:p>
    <w:p w14:paraId="6BCF4A01">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（二）对采购过程或者成交结果提出的质疑，合格供应商符合法定数量时，可以从合格的成交候选人中另行确定成交供应商的，应当依法另行确定成交供应商；否则应当重新开展采购活动。</w:t>
      </w:r>
    </w:p>
    <w:p w14:paraId="5F0C6B03">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质疑答复导致成交结果改变的，采购人或者采购代理机构应当将有关情况书面报告本级财政部门。</w:t>
      </w:r>
    </w:p>
    <w:p w14:paraId="7A7E8DDF">
      <w:pPr>
        <w:spacing w:line="360" w:lineRule="auto"/>
        <w:ind w:firstLine="420" w:firstLineChars="200"/>
        <w:rPr>
          <w:rFonts w:hint="eastAsia" w:ascii="宋体" w:hAnsi="宋体" w:cs="宋体"/>
          <w:color w:val="auto"/>
          <w:szCs w:val="21"/>
          <w:highlight w:val="none"/>
        </w:rPr>
      </w:pPr>
      <w:r>
        <w:rPr>
          <w:rFonts w:ascii="宋体" w:hAnsi="宋体" w:cs="宋体"/>
          <w:color w:val="auto"/>
          <w:highlight w:val="none"/>
        </w:rPr>
        <w:t>31</w:t>
      </w:r>
      <w:r>
        <w:rPr>
          <w:rFonts w:hint="eastAsia" w:ascii="宋体" w:hAnsi="宋体" w:cs="宋体"/>
          <w:color w:val="auto"/>
          <w:highlight w:val="none"/>
        </w:rPr>
        <w:t>.</w:t>
      </w:r>
      <w:r>
        <w:rPr>
          <w:rFonts w:ascii="宋体" w:hAnsi="宋体" w:cs="宋体"/>
          <w:color w:val="auto"/>
          <w:highlight w:val="none"/>
        </w:rPr>
        <w:t>6</w:t>
      </w:r>
      <w:r>
        <w:rPr>
          <w:rFonts w:hint="eastAsia" w:ascii="宋体" w:hAnsi="宋体" w:cs="宋体"/>
          <w:color w:val="auto"/>
          <w:highlight w:val="none"/>
        </w:rPr>
        <w:t>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1E29B7C9">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32</w:t>
      </w:r>
      <w:r>
        <w:rPr>
          <w:rFonts w:hint="eastAsia" w:ascii="黑体" w:hAnsi="黑体" w:eastAsia="黑体" w:cs="宋体"/>
          <w:b/>
          <w:bCs/>
          <w:color w:val="auto"/>
          <w:sz w:val="24"/>
          <w:highlight w:val="none"/>
        </w:rPr>
        <w:t>.其他内容</w:t>
      </w:r>
    </w:p>
    <w:p w14:paraId="2FDA04FF">
      <w:pPr>
        <w:tabs>
          <w:tab w:val="left" w:pos="2835"/>
        </w:tabs>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32</w:t>
      </w:r>
      <w:r>
        <w:rPr>
          <w:rFonts w:hint="eastAsia" w:ascii="宋体" w:hAnsi="宋体" w:cs="宋体"/>
          <w:color w:val="auto"/>
          <w:szCs w:val="21"/>
          <w:highlight w:val="none"/>
        </w:rPr>
        <w:t>.1代理服务收取标准及缴费账户详见“供应商须知前附表”。</w:t>
      </w:r>
    </w:p>
    <w:p w14:paraId="7C5FA1EF">
      <w:pPr>
        <w:tabs>
          <w:tab w:val="left" w:pos="2835"/>
        </w:tabs>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32.2</w:t>
      </w:r>
      <w:r>
        <w:rPr>
          <w:rFonts w:hint="eastAsia" w:ascii="宋体" w:hAnsi="宋体" w:cs="宋体"/>
          <w:color w:val="auto"/>
          <w:szCs w:val="21"/>
          <w:highlight w:val="none"/>
        </w:rPr>
        <w:t>代理服务费收费计算标准：</w:t>
      </w:r>
    </w:p>
    <w:tbl>
      <w:tblPr>
        <w:tblStyle w:val="2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532"/>
        <w:gridCol w:w="1546"/>
      </w:tblGrid>
      <w:tr w14:paraId="076B4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l2br w:val="single" w:color="auto" w:sz="4" w:space="0"/>
            </w:tcBorders>
          </w:tcPr>
          <w:p w14:paraId="76E5192F">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w:t>
            </w:r>
            <w:r>
              <w:rPr>
                <w:rFonts w:ascii="宋体" w:hAnsi="宋体" w:cs="宋体"/>
                <w:color w:val="auto"/>
                <w:szCs w:val="21"/>
                <w:highlight w:val="none"/>
              </w:rPr>
              <w:t xml:space="preserve">        </w:t>
            </w:r>
            <w:r>
              <w:rPr>
                <w:rFonts w:hint="eastAsia" w:ascii="宋体" w:hAnsi="宋体" w:cs="宋体"/>
                <w:color w:val="auto"/>
                <w:szCs w:val="21"/>
                <w:highlight w:val="none"/>
              </w:rPr>
              <w:t xml:space="preserve">  费率</w:t>
            </w:r>
          </w:p>
          <w:p w14:paraId="21196512">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金额</w:t>
            </w:r>
          </w:p>
        </w:tc>
        <w:tc>
          <w:tcPr>
            <w:tcW w:w="1659" w:type="dxa"/>
            <w:vAlign w:val="center"/>
          </w:tcPr>
          <w:p w14:paraId="0403B3BC">
            <w:pPr>
              <w:spacing w:line="360" w:lineRule="auto"/>
              <w:ind w:firstLine="105" w:firstLineChars="50"/>
              <w:jc w:val="center"/>
              <w:rPr>
                <w:rFonts w:hint="eastAsia" w:ascii="宋体" w:hAnsi="宋体" w:cs="宋体"/>
                <w:color w:val="auto"/>
                <w:szCs w:val="21"/>
                <w:highlight w:val="none"/>
              </w:rPr>
            </w:pPr>
            <w:r>
              <w:rPr>
                <w:rFonts w:hint="eastAsia" w:ascii="宋体" w:hAnsi="宋体" w:cs="宋体"/>
                <w:color w:val="auto"/>
                <w:szCs w:val="21"/>
                <w:highlight w:val="none"/>
              </w:rPr>
              <w:t>货物类</w:t>
            </w:r>
          </w:p>
        </w:tc>
        <w:tc>
          <w:tcPr>
            <w:tcW w:w="1532" w:type="dxa"/>
            <w:vAlign w:val="center"/>
          </w:tcPr>
          <w:p w14:paraId="2534AC7A">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服务类</w:t>
            </w:r>
          </w:p>
        </w:tc>
        <w:tc>
          <w:tcPr>
            <w:tcW w:w="1546" w:type="dxa"/>
            <w:vAlign w:val="center"/>
          </w:tcPr>
          <w:p w14:paraId="0CAB209A">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工程类</w:t>
            </w:r>
          </w:p>
        </w:tc>
      </w:tr>
      <w:tr w14:paraId="34412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22980599">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100万元以下</w:t>
            </w:r>
          </w:p>
        </w:tc>
        <w:tc>
          <w:tcPr>
            <w:tcW w:w="1659" w:type="dxa"/>
          </w:tcPr>
          <w:p w14:paraId="604123A9">
            <w:pPr>
              <w:spacing w:line="360" w:lineRule="auto"/>
              <w:rPr>
                <w:rFonts w:hint="eastAsia" w:ascii="宋体" w:hAnsi="宋体" w:cs="宋体"/>
                <w:color w:val="auto"/>
                <w:szCs w:val="21"/>
                <w:highlight w:val="none"/>
              </w:rPr>
            </w:pPr>
            <w:r>
              <w:rPr>
                <w:rFonts w:hint="eastAsia" w:ascii="宋体" w:hAnsi="宋体" w:cs="宋体"/>
                <w:color w:val="auto"/>
                <w:kern w:val="0"/>
                <w:szCs w:val="21"/>
                <w:highlight w:val="none"/>
              </w:rPr>
              <w:t xml:space="preserve">  1.5%                </w:t>
            </w:r>
          </w:p>
        </w:tc>
        <w:tc>
          <w:tcPr>
            <w:tcW w:w="1532" w:type="dxa"/>
          </w:tcPr>
          <w:p w14:paraId="6E7FD375">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1.5%</w:t>
            </w:r>
          </w:p>
        </w:tc>
        <w:tc>
          <w:tcPr>
            <w:tcW w:w="1546" w:type="dxa"/>
          </w:tcPr>
          <w:p w14:paraId="2F11C8B9">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 xml:space="preserve">1.0% </w:t>
            </w:r>
          </w:p>
        </w:tc>
      </w:tr>
      <w:tr w14:paraId="4CC42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2F970A28">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100～500万元</w:t>
            </w:r>
          </w:p>
        </w:tc>
        <w:tc>
          <w:tcPr>
            <w:tcW w:w="1659" w:type="dxa"/>
          </w:tcPr>
          <w:p w14:paraId="242E049C">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 xml:space="preserve">1.1%                 </w:t>
            </w:r>
          </w:p>
        </w:tc>
        <w:tc>
          <w:tcPr>
            <w:tcW w:w="1532" w:type="dxa"/>
          </w:tcPr>
          <w:p w14:paraId="4537CA2C">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0.8%</w:t>
            </w:r>
          </w:p>
        </w:tc>
        <w:tc>
          <w:tcPr>
            <w:tcW w:w="1546" w:type="dxa"/>
          </w:tcPr>
          <w:p w14:paraId="532F7DF8">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 xml:space="preserve">0.7% </w:t>
            </w:r>
          </w:p>
        </w:tc>
      </w:tr>
      <w:tr w14:paraId="56ACE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439044E0">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500～1000万元</w:t>
            </w:r>
          </w:p>
        </w:tc>
        <w:tc>
          <w:tcPr>
            <w:tcW w:w="1659" w:type="dxa"/>
          </w:tcPr>
          <w:p w14:paraId="758C2E8D">
            <w:pPr>
              <w:spacing w:line="360" w:lineRule="auto"/>
              <w:rPr>
                <w:rFonts w:hint="eastAsia" w:ascii="宋体" w:hAnsi="宋体" w:cs="宋体"/>
                <w:color w:val="auto"/>
                <w:szCs w:val="21"/>
                <w:highlight w:val="none"/>
              </w:rPr>
            </w:pPr>
            <w:r>
              <w:rPr>
                <w:rFonts w:hint="eastAsia" w:ascii="宋体" w:hAnsi="宋体" w:cs="宋体"/>
                <w:color w:val="auto"/>
                <w:kern w:val="0"/>
                <w:szCs w:val="21"/>
                <w:highlight w:val="none"/>
              </w:rPr>
              <w:t xml:space="preserve">  0.8%                </w:t>
            </w:r>
          </w:p>
        </w:tc>
        <w:tc>
          <w:tcPr>
            <w:tcW w:w="1532" w:type="dxa"/>
          </w:tcPr>
          <w:p w14:paraId="04F44FC8">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0.45%</w:t>
            </w:r>
          </w:p>
        </w:tc>
        <w:tc>
          <w:tcPr>
            <w:tcW w:w="1546" w:type="dxa"/>
          </w:tcPr>
          <w:p w14:paraId="26AD8528">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0.55%</w:t>
            </w:r>
          </w:p>
        </w:tc>
      </w:tr>
      <w:tr w14:paraId="10CAE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66D54F58">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1000～5000万元</w:t>
            </w:r>
          </w:p>
        </w:tc>
        <w:tc>
          <w:tcPr>
            <w:tcW w:w="1659" w:type="dxa"/>
          </w:tcPr>
          <w:p w14:paraId="79A8D1BD">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 xml:space="preserve">0.5%                </w:t>
            </w:r>
          </w:p>
        </w:tc>
        <w:tc>
          <w:tcPr>
            <w:tcW w:w="1532" w:type="dxa"/>
          </w:tcPr>
          <w:p w14:paraId="384125DD">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0.25%</w:t>
            </w:r>
          </w:p>
        </w:tc>
        <w:tc>
          <w:tcPr>
            <w:tcW w:w="1546" w:type="dxa"/>
          </w:tcPr>
          <w:p w14:paraId="75BCF04A">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 xml:space="preserve">0.35% </w:t>
            </w:r>
          </w:p>
        </w:tc>
      </w:tr>
      <w:tr w14:paraId="31901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1D442DCF">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5000万元～1亿元</w:t>
            </w:r>
          </w:p>
        </w:tc>
        <w:tc>
          <w:tcPr>
            <w:tcW w:w="1659" w:type="dxa"/>
          </w:tcPr>
          <w:p w14:paraId="712AF02E">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 xml:space="preserve">0.25%                 </w:t>
            </w:r>
          </w:p>
        </w:tc>
        <w:tc>
          <w:tcPr>
            <w:tcW w:w="1532" w:type="dxa"/>
          </w:tcPr>
          <w:p w14:paraId="52756297">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0.1%</w:t>
            </w:r>
          </w:p>
        </w:tc>
        <w:tc>
          <w:tcPr>
            <w:tcW w:w="1546" w:type="dxa"/>
          </w:tcPr>
          <w:p w14:paraId="19CAA455">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0.2%</w:t>
            </w:r>
          </w:p>
        </w:tc>
      </w:tr>
      <w:tr w14:paraId="7206A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720885DA">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1～5亿元</w:t>
            </w:r>
          </w:p>
        </w:tc>
        <w:tc>
          <w:tcPr>
            <w:tcW w:w="1659" w:type="dxa"/>
          </w:tcPr>
          <w:p w14:paraId="4A3B4E76">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0.05%</w:t>
            </w:r>
          </w:p>
        </w:tc>
        <w:tc>
          <w:tcPr>
            <w:tcW w:w="1532" w:type="dxa"/>
          </w:tcPr>
          <w:p w14:paraId="46E6707F">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0.05%</w:t>
            </w:r>
          </w:p>
        </w:tc>
        <w:tc>
          <w:tcPr>
            <w:tcW w:w="1546" w:type="dxa"/>
          </w:tcPr>
          <w:p w14:paraId="3091728D">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0.05%</w:t>
            </w:r>
          </w:p>
        </w:tc>
      </w:tr>
      <w:tr w14:paraId="3E1AD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24D5D123">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5～10亿元</w:t>
            </w:r>
          </w:p>
        </w:tc>
        <w:tc>
          <w:tcPr>
            <w:tcW w:w="1659" w:type="dxa"/>
          </w:tcPr>
          <w:p w14:paraId="0CAA9AC4">
            <w:pPr>
              <w:spacing w:line="360" w:lineRule="auto"/>
              <w:ind w:firstLine="105" w:firstLineChars="50"/>
              <w:rPr>
                <w:rFonts w:hint="eastAsia" w:ascii="宋体" w:hAnsi="宋体" w:cs="宋体"/>
                <w:color w:val="auto"/>
                <w:szCs w:val="21"/>
                <w:highlight w:val="none"/>
              </w:rPr>
            </w:pPr>
            <w:r>
              <w:rPr>
                <w:rFonts w:hint="eastAsia" w:ascii="宋体" w:hAnsi="宋体" w:cs="宋体"/>
                <w:color w:val="auto"/>
                <w:szCs w:val="21"/>
                <w:highlight w:val="none"/>
              </w:rPr>
              <w:t>0.035%</w:t>
            </w:r>
          </w:p>
        </w:tc>
        <w:tc>
          <w:tcPr>
            <w:tcW w:w="1532" w:type="dxa"/>
          </w:tcPr>
          <w:p w14:paraId="2B0B485A">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0.035%</w:t>
            </w:r>
          </w:p>
        </w:tc>
        <w:tc>
          <w:tcPr>
            <w:tcW w:w="1546" w:type="dxa"/>
          </w:tcPr>
          <w:p w14:paraId="21A7382E">
            <w:pPr>
              <w:spacing w:line="360" w:lineRule="auto"/>
              <w:ind w:firstLine="105" w:firstLineChars="50"/>
              <w:rPr>
                <w:rFonts w:hint="eastAsia" w:ascii="宋体" w:hAnsi="宋体" w:cs="宋体"/>
                <w:color w:val="auto"/>
                <w:szCs w:val="21"/>
                <w:highlight w:val="none"/>
              </w:rPr>
            </w:pPr>
            <w:r>
              <w:rPr>
                <w:rFonts w:hint="eastAsia" w:ascii="宋体" w:hAnsi="宋体" w:cs="宋体"/>
                <w:color w:val="auto"/>
                <w:szCs w:val="21"/>
                <w:highlight w:val="none"/>
              </w:rPr>
              <w:t>0.035%</w:t>
            </w:r>
          </w:p>
        </w:tc>
      </w:tr>
      <w:tr w14:paraId="109A7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1D449C28">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10～50亿元</w:t>
            </w:r>
          </w:p>
        </w:tc>
        <w:tc>
          <w:tcPr>
            <w:tcW w:w="1659" w:type="dxa"/>
          </w:tcPr>
          <w:p w14:paraId="767905D5">
            <w:pPr>
              <w:spacing w:line="360" w:lineRule="auto"/>
              <w:ind w:firstLine="105" w:firstLineChars="50"/>
              <w:rPr>
                <w:rFonts w:hint="eastAsia" w:ascii="宋体" w:hAnsi="宋体" w:cs="宋体"/>
                <w:color w:val="auto"/>
                <w:szCs w:val="21"/>
                <w:highlight w:val="none"/>
              </w:rPr>
            </w:pPr>
            <w:r>
              <w:rPr>
                <w:rFonts w:hint="eastAsia" w:ascii="宋体" w:hAnsi="宋体" w:cs="宋体"/>
                <w:color w:val="auto"/>
                <w:szCs w:val="21"/>
                <w:highlight w:val="none"/>
              </w:rPr>
              <w:t>0.008%</w:t>
            </w:r>
          </w:p>
        </w:tc>
        <w:tc>
          <w:tcPr>
            <w:tcW w:w="1532" w:type="dxa"/>
          </w:tcPr>
          <w:p w14:paraId="69E54EE1">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0.008%</w:t>
            </w:r>
          </w:p>
        </w:tc>
        <w:tc>
          <w:tcPr>
            <w:tcW w:w="1546" w:type="dxa"/>
          </w:tcPr>
          <w:p w14:paraId="195CB20F">
            <w:pPr>
              <w:spacing w:line="360" w:lineRule="auto"/>
              <w:ind w:firstLine="105" w:firstLineChars="50"/>
              <w:rPr>
                <w:rFonts w:hint="eastAsia" w:ascii="宋体" w:hAnsi="宋体" w:cs="宋体"/>
                <w:color w:val="auto"/>
                <w:szCs w:val="21"/>
                <w:highlight w:val="none"/>
              </w:rPr>
            </w:pPr>
            <w:r>
              <w:rPr>
                <w:rFonts w:hint="eastAsia" w:ascii="宋体" w:hAnsi="宋体" w:cs="宋体"/>
                <w:color w:val="auto"/>
                <w:szCs w:val="21"/>
                <w:highlight w:val="none"/>
              </w:rPr>
              <w:t>0.008%</w:t>
            </w:r>
          </w:p>
        </w:tc>
      </w:tr>
      <w:tr w14:paraId="2417A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23EB8757">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50～100亿元</w:t>
            </w:r>
          </w:p>
        </w:tc>
        <w:tc>
          <w:tcPr>
            <w:tcW w:w="1659" w:type="dxa"/>
          </w:tcPr>
          <w:p w14:paraId="00889540">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0.006%</w:t>
            </w:r>
          </w:p>
        </w:tc>
        <w:tc>
          <w:tcPr>
            <w:tcW w:w="1532" w:type="dxa"/>
          </w:tcPr>
          <w:p w14:paraId="3043962C">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0.006%</w:t>
            </w:r>
          </w:p>
        </w:tc>
        <w:tc>
          <w:tcPr>
            <w:tcW w:w="1546" w:type="dxa"/>
          </w:tcPr>
          <w:p w14:paraId="27A695AC">
            <w:pPr>
              <w:spacing w:line="360" w:lineRule="auto"/>
              <w:ind w:firstLine="105" w:firstLineChars="50"/>
              <w:rPr>
                <w:rFonts w:hint="eastAsia" w:ascii="宋体" w:hAnsi="宋体" w:cs="宋体"/>
                <w:color w:val="auto"/>
                <w:szCs w:val="21"/>
                <w:highlight w:val="none"/>
              </w:rPr>
            </w:pPr>
            <w:r>
              <w:rPr>
                <w:rFonts w:hint="eastAsia" w:ascii="宋体" w:hAnsi="宋体" w:cs="宋体"/>
                <w:color w:val="auto"/>
                <w:szCs w:val="21"/>
                <w:highlight w:val="none"/>
              </w:rPr>
              <w:t>0.006%</w:t>
            </w:r>
          </w:p>
        </w:tc>
      </w:tr>
      <w:tr w14:paraId="1B164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6094C3E6">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100亿以上</w:t>
            </w:r>
          </w:p>
        </w:tc>
        <w:tc>
          <w:tcPr>
            <w:tcW w:w="1659" w:type="dxa"/>
          </w:tcPr>
          <w:p w14:paraId="6C34C058">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0.004%</w:t>
            </w:r>
          </w:p>
        </w:tc>
        <w:tc>
          <w:tcPr>
            <w:tcW w:w="1532" w:type="dxa"/>
          </w:tcPr>
          <w:p w14:paraId="5F18E473">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0.004%</w:t>
            </w:r>
          </w:p>
        </w:tc>
        <w:tc>
          <w:tcPr>
            <w:tcW w:w="1546" w:type="dxa"/>
          </w:tcPr>
          <w:p w14:paraId="21D149DB">
            <w:pPr>
              <w:spacing w:line="360" w:lineRule="auto"/>
              <w:ind w:firstLine="105" w:firstLineChars="50"/>
              <w:rPr>
                <w:rFonts w:hint="eastAsia" w:ascii="宋体" w:hAnsi="宋体" w:cs="宋体"/>
                <w:color w:val="auto"/>
                <w:szCs w:val="21"/>
                <w:highlight w:val="none"/>
              </w:rPr>
            </w:pPr>
            <w:r>
              <w:rPr>
                <w:rFonts w:hint="eastAsia" w:ascii="宋体" w:hAnsi="宋体" w:cs="宋体"/>
                <w:color w:val="auto"/>
                <w:szCs w:val="21"/>
                <w:highlight w:val="none"/>
              </w:rPr>
              <w:t>0.004%</w:t>
            </w:r>
          </w:p>
        </w:tc>
      </w:tr>
    </w:tbl>
    <w:p w14:paraId="09CD359C">
      <w:pPr>
        <w:spacing w:line="360" w:lineRule="auto"/>
        <w:ind w:firstLine="420" w:firstLineChars="200"/>
        <w:rPr>
          <w:rFonts w:hint="eastAsia" w:ascii="宋体" w:hAnsi="宋体" w:cs="宋体"/>
          <w:color w:val="auto"/>
          <w:highlight w:val="none"/>
        </w:rPr>
      </w:pPr>
      <w:r>
        <w:rPr>
          <w:rFonts w:ascii="宋体" w:hAnsi="宋体" w:cs="宋体"/>
          <w:color w:val="auto"/>
          <w:highlight w:val="none"/>
        </w:rPr>
        <w:t>注：</w:t>
      </w:r>
    </w:p>
    <w:p w14:paraId="4B6AA29A">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（1）</w:t>
      </w:r>
      <w:r>
        <w:rPr>
          <w:rFonts w:ascii="宋体" w:hAnsi="宋体" w:cs="宋体"/>
          <w:color w:val="auto"/>
          <w:highlight w:val="none"/>
        </w:rPr>
        <w:t>按本表费率计算的收费为</w:t>
      </w:r>
      <w:r>
        <w:rPr>
          <w:rFonts w:hint="eastAsia" w:ascii="宋体" w:hAnsi="宋体" w:cs="宋体"/>
          <w:color w:val="auto"/>
          <w:highlight w:val="none"/>
        </w:rPr>
        <w:t>采购</w:t>
      </w:r>
      <w:r>
        <w:rPr>
          <w:rFonts w:ascii="宋体" w:hAnsi="宋体" w:cs="宋体"/>
          <w:color w:val="auto"/>
          <w:highlight w:val="none"/>
        </w:rPr>
        <w:t>代理的收费基准价格</w:t>
      </w:r>
      <w:r>
        <w:rPr>
          <w:rFonts w:hint="eastAsia" w:ascii="宋体" w:hAnsi="宋体" w:cs="宋体"/>
          <w:color w:val="auto"/>
          <w:highlight w:val="none"/>
        </w:rPr>
        <w:t>；</w:t>
      </w:r>
    </w:p>
    <w:p w14:paraId="6271CC48">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（2）采购</w:t>
      </w:r>
      <w:r>
        <w:rPr>
          <w:rFonts w:ascii="宋体" w:hAnsi="宋体" w:cs="宋体"/>
          <w:color w:val="auto"/>
          <w:highlight w:val="none"/>
        </w:rPr>
        <w:t>代理收费按差额定率累进法计算。</w:t>
      </w:r>
    </w:p>
    <w:p w14:paraId="24E053B9">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3</w:t>
      </w:r>
      <w:r>
        <w:rPr>
          <w:rFonts w:ascii="黑体" w:hAnsi="黑体" w:eastAsia="黑体" w:cs="宋体"/>
          <w:b/>
          <w:bCs/>
          <w:color w:val="auto"/>
          <w:sz w:val="24"/>
          <w:highlight w:val="none"/>
        </w:rPr>
        <w:t>3.需要补充的其他内容</w:t>
      </w:r>
    </w:p>
    <w:p w14:paraId="05F72660">
      <w:pPr>
        <w:spacing w:line="360" w:lineRule="auto"/>
        <w:ind w:firstLine="420" w:firstLineChars="200"/>
        <w:textAlignment w:val="center"/>
        <w:rPr>
          <w:rFonts w:hint="eastAsia"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3.1</w:t>
      </w:r>
      <w:r>
        <w:rPr>
          <w:rFonts w:hint="eastAsia" w:ascii="宋体" w:hAnsi="宋体" w:cs="宋体"/>
          <w:color w:val="auto"/>
          <w:szCs w:val="21"/>
          <w:highlight w:val="none"/>
        </w:rPr>
        <w:t>本磋商文件解释规则详见“供应商须知前附表”。</w:t>
      </w:r>
    </w:p>
    <w:p w14:paraId="09159048">
      <w:pPr>
        <w:spacing w:line="360" w:lineRule="auto"/>
        <w:ind w:firstLine="420" w:firstLineChars="200"/>
        <w:textAlignment w:val="center"/>
        <w:rPr>
          <w:rFonts w:hint="eastAsia" w:ascii="宋体" w:hAnsi="宋体" w:cs="宋体"/>
          <w:color w:val="auto"/>
          <w:szCs w:val="21"/>
          <w:highlight w:val="none"/>
        </w:rPr>
      </w:pPr>
      <w:r>
        <w:rPr>
          <w:rFonts w:ascii="宋体" w:hAnsi="宋体" w:cs="宋体"/>
          <w:color w:val="auto"/>
          <w:szCs w:val="21"/>
          <w:highlight w:val="none"/>
        </w:rPr>
        <w:t>33.2</w:t>
      </w:r>
      <w:r>
        <w:rPr>
          <w:rFonts w:hint="eastAsia" w:ascii="宋体" w:hAnsi="宋体" w:cs="宋体"/>
          <w:color w:val="auto"/>
          <w:szCs w:val="21"/>
          <w:highlight w:val="none"/>
        </w:rPr>
        <w:t xml:space="preserve"> 其他事项详见“供应商须知前附表”。</w:t>
      </w:r>
    </w:p>
    <w:p w14:paraId="143650B3">
      <w:pPr>
        <w:spacing w:line="360" w:lineRule="auto"/>
        <w:ind w:firstLine="420" w:firstLineChars="200"/>
        <w:textAlignment w:val="center"/>
        <w:rPr>
          <w:rFonts w:hint="eastAsia"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3.3</w:t>
      </w:r>
      <w:r>
        <w:rPr>
          <w:rFonts w:hint="eastAsia" w:ascii="宋体" w:hAnsi="宋体" w:cs="宋体"/>
          <w:color w:val="auto"/>
          <w:szCs w:val="21"/>
          <w:highlight w:val="none"/>
        </w:rPr>
        <w:t>本磋商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磋商文件规定的中小企业扶持政策：</w:t>
      </w:r>
    </w:p>
    <w:p w14:paraId="0AE40C59">
      <w:pPr>
        <w:spacing w:line="360" w:lineRule="auto"/>
        <w:ind w:firstLine="420" w:firstLineChars="200"/>
        <w:contextualSpacing/>
        <w:rPr>
          <w:rFonts w:hint="eastAsia" w:ascii="宋体" w:hAnsi="宋体"/>
          <w:color w:val="auto"/>
          <w:kern w:val="0"/>
          <w:szCs w:val="21"/>
          <w:highlight w:val="none"/>
        </w:rPr>
      </w:pPr>
      <w:r>
        <w:rPr>
          <w:rFonts w:hint="eastAsia" w:ascii="宋体" w:hAnsi="宋体"/>
          <w:color w:val="auto"/>
          <w:kern w:val="0"/>
          <w:szCs w:val="21"/>
          <w:highlight w:val="none"/>
        </w:rPr>
        <w:t>（1）在货物采购项目中，货物由中小企业制造，即货物由中小企业生产且使用该中小企业商号或者注册商标，不对其中涉及的工程承建商和服务的承接商作出要求；</w:t>
      </w:r>
    </w:p>
    <w:p w14:paraId="45CD8CD3">
      <w:pPr>
        <w:spacing w:line="360" w:lineRule="auto"/>
        <w:ind w:firstLine="420" w:firstLineChars="200"/>
        <w:contextualSpacing/>
        <w:rPr>
          <w:rFonts w:hint="eastAsia" w:ascii="宋体" w:hAnsi="宋体"/>
          <w:color w:val="auto"/>
          <w:kern w:val="0"/>
          <w:szCs w:val="21"/>
          <w:highlight w:val="none"/>
        </w:rPr>
      </w:pPr>
      <w:r>
        <w:rPr>
          <w:rFonts w:hint="eastAsia" w:ascii="宋体" w:hAnsi="宋体"/>
          <w:color w:val="auto"/>
          <w:kern w:val="0"/>
          <w:szCs w:val="21"/>
          <w:highlight w:val="none"/>
        </w:rPr>
        <w:t>（2）在工程采购项目中，工程由中小企业承建，即工程施工单位为中小企业，不对其中涉及的货物的制造商和服务的承接商作出要求；</w:t>
      </w:r>
    </w:p>
    <w:p w14:paraId="59E41F06">
      <w:pPr>
        <w:spacing w:line="360" w:lineRule="auto"/>
        <w:ind w:firstLine="420" w:firstLineChars="200"/>
        <w:contextualSpacing/>
        <w:rPr>
          <w:rFonts w:hint="eastAsia" w:ascii="宋体" w:hAnsi="宋体"/>
          <w:color w:val="auto"/>
          <w:kern w:val="0"/>
          <w:szCs w:val="21"/>
          <w:highlight w:val="none"/>
        </w:rPr>
      </w:pPr>
      <w:r>
        <w:rPr>
          <w:rFonts w:hint="eastAsia" w:ascii="宋体" w:hAnsi="宋体"/>
          <w:color w:val="auto"/>
          <w:kern w:val="0"/>
          <w:szCs w:val="21"/>
          <w:highlight w:val="none"/>
        </w:rPr>
        <w:t>（3）在服务采购项目中，服务由中小企业承接，即提供服务的人员为中小企业依照《中华人民共和国劳动合同法》订立劳动合同的从业人员，不对其中涉及的货物的制造商和工程承建商作出要求。</w:t>
      </w:r>
    </w:p>
    <w:p w14:paraId="75270D3E">
      <w:pPr>
        <w:spacing w:line="360" w:lineRule="auto"/>
        <w:ind w:firstLine="420" w:firstLineChars="200"/>
        <w:textAlignment w:val="center"/>
        <w:rPr>
          <w:rFonts w:hint="eastAsia" w:ascii="宋体" w:hAnsi="宋体" w:cs="宋体"/>
          <w:color w:val="auto"/>
          <w:szCs w:val="21"/>
          <w:highlight w:val="none"/>
        </w:rPr>
      </w:pPr>
      <w:r>
        <w:rPr>
          <w:rFonts w:hint="eastAsia" w:ascii="宋体" w:hAnsi="宋体" w:cs="宋体"/>
          <w:color w:val="auto"/>
          <w:szCs w:val="21"/>
          <w:highlight w:val="none"/>
        </w:rPr>
        <w:t>在货物采购项目中，供应商提供的货物既有中小企业制造货物，也有大型企业制造货物的，不享受本磋商文件规定的中小企业扶持政策。以联合体形式参加政府采购活动，联合体各方均为中小企业的，联合体视同中小企业。其中，联合体各方均为小微企业的，联合体视同小微企业。</w:t>
      </w:r>
    </w:p>
    <w:p w14:paraId="4D9ED66E">
      <w:pPr>
        <w:spacing w:line="360" w:lineRule="auto"/>
        <w:ind w:firstLine="420" w:firstLineChars="200"/>
        <w:textAlignment w:val="center"/>
        <w:rPr>
          <w:rFonts w:hint="eastAsia" w:ascii="宋体" w:hAnsi="宋体" w:cs="宋体"/>
          <w:color w:val="auto"/>
          <w:szCs w:val="21"/>
          <w:highlight w:val="none"/>
        </w:rPr>
      </w:pPr>
      <w:r>
        <w:rPr>
          <w:rFonts w:hint="eastAsia" w:ascii="宋体" w:hAnsi="宋体" w:cs="宋体"/>
          <w:color w:val="auto"/>
          <w:szCs w:val="21"/>
          <w:highlight w:val="none"/>
        </w:rPr>
        <w:t>依据本磋商文件规定享受扶持政策获得政府采购合同的，小微企业不得将合同分包给大中型企业，中型企业不得将合同分包给大型企业。</w:t>
      </w:r>
    </w:p>
    <w:p w14:paraId="2C9D67E5">
      <w:pPr>
        <w:spacing w:line="360" w:lineRule="auto"/>
        <w:ind w:firstLine="420" w:firstLineChars="200"/>
        <w:textAlignment w:val="center"/>
        <w:rPr>
          <w:rFonts w:hint="eastAsia" w:ascii="宋体" w:hAnsi="宋体" w:cs="宋体"/>
          <w:color w:val="auto"/>
          <w:szCs w:val="21"/>
          <w:highlight w:val="none"/>
        </w:rPr>
      </w:pPr>
    </w:p>
    <w:p w14:paraId="5EDD10CC">
      <w:pPr>
        <w:spacing w:line="360" w:lineRule="auto"/>
        <w:ind w:firstLine="420" w:firstLineChars="200"/>
        <w:textAlignment w:val="center"/>
        <w:rPr>
          <w:rFonts w:hint="eastAsia" w:ascii="宋体" w:hAnsi="宋体" w:cs="宋体"/>
          <w:color w:val="auto"/>
          <w:szCs w:val="21"/>
          <w:highlight w:val="none"/>
        </w:rPr>
      </w:pPr>
    </w:p>
    <w:p w14:paraId="51466D7C">
      <w:pPr>
        <w:spacing w:line="360" w:lineRule="auto"/>
        <w:ind w:firstLine="420" w:firstLineChars="200"/>
        <w:textAlignment w:val="center"/>
        <w:rPr>
          <w:rFonts w:hint="eastAsia" w:ascii="宋体" w:hAnsi="宋体" w:cs="宋体"/>
          <w:color w:val="auto"/>
          <w:szCs w:val="21"/>
          <w:highlight w:val="none"/>
        </w:rPr>
      </w:pPr>
    </w:p>
    <w:p w14:paraId="1201E88A">
      <w:pPr>
        <w:spacing w:line="360" w:lineRule="auto"/>
        <w:ind w:firstLine="420" w:firstLineChars="200"/>
        <w:textAlignment w:val="center"/>
        <w:rPr>
          <w:rFonts w:hint="eastAsia" w:ascii="宋体" w:hAnsi="宋体" w:cs="宋体"/>
          <w:color w:val="auto"/>
          <w:szCs w:val="21"/>
          <w:highlight w:val="none"/>
        </w:rPr>
      </w:pPr>
    </w:p>
    <w:p w14:paraId="0A692A4B">
      <w:pPr>
        <w:spacing w:line="360" w:lineRule="auto"/>
        <w:ind w:firstLine="420" w:firstLineChars="200"/>
        <w:textAlignment w:val="center"/>
        <w:rPr>
          <w:rFonts w:hint="eastAsia" w:ascii="宋体" w:hAnsi="宋体" w:cs="宋体"/>
          <w:color w:val="auto"/>
          <w:szCs w:val="21"/>
          <w:highlight w:val="none"/>
        </w:rPr>
      </w:pPr>
    </w:p>
    <w:p w14:paraId="22435AB8">
      <w:pPr>
        <w:spacing w:line="360" w:lineRule="auto"/>
        <w:ind w:firstLine="420" w:firstLineChars="200"/>
        <w:textAlignment w:val="center"/>
        <w:rPr>
          <w:rFonts w:hint="eastAsia" w:ascii="宋体" w:hAnsi="宋体" w:cs="宋体"/>
          <w:color w:val="auto"/>
          <w:szCs w:val="21"/>
          <w:highlight w:val="none"/>
        </w:rPr>
      </w:pPr>
    </w:p>
    <w:p w14:paraId="7B23B2F9">
      <w:pPr>
        <w:spacing w:line="360" w:lineRule="auto"/>
        <w:ind w:firstLine="643" w:firstLineChars="200"/>
        <w:textAlignment w:val="center"/>
        <w:rPr>
          <w:rFonts w:hint="eastAsia" w:ascii="宋体" w:hAnsi="宋体"/>
          <w:b/>
          <w:color w:val="auto"/>
          <w:kern w:val="0"/>
          <w:sz w:val="32"/>
          <w:szCs w:val="32"/>
          <w:highlight w:val="none"/>
        </w:rPr>
      </w:pPr>
    </w:p>
    <w:p w14:paraId="76F84347">
      <w:pPr>
        <w:pStyle w:val="3"/>
        <w:spacing w:line="240" w:lineRule="auto"/>
        <w:jc w:val="center"/>
        <w:rPr>
          <w:color w:val="auto"/>
          <w:highlight w:val="none"/>
        </w:rPr>
      </w:pPr>
      <w:bookmarkStart w:id="74" w:name="_Toc74323458"/>
      <w:r>
        <w:rPr>
          <w:rFonts w:hint="eastAsia"/>
          <w:color w:val="auto"/>
          <w:highlight w:val="none"/>
        </w:rPr>
        <w:t>第三章 采购需求</w:t>
      </w:r>
      <w:bookmarkEnd w:id="74"/>
    </w:p>
    <w:p w14:paraId="1C654DA6">
      <w:pPr>
        <w:jc w:val="center"/>
        <w:rPr>
          <w:rFonts w:hint="eastAsia" w:ascii="宋体" w:hAnsi="宋体"/>
          <w:b/>
          <w:color w:val="auto"/>
          <w:sz w:val="32"/>
          <w:szCs w:val="32"/>
          <w:highlight w:val="none"/>
        </w:rPr>
      </w:pPr>
      <w:r>
        <w:rPr>
          <w:rFonts w:hint="eastAsia" w:ascii="宋体" w:hAnsi="宋体"/>
          <w:b/>
          <w:color w:val="auto"/>
          <w:sz w:val="32"/>
          <w:szCs w:val="32"/>
          <w:highlight w:val="none"/>
        </w:rPr>
        <w:t>采购项目技术规格、参数及要求</w:t>
      </w:r>
    </w:p>
    <w:p w14:paraId="76A3BA7A">
      <w:pPr>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说明：</w:t>
      </w:r>
    </w:p>
    <w:p w14:paraId="278E1364">
      <w:pPr>
        <w:spacing w:line="400" w:lineRule="exact"/>
        <w:ind w:firstLine="420" w:firstLineChars="200"/>
        <w:jc w:val="left"/>
        <w:rPr>
          <w:rFonts w:hint="eastAsia" w:ascii="宋体" w:hAnsi="宋体" w:cs="宋体"/>
          <w:color w:val="auto"/>
          <w:szCs w:val="21"/>
          <w:highlight w:val="none"/>
        </w:rPr>
      </w:pPr>
      <w:r>
        <w:rPr>
          <w:rFonts w:hint="eastAsia" w:ascii="宋体" w:hAnsi="宋体"/>
          <w:color w:val="auto"/>
          <w:highlight w:val="none"/>
        </w:rPr>
        <w:t>1.</w:t>
      </w:r>
      <w:r>
        <w:rPr>
          <w:rFonts w:hint="eastAsia"/>
          <w:color w:val="auto"/>
          <w:highlight w:val="none"/>
        </w:rPr>
        <w:t>为落实政府采购政策需满足的要求</w:t>
      </w:r>
    </w:p>
    <w:p w14:paraId="5882D0C4">
      <w:pPr>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（1）本竞争性磋商采购文件所称中小企业必须符合《政府采购促进中小企业发展管理办法》（财库〔2020〕46号）的规定。</w:t>
      </w:r>
    </w:p>
    <w:p w14:paraId="617488E6">
      <w:pPr>
        <w:spacing w:line="400" w:lineRule="exact"/>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2.“实质性要求”是指采购需求中带“▲”的条款或者不能负偏离的条款或者已经指明不满足按响应文件按无效处理的条款。</w:t>
      </w:r>
    </w:p>
    <w:p w14:paraId="7EC4BCEB">
      <w:pPr>
        <w:spacing w:line="400" w:lineRule="exact"/>
        <w:ind w:firstLine="424" w:firstLineChars="202"/>
        <w:jc w:val="left"/>
        <w:rPr>
          <w:color w:val="auto"/>
          <w:highlight w:val="none"/>
        </w:rPr>
      </w:pPr>
      <w:r>
        <w:rPr>
          <w:rFonts w:ascii="宋体" w:hAnsi="宋体" w:cs="宋体"/>
          <w:color w:val="auto"/>
          <w:szCs w:val="21"/>
          <w:highlight w:val="none"/>
        </w:rPr>
        <w:t>3</w:t>
      </w:r>
      <w:r>
        <w:rPr>
          <w:rFonts w:hint="eastAsia" w:ascii="宋体" w:hAnsi="宋体" w:cs="宋体"/>
          <w:color w:val="auto"/>
          <w:szCs w:val="21"/>
          <w:highlight w:val="none"/>
        </w:rPr>
        <w:t>.</w:t>
      </w:r>
      <w:r>
        <w:rPr>
          <w:rFonts w:hint="eastAsia"/>
          <w:color w:val="auto"/>
          <w:highlight w:val="none"/>
        </w:rPr>
        <w:t>供应商必须自行为其竞标产品侵犯他人的知识产权或者专利成果的行为承担相应法律责任。</w:t>
      </w:r>
    </w:p>
    <w:p w14:paraId="38F7551D">
      <w:pPr>
        <w:spacing w:line="400" w:lineRule="exact"/>
        <w:ind w:firstLine="424" w:firstLineChars="202"/>
        <w:jc w:val="left"/>
        <w:rPr>
          <w:color w:val="auto"/>
          <w:highlight w:val="none"/>
        </w:rPr>
      </w:pPr>
      <w:r>
        <w:rPr>
          <w:rFonts w:hint="eastAsia"/>
          <w:color w:val="auto"/>
          <w:highlight w:val="none"/>
        </w:rPr>
        <w:t>4.</w:t>
      </w:r>
      <w:r>
        <w:rPr>
          <w:rFonts w:hint="eastAsia" w:ascii="宋体" w:hAnsi="宋体"/>
          <w:color w:val="auto"/>
          <w:szCs w:val="21"/>
          <w:highlight w:val="none"/>
        </w:rPr>
        <w:t>本项目为服务类采购，无核心产品要求。</w:t>
      </w:r>
    </w:p>
    <w:p w14:paraId="3F065628">
      <w:pPr>
        <w:spacing w:line="400" w:lineRule="exact"/>
        <w:ind w:firstLine="424" w:firstLineChars="202"/>
        <w:jc w:val="left"/>
        <w:rPr>
          <w:rFonts w:hint="eastAsia" w:ascii="宋体" w:hAnsi="宋体"/>
          <w:color w:val="auto"/>
          <w:szCs w:val="21"/>
          <w:highlight w:val="none"/>
          <w:u w:val="single"/>
        </w:rPr>
      </w:pPr>
      <w:r>
        <w:rPr>
          <w:color w:val="auto"/>
          <w:highlight w:val="none"/>
        </w:rPr>
        <w:t>5.</w:t>
      </w:r>
      <w:r>
        <w:rPr>
          <w:rFonts w:hint="eastAsia"/>
          <w:color w:val="auto"/>
          <w:highlight w:val="none"/>
        </w:rPr>
        <w:t>本项目整体所属行业：</w:t>
      </w:r>
      <w:r>
        <w:rPr>
          <w:rFonts w:hint="eastAsia"/>
          <w:b/>
          <w:color w:val="auto"/>
          <w:sz w:val="21"/>
          <w:szCs w:val="21"/>
          <w:highlight w:val="none"/>
          <w:u w:val="single"/>
        </w:rPr>
        <w:t>软件和信息技术服务业</w:t>
      </w:r>
    </w:p>
    <w:tbl>
      <w:tblPr>
        <w:tblStyle w:val="20"/>
        <w:tblpPr w:leftFromText="180" w:rightFromText="180" w:vertAnchor="text" w:horzAnchor="page" w:tblpX="1004" w:tblpY="39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1076"/>
        <w:gridCol w:w="560"/>
        <w:gridCol w:w="648"/>
        <w:gridCol w:w="6610"/>
      </w:tblGrid>
      <w:tr w14:paraId="0E533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318" w:type="dxa"/>
            <w:gridSpan w:val="5"/>
            <w:tcBorders>
              <w:top w:val="single" w:color="auto" w:sz="4" w:space="0"/>
              <w:left w:val="single" w:color="auto" w:sz="4" w:space="0"/>
              <w:bottom w:val="single" w:color="auto" w:sz="4" w:space="0"/>
              <w:right w:val="single" w:color="auto" w:sz="4" w:space="0"/>
            </w:tcBorders>
            <w:noWrap/>
            <w:vAlign w:val="center"/>
          </w:tcPr>
          <w:p w14:paraId="6BC51D7C">
            <w:pPr>
              <w:spacing w:line="360" w:lineRule="auto"/>
              <w:ind w:firstLine="422" w:firstLineChars="200"/>
              <w:jc w:val="left"/>
              <w:rPr>
                <w:rFonts w:hint="eastAsia" w:ascii="宋体" w:hAnsi="宋体" w:cs="宋体"/>
                <w:color w:val="auto"/>
                <w:szCs w:val="21"/>
                <w:highlight w:val="none"/>
              </w:rPr>
            </w:pPr>
            <w:r>
              <w:rPr>
                <w:rFonts w:hint="eastAsia" w:ascii="宋体" w:hAnsi="宋体" w:cs="宋体"/>
                <w:b/>
                <w:color w:val="auto"/>
                <w:szCs w:val="21"/>
                <w:highlight w:val="none"/>
              </w:rPr>
              <w:t>一、项目要求及技术需求</w:t>
            </w:r>
          </w:p>
        </w:tc>
      </w:tr>
      <w:tr w14:paraId="33D81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trPr>
        <w:tc>
          <w:tcPr>
            <w:tcW w:w="426" w:type="dxa"/>
            <w:tcBorders>
              <w:top w:val="single" w:color="auto" w:sz="4" w:space="0"/>
              <w:left w:val="single" w:color="auto" w:sz="4" w:space="0"/>
              <w:bottom w:val="single" w:color="auto" w:sz="4" w:space="0"/>
              <w:right w:val="single" w:color="auto" w:sz="4" w:space="0"/>
            </w:tcBorders>
            <w:noWrap/>
            <w:vAlign w:val="center"/>
          </w:tcPr>
          <w:p w14:paraId="2BCCA53B">
            <w:pPr>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序号</w:t>
            </w:r>
          </w:p>
        </w:tc>
        <w:tc>
          <w:tcPr>
            <w:tcW w:w="1076" w:type="dxa"/>
            <w:tcBorders>
              <w:top w:val="single" w:color="auto" w:sz="4" w:space="0"/>
              <w:left w:val="single" w:color="auto" w:sz="4" w:space="0"/>
              <w:bottom w:val="single" w:color="auto" w:sz="4" w:space="0"/>
              <w:right w:val="single" w:color="auto" w:sz="4" w:space="0"/>
            </w:tcBorders>
            <w:noWrap/>
            <w:vAlign w:val="center"/>
          </w:tcPr>
          <w:p w14:paraId="62410EB4">
            <w:pPr>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服务名称</w:t>
            </w:r>
          </w:p>
        </w:tc>
        <w:tc>
          <w:tcPr>
            <w:tcW w:w="560" w:type="dxa"/>
            <w:tcBorders>
              <w:top w:val="single" w:color="auto" w:sz="4" w:space="0"/>
              <w:left w:val="single" w:color="auto" w:sz="4" w:space="0"/>
              <w:bottom w:val="single" w:color="auto" w:sz="4" w:space="0"/>
              <w:right w:val="single" w:color="auto" w:sz="4" w:space="0"/>
            </w:tcBorders>
            <w:noWrap/>
            <w:vAlign w:val="center"/>
          </w:tcPr>
          <w:p w14:paraId="2FC37377">
            <w:pPr>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数量</w:t>
            </w:r>
          </w:p>
        </w:tc>
        <w:tc>
          <w:tcPr>
            <w:tcW w:w="648" w:type="dxa"/>
            <w:tcBorders>
              <w:top w:val="single" w:color="auto" w:sz="4" w:space="0"/>
              <w:left w:val="single" w:color="auto" w:sz="4" w:space="0"/>
              <w:bottom w:val="single" w:color="auto" w:sz="4" w:space="0"/>
              <w:right w:val="single" w:color="auto" w:sz="4" w:space="0"/>
            </w:tcBorders>
            <w:noWrap/>
            <w:vAlign w:val="center"/>
          </w:tcPr>
          <w:p w14:paraId="408E2B45">
            <w:pPr>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计量单位</w:t>
            </w:r>
          </w:p>
        </w:tc>
        <w:tc>
          <w:tcPr>
            <w:tcW w:w="6608" w:type="dxa"/>
            <w:tcBorders>
              <w:top w:val="single" w:color="auto" w:sz="4" w:space="0"/>
              <w:left w:val="single" w:color="auto" w:sz="4" w:space="0"/>
              <w:bottom w:val="single" w:color="auto" w:sz="4" w:space="0"/>
              <w:right w:val="single" w:color="auto" w:sz="4" w:space="0"/>
            </w:tcBorders>
            <w:noWrap/>
            <w:vAlign w:val="center"/>
          </w:tcPr>
          <w:p w14:paraId="201E3806">
            <w:pPr>
              <w:spacing w:line="360" w:lineRule="auto"/>
              <w:ind w:firstLine="422" w:firstLineChars="200"/>
              <w:jc w:val="center"/>
              <w:rPr>
                <w:rFonts w:hint="eastAsia" w:ascii="宋体" w:hAnsi="宋体" w:cs="宋体"/>
                <w:b/>
                <w:color w:val="auto"/>
                <w:szCs w:val="21"/>
                <w:highlight w:val="none"/>
              </w:rPr>
            </w:pPr>
            <w:bookmarkStart w:id="75" w:name="OLE_LINK9"/>
            <w:r>
              <w:rPr>
                <w:rFonts w:hint="eastAsia" w:ascii="宋体" w:hAnsi="宋体" w:cs="宋体"/>
                <w:b/>
                <w:color w:val="auto"/>
                <w:szCs w:val="21"/>
                <w:highlight w:val="none"/>
              </w:rPr>
              <w:t>服务范围及内容（技术需求）</w:t>
            </w:r>
            <w:bookmarkEnd w:id="75"/>
          </w:p>
        </w:tc>
      </w:tr>
      <w:tr w14:paraId="4971B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426" w:type="dxa"/>
            <w:tcBorders>
              <w:top w:val="single" w:color="auto" w:sz="4" w:space="0"/>
              <w:left w:val="single" w:color="auto" w:sz="4" w:space="0"/>
              <w:bottom w:val="single" w:color="auto" w:sz="4" w:space="0"/>
              <w:right w:val="single" w:color="auto" w:sz="4" w:space="0"/>
            </w:tcBorders>
            <w:noWrap/>
            <w:vAlign w:val="center"/>
          </w:tcPr>
          <w:p w14:paraId="14E90DAF">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1076" w:type="dxa"/>
            <w:tcBorders>
              <w:top w:val="single" w:color="auto" w:sz="4" w:space="0"/>
              <w:left w:val="single" w:color="auto" w:sz="4" w:space="0"/>
              <w:bottom w:val="single" w:color="auto" w:sz="4" w:space="0"/>
              <w:right w:val="single" w:color="auto" w:sz="4" w:space="0"/>
            </w:tcBorders>
            <w:noWrap/>
            <w:vAlign w:val="center"/>
          </w:tcPr>
          <w:p w14:paraId="2A247B3E">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广西高速公路智能化服务管理与发布平台系统</w:t>
            </w:r>
          </w:p>
          <w:p w14:paraId="2B7E717D">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升级及改造项目</w:t>
            </w:r>
          </w:p>
        </w:tc>
        <w:tc>
          <w:tcPr>
            <w:tcW w:w="560" w:type="dxa"/>
            <w:tcBorders>
              <w:top w:val="single" w:color="auto" w:sz="4" w:space="0"/>
              <w:left w:val="single" w:color="auto" w:sz="4" w:space="0"/>
              <w:bottom w:val="single" w:color="auto" w:sz="4" w:space="0"/>
              <w:right w:val="single" w:color="auto" w:sz="4" w:space="0"/>
            </w:tcBorders>
            <w:noWrap/>
            <w:vAlign w:val="center"/>
          </w:tcPr>
          <w:p w14:paraId="311EB2A5">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648" w:type="dxa"/>
            <w:tcBorders>
              <w:top w:val="single" w:color="auto" w:sz="4" w:space="0"/>
              <w:left w:val="single" w:color="auto" w:sz="4" w:space="0"/>
              <w:bottom w:val="single" w:color="auto" w:sz="4" w:space="0"/>
              <w:right w:val="single" w:color="auto" w:sz="4" w:space="0"/>
            </w:tcBorders>
            <w:noWrap/>
            <w:vAlign w:val="center"/>
          </w:tcPr>
          <w:p w14:paraId="21A0128C">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项</w:t>
            </w:r>
          </w:p>
        </w:tc>
        <w:tc>
          <w:tcPr>
            <w:tcW w:w="6608" w:type="dxa"/>
            <w:tcBorders>
              <w:top w:val="single" w:color="auto" w:sz="4" w:space="0"/>
              <w:left w:val="single" w:color="auto" w:sz="4" w:space="0"/>
              <w:bottom w:val="single" w:color="auto" w:sz="4" w:space="0"/>
              <w:right w:val="single" w:color="auto" w:sz="4" w:space="0"/>
            </w:tcBorders>
            <w:noWrap/>
            <w:vAlign w:val="center"/>
          </w:tcPr>
          <w:p w14:paraId="42D0D776">
            <w:pPr>
              <w:snapToGrid w:val="0"/>
              <w:spacing w:line="360" w:lineRule="auto"/>
              <w:jc w:val="left"/>
              <w:rPr>
                <w:rFonts w:hint="eastAsia" w:ascii="宋体" w:hAnsi="宋体" w:eastAsia="宋体" w:cs="宋体"/>
                <w:b/>
                <w:bCs/>
                <w:color w:val="auto"/>
                <w:szCs w:val="21"/>
                <w:highlight w:val="none"/>
                <w:lang w:bidi="ar"/>
              </w:rPr>
            </w:pPr>
            <w:r>
              <w:rPr>
                <w:rFonts w:hint="eastAsia" w:ascii="宋体" w:hAnsi="宋体" w:eastAsia="宋体" w:cs="宋体"/>
                <w:b/>
                <w:bCs/>
                <w:color w:val="auto"/>
                <w:szCs w:val="21"/>
                <w:highlight w:val="none"/>
                <w:lang w:bidi="ar"/>
              </w:rPr>
              <w:t>一、项目</w:t>
            </w:r>
            <w:r>
              <w:rPr>
                <w:rFonts w:hint="eastAsia" w:ascii="宋体" w:hAnsi="宋体" w:eastAsia="宋体" w:cs="宋体"/>
                <w:b/>
                <w:bCs/>
                <w:color w:val="auto"/>
                <w:szCs w:val="21"/>
                <w:highlight w:val="none"/>
                <w:lang w:eastAsia="zh-CN" w:bidi="ar"/>
              </w:rPr>
              <w:t>建设规模</w:t>
            </w:r>
          </w:p>
          <w:p w14:paraId="1B333D17">
            <w:pPr>
              <w:snapToGrid w:val="0"/>
              <w:spacing w:line="360" w:lineRule="auto"/>
              <w:ind w:firstLine="210" w:firstLineChars="100"/>
              <w:jc w:val="left"/>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1.本项目覆盖用户范围为交通运输管理部门和业务人员、高速公路收费管理的各路段运营单位、技术支持与ETC发行服务单位等。</w:t>
            </w:r>
          </w:p>
          <w:p w14:paraId="6729BA9B">
            <w:pPr>
              <w:snapToGrid w:val="0"/>
              <w:spacing w:line="360" w:lineRule="auto"/>
              <w:ind w:firstLine="210" w:firstLineChars="100"/>
              <w:jc w:val="left"/>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2.本项目涉及系统升级、应用系统改造、应用系统商密应用改造、应用支撑平台共4部分。</w:t>
            </w:r>
          </w:p>
          <w:p w14:paraId="4F6BECFB">
            <w:pPr>
              <w:snapToGrid w:val="0"/>
              <w:spacing w:line="360" w:lineRule="auto"/>
              <w:ind w:firstLine="210" w:firstLineChars="100"/>
              <w:jc w:val="left"/>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3.本项目购置1套分布式数据缓存中间件、1套服务代理中间件。</w:t>
            </w:r>
          </w:p>
          <w:p w14:paraId="36A1AB19">
            <w:pPr>
              <w:snapToGrid w:val="0"/>
              <w:spacing w:line="360" w:lineRule="auto"/>
              <w:ind w:firstLine="210" w:firstLineChars="100"/>
              <w:jc w:val="left"/>
              <w:rPr>
                <w:rFonts w:hint="eastAsia" w:ascii="宋体" w:hAnsi="宋体" w:eastAsia="宋体" w:cs="宋体"/>
                <w:color w:val="auto"/>
                <w:szCs w:val="21"/>
                <w:highlight w:val="none"/>
                <w:lang w:bidi="ar"/>
              </w:rPr>
            </w:pPr>
            <w:r>
              <w:rPr>
                <w:rFonts w:hint="eastAsia" w:ascii="宋体" w:hAnsi="宋体" w:cs="宋体"/>
                <w:color w:val="auto"/>
                <w:szCs w:val="21"/>
                <w:highlight w:val="none"/>
                <w:lang w:val="en-US" w:eastAsia="zh-CN" w:bidi="ar"/>
              </w:rPr>
              <w:t>4</w:t>
            </w:r>
            <w:r>
              <w:rPr>
                <w:rFonts w:hint="eastAsia" w:ascii="宋体" w:hAnsi="宋体" w:eastAsia="宋体" w:cs="宋体"/>
                <w:color w:val="auto"/>
                <w:szCs w:val="21"/>
                <w:highlight w:val="none"/>
                <w:lang w:bidi="ar"/>
              </w:rPr>
              <w:t>.本项目系统按原系统的定级不变，均按照二级等保和二级商用密码开展防护设计。</w:t>
            </w:r>
          </w:p>
          <w:p w14:paraId="652E7BE6">
            <w:pPr>
              <w:snapToGrid w:val="0"/>
              <w:spacing w:line="360" w:lineRule="auto"/>
              <w:jc w:val="left"/>
              <w:rPr>
                <w:rFonts w:hint="eastAsia" w:ascii="宋体" w:hAnsi="宋体" w:eastAsia="宋体" w:cs="宋体"/>
                <w:b/>
                <w:bCs/>
                <w:color w:val="auto"/>
                <w:szCs w:val="21"/>
                <w:highlight w:val="none"/>
                <w:lang w:bidi="ar"/>
              </w:rPr>
            </w:pPr>
            <w:r>
              <w:rPr>
                <w:rFonts w:hint="eastAsia" w:ascii="宋体" w:hAnsi="宋体" w:eastAsia="宋体" w:cs="宋体"/>
                <w:b/>
                <w:bCs/>
                <w:color w:val="auto"/>
                <w:szCs w:val="21"/>
                <w:highlight w:val="none"/>
                <w:lang w:bidi="ar"/>
              </w:rPr>
              <w:t>二、</w:t>
            </w:r>
            <w:r>
              <w:rPr>
                <w:rFonts w:hint="eastAsia" w:ascii="宋体" w:hAnsi="宋体" w:eastAsia="宋体" w:cs="宋体"/>
                <w:b/>
                <w:bCs/>
                <w:color w:val="auto"/>
                <w:szCs w:val="21"/>
                <w:highlight w:val="none"/>
                <w:lang w:eastAsia="zh-CN" w:bidi="ar"/>
              </w:rPr>
              <w:t>建设周期</w:t>
            </w:r>
          </w:p>
          <w:p w14:paraId="5FA322B3">
            <w:pPr>
              <w:spacing w:line="360" w:lineRule="auto"/>
              <w:ind w:firstLine="210" w:firstLineChars="100"/>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本项目建设期</w:t>
            </w:r>
            <w:bookmarkStart w:id="76" w:name="_Hlk212709046"/>
            <w:r>
              <w:rPr>
                <w:rFonts w:hint="eastAsia"/>
                <w:lang w:eastAsia="zh-CN"/>
              </w:rPr>
              <w:t>：</w:t>
            </w:r>
            <w:r>
              <w:rPr>
                <w:rFonts w:hint="eastAsia"/>
                <w:lang w:val="en-US" w:eastAsia="zh-CN"/>
              </w:rPr>
              <w:t>18个月</w:t>
            </w:r>
            <w:r>
              <w:rPr>
                <w:rFonts w:hint="eastAsia" w:ascii="宋体" w:hAnsi="宋体" w:eastAsia="宋体" w:cs="宋体"/>
                <w:color w:val="auto"/>
                <w:szCs w:val="21"/>
                <w:highlight w:val="none"/>
                <w:lang w:bidi="ar"/>
              </w:rPr>
              <w:t>。</w:t>
            </w:r>
            <w:bookmarkEnd w:id="76"/>
          </w:p>
          <w:p w14:paraId="221307D1">
            <w:pPr>
              <w:spacing w:line="360" w:lineRule="auto"/>
              <w:ind w:firstLine="210" w:firstLineChars="100"/>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项目实施阶段为</w:t>
            </w:r>
            <w:r>
              <w:rPr>
                <w:rFonts w:hint="eastAsia" w:ascii="宋体" w:hAnsi="宋体" w:cs="宋体"/>
                <w:color w:val="auto"/>
                <w:szCs w:val="21"/>
                <w:highlight w:val="none"/>
                <w:lang w:eastAsia="zh-CN" w:bidi="ar"/>
              </w:rPr>
              <w:t>自合同签订之日起</w:t>
            </w:r>
            <w:r>
              <w:rPr>
                <w:rFonts w:hint="eastAsia" w:ascii="宋体" w:hAnsi="宋体" w:cs="宋体"/>
                <w:color w:val="auto"/>
                <w:szCs w:val="21"/>
                <w:highlight w:val="none"/>
                <w:lang w:val="en-US" w:eastAsia="zh-CN" w:bidi="ar"/>
              </w:rPr>
              <w:t>18个月内</w:t>
            </w:r>
            <w:r>
              <w:rPr>
                <w:rFonts w:hint="eastAsia" w:ascii="宋体" w:hAnsi="宋体" w:eastAsia="宋体" w:cs="宋体"/>
                <w:color w:val="auto"/>
                <w:szCs w:val="21"/>
                <w:highlight w:val="none"/>
                <w:lang w:bidi="ar"/>
              </w:rPr>
              <w:t>，主要工作包括招标采购；系统开发环境搭建；单项应用系统开发、软件适配改造、设备安装；数据整合、系统集成、系统调试部署；系统试运行；项目初验、项目竣工验收。</w:t>
            </w:r>
          </w:p>
          <w:p w14:paraId="6331404B">
            <w:pPr>
              <w:snapToGrid w:val="0"/>
              <w:spacing w:line="360" w:lineRule="auto"/>
              <w:jc w:val="left"/>
              <w:rPr>
                <w:rFonts w:hint="eastAsia" w:ascii="宋体" w:hAnsi="宋体" w:cs="宋体"/>
                <w:b/>
                <w:bCs/>
                <w:color w:val="auto"/>
                <w:szCs w:val="21"/>
                <w:highlight w:val="none"/>
                <w:lang w:eastAsia="zh-CN" w:bidi="ar"/>
              </w:rPr>
            </w:pPr>
            <w:r>
              <w:rPr>
                <w:rFonts w:hint="eastAsia" w:ascii="宋体" w:hAnsi="宋体" w:cs="宋体"/>
                <w:b/>
                <w:bCs/>
                <w:color w:val="auto"/>
                <w:szCs w:val="21"/>
                <w:highlight w:val="none"/>
                <w:lang w:eastAsia="zh-CN" w:bidi="ar"/>
              </w:rPr>
              <w:t>三</w:t>
            </w:r>
            <w:r>
              <w:rPr>
                <w:rFonts w:hint="eastAsia" w:ascii="宋体" w:hAnsi="宋体" w:eastAsia="宋体" w:cs="宋体"/>
                <w:b/>
                <w:bCs/>
                <w:color w:val="auto"/>
                <w:szCs w:val="21"/>
                <w:highlight w:val="none"/>
                <w:lang w:bidi="ar"/>
              </w:rPr>
              <w:t>、</w:t>
            </w:r>
            <w:r>
              <w:rPr>
                <w:rFonts w:hint="eastAsia" w:ascii="宋体" w:hAnsi="宋体" w:cs="宋体"/>
                <w:b/>
                <w:bCs/>
                <w:color w:val="auto"/>
                <w:szCs w:val="21"/>
                <w:highlight w:val="none"/>
                <w:lang w:eastAsia="zh-CN" w:bidi="ar"/>
              </w:rPr>
              <w:t>服务人员要求</w:t>
            </w:r>
          </w:p>
          <w:p w14:paraId="0535C165">
            <w:pPr>
              <w:snapToGrid w:val="0"/>
              <w:spacing w:line="360" w:lineRule="auto"/>
              <w:ind w:firstLine="420" w:firstLineChars="200"/>
              <w:jc w:val="left"/>
              <w:rPr>
                <w:rFonts w:hint="eastAsia" w:ascii="宋体" w:hAnsi="宋体" w:eastAsia="宋体" w:cs="宋体"/>
                <w:b w:val="0"/>
                <w:bCs w:val="0"/>
                <w:iCs w:val="0"/>
                <w:color w:val="auto"/>
                <w:sz w:val="21"/>
                <w:szCs w:val="21"/>
                <w:highlight w:val="none"/>
                <w:u w:val="single"/>
                <w:lang w:eastAsia="zh-CN" w:bidi="ar"/>
              </w:rPr>
            </w:pPr>
            <w:r>
              <w:rPr>
                <w:rFonts w:hint="eastAsia" w:ascii="宋体" w:hAnsi="宋体" w:cs="宋体"/>
                <w:b w:val="0"/>
                <w:bCs w:val="0"/>
                <w:color w:val="auto"/>
                <w:sz w:val="21"/>
                <w:szCs w:val="21"/>
                <w:highlight w:val="none"/>
                <w:u w:val="single"/>
                <w:lang w:val="en-US" w:eastAsia="zh-CN" w:bidi="ar"/>
              </w:rPr>
              <w:t>1.项目负责人1名，</w:t>
            </w:r>
            <w:r>
              <w:rPr>
                <w:rFonts w:hint="eastAsia" w:ascii="宋体" w:hAnsi="宋体" w:eastAsia="宋体" w:cs="宋体"/>
                <w:b w:val="0"/>
                <w:bCs w:val="0"/>
                <w:iCs w:val="0"/>
                <w:color w:val="auto"/>
                <w:sz w:val="21"/>
                <w:szCs w:val="21"/>
                <w:highlight w:val="none"/>
                <w:u w:val="single"/>
                <w:lang w:eastAsia="zh-CN" w:bidi="ar"/>
              </w:rPr>
              <w:t>须具有经人力资源和社会保障部门备案的职称评审机构颁发的计算机类</w:t>
            </w:r>
            <w:r>
              <w:rPr>
                <w:rFonts w:hint="eastAsia" w:ascii="宋体" w:hAnsi="宋体" w:cs="宋体"/>
                <w:b w:val="0"/>
                <w:bCs w:val="0"/>
                <w:iCs w:val="0"/>
                <w:color w:val="auto"/>
                <w:sz w:val="21"/>
                <w:szCs w:val="21"/>
                <w:highlight w:val="none"/>
                <w:u w:val="single"/>
                <w:lang w:eastAsia="zh-CN" w:bidi="ar"/>
              </w:rPr>
              <w:t>或</w:t>
            </w:r>
            <w:r>
              <w:rPr>
                <w:rFonts w:hint="eastAsia" w:ascii="宋体" w:hAnsi="宋体" w:eastAsia="宋体" w:cs="宋体"/>
                <w:b w:val="0"/>
                <w:bCs w:val="0"/>
                <w:iCs w:val="0"/>
                <w:color w:val="auto"/>
                <w:sz w:val="21"/>
                <w:szCs w:val="21"/>
                <w:highlight w:val="none"/>
                <w:u w:val="single"/>
                <w:lang w:eastAsia="zh-CN" w:bidi="ar"/>
              </w:rPr>
              <w:t>信息通信类相关专业中级技术职称证书，或具有人力资源和社会保障部门、工业和信息化部联合颁发（加盖双方用印）的计算机技术与软件专业技术资格（水平）考试中级资格证书。</w:t>
            </w:r>
          </w:p>
          <w:p w14:paraId="491DD066">
            <w:pPr>
              <w:pStyle w:val="19"/>
              <w:jc w:val="both"/>
              <w:rPr>
                <w:rFonts w:hint="eastAsia" w:ascii="宋体" w:hAnsi="宋体" w:cs="宋体"/>
                <w:color w:val="auto"/>
                <w:sz w:val="21"/>
                <w:szCs w:val="21"/>
                <w:highlight w:val="none"/>
                <w:lang w:bidi="ar"/>
              </w:rPr>
            </w:pPr>
            <w:r>
              <w:rPr>
                <w:rFonts w:hint="eastAsia" w:ascii="宋体" w:hAnsi="宋体" w:cs="宋体"/>
                <w:b/>
                <w:bCs/>
                <w:color w:val="auto"/>
                <w:sz w:val="21"/>
                <w:szCs w:val="21"/>
                <w:highlight w:val="none"/>
                <w:u w:val="none"/>
                <w:lang w:eastAsia="zh-CN" w:bidi="ar"/>
              </w:rPr>
              <w:t>四</w:t>
            </w:r>
            <w:r>
              <w:rPr>
                <w:rFonts w:hint="eastAsia" w:ascii="宋体" w:hAnsi="宋体" w:eastAsia="宋体" w:cs="宋体"/>
                <w:b/>
                <w:bCs/>
                <w:color w:val="auto"/>
                <w:sz w:val="21"/>
                <w:szCs w:val="21"/>
                <w:highlight w:val="none"/>
                <w:u w:val="none"/>
                <w:lang w:bidi="ar"/>
              </w:rPr>
              <w:t>、广西高速公路智能化服务管理与发布平台系统升级及改造项目</w:t>
            </w:r>
            <w:r>
              <w:rPr>
                <w:rFonts w:hint="eastAsia" w:ascii="宋体" w:hAnsi="宋体" w:eastAsia="宋体" w:cs="宋体"/>
                <w:b/>
                <w:bCs/>
                <w:color w:val="auto"/>
                <w:sz w:val="21"/>
                <w:szCs w:val="21"/>
                <w:highlight w:val="none"/>
                <w:u w:val="none"/>
                <w:lang w:val="en-US" w:eastAsia="zh-CN" w:bidi="ar"/>
              </w:rPr>
              <w:t>详细要求</w:t>
            </w:r>
            <w:r>
              <w:rPr>
                <w:rFonts w:hint="eastAsia" w:ascii="宋体" w:hAnsi="宋体" w:cs="宋体"/>
                <w:b/>
                <w:bCs/>
                <w:color w:val="auto"/>
                <w:sz w:val="21"/>
                <w:szCs w:val="21"/>
                <w:highlight w:val="none"/>
                <w:u w:val="none"/>
                <w:lang w:val="en-US" w:eastAsia="zh-CN" w:bidi="ar"/>
              </w:rPr>
              <w:t>：具体内容详见附件2</w:t>
            </w:r>
          </w:p>
          <w:p w14:paraId="38608B53">
            <w:pPr>
              <w:rPr>
                <w:color w:val="auto"/>
                <w:highlight w:val="none"/>
              </w:rPr>
            </w:pPr>
          </w:p>
        </w:tc>
      </w:tr>
      <w:tr w14:paraId="247F1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9318" w:type="dxa"/>
            <w:gridSpan w:val="5"/>
            <w:tcBorders>
              <w:top w:val="single" w:color="auto" w:sz="4" w:space="0"/>
              <w:left w:val="single" w:color="auto" w:sz="4" w:space="0"/>
              <w:bottom w:val="single" w:color="auto" w:sz="4" w:space="0"/>
              <w:right w:val="single" w:color="auto" w:sz="4" w:space="0"/>
            </w:tcBorders>
            <w:noWrap/>
            <w:vAlign w:val="center"/>
          </w:tcPr>
          <w:p w14:paraId="3781BAD7">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kern w:val="0"/>
                <w:szCs w:val="21"/>
                <w:highlight w:val="none"/>
                <w:lang w:bidi="ar"/>
              </w:rPr>
              <w:t>▲</w:t>
            </w:r>
            <w:r>
              <w:rPr>
                <w:rFonts w:hint="eastAsia" w:ascii="宋体" w:hAnsi="宋体" w:cs="宋体"/>
                <w:b/>
                <w:color w:val="auto"/>
                <w:szCs w:val="21"/>
                <w:highlight w:val="none"/>
              </w:rPr>
              <w:t>二、商务要求</w:t>
            </w:r>
          </w:p>
        </w:tc>
      </w:tr>
      <w:tr w14:paraId="7C7B1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2060" w:type="dxa"/>
            <w:gridSpan w:val="3"/>
            <w:tcBorders>
              <w:top w:val="single" w:color="auto" w:sz="4" w:space="0"/>
              <w:left w:val="single" w:color="auto" w:sz="4" w:space="0"/>
              <w:bottom w:val="single" w:color="auto" w:sz="4" w:space="0"/>
              <w:right w:val="single" w:color="auto" w:sz="4" w:space="0"/>
            </w:tcBorders>
            <w:vAlign w:val="center"/>
          </w:tcPr>
          <w:p w14:paraId="69F90493">
            <w:pPr>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合同签订期</w:t>
            </w:r>
          </w:p>
        </w:tc>
        <w:tc>
          <w:tcPr>
            <w:tcW w:w="7258" w:type="dxa"/>
            <w:gridSpan w:val="2"/>
            <w:tcBorders>
              <w:top w:val="single" w:color="auto" w:sz="4" w:space="0"/>
              <w:left w:val="single" w:color="auto" w:sz="4" w:space="0"/>
              <w:bottom w:val="single" w:color="auto" w:sz="4" w:space="0"/>
              <w:right w:val="single" w:color="auto" w:sz="4" w:space="0"/>
            </w:tcBorders>
            <w:vAlign w:val="center"/>
          </w:tcPr>
          <w:p w14:paraId="4A2DF2D9">
            <w:pPr>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自成交通知书发出之日起25日内。</w:t>
            </w:r>
          </w:p>
        </w:tc>
      </w:tr>
      <w:tr w14:paraId="7B04F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2060" w:type="dxa"/>
            <w:gridSpan w:val="3"/>
            <w:tcBorders>
              <w:top w:val="single" w:color="auto" w:sz="4" w:space="0"/>
              <w:left w:val="single" w:color="auto" w:sz="4" w:space="0"/>
              <w:bottom w:val="single" w:color="auto" w:sz="4" w:space="0"/>
              <w:right w:val="single" w:color="auto" w:sz="4" w:space="0"/>
            </w:tcBorders>
            <w:vAlign w:val="center"/>
          </w:tcPr>
          <w:p w14:paraId="72D62768">
            <w:pPr>
              <w:spacing w:line="36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eastAsia="zh-CN"/>
              </w:rPr>
              <w:t>质量保证期</w:t>
            </w:r>
          </w:p>
        </w:tc>
        <w:tc>
          <w:tcPr>
            <w:tcW w:w="7258" w:type="dxa"/>
            <w:gridSpan w:val="2"/>
            <w:tcBorders>
              <w:top w:val="single" w:color="auto" w:sz="4" w:space="0"/>
              <w:left w:val="single" w:color="auto" w:sz="4" w:space="0"/>
              <w:bottom w:val="single" w:color="auto" w:sz="4" w:space="0"/>
              <w:right w:val="single" w:color="auto" w:sz="4" w:space="0"/>
            </w:tcBorders>
            <w:vAlign w:val="center"/>
          </w:tcPr>
          <w:p w14:paraId="0695C1EA">
            <w:pPr>
              <w:spacing w:line="360" w:lineRule="auto"/>
              <w:jc w:val="left"/>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eastAsia="zh-CN"/>
              </w:rPr>
              <w:t>自项目交工验收之日起</w:t>
            </w:r>
            <w:r>
              <w:rPr>
                <w:rFonts w:hint="eastAsia" w:ascii="宋体" w:hAnsi="宋体" w:cs="宋体"/>
                <w:color w:val="auto"/>
                <w:kern w:val="0"/>
                <w:szCs w:val="21"/>
                <w:highlight w:val="none"/>
                <w:lang w:val="en-US" w:eastAsia="zh-CN"/>
              </w:rPr>
              <w:t>1年。</w:t>
            </w:r>
          </w:p>
        </w:tc>
      </w:tr>
      <w:tr w14:paraId="22550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2060" w:type="dxa"/>
            <w:gridSpan w:val="3"/>
            <w:tcBorders>
              <w:top w:val="single" w:color="auto" w:sz="4" w:space="0"/>
              <w:left w:val="single" w:color="auto" w:sz="4" w:space="0"/>
              <w:bottom w:val="single" w:color="auto" w:sz="4" w:space="0"/>
              <w:right w:val="single" w:color="auto" w:sz="4" w:space="0"/>
            </w:tcBorders>
            <w:vAlign w:val="center"/>
          </w:tcPr>
          <w:p w14:paraId="5E4774AE">
            <w:pPr>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成果交付要求</w:t>
            </w:r>
          </w:p>
        </w:tc>
        <w:tc>
          <w:tcPr>
            <w:tcW w:w="7258" w:type="dxa"/>
            <w:gridSpan w:val="2"/>
            <w:tcBorders>
              <w:top w:val="single" w:color="auto" w:sz="4" w:space="0"/>
              <w:left w:val="single" w:color="auto" w:sz="4" w:space="0"/>
              <w:bottom w:val="single" w:color="auto" w:sz="4" w:space="0"/>
              <w:right w:val="single" w:color="auto" w:sz="4" w:space="0"/>
            </w:tcBorders>
            <w:vAlign w:val="center"/>
          </w:tcPr>
          <w:p w14:paraId="2073E893">
            <w:pPr>
              <w:spacing w:line="360" w:lineRule="auto"/>
              <w:jc w:val="left"/>
              <w:rPr>
                <w:rFonts w:hint="eastAsia" w:ascii="宋体" w:hAnsi="宋体" w:cs="宋体"/>
                <w:color w:val="auto"/>
                <w:kern w:val="0"/>
                <w:szCs w:val="21"/>
                <w:highlight w:val="none"/>
              </w:rPr>
            </w:pPr>
            <w:r>
              <w:rPr>
                <w:rFonts w:hint="eastAsia" w:ascii="宋体" w:hAnsi="宋体" w:cs="宋体"/>
                <w:color w:val="auto"/>
                <w:szCs w:val="21"/>
                <w:highlight w:val="none"/>
              </w:rPr>
              <w:t>现场交付。</w:t>
            </w:r>
          </w:p>
        </w:tc>
      </w:tr>
      <w:tr w14:paraId="66C57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2060" w:type="dxa"/>
            <w:gridSpan w:val="3"/>
            <w:tcBorders>
              <w:top w:val="single" w:color="auto" w:sz="4" w:space="0"/>
              <w:left w:val="single" w:color="auto" w:sz="4" w:space="0"/>
              <w:bottom w:val="single" w:color="auto" w:sz="4" w:space="0"/>
              <w:right w:val="single" w:color="auto" w:sz="4" w:space="0"/>
            </w:tcBorders>
            <w:vAlign w:val="center"/>
          </w:tcPr>
          <w:p w14:paraId="4C3543D0">
            <w:pPr>
              <w:spacing w:line="360" w:lineRule="auto"/>
              <w:jc w:val="center"/>
              <w:rPr>
                <w:rFonts w:hint="eastAsia" w:ascii="宋体" w:hAnsi="宋体" w:cs="宋体"/>
                <w:color w:val="auto"/>
                <w:kern w:val="0"/>
                <w:szCs w:val="21"/>
                <w:highlight w:val="none"/>
              </w:rPr>
            </w:pPr>
            <w:r>
              <w:rPr>
                <w:rFonts w:hint="eastAsia" w:ascii="宋体" w:hAnsi="宋体" w:cs="宋体"/>
                <w:bCs/>
                <w:color w:val="auto"/>
                <w:szCs w:val="21"/>
                <w:highlight w:val="none"/>
              </w:rPr>
              <w:t>交付时间及地点</w:t>
            </w:r>
          </w:p>
        </w:tc>
        <w:tc>
          <w:tcPr>
            <w:tcW w:w="7258" w:type="dxa"/>
            <w:gridSpan w:val="2"/>
            <w:tcBorders>
              <w:top w:val="single" w:color="auto" w:sz="4" w:space="0"/>
              <w:left w:val="single" w:color="auto" w:sz="4" w:space="0"/>
              <w:bottom w:val="single" w:color="auto" w:sz="4" w:space="0"/>
              <w:right w:val="single" w:color="auto" w:sz="4" w:space="0"/>
            </w:tcBorders>
            <w:vAlign w:val="center"/>
          </w:tcPr>
          <w:p w14:paraId="209E4A14">
            <w:pPr>
              <w:snapToGrid w:val="0"/>
              <w:spacing w:line="360" w:lineRule="auto"/>
              <w:textAlignment w:val="baseline"/>
              <w:rPr>
                <w:rFonts w:hint="eastAsia" w:ascii="宋体" w:hAnsi="宋体" w:cs="宋体"/>
                <w:color w:val="auto"/>
                <w:szCs w:val="21"/>
                <w:highlight w:val="none"/>
              </w:rPr>
            </w:pPr>
            <w:r>
              <w:rPr>
                <w:rFonts w:hint="eastAsia" w:ascii="宋体" w:hAnsi="宋体" w:cs="宋体"/>
                <w:color w:val="auto"/>
                <w:szCs w:val="21"/>
                <w:highlight w:val="none"/>
              </w:rPr>
              <w:t>1.交付时间：</w:t>
            </w:r>
            <w:r>
              <w:rPr>
                <w:rFonts w:hint="eastAsia" w:ascii="Calibri" w:hAnsi="Calibri" w:cs="Calibri"/>
                <w:color w:val="auto"/>
                <w:szCs w:val="21"/>
                <w:highlight w:val="none"/>
                <w:lang w:eastAsia="zh-CN"/>
              </w:rPr>
              <w:t>合同签订之日起</w:t>
            </w:r>
            <w:r>
              <w:rPr>
                <w:rFonts w:hint="eastAsia" w:ascii="Calibri" w:hAnsi="Calibri" w:cs="Calibri"/>
                <w:color w:val="auto"/>
                <w:szCs w:val="21"/>
                <w:highlight w:val="none"/>
                <w:lang w:val="en-US" w:eastAsia="zh-CN"/>
              </w:rPr>
              <w:t>18个月内完成</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w:t>
            </w:r>
          </w:p>
          <w:p w14:paraId="3B580CD1">
            <w:pPr>
              <w:spacing w:line="360" w:lineRule="auto"/>
              <w:jc w:val="left"/>
              <w:rPr>
                <w:rFonts w:hint="eastAsia" w:ascii="宋体" w:hAnsi="宋体" w:cs="宋体"/>
                <w:color w:val="auto"/>
                <w:kern w:val="0"/>
                <w:szCs w:val="21"/>
                <w:highlight w:val="none"/>
              </w:rPr>
            </w:pPr>
            <w:r>
              <w:rPr>
                <w:rFonts w:hint="eastAsia" w:ascii="宋体" w:hAnsi="宋体" w:cs="宋体"/>
                <w:color w:val="auto"/>
                <w:szCs w:val="21"/>
                <w:highlight w:val="none"/>
              </w:rPr>
              <w:t>2.地点：广西南宁市采购人指定地点。</w:t>
            </w:r>
          </w:p>
        </w:tc>
      </w:tr>
      <w:tr w14:paraId="46049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2" w:hRule="atLeast"/>
        </w:trPr>
        <w:tc>
          <w:tcPr>
            <w:tcW w:w="2060" w:type="dxa"/>
            <w:gridSpan w:val="3"/>
            <w:tcBorders>
              <w:top w:val="single" w:color="auto" w:sz="4" w:space="0"/>
              <w:left w:val="single" w:color="auto" w:sz="4" w:space="0"/>
              <w:bottom w:val="single" w:color="auto" w:sz="4" w:space="0"/>
              <w:right w:val="single" w:color="auto" w:sz="4" w:space="0"/>
            </w:tcBorders>
            <w:vAlign w:val="center"/>
          </w:tcPr>
          <w:p w14:paraId="51E82EA3">
            <w:pPr>
              <w:spacing w:line="360" w:lineRule="auto"/>
              <w:jc w:val="center"/>
              <w:rPr>
                <w:rFonts w:hint="eastAsia" w:ascii="宋体" w:hAnsi="宋体" w:cs="宋体"/>
                <w:color w:val="auto"/>
                <w:kern w:val="0"/>
                <w:szCs w:val="21"/>
                <w:highlight w:val="none"/>
              </w:rPr>
            </w:pPr>
            <w:r>
              <w:rPr>
                <w:rFonts w:hint="eastAsia" w:ascii="宋体" w:hAnsi="宋体" w:cs="宋体"/>
                <w:color w:val="auto"/>
                <w:kern w:val="1"/>
                <w:szCs w:val="21"/>
                <w:highlight w:val="none"/>
              </w:rPr>
              <w:t>付款方式</w:t>
            </w:r>
          </w:p>
        </w:tc>
        <w:tc>
          <w:tcPr>
            <w:tcW w:w="7258" w:type="dxa"/>
            <w:gridSpan w:val="2"/>
            <w:tcBorders>
              <w:top w:val="single" w:color="auto" w:sz="4" w:space="0"/>
              <w:left w:val="single" w:color="auto" w:sz="4" w:space="0"/>
              <w:bottom w:val="single" w:color="auto" w:sz="4" w:space="0"/>
              <w:right w:val="single" w:color="auto" w:sz="4" w:space="0"/>
            </w:tcBorders>
            <w:vAlign w:val="center"/>
          </w:tcPr>
          <w:p w14:paraId="677F0E00">
            <w:pPr>
              <w:widowControl/>
              <w:snapToGrid w:val="0"/>
              <w:spacing w:line="400" w:lineRule="exact"/>
              <w:ind w:right="33" w:firstLine="420" w:firstLineChars="200"/>
              <w:jc w:val="left"/>
              <w:outlineLvl w:val="9"/>
              <w:rPr>
                <w:rFonts w:ascii="Times New Roman" w:hAnsi="Times New Roman"/>
                <w:color w:val="auto"/>
                <w:kern w:val="2"/>
                <w:sz w:val="21"/>
                <w:highlight w:val="none"/>
              </w:rPr>
            </w:pPr>
            <w:r>
              <w:rPr>
                <w:rFonts w:ascii="Times New Roman" w:hAnsi="Times New Roman"/>
                <w:color w:val="auto"/>
                <w:kern w:val="2"/>
                <w:sz w:val="21"/>
                <w:highlight w:val="none"/>
              </w:rPr>
              <w:t>按项目实施进度分期进行付款：</w:t>
            </w:r>
          </w:p>
          <w:p w14:paraId="64C88623">
            <w:pPr>
              <w:widowControl/>
              <w:snapToGrid w:val="0"/>
              <w:spacing w:line="400" w:lineRule="exact"/>
              <w:ind w:right="33" w:firstLine="420" w:firstLineChars="200"/>
              <w:jc w:val="left"/>
              <w:outlineLvl w:val="9"/>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签订合同后10个工作日支付成交金额20%的合同款；采购人收到并核准成交人提交详细设计方案后，于10个工作日内支付成交金额30%的合同款；采购人确认完成系统</w:t>
            </w:r>
            <w:r>
              <w:rPr>
                <w:rFonts w:hint="eastAsia" w:cs="Times New Roman"/>
                <w:color w:val="auto"/>
                <w:kern w:val="2"/>
                <w:sz w:val="21"/>
                <w:szCs w:val="21"/>
                <w:highlight w:val="none"/>
                <w:lang w:val="en-US" w:eastAsia="zh-CN" w:bidi="ar-SA"/>
              </w:rPr>
              <w:t>信创</w:t>
            </w:r>
            <w:r>
              <w:rPr>
                <w:rFonts w:hint="eastAsia" w:ascii="Times New Roman" w:hAnsi="Times New Roman" w:eastAsia="宋体" w:cs="Times New Roman"/>
                <w:color w:val="auto"/>
                <w:kern w:val="2"/>
                <w:sz w:val="21"/>
                <w:szCs w:val="21"/>
                <w:highlight w:val="none"/>
                <w:lang w:val="en-US" w:eastAsia="zh-CN" w:bidi="ar-SA"/>
              </w:rPr>
              <w:t>改造后，于10个工作日内支付成交金额 30%的合同款；项目验收合格并出具书面验收报告后，采购人于10个工作日内支付成交金额20%的合同款。</w:t>
            </w:r>
          </w:p>
          <w:p w14:paraId="260AE5E7">
            <w:pPr>
              <w:widowControl/>
              <w:snapToGrid w:val="0"/>
              <w:spacing w:line="400" w:lineRule="exact"/>
              <w:ind w:right="33" w:firstLine="420" w:firstLineChars="200"/>
              <w:jc w:val="left"/>
              <w:outlineLvl w:val="9"/>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年度支付金额不超过年度采购预算金额，当年预算金额不足以支付的，在次年预算金额中支付。</w:t>
            </w:r>
          </w:p>
          <w:p w14:paraId="3F70E18A">
            <w:pPr>
              <w:widowControl/>
              <w:snapToGrid w:val="0"/>
              <w:spacing w:line="400" w:lineRule="exact"/>
              <w:ind w:right="33" w:firstLine="420" w:firstLineChars="200"/>
              <w:jc w:val="left"/>
              <w:outlineLvl w:val="9"/>
              <w:rPr>
                <w:rFonts w:hint="eastAsia" w:ascii="宋体" w:hAnsi="宋体" w:cs="宋体"/>
                <w:color w:val="auto"/>
                <w:kern w:val="0"/>
                <w:szCs w:val="21"/>
                <w:highlight w:val="none"/>
              </w:rPr>
            </w:pPr>
            <w:r>
              <w:rPr>
                <w:rFonts w:hint="eastAsia" w:ascii="Times New Roman" w:hAnsi="Times New Roman" w:eastAsia="宋体" w:cs="Times New Roman"/>
                <w:color w:val="auto"/>
                <w:kern w:val="2"/>
                <w:sz w:val="21"/>
                <w:szCs w:val="21"/>
                <w:highlight w:val="none"/>
                <w:lang w:val="en-US" w:eastAsia="zh-CN" w:bidi="ar-SA"/>
              </w:rPr>
              <w:t>每次付款前，由成交人向采购人开具等额有效的增值税普通发票。</w:t>
            </w:r>
          </w:p>
        </w:tc>
      </w:tr>
      <w:tr w14:paraId="2F00D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2060" w:type="dxa"/>
            <w:gridSpan w:val="3"/>
            <w:tcBorders>
              <w:top w:val="single" w:color="auto" w:sz="4" w:space="0"/>
              <w:left w:val="single" w:color="auto" w:sz="4" w:space="0"/>
              <w:bottom w:val="single" w:color="auto" w:sz="4" w:space="0"/>
              <w:right w:val="single" w:color="auto" w:sz="4" w:space="0"/>
            </w:tcBorders>
            <w:vAlign w:val="center"/>
          </w:tcPr>
          <w:p w14:paraId="368AFB9D">
            <w:pPr>
              <w:spacing w:line="360" w:lineRule="auto"/>
              <w:jc w:val="center"/>
              <w:textAlignment w:val="baseline"/>
              <w:rPr>
                <w:rFonts w:hint="eastAsia" w:ascii="宋体" w:hAnsi="宋体" w:cs="宋体"/>
                <w:color w:val="auto"/>
                <w:kern w:val="1"/>
                <w:szCs w:val="21"/>
                <w:highlight w:val="none"/>
              </w:rPr>
            </w:pPr>
            <w:r>
              <w:rPr>
                <w:rFonts w:hint="eastAsia" w:ascii="宋体" w:hAnsi="宋体" w:cs="宋体"/>
                <w:color w:val="auto"/>
                <w:kern w:val="1"/>
                <w:szCs w:val="21"/>
                <w:highlight w:val="none"/>
              </w:rPr>
              <w:t>磋商报价</w:t>
            </w:r>
          </w:p>
        </w:tc>
        <w:tc>
          <w:tcPr>
            <w:tcW w:w="7258" w:type="dxa"/>
            <w:gridSpan w:val="2"/>
            <w:tcBorders>
              <w:top w:val="single" w:color="auto" w:sz="4" w:space="0"/>
              <w:left w:val="single" w:color="auto" w:sz="4" w:space="0"/>
              <w:bottom w:val="single" w:color="auto" w:sz="4" w:space="0"/>
              <w:right w:val="single" w:color="auto" w:sz="4" w:space="0"/>
            </w:tcBorders>
          </w:tcPr>
          <w:p w14:paraId="37ED8A5F">
            <w:pPr>
              <w:spacing w:line="360" w:lineRule="auto"/>
              <w:ind w:firstLine="420" w:firstLineChars="200"/>
              <w:textAlignment w:val="baseline"/>
              <w:rPr>
                <w:rFonts w:hint="eastAsia" w:ascii="宋体" w:hAnsi="宋体" w:cs="宋体"/>
                <w:color w:val="auto"/>
                <w:szCs w:val="21"/>
                <w:highlight w:val="none"/>
              </w:rPr>
            </w:pPr>
            <w:r>
              <w:rPr>
                <w:rFonts w:hint="eastAsia" w:ascii="宋体" w:hAnsi="宋体" w:cs="宋体"/>
                <w:color w:val="auto"/>
                <w:szCs w:val="21"/>
                <w:highlight w:val="none"/>
              </w:rPr>
              <w:t>本项目采用总价包干报价，磋商报价应当包含满足本次竞标全部采购需求所应提供的服务，以及伴随的货物和工程（如有）的价格；包括但不限于服务的内容、人工费、差旅、住宿、技术支持、售后服务、招标代理服务费、保险费和各项税金及其它所有成本费用的总和。除另有约定外，成交价不因任何因素而调整。</w:t>
            </w:r>
          </w:p>
        </w:tc>
      </w:tr>
      <w:tr w14:paraId="0C854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2060" w:type="dxa"/>
            <w:gridSpan w:val="3"/>
            <w:tcBorders>
              <w:top w:val="single" w:color="auto" w:sz="4" w:space="0"/>
              <w:left w:val="single" w:color="auto" w:sz="4" w:space="0"/>
              <w:bottom w:val="single" w:color="auto" w:sz="4" w:space="0"/>
              <w:right w:val="single" w:color="auto" w:sz="4" w:space="0"/>
            </w:tcBorders>
            <w:vAlign w:val="center"/>
          </w:tcPr>
          <w:p w14:paraId="2514AB53">
            <w:pPr>
              <w:spacing w:line="360" w:lineRule="auto"/>
              <w:jc w:val="center"/>
              <w:textAlignment w:val="baseline"/>
              <w:rPr>
                <w:rFonts w:hint="eastAsia" w:ascii="宋体" w:hAnsi="宋体" w:cs="宋体"/>
                <w:color w:val="auto"/>
                <w:kern w:val="1"/>
                <w:szCs w:val="21"/>
                <w:highlight w:val="none"/>
              </w:rPr>
            </w:pPr>
            <w:r>
              <w:rPr>
                <w:rFonts w:hint="eastAsia" w:ascii="宋体" w:hAnsi="宋体" w:cs="宋体"/>
                <w:color w:val="auto"/>
                <w:szCs w:val="21"/>
                <w:highlight w:val="none"/>
              </w:rPr>
              <w:t>知识产权</w:t>
            </w:r>
          </w:p>
        </w:tc>
        <w:tc>
          <w:tcPr>
            <w:tcW w:w="7258" w:type="dxa"/>
            <w:gridSpan w:val="2"/>
            <w:tcBorders>
              <w:top w:val="single" w:color="auto" w:sz="4" w:space="0"/>
              <w:left w:val="single" w:color="auto" w:sz="4" w:space="0"/>
              <w:bottom w:val="single" w:color="auto" w:sz="4" w:space="0"/>
              <w:right w:val="single" w:color="auto" w:sz="4" w:space="0"/>
            </w:tcBorders>
            <w:vAlign w:val="center"/>
          </w:tcPr>
          <w:p w14:paraId="491A0D1D">
            <w:pPr>
              <w:pStyle w:val="14"/>
              <w:snapToGrid w:val="0"/>
              <w:ind w:firstLine="420" w:firstLineChars="200"/>
              <w:outlineLvl w:val="0"/>
              <w:rPr>
                <w:rFonts w:hint="eastAsia" w:ascii="宋体" w:hAnsi="宋体" w:eastAsia="宋体" w:cs="宋体"/>
                <w:b w:val="0"/>
                <w:bCs/>
                <w:color w:val="auto"/>
                <w:sz w:val="21"/>
                <w:szCs w:val="21"/>
                <w:highlight w:val="none"/>
              </w:rPr>
            </w:pPr>
            <w:r>
              <w:rPr>
                <w:rFonts w:hint="eastAsia" w:ascii="宋体" w:hAnsi="宋体" w:eastAsia="宋体" w:cs="宋体"/>
                <w:b w:val="0"/>
                <w:bCs/>
                <w:color w:val="auto"/>
                <w:kern w:val="2"/>
                <w:sz w:val="21"/>
                <w:szCs w:val="21"/>
                <w:highlight w:val="none"/>
                <w:lang w:val="en-US" w:eastAsia="zh-CN" w:bidi="ar-SA"/>
              </w:rPr>
              <w:t>1、</w:t>
            </w:r>
            <w:r>
              <w:rPr>
                <w:rFonts w:hint="eastAsia" w:ascii="宋体" w:hAnsi="宋体" w:eastAsia="宋体" w:cs="宋体"/>
                <w:b w:val="0"/>
                <w:bCs/>
                <w:color w:val="auto"/>
                <w:sz w:val="21"/>
                <w:szCs w:val="21"/>
                <w:highlight w:val="none"/>
                <w:lang w:val="en-US" w:eastAsia="zh-CN"/>
              </w:rPr>
              <w:t>设计成果文件知识产权说明：</w:t>
            </w:r>
            <w:r>
              <w:rPr>
                <w:rFonts w:hint="eastAsia" w:ascii="宋体" w:hAnsi="宋体" w:eastAsia="宋体" w:cs="宋体"/>
                <w:b w:val="0"/>
                <w:bCs/>
                <w:color w:val="auto"/>
                <w:sz w:val="21"/>
                <w:szCs w:val="21"/>
                <w:highlight w:val="none"/>
              </w:rPr>
              <w:t>所有设计成果文件的知识产权均归采购人所有。采购人在中华人民共和国境内使用供应商提供的产品及服务时免受第三方提出的侵犯其专利权或其它知识产权的起诉。如果第三方提出侵权指控，</w:t>
            </w:r>
            <w:r>
              <w:rPr>
                <w:rFonts w:hint="eastAsia" w:hAnsi="宋体" w:cs="宋体"/>
                <w:b w:val="0"/>
                <w:bCs/>
                <w:color w:val="auto"/>
                <w:sz w:val="21"/>
                <w:szCs w:val="21"/>
                <w:highlight w:val="none"/>
                <w:lang w:eastAsia="zh-CN"/>
              </w:rPr>
              <w:t>成交供应商</w:t>
            </w:r>
            <w:r>
              <w:rPr>
                <w:rFonts w:hint="eastAsia" w:ascii="宋体" w:hAnsi="宋体" w:eastAsia="宋体" w:cs="宋体"/>
                <w:b w:val="0"/>
                <w:bCs/>
                <w:color w:val="auto"/>
                <w:sz w:val="21"/>
                <w:szCs w:val="21"/>
                <w:highlight w:val="none"/>
              </w:rPr>
              <w:t>应承担由此而引起的一切法律责任和费用。</w:t>
            </w:r>
          </w:p>
          <w:p w14:paraId="2CD9039C">
            <w:pPr>
              <w:pStyle w:val="14"/>
              <w:snapToGrid w:val="0"/>
              <w:spacing w:line="360" w:lineRule="exact"/>
              <w:ind w:firstLine="420" w:firstLineChars="200"/>
              <w:outlineLvl w:val="0"/>
              <w:rPr>
                <w:rFonts w:hint="eastAsia" w:ascii="宋体" w:hAnsi="宋体" w:cs="宋体"/>
                <w:color w:val="auto"/>
                <w:kern w:val="1"/>
                <w:szCs w:val="21"/>
                <w:highlight w:val="none"/>
              </w:rPr>
            </w:pPr>
            <w:r>
              <w:rPr>
                <w:rFonts w:hint="eastAsia" w:hAnsi="宋体" w:cs="宋体"/>
                <w:b w:val="0"/>
                <w:bCs/>
                <w:color w:val="auto"/>
                <w:kern w:val="2"/>
                <w:sz w:val="21"/>
                <w:szCs w:val="21"/>
                <w:highlight w:val="none"/>
                <w:lang w:val="en-US" w:eastAsia="zh-CN" w:bidi="ar-SA"/>
              </w:rPr>
              <w:t>2</w:t>
            </w:r>
            <w:r>
              <w:rPr>
                <w:rFonts w:hint="default" w:ascii="宋体" w:hAnsi="宋体" w:eastAsia="宋体" w:cs="宋体"/>
                <w:b w:val="0"/>
                <w:bCs/>
                <w:color w:val="auto"/>
                <w:kern w:val="2"/>
                <w:sz w:val="21"/>
                <w:szCs w:val="21"/>
                <w:highlight w:val="none"/>
                <w:lang w:val="en-US" w:eastAsia="zh-CN" w:bidi="ar-SA"/>
              </w:rPr>
              <w:t>、</w:t>
            </w:r>
            <w:r>
              <w:rPr>
                <w:rFonts w:hint="eastAsia" w:hAnsi="宋体" w:cs="宋体"/>
                <w:b w:val="0"/>
                <w:bCs/>
                <w:color w:val="auto"/>
                <w:sz w:val="21"/>
                <w:szCs w:val="21"/>
                <w:highlight w:val="none"/>
                <w:lang w:val="en-US" w:eastAsia="zh-CN"/>
              </w:rPr>
              <w:t>成交供应商应在本项目升级改造完成并验收后提交本项目相关源代码及相关的完整技术文档。本项目软件新增功能如产生新的知识产权，该产权属于采购人。</w:t>
            </w:r>
          </w:p>
        </w:tc>
      </w:tr>
      <w:tr w14:paraId="45332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2060" w:type="dxa"/>
            <w:gridSpan w:val="3"/>
            <w:tcBorders>
              <w:top w:val="single" w:color="auto" w:sz="4" w:space="0"/>
              <w:left w:val="single" w:color="auto" w:sz="4" w:space="0"/>
              <w:bottom w:val="single" w:color="auto" w:sz="4" w:space="0"/>
              <w:right w:val="single" w:color="auto" w:sz="4" w:space="0"/>
            </w:tcBorders>
            <w:vAlign w:val="center"/>
          </w:tcPr>
          <w:p w14:paraId="349CFDA8">
            <w:pPr>
              <w:spacing w:line="360" w:lineRule="auto"/>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验收标准</w:t>
            </w:r>
          </w:p>
        </w:tc>
        <w:tc>
          <w:tcPr>
            <w:tcW w:w="7258" w:type="dxa"/>
            <w:gridSpan w:val="2"/>
            <w:tcBorders>
              <w:top w:val="single" w:color="auto" w:sz="4" w:space="0"/>
              <w:left w:val="single" w:color="auto" w:sz="4" w:space="0"/>
              <w:bottom w:val="single" w:color="auto" w:sz="4" w:space="0"/>
              <w:right w:val="single" w:color="auto" w:sz="4" w:space="0"/>
            </w:tcBorders>
            <w:vAlign w:val="center"/>
          </w:tcPr>
          <w:p w14:paraId="52B5CC3C">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1、验收过程中所产生的一切费用均由成交供应商承担。报价时应考虑相关费用。</w:t>
            </w:r>
          </w:p>
          <w:p w14:paraId="0DF8F1DA">
            <w:pPr>
              <w:spacing w:line="360" w:lineRule="auto"/>
              <w:jc w:val="left"/>
              <w:textAlignment w:val="baseline"/>
              <w:rPr>
                <w:rFonts w:hint="eastAsia" w:ascii="宋体" w:hAnsi="宋体" w:cs="宋体"/>
                <w:color w:val="auto"/>
                <w:szCs w:val="21"/>
                <w:highlight w:val="none"/>
              </w:rPr>
            </w:pPr>
            <w:r>
              <w:rPr>
                <w:rFonts w:hint="eastAsia" w:ascii="宋体" w:hAnsi="宋体" w:cs="宋体"/>
                <w:color w:val="auto"/>
                <w:szCs w:val="21"/>
                <w:highlight w:val="none"/>
              </w:rPr>
              <w:t>2、在项目验收过程中，采购人将同时按照采购文件及成交供应商响应文件承诺的条款进行逐项验收，如项目验收不合格，由成交供应商返工直至合格，有关返工、再行验收，以及给采购单位造成的损失等费用由成交供应商承担。连续两次项目验收不合格的，或发现成交供应商在响应文件中有弄虚作假的行为，或在响应文件中有针对技术商务条款有虚假响应情况的，采购单位将不予验收，并追究成交供应商的责任，由此带来的一切损失由成交供应商自行承担。</w:t>
            </w:r>
          </w:p>
        </w:tc>
      </w:tr>
      <w:tr w14:paraId="5FD29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2060" w:type="dxa"/>
            <w:gridSpan w:val="3"/>
            <w:tcBorders>
              <w:top w:val="single" w:color="auto" w:sz="4" w:space="0"/>
              <w:left w:val="single" w:color="auto" w:sz="4" w:space="0"/>
              <w:bottom w:val="single" w:color="auto" w:sz="4" w:space="0"/>
              <w:right w:val="single" w:color="auto" w:sz="4" w:space="0"/>
            </w:tcBorders>
            <w:vAlign w:val="center"/>
          </w:tcPr>
          <w:p w14:paraId="6C2ED2A7">
            <w:pPr>
              <w:spacing w:line="360" w:lineRule="auto"/>
              <w:jc w:val="center"/>
              <w:textAlignment w:val="baseline"/>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其他要求</w:t>
            </w:r>
          </w:p>
        </w:tc>
        <w:tc>
          <w:tcPr>
            <w:tcW w:w="7258" w:type="dxa"/>
            <w:gridSpan w:val="2"/>
            <w:tcBorders>
              <w:top w:val="single" w:color="auto" w:sz="4" w:space="0"/>
              <w:left w:val="single" w:color="auto" w:sz="4" w:space="0"/>
              <w:bottom w:val="single" w:color="auto" w:sz="4" w:space="0"/>
              <w:right w:val="single" w:color="auto" w:sz="4" w:space="0"/>
            </w:tcBorders>
            <w:vAlign w:val="center"/>
          </w:tcPr>
          <w:p w14:paraId="19D48FE0">
            <w:pPr>
              <w:keepNext w:val="0"/>
              <w:keepLines w:val="0"/>
              <w:widowControl/>
              <w:suppressLineNumbers w:val="0"/>
              <w:spacing w:before="0" w:beforeAutospacing="0" w:after="0" w:afterAutospacing="0" w:line="360" w:lineRule="exact"/>
              <w:ind w:left="0" w:right="0" w:firstLine="420" w:firstLineChars="200"/>
              <w:jc w:val="left"/>
              <w:rPr>
                <w:rFonts w:hint="default" w:ascii="宋体" w:hAnsi="宋体" w:eastAsia="宋体" w:cs="宋体"/>
                <w:b w:val="0"/>
                <w:bCs/>
                <w:color w:val="auto"/>
                <w:sz w:val="21"/>
                <w:szCs w:val="21"/>
                <w:highlight w:val="none"/>
                <w:lang w:val="en-US" w:eastAsia="zh-CN"/>
              </w:rPr>
            </w:pPr>
            <w:r>
              <w:rPr>
                <w:rFonts w:hint="eastAsia" w:ascii="宋体" w:hAnsi="宋体" w:cs="宋体"/>
                <w:b w:val="0"/>
                <w:bCs/>
                <w:color w:val="auto"/>
                <w:kern w:val="2"/>
                <w:sz w:val="21"/>
                <w:szCs w:val="21"/>
                <w:highlight w:val="none"/>
                <w:lang w:val="en-US" w:eastAsia="zh-CN" w:bidi="ar-SA"/>
              </w:rPr>
              <w:t>1</w:t>
            </w:r>
            <w:r>
              <w:rPr>
                <w:rFonts w:hint="default" w:ascii="宋体" w:hAnsi="宋体" w:eastAsia="宋体" w:cs="宋体"/>
                <w:b w:val="0"/>
                <w:bCs/>
                <w:color w:val="auto"/>
                <w:kern w:val="2"/>
                <w:sz w:val="21"/>
                <w:szCs w:val="21"/>
                <w:highlight w:val="none"/>
                <w:lang w:val="en-US" w:eastAsia="zh-CN" w:bidi="ar-SA"/>
              </w:rPr>
              <w:t>、</w:t>
            </w:r>
            <w:r>
              <w:rPr>
                <w:rFonts w:hint="eastAsia"/>
                <w:highlight w:val="none"/>
                <w:lang w:eastAsia="zh-CN"/>
              </w:rPr>
              <w:t>本项目为系统升级改造项目，涉及</w:t>
            </w:r>
            <w:r>
              <w:rPr>
                <w:rFonts w:hint="eastAsia" w:ascii="宋体" w:hAnsi="宋体" w:cs="Courier New"/>
                <w:bCs/>
                <w:szCs w:val="21"/>
                <w:highlight w:val="none"/>
                <w:lang w:eastAsia="zh-CN"/>
              </w:rPr>
              <w:t>新系统与原系统间的数据对接。若</w:t>
            </w:r>
            <w:r>
              <w:rPr>
                <w:rFonts w:hint="eastAsia"/>
                <w:highlight w:val="none"/>
                <w:lang w:eastAsia="zh-CN"/>
              </w:rPr>
              <w:t>因中标人在数据迁移过程中发生数据丢失、泄露等情况，并因此造成损失，相关责任由成交供应商承担。</w:t>
            </w:r>
          </w:p>
          <w:p w14:paraId="4052D2AE">
            <w:pPr>
              <w:widowControl/>
              <w:spacing w:line="360" w:lineRule="exact"/>
              <w:ind w:firstLine="420" w:firstLineChars="200"/>
              <w:jc w:val="left"/>
              <w:textAlignment w:val="auto"/>
              <w:rPr>
                <w:rFonts w:hint="eastAsia" w:ascii="宋体" w:hAnsi="宋体" w:eastAsia="宋体" w:cs="宋体"/>
                <w:kern w:val="2"/>
                <w:sz w:val="21"/>
                <w:szCs w:val="21"/>
                <w:lang w:val="en-US" w:eastAsia="zh-CN" w:bidi="ar"/>
              </w:rPr>
            </w:pPr>
            <w:r>
              <w:rPr>
                <w:rFonts w:hint="eastAsia" w:hAnsi="宋体" w:cs="宋体"/>
                <w:b w:val="0"/>
                <w:bCs/>
                <w:color w:val="auto"/>
                <w:sz w:val="21"/>
                <w:szCs w:val="21"/>
                <w:highlight w:val="none"/>
                <w:lang w:val="en-US" w:eastAsia="zh-CN"/>
              </w:rPr>
              <w:t>2、成交供应商</w:t>
            </w:r>
            <w:r>
              <w:rPr>
                <w:rFonts w:hint="eastAsia" w:ascii="宋体" w:hAnsi="宋体" w:cs="宋体"/>
                <w:kern w:val="2"/>
                <w:sz w:val="21"/>
                <w:szCs w:val="21"/>
                <w:highlight w:val="none"/>
                <w:lang w:val="en-US" w:eastAsia="zh-CN" w:bidi="ar"/>
              </w:rPr>
              <w:t>配合业主开展</w:t>
            </w:r>
            <w:r>
              <w:rPr>
                <w:rFonts w:hint="eastAsia" w:ascii="宋体" w:hAnsi="宋体" w:eastAsia="宋体" w:cs="宋体"/>
                <w:kern w:val="2"/>
                <w:sz w:val="21"/>
                <w:szCs w:val="21"/>
                <w:lang w:val="en-US" w:eastAsia="zh-CN" w:bidi="ar"/>
              </w:rPr>
              <w:t>网络安全等级保护测评服务、商用密码应用建设方案编制及安全性评估服务、第三方软件测评服务。</w:t>
            </w:r>
          </w:p>
          <w:p w14:paraId="3E4A422A">
            <w:pPr>
              <w:widowControl/>
              <w:spacing w:line="36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kern w:val="2"/>
                <w:sz w:val="21"/>
                <w:szCs w:val="21"/>
                <w:lang w:val="en-US" w:eastAsia="zh-CN" w:bidi="ar"/>
              </w:rPr>
              <w:t>3、</w:t>
            </w:r>
            <w:r>
              <w:rPr>
                <w:rFonts w:hint="eastAsia" w:ascii="宋体" w:hAnsi="宋体" w:cs="宋体"/>
                <w:b w:val="0"/>
                <w:bCs w:val="0"/>
                <w:kern w:val="2"/>
                <w:sz w:val="21"/>
                <w:szCs w:val="21"/>
                <w:lang w:val="en-US" w:eastAsia="zh-CN" w:bidi="ar"/>
              </w:rPr>
              <w:t>本项目涉及敏感数据，软件仅限本地开发，禁止远程开发，防止敏感数据在传输环节被截获，保障数据全生命周期安全合规。</w:t>
            </w:r>
          </w:p>
        </w:tc>
      </w:tr>
    </w:tbl>
    <w:p w14:paraId="67EEA66D">
      <w:pPr>
        <w:widowControl/>
        <w:jc w:val="left"/>
        <w:rPr>
          <w:rFonts w:ascii="宋体" w:hAnsi="宋体" w:cs="宋体"/>
          <w:b/>
          <w:bCs/>
          <w:color w:val="auto"/>
          <w:sz w:val="20"/>
          <w:szCs w:val="20"/>
          <w:highlight w:val="none"/>
        </w:rPr>
      </w:pPr>
      <w:r>
        <w:rPr>
          <w:rFonts w:ascii="宋体" w:hAnsi="宋体" w:cs="宋体"/>
          <w:b/>
          <w:bCs/>
          <w:color w:val="auto"/>
          <w:sz w:val="20"/>
          <w:szCs w:val="20"/>
          <w:highlight w:val="none"/>
        </w:rPr>
        <w:br w:type="page"/>
      </w:r>
      <w:bookmarkStart w:id="77" w:name="_Toc74323459"/>
    </w:p>
    <w:p w14:paraId="6E0C572A">
      <w:pPr>
        <w:widowControl/>
        <w:jc w:val="left"/>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附件</w:t>
      </w:r>
      <w:r>
        <w:rPr>
          <w:rFonts w:hint="eastAsia" w:ascii="黑体" w:hAnsi="黑体" w:eastAsia="黑体" w:cs="黑体"/>
          <w:color w:val="auto"/>
          <w:sz w:val="32"/>
          <w:szCs w:val="32"/>
          <w:highlight w:val="none"/>
          <w:lang w:val="en-US" w:eastAsia="zh-CN"/>
        </w:rPr>
        <w:t>1</w:t>
      </w:r>
      <w:r>
        <w:rPr>
          <w:rFonts w:hint="eastAsia" w:ascii="黑体" w:hAnsi="黑体" w:eastAsia="黑体" w:cs="黑体"/>
          <w:color w:val="auto"/>
          <w:sz w:val="32"/>
          <w:szCs w:val="32"/>
          <w:highlight w:val="none"/>
        </w:rPr>
        <w:t>：</w:t>
      </w:r>
    </w:p>
    <w:p w14:paraId="2680F446">
      <w:pPr>
        <w:spacing w:line="528" w:lineRule="exact"/>
        <w:jc w:val="center"/>
        <w:rPr>
          <w:rFonts w:hint="eastAsia" w:ascii="宋体" w:hAnsi="宋体" w:cs="宋体"/>
          <w:color w:val="auto"/>
          <w:sz w:val="32"/>
          <w:szCs w:val="32"/>
          <w:highlight w:val="none"/>
        </w:rPr>
      </w:pPr>
      <w:r>
        <w:rPr>
          <w:rFonts w:hint="eastAsia" w:ascii="宋体" w:hAnsi="宋体" w:cs="宋体"/>
          <w:color w:val="auto"/>
          <w:sz w:val="32"/>
          <w:szCs w:val="32"/>
          <w:highlight w:val="none"/>
        </w:rPr>
        <w:t>中小微企业划型标准</w:t>
      </w:r>
    </w:p>
    <w:tbl>
      <w:tblPr>
        <w:tblStyle w:val="20"/>
        <w:tblW w:w="9052" w:type="dxa"/>
        <w:jc w:val="center"/>
        <w:tblLayout w:type="fixed"/>
        <w:tblCellMar>
          <w:top w:w="0" w:type="dxa"/>
          <w:left w:w="108" w:type="dxa"/>
          <w:bottom w:w="0" w:type="dxa"/>
          <w:right w:w="108" w:type="dxa"/>
        </w:tblCellMar>
      </w:tblPr>
      <w:tblGrid>
        <w:gridCol w:w="1904"/>
        <w:gridCol w:w="1384"/>
        <w:gridCol w:w="913"/>
        <w:gridCol w:w="1966"/>
        <w:gridCol w:w="1743"/>
        <w:gridCol w:w="1142"/>
      </w:tblGrid>
      <w:tr w14:paraId="2BA2E9F7">
        <w:tblPrEx>
          <w:tblCellMar>
            <w:top w:w="0" w:type="dxa"/>
            <w:left w:w="108" w:type="dxa"/>
            <w:bottom w:w="0" w:type="dxa"/>
            <w:right w:w="108" w:type="dxa"/>
          </w:tblCellMar>
        </w:tblPrEx>
        <w:trPr>
          <w:trHeight w:val="285" w:hRule="atLeast"/>
          <w:jc w:val="center"/>
        </w:trPr>
        <w:tc>
          <w:tcPr>
            <w:tcW w:w="1904" w:type="dxa"/>
            <w:tcBorders>
              <w:top w:val="single" w:color="auto" w:sz="4" w:space="0"/>
              <w:left w:val="single" w:color="auto" w:sz="4" w:space="0"/>
              <w:bottom w:val="single" w:color="auto" w:sz="4" w:space="0"/>
              <w:right w:val="single" w:color="auto" w:sz="4" w:space="0"/>
            </w:tcBorders>
            <w:vAlign w:val="center"/>
          </w:tcPr>
          <w:p w14:paraId="02183DFC">
            <w:pPr>
              <w:widowControl/>
              <w:jc w:val="center"/>
              <w:rPr>
                <w:rFonts w:hint="eastAsia" w:ascii="宋体" w:hAnsi="宋体" w:cs="宋体"/>
                <w:b/>
                <w:color w:val="auto"/>
                <w:kern w:val="0"/>
                <w:sz w:val="24"/>
                <w:highlight w:val="none"/>
              </w:rPr>
            </w:pPr>
            <w:r>
              <w:rPr>
                <w:rFonts w:hint="eastAsia" w:ascii="宋体" w:hAnsi="宋体" w:cs="宋体"/>
                <w:b/>
                <w:color w:val="auto"/>
                <w:kern w:val="0"/>
                <w:sz w:val="24"/>
                <w:highlight w:val="none"/>
              </w:rPr>
              <w:t>行业名称</w:t>
            </w:r>
          </w:p>
        </w:tc>
        <w:tc>
          <w:tcPr>
            <w:tcW w:w="1384" w:type="dxa"/>
            <w:tcBorders>
              <w:top w:val="single" w:color="auto" w:sz="4" w:space="0"/>
              <w:left w:val="nil"/>
              <w:bottom w:val="single" w:color="auto" w:sz="4" w:space="0"/>
              <w:right w:val="single" w:color="auto" w:sz="4" w:space="0"/>
            </w:tcBorders>
            <w:vAlign w:val="center"/>
          </w:tcPr>
          <w:p w14:paraId="079B3A66">
            <w:pPr>
              <w:widowControl/>
              <w:jc w:val="center"/>
              <w:rPr>
                <w:rFonts w:hint="eastAsia" w:ascii="宋体" w:hAnsi="宋体" w:cs="宋体"/>
                <w:b/>
                <w:color w:val="auto"/>
                <w:kern w:val="0"/>
                <w:sz w:val="24"/>
                <w:highlight w:val="none"/>
              </w:rPr>
            </w:pPr>
            <w:r>
              <w:rPr>
                <w:rFonts w:hint="eastAsia" w:ascii="宋体" w:hAnsi="宋体" w:cs="宋体"/>
                <w:b/>
                <w:color w:val="auto"/>
                <w:kern w:val="0"/>
                <w:sz w:val="24"/>
                <w:highlight w:val="none"/>
              </w:rPr>
              <w:t>指标名称</w:t>
            </w:r>
          </w:p>
        </w:tc>
        <w:tc>
          <w:tcPr>
            <w:tcW w:w="913" w:type="dxa"/>
            <w:tcBorders>
              <w:top w:val="single" w:color="auto" w:sz="4" w:space="0"/>
              <w:left w:val="nil"/>
              <w:bottom w:val="single" w:color="auto" w:sz="4" w:space="0"/>
              <w:right w:val="single" w:color="auto" w:sz="4" w:space="0"/>
            </w:tcBorders>
            <w:vAlign w:val="center"/>
          </w:tcPr>
          <w:p w14:paraId="14C3F0D3">
            <w:pPr>
              <w:widowControl/>
              <w:jc w:val="center"/>
              <w:rPr>
                <w:rFonts w:hint="eastAsia" w:ascii="宋体" w:hAnsi="宋体" w:cs="宋体"/>
                <w:b/>
                <w:color w:val="auto"/>
                <w:kern w:val="0"/>
                <w:sz w:val="24"/>
                <w:highlight w:val="none"/>
              </w:rPr>
            </w:pPr>
            <w:r>
              <w:rPr>
                <w:rFonts w:hint="eastAsia" w:ascii="宋体" w:hAnsi="宋体" w:cs="宋体"/>
                <w:b/>
                <w:color w:val="auto"/>
                <w:kern w:val="0"/>
                <w:sz w:val="24"/>
                <w:highlight w:val="none"/>
              </w:rPr>
              <w:t>计量单位</w:t>
            </w:r>
          </w:p>
        </w:tc>
        <w:tc>
          <w:tcPr>
            <w:tcW w:w="1966" w:type="dxa"/>
            <w:tcBorders>
              <w:top w:val="single" w:color="auto" w:sz="4" w:space="0"/>
              <w:left w:val="nil"/>
              <w:bottom w:val="single" w:color="auto" w:sz="4" w:space="0"/>
              <w:right w:val="single" w:color="auto" w:sz="4" w:space="0"/>
            </w:tcBorders>
            <w:vAlign w:val="center"/>
          </w:tcPr>
          <w:p w14:paraId="6BD962FD">
            <w:pPr>
              <w:widowControl/>
              <w:jc w:val="center"/>
              <w:rPr>
                <w:rFonts w:hint="eastAsia" w:ascii="宋体" w:hAnsi="宋体" w:cs="宋体"/>
                <w:b/>
                <w:color w:val="auto"/>
                <w:kern w:val="0"/>
                <w:sz w:val="24"/>
                <w:highlight w:val="none"/>
              </w:rPr>
            </w:pPr>
            <w:r>
              <w:rPr>
                <w:rFonts w:hint="eastAsia" w:ascii="宋体" w:hAnsi="宋体" w:cs="宋体"/>
                <w:b/>
                <w:color w:val="auto"/>
                <w:kern w:val="0"/>
                <w:sz w:val="24"/>
                <w:highlight w:val="none"/>
              </w:rPr>
              <w:t>中型</w:t>
            </w:r>
          </w:p>
        </w:tc>
        <w:tc>
          <w:tcPr>
            <w:tcW w:w="1743" w:type="dxa"/>
            <w:tcBorders>
              <w:top w:val="single" w:color="auto" w:sz="4" w:space="0"/>
              <w:left w:val="nil"/>
              <w:bottom w:val="single" w:color="auto" w:sz="4" w:space="0"/>
              <w:right w:val="single" w:color="auto" w:sz="4" w:space="0"/>
            </w:tcBorders>
            <w:vAlign w:val="center"/>
          </w:tcPr>
          <w:p w14:paraId="208AF18E">
            <w:pPr>
              <w:widowControl/>
              <w:jc w:val="center"/>
              <w:rPr>
                <w:rFonts w:hint="eastAsia" w:ascii="宋体" w:hAnsi="宋体" w:cs="宋体"/>
                <w:b/>
                <w:color w:val="auto"/>
                <w:kern w:val="0"/>
                <w:sz w:val="24"/>
                <w:highlight w:val="none"/>
              </w:rPr>
            </w:pPr>
            <w:r>
              <w:rPr>
                <w:rFonts w:hint="eastAsia" w:ascii="宋体" w:hAnsi="宋体" w:cs="宋体"/>
                <w:b/>
                <w:color w:val="auto"/>
                <w:kern w:val="0"/>
                <w:sz w:val="24"/>
                <w:highlight w:val="none"/>
              </w:rPr>
              <w:t>小型</w:t>
            </w:r>
          </w:p>
        </w:tc>
        <w:tc>
          <w:tcPr>
            <w:tcW w:w="1142" w:type="dxa"/>
            <w:tcBorders>
              <w:top w:val="single" w:color="auto" w:sz="4" w:space="0"/>
              <w:left w:val="nil"/>
              <w:bottom w:val="single" w:color="auto" w:sz="4" w:space="0"/>
              <w:right w:val="single" w:color="auto" w:sz="4" w:space="0"/>
            </w:tcBorders>
            <w:vAlign w:val="center"/>
          </w:tcPr>
          <w:p w14:paraId="2A05D5F8">
            <w:pPr>
              <w:widowControl/>
              <w:jc w:val="center"/>
              <w:rPr>
                <w:rFonts w:hint="eastAsia" w:ascii="宋体" w:hAnsi="宋体" w:cs="宋体"/>
                <w:b/>
                <w:color w:val="auto"/>
                <w:kern w:val="0"/>
                <w:sz w:val="24"/>
                <w:highlight w:val="none"/>
              </w:rPr>
            </w:pPr>
            <w:r>
              <w:rPr>
                <w:rFonts w:hint="eastAsia" w:ascii="宋体" w:hAnsi="宋体" w:cs="宋体"/>
                <w:b/>
                <w:color w:val="auto"/>
                <w:kern w:val="0"/>
                <w:sz w:val="24"/>
                <w:highlight w:val="none"/>
              </w:rPr>
              <w:t>微型</w:t>
            </w:r>
          </w:p>
        </w:tc>
      </w:tr>
      <w:tr w14:paraId="1FE32FF9">
        <w:tblPrEx>
          <w:tblCellMar>
            <w:top w:w="0" w:type="dxa"/>
            <w:left w:w="108" w:type="dxa"/>
            <w:bottom w:w="0" w:type="dxa"/>
            <w:right w:w="108" w:type="dxa"/>
          </w:tblCellMar>
        </w:tblPrEx>
        <w:trPr>
          <w:trHeight w:val="225" w:hRule="atLeast"/>
          <w:jc w:val="center"/>
        </w:trPr>
        <w:tc>
          <w:tcPr>
            <w:tcW w:w="1904" w:type="dxa"/>
            <w:tcBorders>
              <w:top w:val="nil"/>
              <w:left w:val="single" w:color="auto" w:sz="4" w:space="0"/>
              <w:bottom w:val="single" w:color="auto" w:sz="4" w:space="0"/>
              <w:right w:val="single" w:color="auto" w:sz="4" w:space="0"/>
            </w:tcBorders>
            <w:vAlign w:val="center"/>
          </w:tcPr>
          <w:p w14:paraId="13DD82FD">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农、林、牧、渔</w:t>
            </w:r>
          </w:p>
        </w:tc>
        <w:tc>
          <w:tcPr>
            <w:tcW w:w="1384" w:type="dxa"/>
            <w:tcBorders>
              <w:top w:val="nil"/>
              <w:left w:val="nil"/>
              <w:bottom w:val="single" w:color="auto" w:sz="4" w:space="0"/>
              <w:right w:val="single" w:color="auto" w:sz="4" w:space="0"/>
            </w:tcBorders>
            <w:vAlign w:val="center"/>
          </w:tcPr>
          <w:p w14:paraId="59146707">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913" w:type="dxa"/>
            <w:tcBorders>
              <w:top w:val="nil"/>
              <w:left w:val="nil"/>
              <w:bottom w:val="single" w:color="auto" w:sz="4" w:space="0"/>
              <w:right w:val="single" w:color="auto" w:sz="4" w:space="0"/>
            </w:tcBorders>
            <w:vAlign w:val="center"/>
          </w:tcPr>
          <w:p w14:paraId="7263E032">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66" w:type="dxa"/>
            <w:tcBorders>
              <w:top w:val="nil"/>
              <w:left w:val="nil"/>
              <w:bottom w:val="single" w:color="auto" w:sz="4" w:space="0"/>
              <w:right w:val="single" w:color="auto" w:sz="4" w:space="0"/>
            </w:tcBorders>
            <w:vAlign w:val="center"/>
          </w:tcPr>
          <w:p w14:paraId="4E0813A0">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500≤Y＜20000</w:t>
            </w:r>
          </w:p>
        </w:tc>
        <w:tc>
          <w:tcPr>
            <w:tcW w:w="1743" w:type="dxa"/>
            <w:tcBorders>
              <w:top w:val="nil"/>
              <w:left w:val="nil"/>
              <w:bottom w:val="single" w:color="auto" w:sz="4" w:space="0"/>
              <w:right w:val="single" w:color="auto" w:sz="4" w:space="0"/>
            </w:tcBorders>
            <w:vAlign w:val="center"/>
          </w:tcPr>
          <w:p w14:paraId="326A7FD8">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50≤Y＜500</w:t>
            </w:r>
          </w:p>
        </w:tc>
        <w:tc>
          <w:tcPr>
            <w:tcW w:w="1142" w:type="dxa"/>
            <w:tcBorders>
              <w:top w:val="nil"/>
              <w:left w:val="nil"/>
              <w:bottom w:val="single" w:color="auto" w:sz="4" w:space="0"/>
              <w:right w:val="single" w:color="auto" w:sz="4" w:space="0"/>
            </w:tcBorders>
            <w:vAlign w:val="center"/>
          </w:tcPr>
          <w:p w14:paraId="764C544A">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Y＜50</w:t>
            </w:r>
          </w:p>
        </w:tc>
      </w:tr>
      <w:tr w14:paraId="3689D09C">
        <w:tblPrEx>
          <w:tblCellMar>
            <w:top w:w="0" w:type="dxa"/>
            <w:left w:w="108" w:type="dxa"/>
            <w:bottom w:w="0" w:type="dxa"/>
            <w:right w:w="108" w:type="dxa"/>
          </w:tblCellMar>
        </w:tblPrEx>
        <w:trPr>
          <w:trHeight w:val="225" w:hRule="atLeast"/>
          <w:jc w:val="center"/>
        </w:trPr>
        <w:tc>
          <w:tcPr>
            <w:tcW w:w="1904" w:type="dxa"/>
            <w:vMerge w:val="restart"/>
            <w:tcBorders>
              <w:top w:val="nil"/>
              <w:left w:val="single" w:color="auto" w:sz="4" w:space="0"/>
              <w:bottom w:val="single" w:color="auto" w:sz="4" w:space="0"/>
              <w:right w:val="single" w:color="auto" w:sz="4" w:space="0"/>
            </w:tcBorders>
            <w:vAlign w:val="center"/>
          </w:tcPr>
          <w:p w14:paraId="0DA464F4">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工业</w:t>
            </w:r>
          </w:p>
        </w:tc>
        <w:tc>
          <w:tcPr>
            <w:tcW w:w="1384" w:type="dxa"/>
            <w:tcBorders>
              <w:top w:val="nil"/>
              <w:left w:val="nil"/>
              <w:bottom w:val="single" w:color="auto" w:sz="4" w:space="0"/>
              <w:right w:val="single" w:color="auto" w:sz="4" w:space="0"/>
            </w:tcBorders>
            <w:vAlign w:val="center"/>
          </w:tcPr>
          <w:p w14:paraId="179078EC">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913" w:type="dxa"/>
            <w:tcBorders>
              <w:top w:val="nil"/>
              <w:left w:val="nil"/>
              <w:bottom w:val="single" w:color="auto" w:sz="4" w:space="0"/>
              <w:right w:val="single" w:color="auto" w:sz="4" w:space="0"/>
            </w:tcBorders>
            <w:vAlign w:val="center"/>
          </w:tcPr>
          <w:p w14:paraId="3BDBF528">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人</w:t>
            </w:r>
          </w:p>
        </w:tc>
        <w:tc>
          <w:tcPr>
            <w:tcW w:w="1966" w:type="dxa"/>
            <w:tcBorders>
              <w:top w:val="nil"/>
              <w:left w:val="nil"/>
              <w:bottom w:val="single" w:color="auto" w:sz="4" w:space="0"/>
              <w:right w:val="single" w:color="auto" w:sz="4" w:space="0"/>
            </w:tcBorders>
            <w:vAlign w:val="center"/>
          </w:tcPr>
          <w:p w14:paraId="32637B3B">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300≤X＜1000</w:t>
            </w:r>
          </w:p>
        </w:tc>
        <w:tc>
          <w:tcPr>
            <w:tcW w:w="1743" w:type="dxa"/>
            <w:tcBorders>
              <w:top w:val="nil"/>
              <w:left w:val="nil"/>
              <w:bottom w:val="single" w:color="auto" w:sz="4" w:space="0"/>
              <w:right w:val="single" w:color="auto" w:sz="4" w:space="0"/>
            </w:tcBorders>
            <w:vAlign w:val="center"/>
          </w:tcPr>
          <w:p w14:paraId="4A25793F">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20≤X＜300</w:t>
            </w:r>
          </w:p>
        </w:tc>
        <w:tc>
          <w:tcPr>
            <w:tcW w:w="1142" w:type="dxa"/>
            <w:tcBorders>
              <w:top w:val="nil"/>
              <w:left w:val="nil"/>
              <w:bottom w:val="single" w:color="auto" w:sz="4" w:space="0"/>
              <w:right w:val="single" w:color="auto" w:sz="4" w:space="0"/>
            </w:tcBorders>
            <w:vAlign w:val="center"/>
          </w:tcPr>
          <w:p w14:paraId="1EE96999">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X＜20</w:t>
            </w:r>
          </w:p>
        </w:tc>
      </w:tr>
      <w:tr w14:paraId="02D12116">
        <w:tblPrEx>
          <w:tblCellMar>
            <w:top w:w="0" w:type="dxa"/>
            <w:left w:w="108" w:type="dxa"/>
            <w:bottom w:w="0" w:type="dxa"/>
            <w:right w:w="108" w:type="dxa"/>
          </w:tblCellMar>
        </w:tblPrEx>
        <w:trPr>
          <w:trHeight w:val="225" w:hRule="atLeast"/>
          <w:jc w:val="center"/>
        </w:trPr>
        <w:tc>
          <w:tcPr>
            <w:tcW w:w="1904" w:type="dxa"/>
            <w:vMerge w:val="continue"/>
            <w:tcBorders>
              <w:top w:val="nil"/>
              <w:left w:val="single" w:color="auto" w:sz="4" w:space="0"/>
              <w:bottom w:val="single" w:color="auto" w:sz="4" w:space="0"/>
              <w:right w:val="single" w:color="auto" w:sz="4" w:space="0"/>
            </w:tcBorders>
            <w:vAlign w:val="center"/>
          </w:tcPr>
          <w:p w14:paraId="064C69A6">
            <w:pPr>
              <w:widowControl/>
              <w:jc w:val="left"/>
              <w:rPr>
                <w:rFonts w:hint="eastAsia" w:ascii="宋体" w:hAnsi="宋体" w:cs="宋体"/>
                <w:b/>
                <w:bCs/>
                <w:color w:val="auto"/>
                <w:kern w:val="0"/>
                <w:szCs w:val="21"/>
                <w:highlight w:val="none"/>
              </w:rPr>
            </w:pPr>
          </w:p>
        </w:tc>
        <w:tc>
          <w:tcPr>
            <w:tcW w:w="1384" w:type="dxa"/>
            <w:tcBorders>
              <w:top w:val="nil"/>
              <w:left w:val="nil"/>
              <w:bottom w:val="single" w:color="auto" w:sz="4" w:space="0"/>
              <w:right w:val="single" w:color="auto" w:sz="4" w:space="0"/>
            </w:tcBorders>
            <w:vAlign w:val="center"/>
          </w:tcPr>
          <w:p w14:paraId="7DEA6409">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913" w:type="dxa"/>
            <w:tcBorders>
              <w:top w:val="nil"/>
              <w:left w:val="nil"/>
              <w:bottom w:val="single" w:color="auto" w:sz="4" w:space="0"/>
              <w:right w:val="single" w:color="auto" w:sz="4" w:space="0"/>
            </w:tcBorders>
            <w:vAlign w:val="center"/>
          </w:tcPr>
          <w:p w14:paraId="366C5D4A">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66" w:type="dxa"/>
            <w:tcBorders>
              <w:top w:val="nil"/>
              <w:left w:val="nil"/>
              <w:bottom w:val="single" w:color="auto" w:sz="4" w:space="0"/>
              <w:right w:val="single" w:color="auto" w:sz="4" w:space="0"/>
            </w:tcBorders>
            <w:vAlign w:val="center"/>
          </w:tcPr>
          <w:p w14:paraId="2C83110B">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2000≤Y＜40000</w:t>
            </w:r>
          </w:p>
        </w:tc>
        <w:tc>
          <w:tcPr>
            <w:tcW w:w="1743" w:type="dxa"/>
            <w:tcBorders>
              <w:top w:val="nil"/>
              <w:left w:val="nil"/>
              <w:bottom w:val="single" w:color="auto" w:sz="4" w:space="0"/>
              <w:right w:val="single" w:color="auto" w:sz="4" w:space="0"/>
            </w:tcBorders>
            <w:vAlign w:val="center"/>
          </w:tcPr>
          <w:p w14:paraId="57FB656E">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300≤Y＜2000</w:t>
            </w:r>
          </w:p>
        </w:tc>
        <w:tc>
          <w:tcPr>
            <w:tcW w:w="1142" w:type="dxa"/>
            <w:tcBorders>
              <w:top w:val="nil"/>
              <w:left w:val="nil"/>
              <w:bottom w:val="single" w:color="auto" w:sz="4" w:space="0"/>
              <w:right w:val="single" w:color="auto" w:sz="4" w:space="0"/>
            </w:tcBorders>
            <w:vAlign w:val="center"/>
          </w:tcPr>
          <w:p w14:paraId="6C9D9F8E">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Y＜300</w:t>
            </w:r>
          </w:p>
        </w:tc>
      </w:tr>
      <w:tr w14:paraId="57191E12">
        <w:tblPrEx>
          <w:tblCellMar>
            <w:top w:w="0" w:type="dxa"/>
            <w:left w:w="108" w:type="dxa"/>
            <w:bottom w:w="0" w:type="dxa"/>
            <w:right w:w="108" w:type="dxa"/>
          </w:tblCellMar>
        </w:tblPrEx>
        <w:trPr>
          <w:trHeight w:val="225" w:hRule="atLeast"/>
          <w:jc w:val="center"/>
        </w:trPr>
        <w:tc>
          <w:tcPr>
            <w:tcW w:w="1904" w:type="dxa"/>
            <w:vMerge w:val="restart"/>
            <w:tcBorders>
              <w:top w:val="nil"/>
              <w:left w:val="single" w:color="auto" w:sz="4" w:space="0"/>
              <w:bottom w:val="single" w:color="auto" w:sz="4" w:space="0"/>
              <w:right w:val="single" w:color="auto" w:sz="4" w:space="0"/>
            </w:tcBorders>
            <w:vAlign w:val="center"/>
          </w:tcPr>
          <w:p w14:paraId="383CB111">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建筑业</w:t>
            </w:r>
          </w:p>
        </w:tc>
        <w:tc>
          <w:tcPr>
            <w:tcW w:w="1384" w:type="dxa"/>
            <w:tcBorders>
              <w:top w:val="nil"/>
              <w:left w:val="nil"/>
              <w:bottom w:val="single" w:color="auto" w:sz="4" w:space="0"/>
              <w:right w:val="single" w:color="auto" w:sz="4" w:space="0"/>
            </w:tcBorders>
            <w:vAlign w:val="center"/>
          </w:tcPr>
          <w:p w14:paraId="702BEE0C">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913" w:type="dxa"/>
            <w:tcBorders>
              <w:top w:val="nil"/>
              <w:left w:val="nil"/>
              <w:bottom w:val="single" w:color="auto" w:sz="4" w:space="0"/>
              <w:right w:val="single" w:color="auto" w:sz="4" w:space="0"/>
            </w:tcBorders>
            <w:vAlign w:val="center"/>
          </w:tcPr>
          <w:p w14:paraId="22B6F4CB">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66" w:type="dxa"/>
            <w:tcBorders>
              <w:top w:val="nil"/>
              <w:left w:val="nil"/>
              <w:bottom w:val="single" w:color="auto" w:sz="4" w:space="0"/>
              <w:right w:val="single" w:color="auto" w:sz="4" w:space="0"/>
            </w:tcBorders>
            <w:vAlign w:val="center"/>
          </w:tcPr>
          <w:p w14:paraId="482B8561">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6000≤Y＜80000</w:t>
            </w:r>
          </w:p>
        </w:tc>
        <w:tc>
          <w:tcPr>
            <w:tcW w:w="1743" w:type="dxa"/>
            <w:tcBorders>
              <w:top w:val="nil"/>
              <w:left w:val="nil"/>
              <w:bottom w:val="single" w:color="auto" w:sz="4" w:space="0"/>
              <w:right w:val="single" w:color="auto" w:sz="4" w:space="0"/>
            </w:tcBorders>
            <w:vAlign w:val="center"/>
          </w:tcPr>
          <w:p w14:paraId="67DCA43D">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300≤Y＜6000</w:t>
            </w:r>
          </w:p>
        </w:tc>
        <w:tc>
          <w:tcPr>
            <w:tcW w:w="1142" w:type="dxa"/>
            <w:tcBorders>
              <w:top w:val="nil"/>
              <w:left w:val="nil"/>
              <w:bottom w:val="single" w:color="auto" w:sz="4" w:space="0"/>
              <w:right w:val="single" w:color="auto" w:sz="4" w:space="0"/>
            </w:tcBorders>
            <w:vAlign w:val="center"/>
          </w:tcPr>
          <w:p w14:paraId="5A06E14A">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Y＜300</w:t>
            </w:r>
          </w:p>
        </w:tc>
      </w:tr>
      <w:tr w14:paraId="1E617138">
        <w:tblPrEx>
          <w:tblCellMar>
            <w:top w:w="0" w:type="dxa"/>
            <w:left w:w="108" w:type="dxa"/>
            <w:bottom w:w="0" w:type="dxa"/>
            <w:right w:w="108" w:type="dxa"/>
          </w:tblCellMar>
        </w:tblPrEx>
        <w:trPr>
          <w:trHeight w:val="225" w:hRule="atLeast"/>
          <w:jc w:val="center"/>
        </w:trPr>
        <w:tc>
          <w:tcPr>
            <w:tcW w:w="1904" w:type="dxa"/>
            <w:vMerge w:val="continue"/>
            <w:tcBorders>
              <w:top w:val="nil"/>
              <w:left w:val="single" w:color="auto" w:sz="4" w:space="0"/>
              <w:bottom w:val="single" w:color="auto" w:sz="4" w:space="0"/>
              <w:right w:val="single" w:color="auto" w:sz="4" w:space="0"/>
            </w:tcBorders>
            <w:vAlign w:val="center"/>
          </w:tcPr>
          <w:p w14:paraId="763C61B3">
            <w:pPr>
              <w:widowControl/>
              <w:jc w:val="left"/>
              <w:rPr>
                <w:rFonts w:hint="eastAsia" w:ascii="宋体" w:hAnsi="宋体" w:cs="宋体"/>
                <w:b/>
                <w:bCs/>
                <w:color w:val="auto"/>
                <w:kern w:val="0"/>
                <w:szCs w:val="21"/>
                <w:highlight w:val="none"/>
              </w:rPr>
            </w:pPr>
          </w:p>
        </w:tc>
        <w:tc>
          <w:tcPr>
            <w:tcW w:w="1384" w:type="dxa"/>
            <w:tcBorders>
              <w:top w:val="nil"/>
              <w:left w:val="nil"/>
              <w:bottom w:val="single" w:color="auto" w:sz="4" w:space="0"/>
              <w:right w:val="single" w:color="auto" w:sz="4" w:space="0"/>
            </w:tcBorders>
            <w:vAlign w:val="center"/>
          </w:tcPr>
          <w:p w14:paraId="681BD8E7">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资产总额（Z）</w:t>
            </w:r>
          </w:p>
        </w:tc>
        <w:tc>
          <w:tcPr>
            <w:tcW w:w="913" w:type="dxa"/>
            <w:tcBorders>
              <w:top w:val="nil"/>
              <w:left w:val="nil"/>
              <w:bottom w:val="single" w:color="auto" w:sz="4" w:space="0"/>
              <w:right w:val="single" w:color="auto" w:sz="4" w:space="0"/>
            </w:tcBorders>
            <w:vAlign w:val="center"/>
          </w:tcPr>
          <w:p w14:paraId="184A1DD0">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66" w:type="dxa"/>
            <w:tcBorders>
              <w:top w:val="nil"/>
              <w:left w:val="nil"/>
              <w:bottom w:val="single" w:color="auto" w:sz="4" w:space="0"/>
              <w:right w:val="single" w:color="auto" w:sz="4" w:space="0"/>
            </w:tcBorders>
            <w:vAlign w:val="center"/>
          </w:tcPr>
          <w:p w14:paraId="61F0BEEC">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5000≤Z＜80000</w:t>
            </w:r>
          </w:p>
        </w:tc>
        <w:tc>
          <w:tcPr>
            <w:tcW w:w="1743" w:type="dxa"/>
            <w:tcBorders>
              <w:top w:val="nil"/>
              <w:left w:val="nil"/>
              <w:bottom w:val="single" w:color="auto" w:sz="4" w:space="0"/>
              <w:right w:val="single" w:color="auto" w:sz="4" w:space="0"/>
            </w:tcBorders>
            <w:vAlign w:val="center"/>
          </w:tcPr>
          <w:p w14:paraId="75292511">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300≤Z＜5000</w:t>
            </w:r>
          </w:p>
        </w:tc>
        <w:tc>
          <w:tcPr>
            <w:tcW w:w="1142" w:type="dxa"/>
            <w:tcBorders>
              <w:top w:val="nil"/>
              <w:left w:val="nil"/>
              <w:bottom w:val="single" w:color="auto" w:sz="4" w:space="0"/>
              <w:right w:val="single" w:color="auto" w:sz="4" w:space="0"/>
            </w:tcBorders>
            <w:vAlign w:val="center"/>
          </w:tcPr>
          <w:p w14:paraId="3AF62F6C">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Z＜300</w:t>
            </w:r>
          </w:p>
        </w:tc>
      </w:tr>
      <w:tr w14:paraId="67011999">
        <w:tblPrEx>
          <w:tblCellMar>
            <w:top w:w="0" w:type="dxa"/>
            <w:left w:w="108" w:type="dxa"/>
            <w:bottom w:w="0" w:type="dxa"/>
            <w:right w:w="108" w:type="dxa"/>
          </w:tblCellMar>
        </w:tblPrEx>
        <w:trPr>
          <w:trHeight w:val="225" w:hRule="atLeast"/>
          <w:jc w:val="center"/>
        </w:trPr>
        <w:tc>
          <w:tcPr>
            <w:tcW w:w="1904" w:type="dxa"/>
            <w:vMerge w:val="restart"/>
            <w:tcBorders>
              <w:top w:val="nil"/>
              <w:left w:val="single" w:color="auto" w:sz="4" w:space="0"/>
              <w:bottom w:val="single" w:color="auto" w:sz="4" w:space="0"/>
              <w:right w:val="single" w:color="auto" w:sz="4" w:space="0"/>
            </w:tcBorders>
            <w:vAlign w:val="center"/>
          </w:tcPr>
          <w:p w14:paraId="5D20BA76">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批发业</w:t>
            </w:r>
          </w:p>
        </w:tc>
        <w:tc>
          <w:tcPr>
            <w:tcW w:w="1384" w:type="dxa"/>
            <w:tcBorders>
              <w:top w:val="nil"/>
              <w:left w:val="nil"/>
              <w:bottom w:val="single" w:color="auto" w:sz="4" w:space="0"/>
              <w:right w:val="single" w:color="auto" w:sz="4" w:space="0"/>
            </w:tcBorders>
            <w:vAlign w:val="center"/>
          </w:tcPr>
          <w:p w14:paraId="31EB8829">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913" w:type="dxa"/>
            <w:tcBorders>
              <w:top w:val="nil"/>
              <w:left w:val="nil"/>
              <w:bottom w:val="single" w:color="auto" w:sz="4" w:space="0"/>
              <w:right w:val="single" w:color="auto" w:sz="4" w:space="0"/>
            </w:tcBorders>
            <w:vAlign w:val="center"/>
          </w:tcPr>
          <w:p w14:paraId="660ED98E">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人</w:t>
            </w:r>
          </w:p>
        </w:tc>
        <w:tc>
          <w:tcPr>
            <w:tcW w:w="1966" w:type="dxa"/>
            <w:tcBorders>
              <w:top w:val="nil"/>
              <w:left w:val="nil"/>
              <w:bottom w:val="single" w:color="auto" w:sz="4" w:space="0"/>
              <w:right w:val="single" w:color="auto" w:sz="4" w:space="0"/>
            </w:tcBorders>
            <w:vAlign w:val="center"/>
          </w:tcPr>
          <w:p w14:paraId="53A5EADE">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20≤X＜200</w:t>
            </w:r>
          </w:p>
        </w:tc>
        <w:tc>
          <w:tcPr>
            <w:tcW w:w="1743" w:type="dxa"/>
            <w:tcBorders>
              <w:top w:val="nil"/>
              <w:left w:val="nil"/>
              <w:bottom w:val="single" w:color="auto" w:sz="4" w:space="0"/>
              <w:right w:val="single" w:color="auto" w:sz="4" w:space="0"/>
            </w:tcBorders>
            <w:vAlign w:val="center"/>
          </w:tcPr>
          <w:p w14:paraId="3CE77384">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5≤X＜20</w:t>
            </w:r>
          </w:p>
        </w:tc>
        <w:tc>
          <w:tcPr>
            <w:tcW w:w="1142" w:type="dxa"/>
            <w:tcBorders>
              <w:top w:val="nil"/>
              <w:left w:val="nil"/>
              <w:bottom w:val="single" w:color="auto" w:sz="4" w:space="0"/>
              <w:right w:val="single" w:color="auto" w:sz="4" w:space="0"/>
            </w:tcBorders>
            <w:vAlign w:val="center"/>
          </w:tcPr>
          <w:p w14:paraId="2097B43F">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X＜5</w:t>
            </w:r>
          </w:p>
        </w:tc>
      </w:tr>
      <w:tr w14:paraId="6D31A2B3">
        <w:tblPrEx>
          <w:tblCellMar>
            <w:top w:w="0" w:type="dxa"/>
            <w:left w:w="108" w:type="dxa"/>
            <w:bottom w:w="0" w:type="dxa"/>
            <w:right w:w="108" w:type="dxa"/>
          </w:tblCellMar>
        </w:tblPrEx>
        <w:trPr>
          <w:trHeight w:val="225" w:hRule="atLeast"/>
          <w:jc w:val="center"/>
        </w:trPr>
        <w:tc>
          <w:tcPr>
            <w:tcW w:w="1904" w:type="dxa"/>
            <w:vMerge w:val="continue"/>
            <w:tcBorders>
              <w:top w:val="nil"/>
              <w:left w:val="single" w:color="auto" w:sz="4" w:space="0"/>
              <w:bottom w:val="single" w:color="auto" w:sz="4" w:space="0"/>
              <w:right w:val="single" w:color="auto" w:sz="4" w:space="0"/>
            </w:tcBorders>
            <w:vAlign w:val="center"/>
          </w:tcPr>
          <w:p w14:paraId="61F07D80">
            <w:pPr>
              <w:widowControl/>
              <w:jc w:val="left"/>
              <w:rPr>
                <w:rFonts w:hint="eastAsia" w:ascii="宋体" w:hAnsi="宋体" w:cs="宋体"/>
                <w:b/>
                <w:bCs/>
                <w:color w:val="auto"/>
                <w:kern w:val="0"/>
                <w:szCs w:val="21"/>
                <w:highlight w:val="none"/>
              </w:rPr>
            </w:pPr>
          </w:p>
        </w:tc>
        <w:tc>
          <w:tcPr>
            <w:tcW w:w="1384" w:type="dxa"/>
            <w:tcBorders>
              <w:top w:val="nil"/>
              <w:left w:val="nil"/>
              <w:bottom w:val="single" w:color="auto" w:sz="4" w:space="0"/>
              <w:right w:val="single" w:color="auto" w:sz="4" w:space="0"/>
            </w:tcBorders>
            <w:vAlign w:val="center"/>
          </w:tcPr>
          <w:p w14:paraId="180142AC">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913" w:type="dxa"/>
            <w:tcBorders>
              <w:top w:val="nil"/>
              <w:left w:val="nil"/>
              <w:bottom w:val="single" w:color="auto" w:sz="4" w:space="0"/>
              <w:right w:val="single" w:color="auto" w:sz="4" w:space="0"/>
            </w:tcBorders>
            <w:vAlign w:val="center"/>
          </w:tcPr>
          <w:p w14:paraId="70DEBAEE">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66" w:type="dxa"/>
            <w:tcBorders>
              <w:top w:val="nil"/>
              <w:left w:val="nil"/>
              <w:bottom w:val="single" w:color="auto" w:sz="4" w:space="0"/>
              <w:right w:val="single" w:color="auto" w:sz="4" w:space="0"/>
            </w:tcBorders>
            <w:vAlign w:val="center"/>
          </w:tcPr>
          <w:p w14:paraId="043D3935">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5000≤Y＜40000</w:t>
            </w:r>
          </w:p>
        </w:tc>
        <w:tc>
          <w:tcPr>
            <w:tcW w:w="1743" w:type="dxa"/>
            <w:tcBorders>
              <w:top w:val="nil"/>
              <w:left w:val="nil"/>
              <w:bottom w:val="single" w:color="auto" w:sz="4" w:space="0"/>
              <w:right w:val="single" w:color="auto" w:sz="4" w:space="0"/>
            </w:tcBorders>
            <w:vAlign w:val="center"/>
          </w:tcPr>
          <w:p w14:paraId="18ECA406">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1000≤Y＜5000</w:t>
            </w:r>
          </w:p>
        </w:tc>
        <w:tc>
          <w:tcPr>
            <w:tcW w:w="1142" w:type="dxa"/>
            <w:tcBorders>
              <w:top w:val="nil"/>
              <w:left w:val="nil"/>
              <w:bottom w:val="single" w:color="auto" w:sz="4" w:space="0"/>
              <w:right w:val="single" w:color="auto" w:sz="4" w:space="0"/>
            </w:tcBorders>
            <w:vAlign w:val="center"/>
          </w:tcPr>
          <w:p w14:paraId="34850F81">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Y＜1000</w:t>
            </w:r>
          </w:p>
        </w:tc>
      </w:tr>
      <w:tr w14:paraId="33AE0538">
        <w:tblPrEx>
          <w:tblCellMar>
            <w:top w:w="0" w:type="dxa"/>
            <w:left w:w="108" w:type="dxa"/>
            <w:bottom w:w="0" w:type="dxa"/>
            <w:right w:w="108" w:type="dxa"/>
          </w:tblCellMar>
        </w:tblPrEx>
        <w:trPr>
          <w:trHeight w:val="225" w:hRule="atLeast"/>
          <w:jc w:val="center"/>
        </w:trPr>
        <w:tc>
          <w:tcPr>
            <w:tcW w:w="1904" w:type="dxa"/>
            <w:vMerge w:val="restart"/>
            <w:tcBorders>
              <w:top w:val="nil"/>
              <w:left w:val="single" w:color="auto" w:sz="4" w:space="0"/>
              <w:bottom w:val="single" w:color="auto" w:sz="4" w:space="0"/>
              <w:right w:val="single" w:color="auto" w:sz="4" w:space="0"/>
            </w:tcBorders>
            <w:vAlign w:val="center"/>
          </w:tcPr>
          <w:p w14:paraId="4734E0DA">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零售业</w:t>
            </w:r>
          </w:p>
        </w:tc>
        <w:tc>
          <w:tcPr>
            <w:tcW w:w="1384" w:type="dxa"/>
            <w:tcBorders>
              <w:top w:val="nil"/>
              <w:left w:val="nil"/>
              <w:bottom w:val="single" w:color="auto" w:sz="4" w:space="0"/>
              <w:right w:val="single" w:color="auto" w:sz="4" w:space="0"/>
            </w:tcBorders>
            <w:vAlign w:val="center"/>
          </w:tcPr>
          <w:p w14:paraId="6554E25E">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913" w:type="dxa"/>
            <w:tcBorders>
              <w:top w:val="nil"/>
              <w:left w:val="nil"/>
              <w:bottom w:val="single" w:color="auto" w:sz="4" w:space="0"/>
              <w:right w:val="single" w:color="auto" w:sz="4" w:space="0"/>
            </w:tcBorders>
            <w:vAlign w:val="center"/>
          </w:tcPr>
          <w:p w14:paraId="558EC1E5">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人</w:t>
            </w:r>
          </w:p>
        </w:tc>
        <w:tc>
          <w:tcPr>
            <w:tcW w:w="1966" w:type="dxa"/>
            <w:tcBorders>
              <w:top w:val="nil"/>
              <w:left w:val="nil"/>
              <w:bottom w:val="single" w:color="auto" w:sz="4" w:space="0"/>
              <w:right w:val="single" w:color="auto" w:sz="4" w:space="0"/>
            </w:tcBorders>
            <w:vAlign w:val="center"/>
          </w:tcPr>
          <w:p w14:paraId="509E23C3">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50≤X＜300</w:t>
            </w:r>
          </w:p>
        </w:tc>
        <w:tc>
          <w:tcPr>
            <w:tcW w:w="1743" w:type="dxa"/>
            <w:tcBorders>
              <w:top w:val="nil"/>
              <w:left w:val="nil"/>
              <w:bottom w:val="single" w:color="auto" w:sz="4" w:space="0"/>
              <w:right w:val="single" w:color="auto" w:sz="4" w:space="0"/>
            </w:tcBorders>
            <w:vAlign w:val="center"/>
          </w:tcPr>
          <w:p w14:paraId="74D0DE28">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10≤X＜50</w:t>
            </w:r>
          </w:p>
        </w:tc>
        <w:tc>
          <w:tcPr>
            <w:tcW w:w="1142" w:type="dxa"/>
            <w:tcBorders>
              <w:top w:val="nil"/>
              <w:left w:val="nil"/>
              <w:bottom w:val="single" w:color="auto" w:sz="4" w:space="0"/>
              <w:right w:val="single" w:color="auto" w:sz="4" w:space="0"/>
            </w:tcBorders>
            <w:vAlign w:val="center"/>
          </w:tcPr>
          <w:p w14:paraId="7590271F">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X＜10</w:t>
            </w:r>
          </w:p>
        </w:tc>
      </w:tr>
      <w:tr w14:paraId="05C5DA25">
        <w:tblPrEx>
          <w:tblCellMar>
            <w:top w:w="0" w:type="dxa"/>
            <w:left w:w="108" w:type="dxa"/>
            <w:bottom w:w="0" w:type="dxa"/>
            <w:right w:w="108" w:type="dxa"/>
          </w:tblCellMar>
        </w:tblPrEx>
        <w:trPr>
          <w:trHeight w:val="225" w:hRule="atLeast"/>
          <w:jc w:val="center"/>
        </w:trPr>
        <w:tc>
          <w:tcPr>
            <w:tcW w:w="1904" w:type="dxa"/>
            <w:vMerge w:val="continue"/>
            <w:tcBorders>
              <w:top w:val="nil"/>
              <w:left w:val="single" w:color="auto" w:sz="4" w:space="0"/>
              <w:bottom w:val="single" w:color="auto" w:sz="4" w:space="0"/>
              <w:right w:val="single" w:color="auto" w:sz="4" w:space="0"/>
            </w:tcBorders>
            <w:vAlign w:val="center"/>
          </w:tcPr>
          <w:p w14:paraId="1E92FBE8">
            <w:pPr>
              <w:widowControl/>
              <w:jc w:val="left"/>
              <w:rPr>
                <w:rFonts w:hint="eastAsia" w:ascii="宋体" w:hAnsi="宋体" w:cs="宋体"/>
                <w:b/>
                <w:bCs/>
                <w:color w:val="auto"/>
                <w:kern w:val="0"/>
                <w:szCs w:val="21"/>
                <w:highlight w:val="none"/>
              </w:rPr>
            </w:pPr>
          </w:p>
        </w:tc>
        <w:tc>
          <w:tcPr>
            <w:tcW w:w="1384" w:type="dxa"/>
            <w:tcBorders>
              <w:top w:val="nil"/>
              <w:left w:val="nil"/>
              <w:bottom w:val="single" w:color="auto" w:sz="4" w:space="0"/>
              <w:right w:val="single" w:color="auto" w:sz="4" w:space="0"/>
            </w:tcBorders>
            <w:vAlign w:val="center"/>
          </w:tcPr>
          <w:p w14:paraId="61270B9D">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913" w:type="dxa"/>
            <w:tcBorders>
              <w:top w:val="nil"/>
              <w:left w:val="nil"/>
              <w:bottom w:val="single" w:color="auto" w:sz="4" w:space="0"/>
              <w:right w:val="single" w:color="auto" w:sz="4" w:space="0"/>
            </w:tcBorders>
            <w:vAlign w:val="center"/>
          </w:tcPr>
          <w:p w14:paraId="0B8314E4">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66" w:type="dxa"/>
            <w:tcBorders>
              <w:top w:val="nil"/>
              <w:left w:val="nil"/>
              <w:bottom w:val="single" w:color="auto" w:sz="4" w:space="0"/>
              <w:right w:val="single" w:color="auto" w:sz="4" w:space="0"/>
            </w:tcBorders>
            <w:vAlign w:val="center"/>
          </w:tcPr>
          <w:p w14:paraId="59BC2F9E">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500≤Y＜20000</w:t>
            </w:r>
          </w:p>
        </w:tc>
        <w:tc>
          <w:tcPr>
            <w:tcW w:w="1743" w:type="dxa"/>
            <w:tcBorders>
              <w:top w:val="nil"/>
              <w:left w:val="nil"/>
              <w:bottom w:val="single" w:color="auto" w:sz="4" w:space="0"/>
              <w:right w:val="single" w:color="auto" w:sz="4" w:space="0"/>
            </w:tcBorders>
            <w:vAlign w:val="center"/>
          </w:tcPr>
          <w:p w14:paraId="2388F63A">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100≤Y＜500</w:t>
            </w:r>
          </w:p>
        </w:tc>
        <w:tc>
          <w:tcPr>
            <w:tcW w:w="1142" w:type="dxa"/>
            <w:tcBorders>
              <w:top w:val="nil"/>
              <w:left w:val="nil"/>
              <w:bottom w:val="single" w:color="auto" w:sz="4" w:space="0"/>
              <w:right w:val="single" w:color="auto" w:sz="4" w:space="0"/>
            </w:tcBorders>
            <w:vAlign w:val="center"/>
          </w:tcPr>
          <w:p w14:paraId="0DB3B8C5">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Y＜100</w:t>
            </w:r>
          </w:p>
        </w:tc>
      </w:tr>
      <w:tr w14:paraId="238FF903">
        <w:tblPrEx>
          <w:tblCellMar>
            <w:top w:w="0" w:type="dxa"/>
            <w:left w:w="108" w:type="dxa"/>
            <w:bottom w:w="0" w:type="dxa"/>
            <w:right w:w="108" w:type="dxa"/>
          </w:tblCellMar>
        </w:tblPrEx>
        <w:trPr>
          <w:trHeight w:val="225" w:hRule="atLeast"/>
          <w:jc w:val="center"/>
        </w:trPr>
        <w:tc>
          <w:tcPr>
            <w:tcW w:w="1904" w:type="dxa"/>
            <w:vMerge w:val="restart"/>
            <w:tcBorders>
              <w:top w:val="nil"/>
              <w:left w:val="single" w:color="auto" w:sz="4" w:space="0"/>
              <w:bottom w:val="single" w:color="auto" w:sz="4" w:space="0"/>
              <w:right w:val="single" w:color="auto" w:sz="4" w:space="0"/>
            </w:tcBorders>
            <w:vAlign w:val="center"/>
          </w:tcPr>
          <w:p w14:paraId="1FF93C44">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交通运输业</w:t>
            </w:r>
          </w:p>
        </w:tc>
        <w:tc>
          <w:tcPr>
            <w:tcW w:w="1384" w:type="dxa"/>
            <w:tcBorders>
              <w:top w:val="nil"/>
              <w:left w:val="nil"/>
              <w:bottom w:val="single" w:color="auto" w:sz="4" w:space="0"/>
              <w:right w:val="single" w:color="auto" w:sz="4" w:space="0"/>
            </w:tcBorders>
            <w:vAlign w:val="center"/>
          </w:tcPr>
          <w:p w14:paraId="42CAE0CC">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913" w:type="dxa"/>
            <w:tcBorders>
              <w:top w:val="nil"/>
              <w:left w:val="nil"/>
              <w:bottom w:val="single" w:color="auto" w:sz="4" w:space="0"/>
              <w:right w:val="single" w:color="auto" w:sz="4" w:space="0"/>
            </w:tcBorders>
            <w:vAlign w:val="center"/>
          </w:tcPr>
          <w:p w14:paraId="360A61A7">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人</w:t>
            </w:r>
          </w:p>
        </w:tc>
        <w:tc>
          <w:tcPr>
            <w:tcW w:w="1966" w:type="dxa"/>
            <w:tcBorders>
              <w:top w:val="nil"/>
              <w:left w:val="nil"/>
              <w:bottom w:val="single" w:color="auto" w:sz="4" w:space="0"/>
              <w:right w:val="single" w:color="auto" w:sz="4" w:space="0"/>
            </w:tcBorders>
            <w:vAlign w:val="center"/>
          </w:tcPr>
          <w:p w14:paraId="021D0387">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300≤X＜1000</w:t>
            </w:r>
          </w:p>
        </w:tc>
        <w:tc>
          <w:tcPr>
            <w:tcW w:w="1743" w:type="dxa"/>
            <w:tcBorders>
              <w:top w:val="nil"/>
              <w:left w:val="nil"/>
              <w:bottom w:val="single" w:color="auto" w:sz="4" w:space="0"/>
              <w:right w:val="single" w:color="auto" w:sz="4" w:space="0"/>
            </w:tcBorders>
            <w:vAlign w:val="center"/>
          </w:tcPr>
          <w:p w14:paraId="20531DE9">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20≤X＜300</w:t>
            </w:r>
          </w:p>
        </w:tc>
        <w:tc>
          <w:tcPr>
            <w:tcW w:w="1142" w:type="dxa"/>
            <w:tcBorders>
              <w:top w:val="nil"/>
              <w:left w:val="nil"/>
              <w:bottom w:val="single" w:color="auto" w:sz="4" w:space="0"/>
              <w:right w:val="single" w:color="auto" w:sz="4" w:space="0"/>
            </w:tcBorders>
            <w:vAlign w:val="center"/>
          </w:tcPr>
          <w:p w14:paraId="6D347688">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X＜20</w:t>
            </w:r>
          </w:p>
        </w:tc>
      </w:tr>
      <w:tr w14:paraId="1E8587AA">
        <w:tblPrEx>
          <w:tblCellMar>
            <w:top w:w="0" w:type="dxa"/>
            <w:left w:w="108" w:type="dxa"/>
            <w:bottom w:w="0" w:type="dxa"/>
            <w:right w:w="108" w:type="dxa"/>
          </w:tblCellMar>
        </w:tblPrEx>
        <w:trPr>
          <w:trHeight w:val="225" w:hRule="atLeast"/>
          <w:jc w:val="center"/>
        </w:trPr>
        <w:tc>
          <w:tcPr>
            <w:tcW w:w="1904" w:type="dxa"/>
            <w:vMerge w:val="continue"/>
            <w:tcBorders>
              <w:top w:val="nil"/>
              <w:left w:val="single" w:color="auto" w:sz="4" w:space="0"/>
              <w:bottom w:val="single" w:color="auto" w:sz="4" w:space="0"/>
              <w:right w:val="single" w:color="auto" w:sz="4" w:space="0"/>
            </w:tcBorders>
            <w:vAlign w:val="center"/>
          </w:tcPr>
          <w:p w14:paraId="07F36F70">
            <w:pPr>
              <w:widowControl/>
              <w:jc w:val="left"/>
              <w:rPr>
                <w:rFonts w:hint="eastAsia" w:ascii="宋体" w:hAnsi="宋体" w:cs="宋体"/>
                <w:b/>
                <w:bCs/>
                <w:color w:val="auto"/>
                <w:kern w:val="0"/>
                <w:szCs w:val="21"/>
                <w:highlight w:val="none"/>
              </w:rPr>
            </w:pPr>
          </w:p>
        </w:tc>
        <w:tc>
          <w:tcPr>
            <w:tcW w:w="1384" w:type="dxa"/>
            <w:tcBorders>
              <w:top w:val="nil"/>
              <w:left w:val="nil"/>
              <w:bottom w:val="single" w:color="auto" w:sz="4" w:space="0"/>
              <w:right w:val="single" w:color="auto" w:sz="4" w:space="0"/>
            </w:tcBorders>
            <w:vAlign w:val="center"/>
          </w:tcPr>
          <w:p w14:paraId="7E7B9A72">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913" w:type="dxa"/>
            <w:tcBorders>
              <w:top w:val="nil"/>
              <w:left w:val="nil"/>
              <w:bottom w:val="single" w:color="auto" w:sz="4" w:space="0"/>
              <w:right w:val="single" w:color="auto" w:sz="4" w:space="0"/>
            </w:tcBorders>
            <w:vAlign w:val="center"/>
          </w:tcPr>
          <w:p w14:paraId="0FC95119">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66" w:type="dxa"/>
            <w:tcBorders>
              <w:top w:val="nil"/>
              <w:left w:val="nil"/>
              <w:bottom w:val="single" w:color="auto" w:sz="4" w:space="0"/>
              <w:right w:val="single" w:color="auto" w:sz="4" w:space="0"/>
            </w:tcBorders>
            <w:vAlign w:val="center"/>
          </w:tcPr>
          <w:p w14:paraId="6F4FC6FA">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3000≤Y＜30000</w:t>
            </w:r>
          </w:p>
        </w:tc>
        <w:tc>
          <w:tcPr>
            <w:tcW w:w="1743" w:type="dxa"/>
            <w:tcBorders>
              <w:top w:val="nil"/>
              <w:left w:val="nil"/>
              <w:bottom w:val="single" w:color="auto" w:sz="4" w:space="0"/>
              <w:right w:val="single" w:color="auto" w:sz="4" w:space="0"/>
            </w:tcBorders>
            <w:vAlign w:val="center"/>
          </w:tcPr>
          <w:p w14:paraId="6CF267FD">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200≤Y＜3000</w:t>
            </w:r>
          </w:p>
        </w:tc>
        <w:tc>
          <w:tcPr>
            <w:tcW w:w="1142" w:type="dxa"/>
            <w:tcBorders>
              <w:top w:val="nil"/>
              <w:left w:val="nil"/>
              <w:bottom w:val="single" w:color="auto" w:sz="4" w:space="0"/>
              <w:right w:val="single" w:color="auto" w:sz="4" w:space="0"/>
            </w:tcBorders>
            <w:vAlign w:val="center"/>
          </w:tcPr>
          <w:p w14:paraId="41C198A1">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Y＜200</w:t>
            </w:r>
          </w:p>
        </w:tc>
      </w:tr>
      <w:tr w14:paraId="0FB20144">
        <w:tblPrEx>
          <w:tblCellMar>
            <w:top w:w="0" w:type="dxa"/>
            <w:left w:w="108" w:type="dxa"/>
            <w:bottom w:w="0" w:type="dxa"/>
            <w:right w:w="108" w:type="dxa"/>
          </w:tblCellMar>
        </w:tblPrEx>
        <w:trPr>
          <w:trHeight w:val="225" w:hRule="atLeast"/>
          <w:jc w:val="center"/>
        </w:trPr>
        <w:tc>
          <w:tcPr>
            <w:tcW w:w="1904" w:type="dxa"/>
            <w:vMerge w:val="restart"/>
            <w:tcBorders>
              <w:top w:val="nil"/>
              <w:left w:val="single" w:color="auto" w:sz="4" w:space="0"/>
              <w:bottom w:val="single" w:color="auto" w:sz="4" w:space="0"/>
              <w:right w:val="single" w:color="auto" w:sz="4" w:space="0"/>
            </w:tcBorders>
            <w:vAlign w:val="center"/>
          </w:tcPr>
          <w:p w14:paraId="7DBE8DA9">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仓储业</w:t>
            </w:r>
          </w:p>
        </w:tc>
        <w:tc>
          <w:tcPr>
            <w:tcW w:w="1384" w:type="dxa"/>
            <w:tcBorders>
              <w:top w:val="nil"/>
              <w:left w:val="nil"/>
              <w:bottom w:val="single" w:color="auto" w:sz="4" w:space="0"/>
              <w:right w:val="single" w:color="auto" w:sz="4" w:space="0"/>
            </w:tcBorders>
            <w:vAlign w:val="center"/>
          </w:tcPr>
          <w:p w14:paraId="56DC660C">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913" w:type="dxa"/>
            <w:tcBorders>
              <w:top w:val="nil"/>
              <w:left w:val="nil"/>
              <w:bottom w:val="single" w:color="auto" w:sz="4" w:space="0"/>
              <w:right w:val="single" w:color="auto" w:sz="4" w:space="0"/>
            </w:tcBorders>
            <w:vAlign w:val="center"/>
          </w:tcPr>
          <w:p w14:paraId="6B348E20">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人</w:t>
            </w:r>
          </w:p>
        </w:tc>
        <w:tc>
          <w:tcPr>
            <w:tcW w:w="1966" w:type="dxa"/>
            <w:tcBorders>
              <w:top w:val="nil"/>
              <w:left w:val="nil"/>
              <w:bottom w:val="single" w:color="auto" w:sz="4" w:space="0"/>
              <w:right w:val="single" w:color="auto" w:sz="4" w:space="0"/>
            </w:tcBorders>
            <w:vAlign w:val="center"/>
          </w:tcPr>
          <w:p w14:paraId="516B6AF6">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100≤X＜200</w:t>
            </w:r>
          </w:p>
        </w:tc>
        <w:tc>
          <w:tcPr>
            <w:tcW w:w="1743" w:type="dxa"/>
            <w:tcBorders>
              <w:top w:val="nil"/>
              <w:left w:val="nil"/>
              <w:bottom w:val="single" w:color="auto" w:sz="4" w:space="0"/>
              <w:right w:val="single" w:color="auto" w:sz="4" w:space="0"/>
            </w:tcBorders>
            <w:vAlign w:val="center"/>
          </w:tcPr>
          <w:p w14:paraId="33D9D1F2">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20≤X＜100</w:t>
            </w:r>
          </w:p>
        </w:tc>
        <w:tc>
          <w:tcPr>
            <w:tcW w:w="1142" w:type="dxa"/>
            <w:tcBorders>
              <w:top w:val="nil"/>
              <w:left w:val="nil"/>
              <w:bottom w:val="single" w:color="auto" w:sz="4" w:space="0"/>
              <w:right w:val="single" w:color="auto" w:sz="4" w:space="0"/>
            </w:tcBorders>
            <w:vAlign w:val="center"/>
          </w:tcPr>
          <w:p w14:paraId="06100446">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X＜20</w:t>
            </w:r>
          </w:p>
        </w:tc>
      </w:tr>
      <w:tr w14:paraId="26A26A00">
        <w:tblPrEx>
          <w:tblCellMar>
            <w:top w:w="0" w:type="dxa"/>
            <w:left w:w="108" w:type="dxa"/>
            <w:bottom w:w="0" w:type="dxa"/>
            <w:right w:w="108" w:type="dxa"/>
          </w:tblCellMar>
        </w:tblPrEx>
        <w:trPr>
          <w:trHeight w:val="225" w:hRule="atLeast"/>
          <w:jc w:val="center"/>
        </w:trPr>
        <w:tc>
          <w:tcPr>
            <w:tcW w:w="1904" w:type="dxa"/>
            <w:vMerge w:val="continue"/>
            <w:tcBorders>
              <w:top w:val="nil"/>
              <w:left w:val="single" w:color="auto" w:sz="4" w:space="0"/>
              <w:bottom w:val="single" w:color="auto" w:sz="4" w:space="0"/>
              <w:right w:val="single" w:color="auto" w:sz="4" w:space="0"/>
            </w:tcBorders>
            <w:vAlign w:val="center"/>
          </w:tcPr>
          <w:p w14:paraId="72776DF7">
            <w:pPr>
              <w:widowControl/>
              <w:jc w:val="left"/>
              <w:rPr>
                <w:rFonts w:hint="eastAsia" w:ascii="宋体" w:hAnsi="宋体" w:cs="宋体"/>
                <w:b/>
                <w:bCs/>
                <w:color w:val="auto"/>
                <w:kern w:val="0"/>
                <w:szCs w:val="21"/>
                <w:highlight w:val="none"/>
              </w:rPr>
            </w:pPr>
          </w:p>
        </w:tc>
        <w:tc>
          <w:tcPr>
            <w:tcW w:w="1384" w:type="dxa"/>
            <w:tcBorders>
              <w:top w:val="nil"/>
              <w:left w:val="nil"/>
              <w:bottom w:val="single" w:color="auto" w:sz="4" w:space="0"/>
              <w:right w:val="single" w:color="auto" w:sz="4" w:space="0"/>
            </w:tcBorders>
            <w:vAlign w:val="center"/>
          </w:tcPr>
          <w:p w14:paraId="184FEE99">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913" w:type="dxa"/>
            <w:tcBorders>
              <w:top w:val="nil"/>
              <w:left w:val="nil"/>
              <w:bottom w:val="single" w:color="auto" w:sz="4" w:space="0"/>
              <w:right w:val="single" w:color="auto" w:sz="4" w:space="0"/>
            </w:tcBorders>
            <w:vAlign w:val="center"/>
          </w:tcPr>
          <w:p w14:paraId="401A1AC5">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66" w:type="dxa"/>
            <w:tcBorders>
              <w:top w:val="nil"/>
              <w:left w:val="nil"/>
              <w:bottom w:val="single" w:color="auto" w:sz="4" w:space="0"/>
              <w:right w:val="single" w:color="auto" w:sz="4" w:space="0"/>
            </w:tcBorders>
            <w:vAlign w:val="center"/>
          </w:tcPr>
          <w:p w14:paraId="6FAB6249">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1000≤Y＜30000</w:t>
            </w:r>
          </w:p>
        </w:tc>
        <w:tc>
          <w:tcPr>
            <w:tcW w:w="1743" w:type="dxa"/>
            <w:tcBorders>
              <w:top w:val="nil"/>
              <w:left w:val="nil"/>
              <w:bottom w:val="single" w:color="auto" w:sz="4" w:space="0"/>
              <w:right w:val="single" w:color="auto" w:sz="4" w:space="0"/>
            </w:tcBorders>
            <w:vAlign w:val="center"/>
          </w:tcPr>
          <w:p w14:paraId="1A6BA7F7">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100≤Y＜1000</w:t>
            </w:r>
          </w:p>
        </w:tc>
        <w:tc>
          <w:tcPr>
            <w:tcW w:w="1142" w:type="dxa"/>
            <w:tcBorders>
              <w:top w:val="nil"/>
              <w:left w:val="nil"/>
              <w:bottom w:val="single" w:color="auto" w:sz="4" w:space="0"/>
              <w:right w:val="single" w:color="auto" w:sz="4" w:space="0"/>
            </w:tcBorders>
            <w:vAlign w:val="center"/>
          </w:tcPr>
          <w:p w14:paraId="08DD2CD9">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Y＜100</w:t>
            </w:r>
          </w:p>
        </w:tc>
      </w:tr>
      <w:tr w14:paraId="1A1156AE">
        <w:tblPrEx>
          <w:tblCellMar>
            <w:top w:w="0" w:type="dxa"/>
            <w:left w:w="108" w:type="dxa"/>
            <w:bottom w:w="0" w:type="dxa"/>
            <w:right w:w="108" w:type="dxa"/>
          </w:tblCellMar>
        </w:tblPrEx>
        <w:trPr>
          <w:trHeight w:val="225" w:hRule="atLeast"/>
          <w:jc w:val="center"/>
        </w:trPr>
        <w:tc>
          <w:tcPr>
            <w:tcW w:w="1904" w:type="dxa"/>
            <w:vMerge w:val="restart"/>
            <w:tcBorders>
              <w:top w:val="nil"/>
              <w:left w:val="single" w:color="auto" w:sz="4" w:space="0"/>
              <w:bottom w:val="single" w:color="auto" w:sz="4" w:space="0"/>
              <w:right w:val="single" w:color="auto" w:sz="4" w:space="0"/>
            </w:tcBorders>
            <w:vAlign w:val="center"/>
          </w:tcPr>
          <w:p w14:paraId="0F2AD920">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邮政业</w:t>
            </w:r>
          </w:p>
        </w:tc>
        <w:tc>
          <w:tcPr>
            <w:tcW w:w="1384" w:type="dxa"/>
            <w:tcBorders>
              <w:top w:val="nil"/>
              <w:left w:val="nil"/>
              <w:bottom w:val="single" w:color="auto" w:sz="4" w:space="0"/>
              <w:right w:val="single" w:color="auto" w:sz="4" w:space="0"/>
            </w:tcBorders>
            <w:vAlign w:val="center"/>
          </w:tcPr>
          <w:p w14:paraId="733D3D56">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913" w:type="dxa"/>
            <w:tcBorders>
              <w:top w:val="nil"/>
              <w:left w:val="nil"/>
              <w:bottom w:val="single" w:color="auto" w:sz="4" w:space="0"/>
              <w:right w:val="single" w:color="auto" w:sz="4" w:space="0"/>
            </w:tcBorders>
            <w:vAlign w:val="center"/>
          </w:tcPr>
          <w:p w14:paraId="30E7AC68">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人</w:t>
            </w:r>
          </w:p>
        </w:tc>
        <w:tc>
          <w:tcPr>
            <w:tcW w:w="1966" w:type="dxa"/>
            <w:tcBorders>
              <w:top w:val="nil"/>
              <w:left w:val="nil"/>
              <w:bottom w:val="single" w:color="auto" w:sz="4" w:space="0"/>
              <w:right w:val="single" w:color="auto" w:sz="4" w:space="0"/>
            </w:tcBorders>
            <w:vAlign w:val="center"/>
          </w:tcPr>
          <w:p w14:paraId="42FAB592">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300≤X＜1000</w:t>
            </w:r>
          </w:p>
        </w:tc>
        <w:tc>
          <w:tcPr>
            <w:tcW w:w="1743" w:type="dxa"/>
            <w:tcBorders>
              <w:top w:val="nil"/>
              <w:left w:val="nil"/>
              <w:bottom w:val="single" w:color="auto" w:sz="4" w:space="0"/>
              <w:right w:val="single" w:color="auto" w:sz="4" w:space="0"/>
            </w:tcBorders>
            <w:vAlign w:val="center"/>
          </w:tcPr>
          <w:p w14:paraId="47039052">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20≤X＜300</w:t>
            </w:r>
          </w:p>
        </w:tc>
        <w:tc>
          <w:tcPr>
            <w:tcW w:w="1142" w:type="dxa"/>
            <w:tcBorders>
              <w:top w:val="nil"/>
              <w:left w:val="nil"/>
              <w:bottom w:val="single" w:color="auto" w:sz="4" w:space="0"/>
              <w:right w:val="single" w:color="auto" w:sz="4" w:space="0"/>
            </w:tcBorders>
            <w:vAlign w:val="center"/>
          </w:tcPr>
          <w:p w14:paraId="19DE6649">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X＜20</w:t>
            </w:r>
          </w:p>
        </w:tc>
      </w:tr>
      <w:tr w14:paraId="54C9E6C6">
        <w:tblPrEx>
          <w:tblCellMar>
            <w:top w:w="0" w:type="dxa"/>
            <w:left w:w="108" w:type="dxa"/>
            <w:bottom w:w="0" w:type="dxa"/>
            <w:right w:w="108" w:type="dxa"/>
          </w:tblCellMar>
        </w:tblPrEx>
        <w:trPr>
          <w:trHeight w:val="225" w:hRule="atLeast"/>
          <w:jc w:val="center"/>
        </w:trPr>
        <w:tc>
          <w:tcPr>
            <w:tcW w:w="1904" w:type="dxa"/>
            <w:vMerge w:val="continue"/>
            <w:tcBorders>
              <w:top w:val="nil"/>
              <w:left w:val="single" w:color="auto" w:sz="4" w:space="0"/>
              <w:bottom w:val="single" w:color="auto" w:sz="4" w:space="0"/>
              <w:right w:val="single" w:color="auto" w:sz="4" w:space="0"/>
            </w:tcBorders>
            <w:vAlign w:val="center"/>
          </w:tcPr>
          <w:p w14:paraId="0D04BA66">
            <w:pPr>
              <w:widowControl/>
              <w:jc w:val="left"/>
              <w:rPr>
                <w:rFonts w:hint="eastAsia" w:ascii="宋体" w:hAnsi="宋体" w:cs="宋体"/>
                <w:b/>
                <w:bCs/>
                <w:color w:val="auto"/>
                <w:kern w:val="0"/>
                <w:szCs w:val="21"/>
                <w:highlight w:val="none"/>
              </w:rPr>
            </w:pPr>
          </w:p>
        </w:tc>
        <w:tc>
          <w:tcPr>
            <w:tcW w:w="1384" w:type="dxa"/>
            <w:tcBorders>
              <w:top w:val="nil"/>
              <w:left w:val="nil"/>
              <w:bottom w:val="single" w:color="auto" w:sz="4" w:space="0"/>
              <w:right w:val="single" w:color="auto" w:sz="4" w:space="0"/>
            </w:tcBorders>
            <w:vAlign w:val="center"/>
          </w:tcPr>
          <w:p w14:paraId="25F83FFA">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913" w:type="dxa"/>
            <w:tcBorders>
              <w:top w:val="nil"/>
              <w:left w:val="nil"/>
              <w:bottom w:val="single" w:color="auto" w:sz="4" w:space="0"/>
              <w:right w:val="single" w:color="auto" w:sz="4" w:space="0"/>
            </w:tcBorders>
            <w:vAlign w:val="center"/>
          </w:tcPr>
          <w:p w14:paraId="196FB4CB">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66" w:type="dxa"/>
            <w:tcBorders>
              <w:top w:val="nil"/>
              <w:left w:val="nil"/>
              <w:bottom w:val="single" w:color="auto" w:sz="4" w:space="0"/>
              <w:right w:val="single" w:color="auto" w:sz="4" w:space="0"/>
            </w:tcBorders>
            <w:vAlign w:val="center"/>
          </w:tcPr>
          <w:p w14:paraId="4F5B1148">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2000≤Y＜30000</w:t>
            </w:r>
          </w:p>
        </w:tc>
        <w:tc>
          <w:tcPr>
            <w:tcW w:w="1743" w:type="dxa"/>
            <w:tcBorders>
              <w:top w:val="nil"/>
              <w:left w:val="nil"/>
              <w:bottom w:val="single" w:color="auto" w:sz="4" w:space="0"/>
              <w:right w:val="single" w:color="auto" w:sz="4" w:space="0"/>
            </w:tcBorders>
            <w:vAlign w:val="center"/>
          </w:tcPr>
          <w:p w14:paraId="371492A1">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100≤Y＜2000</w:t>
            </w:r>
          </w:p>
        </w:tc>
        <w:tc>
          <w:tcPr>
            <w:tcW w:w="1142" w:type="dxa"/>
            <w:tcBorders>
              <w:top w:val="nil"/>
              <w:left w:val="nil"/>
              <w:bottom w:val="single" w:color="auto" w:sz="4" w:space="0"/>
              <w:right w:val="single" w:color="auto" w:sz="4" w:space="0"/>
            </w:tcBorders>
            <w:vAlign w:val="center"/>
          </w:tcPr>
          <w:p w14:paraId="411B0F69">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Y＜100</w:t>
            </w:r>
          </w:p>
        </w:tc>
      </w:tr>
      <w:tr w14:paraId="7631B6D5">
        <w:tblPrEx>
          <w:tblCellMar>
            <w:top w:w="0" w:type="dxa"/>
            <w:left w:w="108" w:type="dxa"/>
            <w:bottom w:w="0" w:type="dxa"/>
            <w:right w:w="108" w:type="dxa"/>
          </w:tblCellMar>
        </w:tblPrEx>
        <w:trPr>
          <w:trHeight w:val="225" w:hRule="atLeast"/>
          <w:jc w:val="center"/>
        </w:trPr>
        <w:tc>
          <w:tcPr>
            <w:tcW w:w="1904" w:type="dxa"/>
            <w:vMerge w:val="restart"/>
            <w:tcBorders>
              <w:top w:val="nil"/>
              <w:left w:val="single" w:color="auto" w:sz="4" w:space="0"/>
              <w:bottom w:val="single" w:color="auto" w:sz="4" w:space="0"/>
              <w:right w:val="single" w:color="auto" w:sz="4" w:space="0"/>
            </w:tcBorders>
            <w:vAlign w:val="center"/>
          </w:tcPr>
          <w:p w14:paraId="55BDED74">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住宿业</w:t>
            </w:r>
          </w:p>
        </w:tc>
        <w:tc>
          <w:tcPr>
            <w:tcW w:w="1384" w:type="dxa"/>
            <w:tcBorders>
              <w:top w:val="nil"/>
              <w:left w:val="nil"/>
              <w:bottom w:val="single" w:color="auto" w:sz="4" w:space="0"/>
              <w:right w:val="single" w:color="auto" w:sz="4" w:space="0"/>
            </w:tcBorders>
            <w:vAlign w:val="center"/>
          </w:tcPr>
          <w:p w14:paraId="73BE8384">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913" w:type="dxa"/>
            <w:tcBorders>
              <w:top w:val="nil"/>
              <w:left w:val="nil"/>
              <w:bottom w:val="single" w:color="auto" w:sz="4" w:space="0"/>
              <w:right w:val="single" w:color="auto" w:sz="4" w:space="0"/>
            </w:tcBorders>
            <w:vAlign w:val="center"/>
          </w:tcPr>
          <w:p w14:paraId="4D05C02D">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人</w:t>
            </w:r>
          </w:p>
        </w:tc>
        <w:tc>
          <w:tcPr>
            <w:tcW w:w="1966" w:type="dxa"/>
            <w:tcBorders>
              <w:top w:val="nil"/>
              <w:left w:val="nil"/>
              <w:bottom w:val="single" w:color="auto" w:sz="4" w:space="0"/>
              <w:right w:val="single" w:color="auto" w:sz="4" w:space="0"/>
            </w:tcBorders>
            <w:vAlign w:val="center"/>
          </w:tcPr>
          <w:p w14:paraId="4F24A0F6">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100≤X＜300</w:t>
            </w:r>
          </w:p>
        </w:tc>
        <w:tc>
          <w:tcPr>
            <w:tcW w:w="1743" w:type="dxa"/>
            <w:tcBorders>
              <w:top w:val="nil"/>
              <w:left w:val="nil"/>
              <w:bottom w:val="single" w:color="auto" w:sz="4" w:space="0"/>
              <w:right w:val="single" w:color="auto" w:sz="4" w:space="0"/>
            </w:tcBorders>
            <w:vAlign w:val="center"/>
          </w:tcPr>
          <w:p w14:paraId="06320894">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10≤X＜100</w:t>
            </w:r>
          </w:p>
        </w:tc>
        <w:tc>
          <w:tcPr>
            <w:tcW w:w="1142" w:type="dxa"/>
            <w:tcBorders>
              <w:top w:val="nil"/>
              <w:left w:val="nil"/>
              <w:bottom w:val="single" w:color="auto" w:sz="4" w:space="0"/>
              <w:right w:val="single" w:color="auto" w:sz="4" w:space="0"/>
            </w:tcBorders>
            <w:vAlign w:val="center"/>
          </w:tcPr>
          <w:p w14:paraId="7E8903AB">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X＜10</w:t>
            </w:r>
          </w:p>
        </w:tc>
      </w:tr>
      <w:tr w14:paraId="39362CC4">
        <w:tblPrEx>
          <w:tblCellMar>
            <w:top w:w="0" w:type="dxa"/>
            <w:left w:w="108" w:type="dxa"/>
            <w:bottom w:w="0" w:type="dxa"/>
            <w:right w:w="108" w:type="dxa"/>
          </w:tblCellMar>
        </w:tblPrEx>
        <w:trPr>
          <w:trHeight w:val="225" w:hRule="atLeast"/>
          <w:jc w:val="center"/>
        </w:trPr>
        <w:tc>
          <w:tcPr>
            <w:tcW w:w="1904" w:type="dxa"/>
            <w:vMerge w:val="continue"/>
            <w:tcBorders>
              <w:top w:val="nil"/>
              <w:left w:val="single" w:color="auto" w:sz="4" w:space="0"/>
              <w:bottom w:val="single" w:color="auto" w:sz="4" w:space="0"/>
              <w:right w:val="single" w:color="auto" w:sz="4" w:space="0"/>
            </w:tcBorders>
            <w:vAlign w:val="center"/>
          </w:tcPr>
          <w:p w14:paraId="0DD52A7C">
            <w:pPr>
              <w:widowControl/>
              <w:jc w:val="left"/>
              <w:rPr>
                <w:rFonts w:hint="eastAsia" w:ascii="宋体" w:hAnsi="宋体" w:cs="宋体"/>
                <w:b/>
                <w:bCs/>
                <w:color w:val="auto"/>
                <w:kern w:val="0"/>
                <w:szCs w:val="21"/>
                <w:highlight w:val="none"/>
              </w:rPr>
            </w:pPr>
          </w:p>
        </w:tc>
        <w:tc>
          <w:tcPr>
            <w:tcW w:w="1384" w:type="dxa"/>
            <w:tcBorders>
              <w:top w:val="nil"/>
              <w:left w:val="nil"/>
              <w:bottom w:val="single" w:color="auto" w:sz="4" w:space="0"/>
              <w:right w:val="single" w:color="auto" w:sz="4" w:space="0"/>
            </w:tcBorders>
            <w:vAlign w:val="center"/>
          </w:tcPr>
          <w:p w14:paraId="59C826A4">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913" w:type="dxa"/>
            <w:tcBorders>
              <w:top w:val="nil"/>
              <w:left w:val="nil"/>
              <w:bottom w:val="single" w:color="auto" w:sz="4" w:space="0"/>
              <w:right w:val="single" w:color="auto" w:sz="4" w:space="0"/>
            </w:tcBorders>
            <w:vAlign w:val="center"/>
          </w:tcPr>
          <w:p w14:paraId="4C6D56A8">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66" w:type="dxa"/>
            <w:tcBorders>
              <w:top w:val="nil"/>
              <w:left w:val="nil"/>
              <w:bottom w:val="single" w:color="auto" w:sz="4" w:space="0"/>
              <w:right w:val="single" w:color="auto" w:sz="4" w:space="0"/>
            </w:tcBorders>
            <w:vAlign w:val="center"/>
          </w:tcPr>
          <w:p w14:paraId="4191151A">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2000≤Y＜10000</w:t>
            </w:r>
          </w:p>
        </w:tc>
        <w:tc>
          <w:tcPr>
            <w:tcW w:w="1743" w:type="dxa"/>
            <w:tcBorders>
              <w:top w:val="nil"/>
              <w:left w:val="nil"/>
              <w:bottom w:val="single" w:color="auto" w:sz="4" w:space="0"/>
              <w:right w:val="single" w:color="auto" w:sz="4" w:space="0"/>
            </w:tcBorders>
            <w:vAlign w:val="center"/>
          </w:tcPr>
          <w:p w14:paraId="66D851EC">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100≤Y＜2000</w:t>
            </w:r>
          </w:p>
        </w:tc>
        <w:tc>
          <w:tcPr>
            <w:tcW w:w="1142" w:type="dxa"/>
            <w:tcBorders>
              <w:top w:val="nil"/>
              <w:left w:val="nil"/>
              <w:bottom w:val="single" w:color="auto" w:sz="4" w:space="0"/>
              <w:right w:val="single" w:color="auto" w:sz="4" w:space="0"/>
            </w:tcBorders>
            <w:vAlign w:val="center"/>
          </w:tcPr>
          <w:p w14:paraId="3642B311">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Y＜100</w:t>
            </w:r>
          </w:p>
        </w:tc>
      </w:tr>
      <w:tr w14:paraId="7C5E8CC9">
        <w:tblPrEx>
          <w:tblCellMar>
            <w:top w:w="0" w:type="dxa"/>
            <w:left w:w="108" w:type="dxa"/>
            <w:bottom w:w="0" w:type="dxa"/>
            <w:right w:w="108" w:type="dxa"/>
          </w:tblCellMar>
        </w:tblPrEx>
        <w:trPr>
          <w:trHeight w:val="225" w:hRule="atLeast"/>
          <w:jc w:val="center"/>
        </w:trPr>
        <w:tc>
          <w:tcPr>
            <w:tcW w:w="1904" w:type="dxa"/>
            <w:vMerge w:val="restart"/>
            <w:tcBorders>
              <w:top w:val="nil"/>
              <w:left w:val="single" w:color="auto" w:sz="4" w:space="0"/>
              <w:bottom w:val="single" w:color="auto" w:sz="4" w:space="0"/>
              <w:right w:val="single" w:color="auto" w:sz="4" w:space="0"/>
            </w:tcBorders>
            <w:vAlign w:val="center"/>
          </w:tcPr>
          <w:p w14:paraId="415E44C0">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餐饮业</w:t>
            </w:r>
          </w:p>
        </w:tc>
        <w:tc>
          <w:tcPr>
            <w:tcW w:w="1384" w:type="dxa"/>
            <w:tcBorders>
              <w:top w:val="nil"/>
              <w:left w:val="nil"/>
              <w:bottom w:val="single" w:color="auto" w:sz="4" w:space="0"/>
              <w:right w:val="single" w:color="auto" w:sz="4" w:space="0"/>
            </w:tcBorders>
            <w:vAlign w:val="center"/>
          </w:tcPr>
          <w:p w14:paraId="64549E96">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913" w:type="dxa"/>
            <w:tcBorders>
              <w:top w:val="nil"/>
              <w:left w:val="nil"/>
              <w:bottom w:val="single" w:color="auto" w:sz="4" w:space="0"/>
              <w:right w:val="single" w:color="auto" w:sz="4" w:space="0"/>
            </w:tcBorders>
            <w:vAlign w:val="center"/>
          </w:tcPr>
          <w:p w14:paraId="58AE7E46">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人</w:t>
            </w:r>
          </w:p>
        </w:tc>
        <w:tc>
          <w:tcPr>
            <w:tcW w:w="1966" w:type="dxa"/>
            <w:tcBorders>
              <w:top w:val="nil"/>
              <w:left w:val="nil"/>
              <w:bottom w:val="single" w:color="auto" w:sz="4" w:space="0"/>
              <w:right w:val="single" w:color="auto" w:sz="4" w:space="0"/>
            </w:tcBorders>
            <w:vAlign w:val="center"/>
          </w:tcPr>
          <w:p w14:paraId="7B93E24A">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100≤X＜300</w:t>
            </w:r>
          </w:p>
        </w:tc>
        <w:tc>
          <w:tcPr>
            <w:tcW w:w="1743" w:type="dxa"/>
            <w:tcBorders>
              <w:top w:val="nil"/>
              <w:left w:val="nil"/>
              <w:bottom w:val="single" w:color="auto" w:sz="4" w:space="0"/>
              <w:right w:val="single" w:color="auto" w:sz="4" w:space="0"/>
            </w:tcBorders>
            <w:vAlign w:val="center"/>
          </w:tcPr>
          <w:p w14:paraId="7C5E3ED5">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10≤X＜100</w:t>
            </w:r>
          </w:p>
        </w:tc>
        <w:tc>
          <w:tcPr>
            <w:tcW w:w="1142" w:type="dxa"/>
            <w:tcBorders>
              <w:top w:val="nil"/>
              <w:left w:val="nil"/>
              <w:bottom w:val="single" w:color="auto" w:sz="4" w:space="0"/>
              <w:right w:val="single" w:color="auto" w:sz="4" w:space="0"/>
            </w:tcBorders>
            <w:vAlign w:val="center"/>
          </w:tcPr>
          <w:p w14:paraId="76413378">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X＜10</w:t>
            </w:r>
          </w:p>
        </w:tc>
      </w:tr>
      <w:tr w14:paraId="39958FA7">
        <w:tblPrEx>
          <w:tblCellMar>
            <w:top w:w="0" w:type="dxa"/>
            <w:left w:w="108" w:type="dxa"/>
            <w:bottom w:w="0" w:type="dxa"/>
            <w:right w:w="108" w:type="dxa"/>
          </w:tblCellMar>
        </w:tblPrEx>
        <w:trPr>
          <w:trHeight w:val="225" w:hRule="atLeast"/>
          <w:jc w:val="center"/>
        </w:trPr>
        <w:tc>
          <w:tcPr>
            <w:tcW w:w="1904" w:type="dxa"/>
            <w:vMerge w:val="continue"/>
            <w:tcBorders>
              <w:top w:val="nil"/>
              <w:left w:val="single" w:color="auto" w:sz="4" w:space="0"/>
              <w:bottom w:val="single" w:color="auto" w:sz="4" w:space="0"/>
              <w:right w:val="single" w:color="auto" w:sz="4" w:space="0"/>
            </w:tcBorders>
            <w:vAlign w:val="center"/>
          </w:tcPr>
          <w:p w14:paraId="23AD4DB2">
            <w:pPr>
              <w:widowControl/>
              <w:jc w:val="left"/>
              <w:rPr>
                <w:rFonts w:hint="eastAsia" w:ascii="宋体" w:hAnsi="宋体" w:cs="宋体"/>
                <w:b/>
                <w:bCs/>
                <w:color w:val="auto"/>
                <w:kern w:val="0"/>
                <w:szCs w:val="21"/>
                <w:highlight w:val="none"/>
              </w:rPr>
            </w:pPr>
          </w:p>
        </w:tc>
        <w:tc>
          <w:tcPr>
            <w:tcW w:w="1384" w:type="dxa"/>
            <w:tcBorders>
              <w:top w:val="nil"/>
              <w:left w:val="nil"/>
              <w:bottom w:val="single" w:color="auto" w:sz="4" w:space="0"/>
              <w:right w:val="single" w:color="auto" w:sz="4" w:space="0"/>
            </w:tcBorders>
            <w:vAlign w:val="center"/>
          </w:tcPr>
          <w:p w14:paraId="1838B240">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913" w:type="dxa"/>
            <w:tcBorders>
              <w:top w:val="nil"/>
              <w:left w:val="nil"/>
              <w:bottom w:val="single" w:color="auto" w:sz="4" w:space="0"/>
              <w:right w:val="single" w:color="auto" w:sz="4" w:space="0"/>
            </w:tcBorders>
            <w:vAlign w:val="center"/>
          </w:tcPr>
          <w:p w14:paraId="08D9D523">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66" w:type="dxa"/>
            <w:tcBorders>
              <w:top w:val="nil"/>
              <w:left w:val="nil"/>
              <w:bottom w:val="single" w:color="auto" w:sz="4" w:space="0"/>
              <w:right w:val="single" w:color="auto" w:sz="4" w:space="0"/>
            </w:tcBorders>
            <w:vAlign w:val="center"/>
          </w:tcPr>
          <w:p w14:paraId="0969FD1A">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2000≤Y＜10000</w:t>
            </w:r>
          </w:p>
        </w:tc>
        <w:tc>
          <w:tcPr>
            <w:tcW w:w="1743" w:type="dxa"/>
            <w:tcBorders>
              <w:top w:val="nil"/>
              <w:left w:val="nil"/>
              <w:bottom w:val="single" w:color="auto" w:sz="4" w:space="0"/>
              <w:right w:val="single" w:color="auto" w:sz="4" w:space="0"/>
            </w:tcBorders>
            <w:vAlign w:val="center"/>
          </w:tcPr>
          <w:p w14:paraId="7D0599DF">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100≤Y＜2000</w:t>
            </w:r>
          </w:p>
        </w:tc>
        <w:tc>
          <w:tcPr>
            <w:tcW w:w="1142" w:type="dxa"/>
            <w:tcBorders>
              <w:top w:val="nil"/>
              <w:left w:val="nil"/>
              <w:bottom w:val="single" w:color="auto" w:sz="4" w:space="0"/>
              <w:right w:val="single" w:color="auto" w:sz="4" w:space="0"/>
            </w:tcBorders>
            <w:vAlign w:val="center"/>
          </w:tcPr>
          <w:p w14:paraId="42E9BA71">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Y＜100</w:t>
            </w:r>
          </w:p>
        </w:tc>
      </w:tr>
      <w:tr w14:paraId="7312E76E">
        <w:tblPrEx>
          <w:tblCellMar>
            <w:top w:w="0" w:type="dxa"/>
            <w:left w:w="108" w:type="dxa"/>
            <w:bottom w:w="0" w:type="dxa"/>
            <w:right w:w="108" w:type="dxa"/>
          </w:tblCellMar>
        </w:tblPrEx>
        <w:trPr>
          <w:trHeight w:val="225" w:hRule="atLeast"/>
          <w:jc w:val="center"/>
        </w:trPr>
        <w:tc>
          <w:tcPr>
            <w:tcW w:w="1904" w:type="dxa"/>
            <w:vMerge w:val="restart"/>
            <w:tcBorders>
              <w:top w:val="nil"/>
              <w:left w:val="single" w:color="auto" w:sz="4" w:space="0"/>
              <w:bottom w:val="single" w:color="auto" w:sz="4" w:space="0"/>
              <w:right w:val="single" w:color="auto" w:sz="4" w:space="0"/>
            </w:tcBorders>
            <w:vAlign w:val="center"/>
          </w:tcPr>
          <w:p w14:paraId="12B51C7A">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信息传输业</w:t>
            </w:r>
          </w:p>
        </w:tc>
        <w:tc>
          <w:tcPr>
            <w:tcW w:w="1384" w:type="dxa"/>
            <w:tcBorders>
              <w:top w:val="nil"/>
              <w:left w:val="nil"/>
              <w:bottom w:val="single" w:color="auto" w:sz="4" w:space="0"/>
              <w:right w:val="single" w:color="auto" w:sz="4" w:space="0"/>
            </w:tcBorders>
            <w:vAlign w:val="center"/>
          </w:tcPr>
          <w:p w14:paraId="17CA572C">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913" w:type="dxa"/>
            <w:tcBorders>
              <w:top w:val="nil"/>
              <w:left w:val="nil"/>
              <w:bottom w:val="single" w:color="auto" w:sz="4" w:space="0"/>
              <w:right w:val="single" w:color="auto" w:sz="4" w:space="0"/>
            </w:tcBorders>
            <w:vAlign w:val="center"/>
          </w:tcPr>
          <w:p w14:paraId="2EE93368">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人</w:t>
            </w:r>
          </w:p>
        </w:tc>
        <w:tc>
          <w:tcPr>
            <w:tcW w:w="1966" w:type="dxa"/>
            <w:tcBorders>
              <w:top w:val="nil"/>
              <w:left w:val="nil"/>
              <w:bottom w:val="single" w:color="auto" w:sz="4" w:space="0"/>
              <w:right w:val="single" w:color="auto" w:sz="4" w:space="0"/>
            </w:tcBorders>
            <w:vAlign w:val="center"/>
          </w:tcPr>
          <w:p w14:paraId="6C19B3DB">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100≤X＜2000</w:t>
            </w:r>
          </w:p>
        </w:tc>
        <w:tc>
          <w:tcPr>
            <w:tcW w:w="1743" w:type="dxa"/>
            <w:tcBorders>
              <w:top w:val="nil"/>
              <w:left w:val="nil"/>
              <w:bottom w:val="single" w:color="auto" w:sz="4" w:space="0"/>
              <w:right w:val="single" w:color="auto" w:sz="4" w:space="0"/>
            </w:tcBorders>
            <w:vAlign w:val="center"/>
          </w:tcPr>
          <w:p w14:paraId="710567C0">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10≤X＜100</w:t>
            </w:r>
          </w:p>
        </w:tc>
        <w:tc>
          <w:tcPr>
            <w:tcW w:w="1142" w:type="dxa"/>
            <w:tcBorders>
              <w:top w:val="nil"/>
              <w:left w:val="nil"/>
              <w:bottom w:val="single" w:color="auto" w:sz="4" w:space="0"/>
              <w:right w:val="single" w:color="auto" w:sz="4" w:space="0"/>
            </w:tcBorders>
            <w:vAlign w:val="center"/>
          </w:tcPr>
          <w:p w14:paraId="16816DAB">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X＜10</w:t>
            </w:r>
          </w:p>
        </w:tc>
      </w:tr>
      <w:tr w14:paraId="1AF7B466">
        <w:tblPrEx>
          <w:tblCellMar>
            <w:top w:w="0" w:type="dxa"/>
            <w:left w:w="108" w:type="dxa"/>
            <w:bottom w:w="0" w:type="dxa"/>
            <w:right w:w="108" w:type="dxa"/>
          </w:tblCellMar>
        </w:tblPrEx>
        <w:trPr>
          <w:trHeight w:val="225" w:hRule="atLeast"/>
          <w:jc w:val="center"/>
        </w:trPr>
        <w:tc>
          <w:tcPr>
            <w:tcW w:w="1904" w:type="dxa"/>
            <w:vMerge w:val="continue"/>
            <w:tcBorders>
              <w:top w:val="nil"/>
              <w:left w:val="single" w:color="auto" w:sz="4" w:space="0"/>
              <w:bottom w:val="single" w:color="auto" w:sz="4" w:space="0"/>
              <w:right w:val="single" w:color="auto" w:sz="4" w:space="0"/>
            </w:tcBorders>
            <w:vAlign w:val="center"/>
          </w:tcPr>
          <w:p w14:paraId="41A7B62E">
            <w:pPr>
              <w:widowControl/>
              <w:jc w:val="left"/>
              <w:rPr>
                <w:rFonts w:hint="eastAsia" w:ascii="宋体" w:hAnsi="宋体" w:cs="宋体"/>
                <w:b/>
                <w:bCs/>
                <w:color w:val="auto"/>
                <w:kern w:val="0"/>
                <w:szCs w:val="21"/>
                <w:highlight w:val="none"/>
              </w:rPr>
            </w:pPr>
          </w:p>
        </w:tc>
        <w:tc>
          <w:tcPr>
            <w:tcW w:w="1384" w:type="dxa"/>
            <w:tcBorders>
              <w:top w:val="nil"/>
              <w:left w:val="nil"/>
              <w:bottom w:val="single" w:color="auto" w:sz="4" w:space="0"/>
              <w:right w:val="single" w:color="auto" w:sz="4" w:space="0"/>
            </w:tcBorders>
            <w:vAlign w:val="center"/>
          </w:tcPr>
          <w:p w14:paraId="22C24BB3">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913" w:type="dxa"/>
            <w:tcBorders>
              <w:top w:val="nil"/>
              <w:left w:val="nil"/>
              <w:bottom w:val="single" w:color="auto" w:sz="4" w:space="0"/>
              <w:right w:val="single" w:color="auto" w:sz="4" w:space="0"/>
            </w:tcBorders>
            <w:vAlign w:val="center"/>
          </w:tcPr>
          <w:p w14:paraId="1F13AF8E">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66" w:type="dxa"/>
            <w:tcBorders>
              <w:top w:val="nil"/>
              <w:left w:val="nil"/>
              <w:bottom w:val="single" w:color="auto" w:sz="4" w:space="0"/>
              <w:right w:val="single" w:color="auto" w:sz="4" w:space="0"/>
            </w:tcBorders>
            <w:vAlign w:val="center"/>
          </w:tcPr>
          <w:p w14:paraId="39CE9C18">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1000≤Y＜100000</w:t>
            </w:r>
          </w:p>
        </w:tc>
        <w:tc>
          <w:tcPr>
            <w:tcW w:w="1743" w:type="dxa"/>
            <w:tcBorders>
              <w:top w:val="nil"/>
              <w:left w:val="nil"/>
              <w:bottom w:val="single" w:color="auto" w:sz="4" w:space="0"/>
              <w:right w:val="single" w:color="auto" w:sz="4" w:space="0"/>
            </w:tcBorders>
            <w:vAlign w:val="center"/>
          </w:tcPr>
          <w:p w14:paraId="6844D33E">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100≤Y＜1000</w:t>
            </w:r>
          </w:p>
        </w:tc>
        <w:tc>
          <w:tcPr>
            <w:tcW w:w="1142" w:type="dxa"/>
            <w:tcBorders>
              <w:top w:val="nil"/>
              <w:left w:val="nil"/>
              <w:bottom w:val="single" w:color="auto" w:sz="4" w:space="0"/>
              <w:right w:val="single" w:color="auto" w:sz="4" w:space="0"/>
            </w:tcBorders>
            <w:vAlign w:val="center"/>
          </w:tcPr>
          <w:p w14:paraId="00F970DE">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Y＜100</w:t>
            </w:r>
          </w:p>
        </w:tc>
      </w:tr>
      <w:tr w14:paraId="4E56CFFF">
        <w:tblPrEx>
          <w:tblCellMar>
            <w:top w:w="0" w:type="dxa"/>
            <w:left w:w="108" w:type="dxa"/>
            <w:bottom w:w="0" w:type="dxa"/>
            <w:right w:w="108" w:type="dxa"/>
          </w:tblCellMar>
        </w:tblPrEx>
        <w:trPr>
          <w:trHeight w:val="225" w:hRule="atLeast"/>
          <w:jc w:val="center"/>
        </w:trPr>
        <w:tc>
          <w:tcPr>
            <w:tcW w:w="1904" w:type="dxa"/>
            <w:vMerge w:val="restart"/>
            <w:tcBorders>
              <w:top w:val="nil"/>
              <w:left w:val="single" w:color="auto" w:sz="4" w:space="0"/>
              <w:bottom w:val="single" w:color="auto" w:sz="4" w:space="0"/>
              <w:right w:val="single" w:color="auto" w:sz="4" w:space="0"/>
            </w:tcBorders>
            <w:vAlign w:val="center"/>
          </w:tcPr>
          <w:p w14:paraId="0C461FDC">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软件和信息技术服务业</w:t>
            </w:r>
          </w:p>
        </w:tc>
        <w:tc>
          <w:tcPr>
            <w:tcW w:w="1384" w:type="dxa"/>
            <w:tcBorders>
              <w:top w:val="nil"/>
              <w:left w:val="nil"/>
              <w:bottom w:val="single" w:color="auto" w:sz="4" w:space="0"/>
              <w:right w:val="single" w:color="auto" w:sz="4" w:space="0"/>
            </w:tcBorders>
            <w:vAlign w:val="center"/>
          </w:tcPr>
          <w:p w14:paraId="03F33E78">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913" w:type="dxa"/>
            <w:tcBorders>
              <w:top w:val="nil"/>
              <w:left w:val="nil"/>
              <w:bottom w:val="single" w:color="auto" w:sz="4" w:space="0"/>
              <w:right w:val="single" w:color="auto" w:sz="4" w:space="0"/>
            </w:tcBorders>
            <w:vAlign w:val="center"/>
          </w:tcPr>
          <w:p w14:paraId="2AABB386">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人</w:t>
            </w:r>
          </w:p>
        </w:tc>
        <w:tc>
          <w:tcPr>
            <w:tcW w:w="1966" w:type="dxa"/>
            <w:tcBorders>
              <w:top w:val="nil"/>
              <w:left w:val="nil"/>
              <w:bottom w:val="single" w:color="auto" w:sz="4" w:space="0"/>
              <w:right w:val="single" w:color="auto" w:sz="4" w:space="0"/>
            </w:tcBorders>
            <w:vAlign w:val="center"/>
          </w:tcPr>
          <w:p w14:paraId="11CBED79">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100≤X＜300</w:t>
            </w:r>
          </w:p>
        </w:tc>
        <w:tc>
          <w:tcPr>
            <w:tcW w:w="1743" w:type="dxa"/>
            <w:tcBorders>
              <w:top w:val="nil"/>
              <w:left w:val="nil"/>
              <w:bottom w:val="single" w:color="auto" w:sz="4" w:space="0"/>
              <w:right w:val="single" w:color="auto" w:sz="4" w:space="0"/>
            </w:tcBorders>
            <w:vAlign w:val="center"/>
          </w:tcPr>
          <w:p w14:paraId="06BAB799">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10≤X＜100</w:t>
            </w:r>
          </w:p>
        </w:tc>
        <w:tc>
          <w:tcPr>
            <w:tcW w:w="1142" w:type="dxa"/>
            <w:tcBorders>
              <w:top w:val="nil"/>
              <w:left w:val="nil"/>
              <w:bottom w:val="single" w:color="auto" w:sz="4" w:space="0"/>
              <w:right w:val="single" w:color="auto" w:sz="4" w:space="0"/>
            </w:tcBorders>
            <w:vAlign w:val="center"/>
          </w:tcPr>
          <w:p w14:paraId="36DFAF77">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X＜10</w:t>
            </w:r>
          </w:p>
        </w:tc>
      </w:tr>
      <w:tr w14:paraId="69235895">
        <w:tblPrEx>
          <w:tblCellMar>
            <w:top w:w="0" w:type="dxa"/>
            <w:left w:w="108" w:type="dxa"/>
            <w:bottom w:w="0" w:type="dxa"/>
            <w:right w:w="108" w:type="dxa"/>
          </w:tblCellMar>
        </w:tblPrEx>
        <w:trPr>
          <w:trHeight w:val="225" w:hRule="atLeast"/>
          <w:jc w:val="center"/>
        </w:trPr>
        <w:tc>
          <w:tcPr>
            <w:tcW w:w="1904" w:type="dxa"/>
            <w:vMerge w:val="continue"/>
            <w:tcBorders>
              <w:top w:val="nil"/>
              <w:left w:val="single" w:color="auto" w:sz="4" w:space="0"/>
              <w:bottom w:val="single" w:color="auto" w:sz="4" w:space="0"/>
              <w:right w:val="single" w:color="auto" w:sz="4" w:space="0"/>
            </w:tcBorders>
            <w:vAlign w:val="center"/>
          </w:tcPr>
          <w:p w14:paraId="031EFFA7">
            <w:pPr>
              <w:widowControl/>
              <w:jc w:val="left"/>
              <w:rPr>
                <w:rFonts w:hint="eastAsia" w:ascii="宋体" w:hAnsi="宋体" w:cs="宋体"/>
                <w:b/>
                <w:bCs/>
                <w:color w:val="auto"/>
                <w:kern w:val="0"/>
                <w:szCs w:val="21"/>
                <w:highlight w:val="none"/>
              </w:rPr>
            </w:pPr>
          </w:p>
        </w:tc>
        <w:tc>
          <w:tcPr>
            <w:tcW w:w="1384" w:type="dxa"/>
            <w:tcBorders>
              <w:top w:val="nil"/>
              <w:left w:val="nil"/>
              <w:bottom w:val="single" w:color="auto" w:sz="4" w:space="0"/>
              <w:right w:val="single" w:color="auto" w:sz="4" w:space="0"/>
            </w:tcBorders>
            <w:vAlign w:val="center"/>
          </w:tcPr>
          <w:p w14:paraId="59CFB0E1">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913" w:type="dxa"/>
            <w:tcBorders>
              <w:top w:val="nil"/>
              <w:left w:val="nil"/>
              <w:bottom w:val="single" w:color="auto" w:sz="4" w:space="0"/>
              <w:right w:val="single" w:color="auto" w:sz="4" w:space="0"/>
            </w:tcBorders>
            <w:vAlign w:val="center"/>
          </w:tcPr>
          <w:p w14:paraId="292842D8">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66" w:type="dxa"/>
            <w:tcBorders>
              <w:top w:val="nil"/>
              <w:left w:val="nil"/>
              <w:bottom w:val="single" w:color="auto" w:sz="4" w:space="0"/>
              <w:right w:val="single" w:color="auto" w:sz="4" w:space="0"/>
            </w:tcBorders>
            <w:vAlign w:val="center"/>
          </w:tcPr>
          <w:p w14:paraId="5120B6D2">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1000≤Y＜10000</w:t>
            </w:r>
          </w:p>
        </w:tc>
        <w:tc>
          <w:tcPr>
            <w:tcW w:w="1743" w:type="dxa"/>
            <w:tcBorders>
              <w:top w:val="nil"/>
              <w:left w:val="nil"/>
              <w:bottom w:val="single" w:color="auto" w:sz="4" w:space="0"/>
              <w:right w:val="single" w:color="auto" w:sz="4" w:space="0"/>
            </w:tcBorders>
            <w:vAlign w:val="center"/>
          </w:tcPr>
          <w:p w14:paraId="3AEFBD1B">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50≤Y＜1000</w:t>
            </w:r>
          </w:p>
        </w:tc>
        <w:tc>
          <w:tcPr>
            <w:tcW w:w="1142" w:type="dxa"/>
            <w:tcBorders>
              <w:top w:val="nil"/>
              <w:left w:val="nil"/>
              <w:bottom w:val="single" w:color="auto" w:sz="4" w:space="0"/>
              <w:right w:val="single" w:color="auto" w:sz="4" w:space="0"/>
            </w:tcBorders>
            <w:vAlign w:val="center"/>
          </w:tcPr>
          <w:p w14:paraId="294845A3">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Y＜50</w:t>
            </w:r>
          </w:p>
        </w:tc>
      </w:tr>
      <w:tr w14:paraId="7BAC744D">
        <w:tblPrEx>
          <w:tblCellMar>
            <w:top w:w="0" w:type="dxa"/>
            <w:left w:w="108" w:type="dxa"/>
            <w:bottom w:w="0" w:type="dxa"/>
            <w:right w:w="108" w:type="dxa"/>
          </w:tblCellMar>
        </w:tblPrEx>
        <w:trPr>
          <w:trHeight w:val="225" w:hRule="atLeast"/>
          <w:jc w:val="center"/>
        </w:trPr>
        <w:tc>
          <w:tcPr>
            <w:tcW w:w="1904" w:type="dxa"/>
            <w:vMerge w:val="restart"/>
            <w:tcBorders>
              <w:top w:val="nil"/>
              <w:left w:val="single" w:color="auto" w:sz="4" w:space="0"/>
              <w:bottom w:val="single" w:color="auto" w:sz="4" w:space="0"/>
              <w:right w:val="single" w:color="auto" w:sz="4" w:space="0"/>
            </w:tcBorders>
            <w:vAlign w:val="center"/>
          </w:tcPr>
          <w:p w14:paraId="00D6FC5D">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房地产开发经营</w:t>
            </w:r>
          </w:p>
        </w:tc>
        <w:tc>
          <w:tcPr>
            <w:tcW w:w="1384" w:type="dxa"/>
            <w:tcBorders>
              <w:top w:val="nil"/>
              <w:left w:val="nil"/>
              <w:bottom w:val="single" w:color="auto" w:sz="4" w:space="0"/>
              <w:right w:val="single" w:color="auto" w:sz="4" w:space="0"/>
            </w:tcBorders>
            <w:vAlign w:val="center"/>
          </w:tcPr>
          <w:p w14:paraId="4DC76CF6">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913" w:type="dxa"/>
            <w:tcBorders>
              <w:top w:val="nil"/>
              <w:left w:val="nil"/>
              <w:bottom w:val="single" w:color="auto" w:sz="4" w:space="0"/>
              <w:right w:val="single" w:color="auto" w:sz="4" w:space="0"/>
            </w:tcBorders>
            <w:vAlign w:val="center"/>
          </w:tcPr>
          <w:p w14:paraId="46407979">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66" w:type="dxa"/>
            <w:tcBorders>
              <w:top w:val="nil"/>
              <w:left w:val="nil"/>
              <w:bottom w:val="single" w:color="auto" w:sz="4" w:space="0"/>
              <w:right w:val="single" w:color="auto" w:sz="4" w:space="0"/>
            </w:tcBorders>
            <w:vAlign w:val="center"/>
          </w:tcPr>
          <w:p w14:paraId="00236C84">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1000≤Y＜200000</w:t>
            </w:r>
          </w:p>
        </w:tc>
        <w:tc>
          <w:tcPr>
            <w:tcW w:w="1743" w:type="dxa"/>
            <w:tcBorders>
              <w:top w:val="nil"/>
              <w:left w:val="nil"/>
              <w:bottom w:val="single" w:color="auto" w:sz="4" w:space="0"/>
              <w:right w:val="single" w:color="auto" w:sz="4" w:space="0"/>
            </w:tcBorders>
            <w:vAlign w:val="center"/>
          </w:tcPr>
          <w:p w14:paraId="5F41560C">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100≤X＜1000</w:t>
            </w:r>
          </w:p>
        </w:tc>
        <w:tc>
          <w:tcPr>
            <w:tcW w:w="1142" w:type="dxa"/>
            <w:tcBorders>
              <w:top w:val="nil"/>
              <w:left w:val="nil"/>
              <w:bottom w:val="single" w:color="auto" w:sz="4" w:space="0"/>
              <w:right w:val="single" w:color="auto" w:sz="4" w:space="0"/>
            </w:tcBorders>
            <w:vAlign w:val="center"/>
          </w:tcPr>
          <w:p w14:paraId="2F205546">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X＜100</w:t>
            </w:r>
          </w:p>
        </w:tc>
      </w:tr>
      <w:tr w14:paraId="7CFFBAA7">
        <w:tblPrEx>
          <w:tblCellMar>
            <w:top w:w="0" w:type="dxa"/>
            <w:left w:w="108" w:type="dxa"/>
            <w:bottom w:w="0" w:type="dxa"/>
            <w:right w:w="108" w:type="dxa"/>
          </w:tblCellMar>
        </w:tblPrEx>
        <w:trPr>
          <w:trHeight w:val="225" w:hRule="atLeast"/>
          <w:jc w:val="center"/>
        </w:trPr>
        <w:tc>
          <w:tcPr>
            <w:tcW w:w="1904" w:type="dxa"/>
            <w:vMerge w:val="continue"/>
            <w:tcBorders>
              <w:top w:val="nil"/>
              <w:left w:val="single" w:color="auto" w:sz="4" w:space="0"/>
              <w:bottom w:val="single" w:color="auto" w:sz="4" w:space="0"/>
              <w:right w:val="single" w:color="auto" w:sz="4" w:space="0"/>
            </w:tcBorders>
            <w:vAlign w:val="center"/>
          </w:tcPr>
          <w:p w14:paraId="0A39C6F3">
            <w:pPr>
              <w:widowControl/>
              <w:jc w:val="left"/>
              <w:rPr>
                <w:rFonts w:hint="eastAsia" w:ascii="宋体" w:hAnsi="宋体" w:cs="宋体"/>
                <w:b/>
                <w:bCs/>
                <w:color w:val="auto"/>
                <w:kern w:val="0"/>
                <w:szCs w:val="21"/>
                <w:highlight w:val="none"/>
              </w:rPr>
            </w:pPr>
          </w:p>
        </w:tc>
        <w:tc>
          <w:tcPr>
            <w:tcW w:w="1384" w:type="dxa"/>
            <w:tcBorders>
              <w:top w:val="nil"/>
              <w:left w:val="nil"/>
              <w:bottom w:val="single" w:color="auto" w:sz="4" w:space="0"/>
              <w:right w:val="single" w:color="auto" w:sz="4" w:space="0"/>
            </w:tcBorders>
            <w:vAlign w:val="center"/>
          </w:tcPr>
          <w:p w14:paraId="3970ADF3">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资产总额（Z）</w:t>
            </w:r>
          </w:p>
        </w:tc>
        <w:tc>
          <w:tcPr>
            <w:tcW w:w="913" w:type="dxa"/>
            <w:tcBorders>
              <w:top w:val="nil"/>
              <w:left w:val="nil"/>
              <w:bottom w:val="single" w:color="auto" w:sz="4" w:space="0"/>
              <w:right w:val="single" w:color="auto" w:sz="4" w:space="0"/>
            </w:tcBorders>
            <w:vAlign w:val="center"/>
          </w:tcPr>
          <w:p w14:paraId="7468A810">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66" w:type="dxa"/>
            <w:tcBorders>
              <w:top w:val="nil"/>
              <w:left w:val="nil"/>
              <w:bottom w:val="single" w:color="auto" w:sz="4" w:space="0"/>
              <w:right w:val="single" w:color="auto" w:sz="4" w:space="0"/>
            </w:tcBorders>
            <w:vAlign w:val="center"/>
          </w:tcPr>
          <w:p w14:paraId="5F1C49B2">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5000≤Z＜10000</w:t>
            </w:r>
          </w:p>
        </w:tc>
        <w:tc>
          <w:tcPr>
            <w:tcW w:w="1743" w:type="dxa"/>
            <w:tcBorders>
              <w:top w:val="nil"/>
              <w:left w:val="nil"/>
              <w:bottom w:val="single" w:color="auto" w:sz="4" w:space="0"/>
              <w:right w:val="single" w:color="auto" w:sz="4" w:space="0"/>
            </w:tcBorders>
            <w:vAlign w:val="center"/>
          </w:tcPr>
          <w:p w14:paraId="626A42A7">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2000≤Y＜5000</w:t>
            </w:r>
          </w:p>
        </w:tc>
        <w:tc>
          <w:tcPr>
            <w:tcW w:w="1142" w:type="dxa"/>
            <w:tcBorders>
              <w:top w:val="nil"/>
              <w:left w:val="nil"/>
              <w:bottom w:val="single" w:color="auto" w:sz="4" w:space="0"/>
              <w:right w:val="single" w:color="auto" w:sz="4" w:space="0"/>
            </w:tcBorders>
            <w:vAlign w:val="center"/>
          </w:tcPr>
          <w:p w14:paraId="113B1D41">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Y＜2000</w:t>
            </w:r>
          </w:p>
        </w:tc>
      </w:tr>
      <w:tr w14:paraId="6D15B84B">
        <w:tblPrEx>
          <w:tblCellMar>
            <w:top w:w="0" w:type="dxa"/>
            <w:left w:w="108" w:type="dxa"/>
            <w:bottom w:w="0" w:type="dxa"/>
            <w:right w:w="108" w:type="dxa"/>
          </w:tblCellMar>
        </w:tblPrEx>
        <w:trPr>
          <w:trHeight w:val="225" w:hRule="atLeast"/>
          <w:jc w:val="center"/>
        </w:trPr>
        <w:tc>
          <w:tcPr>
            <w:tcW w:w="1904" w:type="dxa"/>
            <w:vMerge w:val="restart"/>
            <w:tcBorders>
              <w:top w:val="nil"/>
              <w:left w:val="single" w:color="auto" w:sz="4" w:space="0"/>
              <w:bottom w:val="single" w:color="auto" w:sz="4" w:space="0"/>
              <w:right w:val="single" w:color="auto" w:sz="4" w:space="0"/>
            </w:tcBorders>
            <w:vAlign w:val="center"/>
          </w:tcPr>
          <w:p w14:paraId="5A9190B8">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物业管理</w:t>
            </w:r>
          </w:p>
        </w:tc>
        <w:tc>
          <w:tcPr>
            <w:tcW w:w="1384" w:type="dxa"/>
            <w:tcBorders>
              <w:top w:val="nil"/>
              <w:left w:val="nil"/>
              <w:bottom w:val="single" w:color="auto" w:sz="4" w:space="0"/>
              <w:right w:val="single" w:color="auto" w:sz="4" w:space="0"/>
            </w:tcBorders>
            <w:vAlign w:val="center"/>
          </w:tcPr>
          <w:p w14:paraId="7E54288F">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913" w:type="dxa"/>
            <w:tcBorders>
              <w:top w:val="nil"/>
              <w:left w:val="nil"/>
              <w:bottom w:val="single" w:color="auto" w:sz="4" w:space="0"/>
              <w:right w:val="single" w:color="auto" w:sz="4" w:space="0"/>
            </w:tcBorders>
            <w:vAlign w:val="center"/>
          </w:tcPr>
          <w:p w14:paraId="2B9112E3">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人</w:t>
            </w:r>
          </w:p>
        </w:tc>
        <w:tc>
          <w:tcPr>
            <w:tcW w:w="1966" w:type="dxa"/>
            <w:tcBorders>
              <w:top w:val="nil"/>
              <w:left w:val="nil"/>
              <w:bottom w:val="single" w:color="auto" w:sz="4" w:space="0"/>
              <w:right w:val="single" w:color="auto" w:sz="4" w:space="0"/>
            </w:tcBorders>
            <w:vAlign w:val="center"/>
          </w:tcPr>
          <w:p w14:paraId="549E6862">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300≤X＜1000</w:t>
            </w:r>
          </w:p>
        </w:tc>
        <w:tc>
          <w:tcPr>
            <w:tcW w:w="1743" w:type="dxa"/>
            <w:tcBorders>
              <w:top w:val="nil"/>
              <w:left w:val="nil"/>
              <w:bottom w:val="single" w:color="auto" w:sz="4" w:space="0"/>
              <w:right w:val="single" w:color="auto" w:sz="4" w:space="0"/>
            </w:tcBorders>
            <w:vAlign w:val="center"/>
          </w:tcPr>
          <w:p w14:paraId="04BD0FED">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100≤X＜300</w:t>
            </w:r>
          </w:p>
        </w:tc>
        <w:tc>
          <w:tcPr>
            <w:tcW w:w="1142" w:type="dxa"/>
            <w:tcBorders>
              <w:top w:val="nil"/>
              <w:left w:val="nil"/>
              <w:bottom w:val="single" w:color="auto" w:sz="4" w:space="0"/>
              <w:right w:val="single" w:color="auto" w:sz="4" w:space="0"/>
            </w:tcBorders>
            <w:vAlign w:val="center"/>
          </w:tcPr>
          <w:p w14:paraId="6EA8887B">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X＜100</w:t>
            </w:r>
          </w:p>
        </w:tc>
      </w:tr>
      <w:tr w14:paraId="1A5C18F9">
        <w:tblPrEx>
          <w:tblCellMar>
            <w:top w:w="0" w:type="dxa"/>
            <w:left w:w="108" w:type="dxa"/>
            <w:bottom w:w="0" w:type="dxa"/>
            <w:right w:w="108" w:type="dxa"/>
          </w:tblCellMar>
        </w:tblPrEx>
        <w:trPr>
          <w:trHeight w:val="225" w:hRule="atLeast"/>
          <w:jc w:val="center"/>
        </w:trPr>
        <w:tc>
          <w:tcPr>
            <w:tcW w:w="1904" w:type="dxa"/>
            <w:vMerge w:val="continue"/>
            <w:tcBorders>
              <w:top w:val="nil"/>
              <w:left w:val="single" w:color="auto" w:sz="4" w:space="0"/>
              <w:bottom w:val="single" w:color="auto" w:sz="4" w:space="0"/>
              <w:right w:val="single" w:color="auto" w:sz="4" w:space="0"/>
            </w:tcBorders>
            <w:vAlign w:val="center"/>
          </w:tcPr>
          <w:p w14:paraId="5EFB54C0">
            <w:pPr>
              <w:widowControl/>
              <w:jc w:val="left"/>
              <w:rPr>
                <w:rFonts w:hint="eastAsia" w:ascii="宋体" w:hAnsi="宋体" w:cs="宋体"/>
                <w:b/>
                <w:bCs/>
                <w:color w:val="auto"/>
                <w:kern w:val="0"/>
                <w:szCs w:val="21"/>
                <w:highlight w:val="none"/>
              </w:rPr>
            </w:pPr>
          </w:p>
        </w:tc>
        <w:tc>
          <w:tcPr>
            <w:tcW w:w="1384" w:type="dxa"/>
            <w:tcBorders>
              <w:top w:val="nil"/>
              <w:left w:val="nil"/>
              <w:bottom w:val="single" w:color="auto" w:sz="4" w:space="0"/>
              <w:right w:val="single" w:color="auto" w:sz="4" w:space="0"/>
            </w:tcBorders>
            <w:vAlign w:val="center"/>
          </w:tcPr>
          <w:p w14:paraId="06F742E4">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913" w:type="dxa"/>
            <w:tcBorders>
              <w:top w:val="nil"/>
              <w:left w:val="nil"/>
              <w:bottom w:val="single" w:color="auto" w:sz="4" w:space="0"/>
              <w:right w:val="single" w:color="auto" w:sz="4" w:space="0"/>
            </w:tcBorders>
            <w:vAlign w:val="center"/>
          </w:tcPr>
          <w:p w14:paraId="0044F6D6">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66" w:type="dxa"/>
            <w:tcBorders>
              <w:top w:val="nil"/>
              <w:left w:val="nil"/>
              <w:bottom w:val="single" w:color="auto" w:sz="4" w:space="0"/>
              <w:right w:val="single" w:color="auto" w:sz="4" w:space="0"/>
            </w:tcBorders>
            <w:vAlign w:val="center"/>
          </w:tcPr>
          <w:p w14:paraId="3801F2D2">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1000≤Y＜5000</w:t>
            </w:r>
          </w:p>
        </w:tc>
        <w:tc>
          <w:tcPr>
            <w:tcW w:w="1743" w:type="dxa"/>
            <w:tcBorders>
              <w:top w:val="nil"/>
              <w:left w:val="nil"/>
              <w:bottom w:val="single" w:color="auto" w:sz="4" w:space="0"/>
              <w:right w:val="single" w:color="auto" w:sz="4" w:space="0"/>
            </w:tcBorders>
            <w:vAlign w:val="center"/>
          </w:tcPr>
          <w:p w14:paraId="46F7E2F2">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500≤Y＜1000</w:t>
            </w:r>
          </w:p>
        </w:tc>
        <w:tc>
          <w:tcPr>
            <w:tcW w:w="1142" w:type="dxa"/>
            <w:tcBorders>
              <w:top w:val="nil"/>
              <w:left w:val="nil"/>
              <w:bottom w:val="single" w:color="auto" w:sz="4" w:space="0"/>
              <w:right w:val="single" w:color="auto" w:sz="4" w:space="0"/>
            </w:tcBorders>
            <w:vAlign w:val="center"/>
          </w:tcPr>
          <w:p w14:paraId="761D4B21">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Y＜500</w:t>
            </w:r>
          </w:p>
        </w:tc>
      </w:tr>
      <w:tr w14:paraId="541306DB">
        <w:tblPrEx>
          <w:tblCellMar>
            <w:top w:w="0" w:type="dxa"/>
            <w:left w:w="108" w:type="dxa"/>
            <w:bottom w:w="0" w:type="dxa"/>
            <w:right w:w="108" w:type="dxa"/>
          </w:tblCellMar>
        </w:tblPrEx>
        <w:trPr>
          <w:trHeight w:val="225" w:hRule="atLeast"/>
          <w:jc w:val="center"/>
        </w:trPr>
        <w:tc>
          <w:tcPr>
            <w:tcW w:w="1904" w:type="dxa"/>
            <w:vMerge w:val="restart"/>
            <w:tcBorders>
              <w:top w:val="nil"/>
              <w:left w:val="single" w:color="auto" w:sz="4" w:space="0"/>
              <w:bottom w:val="single" w:color="auto" w:sz="4" w:space="0"/>
              <w:right w:val="single" w:color="auto" w:sz="4" w:space="0"/>
            </w:tcBorders>
            <w:vAlign w:val="center"/>
          </w:tcPr>
          <w:p w14:paraId="598B31E2">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租赁和商务服务业</w:t>
            </w:r>
          </w:p>
        </w:tc>
        <w:tc>
          <w:tcPr>
            <w:tcW w:w="1384" w:type="dxa"/>
            <w:tcBorders>
              <w:top w:val="nil"/>
              <w:left w:val="nil"/>
              <w:bottom w:val="single" w:color="auto" w:sz="4" w:space="0"/>
              <w:right w:val="single" w:color="auto" w:sz="4" w:space="0"/>
            </w:tcBorders>
            <w:vAlign w:val="center"/>
          </w:tcPr>
          <w:p w14:paraId="7F04837C">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913" w:type="dxa"/>
            <w:tcBorders>
              <w:top w:val="nil"/>
              <w:left w:val="nil"/>
              <w:bottom w:val="single" w:color="auto" w:sz="4" w:space="0"/>
              <w:right w:val="single" w:color="auto" w:sz="4" w:space="0"/>
            </w:tcBorders>
            <w:vAlign w:val="center"/>
          </w:tcPr>
          <w:p w14:paraId="127E5DE7">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人</w:t>
            </w:r>
          </w:p>
        </w:tc>
        <w:tc>
          <w:tcPr>
            <w:tcW w:w="1966" w:type="dxa"/>
            <w:tcBorders>
              <w:top w:val="nil"/>
              <w:left w:val="nil"/>
              <w:bottom w:val="single" w:color="auto" w:sz="4" w:space="0"/>
              <w:right w:val="single" w:color="auto" w:sz="4" w:space="0"/>
            </w:tcBorders>
            <w:vAlign w:val="center"/>
          </w:tcPr>
          <w:p w14:paraId="7CA6D64D">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100≤X＜300</w:t>
            </w:r>
          </w:p>
        </w:tc>
        <w:tc>
          <w:tcPr>
            <w:tcW w:w="1743" w:type="dxa"/>
            <w:tcBorders>
              <w:top w:val="nil"/>
              <w:left w:val="nil"/>
              <w:bottom w:val="single" w:color="auto" w:sz="4" w:space="0"/>
              <w:right w:val="single" w:color="auto" w:sz="4" w:space="0"/>
            </w:tcBorders>
            <w:vAlign w:val="center"/>
          </w:tcPr>
          <w:p w14:paraId="3530F827">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10≤X＜100</w:t>
            </w:r>
          </w:p>
        </w:tc>
        <w:tc>
          <w:tcPr>
            <w:tcW w:w="1142" w:type="dxa"/>
            <w:tcBorders>
              <w:top w:val="nil"/>
              <w:left w:val="nil"/>
              <w:bottom w:val="single" w:color="auto" w:sz="4" w:space="0"/>
              <w:right w:val="single" w:color="auto" w:sz="4" w:space="0"/>
            </w:tcBorders>
            <w:vAlign w:val="center"/>
          </w:tcPr>
          <w:p w14:paraId="09BA8D2A">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X＜10</w:t>
            </w:r>
          </w:p>
        </w:tc>
      </w:tr>
      <w:tr w14:paraId="531C59E1">
        <w:tblPrEx>
          <w:tblCellMar>
            <w:top w:w="0" w:type="dxa"/>
            <w:left w:w="108" w:type="dxa"/>
            <w:bottom w:w="0" w:type="dxa"/>
            <w:right w:w="108" w:type="dxa"/>
          </w:tblCellMar>
        </w:tblPrEx>
        <w:trPr>
          <w:trHeight w:val="225" w:hRule="atLeast"/>
          <w:jc w:val="center"/>
        </w:trPr>
        <w:tc>
          <w:tcPr>
            <w:tcW w:w="1904" w:type="dxa"/>
            <w:vMerge w:val="continue"/>
            <w:tcBorders>
              <w:top w:val="nil"/>
              <w:left w:val="single" w:color="auto" w:sz="4" w:space="0"/>
              <w:bottom w:val="single" w:color="auto" w:sz="4" w:space="0"/>
              <w:right w:val="single" w:color="auto" w:sz="4" w:space="0"/>
            </w:tcBorders>
            <w:vAlign w:val="center"/>
          </w:tcPr>
          <w:p w14:paraId="5684C2C7">
            <w:pPr>
              <w:widowControl/>
              <w:jc w:val="left"/>
              <w:rPr>
                <w:rFonts w:hint="eastAsia" w:ascii="宋体" w:hAnsi="宋体" w:cs="宋体"/>
                <w:b/>
                <w:bCs/>
                <w:color w:val="auto"/>
                <w:kern w:val="0"/>
                <w:szCs w:val="21"/>
                <w:highlight w:val="none"/>
              </w:rPr>
            </w:pPr>
          </w:p>
        </w:tc>
        <w:tc>
          <w:tcPr>
            <w:tcW w:w="1384" w:type="dxa"/>
            <w:tcBorders>
              <w:top w:val="nil"/>
              <w:left w:val="nil"/>
              <w:bottom w:val="single" w:color="auto" w:sz="4" w:space="0"/>
              <w:right w:val="single" w:color="auto" w:sz="4" w:space="0"/>
            </w:tcBorders>
            <w:vAlign w:val="center"/>
          </w:tcPr>
          <w:p w14:paraId="3E7B2DD3">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资产总额（Z）</w:t>
            </w:r>
          </w:p>
        </w:tc>
        <w:tc>
          <w:tcPr>
            <w:tcW w:w="913" w:type="dxa"/>
            <w:tcBorders>
              <w:top w:val="nil"/>
              <w:left w:val="nil"/>
              <w:bottom w:val="single" w:color="auto" w:sz="4" w:space="0"/>
              <w:right w:val="single" w:color="auto" w:sz="4" w:space="0"/>
            </w:tcBorders>
            <w:vAlign w:val="center"/>
          </w:tcPr>
          <w:p w14:paraId="11F37224">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66" w:type="dxa"/>
            <w:tcBorders>
              <w:top w:val="nil"/>
              <w:left w:val="nil"/>
              <w:bottom w:val="single" w:color="auto" w:sz="4" w:space="0"/>
              <w:right w:val="single" w:color="auto" w:sz="4" w:space="0"/>
            </w:tcBorders>
            <w:vAlign w:val="center"/>
          </w:tcPr>
          <w:p w14:paraId="48B97472">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8000≤Z＜120000</w:t>
            </w:r>
          </w:p>
        </w:tc>
        <w:tc>
          <w:tcPr>
            <w:tcW w:w="1743" w:type="dxa"/>
            <w:tcBorders>
              <w:top w:val="nil"/>
              <w:left w:val="nil"/>
              <w:bottom w:val="single" w:color="auto" w:sz="4" w:space="0"/>
              <w:right w:val="single" w:color="auto" w:sz="4" w:space="0"/>
            </w:tcBorders>
            <w:vAlign w:val="center"/>
          </w:tcPr>
          <w:p w14:paraId="2CBE9E77">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100≤Z＜8000</w:t>
            </w:r>
          </w:p>
        </w:tc>
        <w:tc>
          <w:tcPr>
            <w:tcW w:w="1142" w:type="dxa"/>
            <w:tcBorders>
              <w:top w:val="nil"/>
              <w:left w:val="nil"/>
              <w:bottom w:val="single" w:color="auto" w:sz="4" w:space="0"/>
              <w:right w:val="single" w:color="auto" w:sz="4" w:space="0"/>
            </w:tcBorders>
            <w:vAlign w:val="center"/>
          </w:tcPr>
          <w:p w14:paraId="74BF9033">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Y＜100</w:t>
            </w:r>
          </w:p>
        </w:tc>
      </w:tr>
      <w:tr w14:paraId="6A679C80">
        <w:tblPrEx>
          <w:tblCellMar>
            <w:top w:w="0" w:type="dxa"/>
            <w:left w:w="108" w:type="dxa"/>
            <w:bottom w:w="0" w:type="dxa"/>
            <w:right w:w="108" w:type="dxa"/>
          </w:tblCellMar>
        </w:tblPrEx>
        <w:trPr>
          <w:trHeight w:val="225" w:hRule="atLeast"/>
          <w:jc w:val="center"/>
        </w:trPr>
        <w:tc>
          <w:tcPr>
            <w:tcW w:w="1904" w:type="dxa"/>
            <w:tcBorders>
              <w:top w:val="nil"/>
              <w:left w:val="single" w:color="auto" w:sz="4" w:space="0"/>
              <w:bottom w:val="single" w:color="auto" w:sz="4" w:space="0"/>
              <w:right w:val="single" w:color="auto" w:sz="4" w:space="0"/>
            </w:tcBorders>
            <w:vAlign w:val="center"/>
          </w:tcPr>
          <w:p w14:paraId="35DCA129">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其他未列明行业</w:t>
            </w:r>
          </w:p>
        </w:tc>
        <w:tc>
          <w:tcPr>
            <w:tcW w:w="1384" w:type="dxa"/>
            <w:tcBorders>
              <w:top w:val="nil"/>
              <w:left w:val="nil"/>
              <w:bottom w:val="single" w:color="auto" w:sz="4" w:space="0"/>
              <w:right w:val="single" w:color="auto" w:sz="4" w:space="0"/>
            </w:tcBorders>
            <w:vAlign w:val="center"/>
          </w:tcPr>
          <w:p w14:paraId="6C1D978E">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913" w:type="dxa"/>
            <w:tcBorders>
              <w:top w:val="nil"/>
              <w:left w:val="nil"/>
              <w:bottom w:val="single" w:color="auto" w:sz="4" w:space="0"/>
              <w:right w:val="single" w:color="auto" w:sz="4" w:space="0"/>
            </w:tcBorders>
            <w:vAlign w:val="center"/>
          </w:tcPr>
          <w:p w14:paraId="4BEA7E14">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人</w:t>
            </w:r>
          </w:p>
        </w:tc>
        <w:tc>
          <w:tcPr>
            <w:tcW w:w="1966" w:type="dxa"/>
            <w:tcBorders>
              <w:top w:val="nil"/>
              <w:left w:val="nil"/>
              <w:bottom w:val="single" w:color="auto" w:sz="4" w:space="0"/>
              <w:right w:val="single" w:color="auto" w:sz="4" w:space="0"/>
            </w:tcBorders>
            <w:vAlign w:val="center"/>
          </w:tcPr>
          <w:p w14:paraId="2A026258">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100≤X＜300</w:t>
            </w:r>
          </w:p>
        </w:tc>
        <w:tc>
          <w:tcPr>
            <w:tcW w:w="1743" w:type="dxa"/>
            <w:tcBorders>
              <w:top w:val="nil"/>
              <w:left w:val="nil"/>
              <w:bottom w:val="single" w:color="auto" w:sz="4" w:space="0"/>
              <w:right w:val="single" w:color="auto" w:sz="4" w:space="0"/>
            </w:tcBorders>
            <w:vAlign w:val="center"/>
          </w:tcPr>
          <w:p w14:paraId="18D7C92F">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10≤X＜100</w:t>
            </w:r>
          </w:p>
        </w:tc>
        <w:tc>
          <w:tcPr>
            <w:tcW w:w="1142" w:type="dxa"/>
            <w:tcBorders>
              <w:top w:val="nil"/>
              <w:left w:val="nil"/>
              <w:bottom w:val="single" w:color="auto" w:sz="4" w:space="0"/>
              <w:right w:val="single" w:color="auto" w:sz="4" w:space="0"/>
            </w:tcBorders>
            <w:vAlign w:val="center"/>
          </w:tcPr>
          <w:p w14:paraId="34A49231">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X＜10</w:t>
            </w:r>
          </w:p>
        </w:tc>
      </w:tr>
    </w:tbl>
    <w:p w14:paraId="173F4E91">
      <w:pPr>
        <w:spacing w:line="360" w:lineRule="auto"/>
        <w:ind w:firstLine="525" w:firstLineChars="250"/>
        <w:rPr>
          <w:rFonts w:hint="eastAsia" w:ascii="宋体" w:hAnsi="宋体" w:cs="宋体"/>
          <w:color w:val="auto"/>
          <w:szCs w:val="21"/>
          <w:highlight w:val="none"/>
        </w:rPr>
      </w:pPr>
      <w:r>
        <w:rPr>
          <w:rFonts w:hint="eastAsia" w:ascii="宋体" w:hAnsi="宋体" w:cs="宋体"/>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608DCA19">
      <w:pPr>
        <w:spacing w:line="560" w:lineRule="exact"/>
        <w:ind w:firstLine="500" w:firstLineChars="250"/>
        <w:rPr>
          <w:rFonts w:hint="eastAsia" w:ascii="宋体" w:hAnsi="宋体" w:cs="宋体"/>
          <w:color w:val="auto"/>
          <w:kern w:val="0"/>
          <w:sz w:val="20"/>
          <w:szCs w:val="21"/>
          <w:highlight w:val="none"/>
        </w:rPr>
        <w:sectPr>
          <w:footerReference r:id="rId9" w:type="default"/>
          <w:pgSz w:w="11906" w:h="16838"/>
          <w:pgMar w:top="1134" w:right="1020" w:bottom="1134" w:left="1020" w:header="720" w:footer="720" w:gutter="0"/>
          <w:pgNumType w:fmt="decimal"/>
          <w:cols w:space="720" w:num="1"/>
          <w:docGrid w:type="lines" w:linePitch="331" w:charSpace="0"/>
        </w:sectPr>
      </w:pPr>
    </w:p>
    <w:p w14:paraId="1710EC49">
      <w:pPr>
        <w:widowControl/>
        <w:jc w:val="left"/>
        <w:rPr>
          <w:rFonts w:hint="eastAsia" w:ascii="黑体" w:hAnsi="黑体" w:eastAsia="黑体" w:cs="黑体"/>
          <w:color w:val="auto"/>
          <w:sz w:val="30"/>
          <w:szCs w:val="30"/>
          <w:highlight w:val="none"/>
        </w:rPr>
      </w:pPr>
      <w:r>
        <w:rPr>
          <w:rFonts w:hint="eastAsia" w:ascii="黑体" w:hAnsi="黑体" w:eastAsia="黑体" w:cs="黑体"/>
          <w:color w:val="auto"/>
          <w:sz w:val="30"/>
          <w:szCs w:val="30"/>
          <w:highlight w:val="none"/>
        </w:rPr>
        <w:t>附件</w:t>
      </w:r>
      <w:r>
        <w:rPr>
          <w:rFonts w:hint="eastAsia" w:ascii="黑体" w:hAnsi="黑体" w:eastAsia="黑体" w:cs="黑体"/>
          <w:color w:val="auto"/>
          <w:sz w:val="30"/>
          <w:szCs w:val="30"/>
          <w:highlight w:val="none"/>
          <w:lang w:val="en-US" w:eastAsia="zh-CN"/>
        </w:rPr>
        <w:t>2</w:t>
      </w:r>
      <w:r>
        <w:rPr>
          <w:rFonts w:hint="eastAsia" w:ascii="黑体" w:hAnsi="黑体" w:eastAsia="黑体" w:cs="黑体"/>
          <w:color w:val="auto"/>
          <w:sz w:val="30"/>
          <w:szCs w:val="30"/>
          <w:highlight w:val="none"/>
        </w:rPr>
        <w:t>：</w:t>
      </w:r>
    </w:p>
    <w:p w14:paraId="07E6B209">
      <w:pPr>
        <w:spacing w:line="360" w:lineRule="auto"/>
        <w:ind w:firstLine="0" w:firstLineChars="0"/>
        <w:jc w:val="center"/>
        <w:rPr>
          <w:rFonts w:hint="eastAsia" w:ascii="宋体" w:hAnsi="宋体"/>
          <w:b/>
          <w:color w:val="auto"/>
          <w:sz w:val="30"/>
          <w:szCs w:val="30"/>
          <w:highlight w:val="none"/>
        </w:rPr>
      </w:pPr>
      <w:r>
        <w:rPr>
          <w:rFonts w:hint="eastAsia" w:ascii="宋体" w:hAnsi="宋体"/>
          <w:b/>
          <w:color w:val="auto"/>
          <w:sz w:val="30"/>
          <w:szCs w:val="30"/>
          <w:highlight w:val="none"/>
        </w:rPr>
        <w:t>广西高速公路智能化服务管理与发布平台系统</w:t>
      </w:r>
    </w:p>
    <w:p w14:paraId="627A0E5D">
      <w:pPr>
        <w:spacing w:line="360" w:lineRule="auto"/>
        <w:ind w:firstLine="0" w:firstLineChars="0"/>
        <w:jc w:val="center"/>
        <w:rPr>
          <w:rFonts w:hint="default" w:ascii="宋体" w:hAnsi="宋体" w:eastAsia="宋体"/>
          <w:color w:val="auto"/>
          <w:sz w:val="30"/>
          <w:szCs w:val="30"/>
          <w:highlight w:val="none"/>
          <w:lang w:val="en-US" w:eastAsia="zh-CN"/>
        </w:rPr>
      </w:pPr>
      <w:r>
        <w:rPr>
          <w:rFonts w:hint="eastAsia" w:ascii="宋体" w:hAnsi="宋体"/>
          <w:b/>
          <w:color w:val="auto"/>
          <w:sz w:val="30"/>
          <w:szCs w:val="30"/>
          <w:highlight w:val="none"/>
        </w:rPr>
        <w:t>升级及改造项目</w:t>
      </w:r>
      <w:r>
        <w:rPr>
          <w:rFonts w:hint="eastAsia" w:ascii="宋体" w:hAnsi="宋体"/>
          <w:b/>
          <w:color w:val="auto"/>
          <w:sz w:val="30"/>
          <w:szCs w:val="30"/>
          <w:highlight w:val="none"/>
          <w:lang w:val="en-US" w:eastAsia="zh-CN"/>
        </w:rPr>
        <w:t>详细要求</w:t>
      </w:r>
    </w:p>
    <w:p w14:paraId="54B4BCC5">
      <w:pPr>
        <w:keepNext w:val="0"/>
        <w:keepLines w:val="0"/>
        <w:pageBreakBefore w:val="0"/>
        <w:widowControl w:val="0"/>
        <w:kinsoku/>
        <w:wordWrap/>
        <w:overflowPunct/>
        <w:topLinePunct w:val="0"/>
        <w:autoSpaceDE/>
        <w:autoSpaceDN/>
        <w:bidi w:val="0"/>
        <w:adjustRightInd/>
        <w:snapToGrid/>
        <w:spacing w:after="167" w:afterLines="50" w:line="360" w:lineRule="exact"/>
        <w:ind w:firstLine="422" w:firstLineChars="200"/>
        <w:textAlignment w:val="auto"/>
        <w:rPr>
          <w:rFonts w:hint="eastAsia" w:ascii="宋体" w:hAnsi="宋体"/>
          <w:b/>
          <w:color w:val="auto"/>
          <w:sz w:val="21"/>
          <w:szCs w:val="21"/>
          <w:highlight w:val="none"/>
        </w:rPr>
      </w:pPr>
      <w:r>
        <w:rPr>
          <w:rFonts w:hint="eastAsia" w:ascii="Times New Roman" w:hAnsi="Times New Roman" w:eastAsia="宋体" w:cs="宋体"/>
          <w:b/>
          <w:color w:val="auto"/>
          <w:kern w:val="0"/>
          <w:sz w:val="21"/>
          <w:szCs w:val="21"/>
          <w:highlight w:val="none"/>
        </w:rPr>
        <w:t>一、项目背景</w:t>
      </w:r>
    </w:p>
    <w:p w14:paraId="3827E26D">
      <w:pPr>
        <w:spacing w:line="360" w:lineRule="auto"/>
        <w:ind w:firstLine="420" w:firstLineChars="200"/>
        <w:rPr>
          <w:rFonts w:ascii="Times New Roman" w:hAnsi="Times New Roman" w:eastAsia="宋体" w:cs="宋体"/>
          <w:color w:val="auto"/>
          <w:kern w:val="0"/>
          <w:sz w:val="21"/>
          <w:szCs w:val="21"/>
          <w:highlight w:val="none"/>
        </w:rPr>
      </w:pPr>
      <w:r>
        <w:rPr>
          <w:rFonts w:hint="eastAsia" w:ascii="Times New Roman" w:hAnsi="Times New Roman" w:eastAsia="宋体" w:cs="宋体"/>
          <w:color w:val="auto"/>
          <w:kern w:val="0"/>
          <w:sz w:val="21"/>
          <w:szCs w:val="21"/>
          <w:highlight w:val="none"/>
        </w:rPr>
        <w:t>广西高速公路智能化服务管理与发布平台系统自2020年建成投用以来，已全面服务于自治区高速发展中心、各高速公路运营单位及下属分子公司，在路况信息管理与基础服务中发挥了重要作用。然而，随着公众出行需求升级、信息技术迭代加速及行业管理要求深化，现有系统在智能化服务能力、数据协同效率、信息发布手段等方面已显现不足：一是信息化标准规范缺失，跨部门数据共享机制尚未健全，业务系统互不兼容，导致数据资源难以综合应用；二是公众出行信息服务精准性不足，出行前信息推送时效滞后，信息发布渠道单一，未能充分融合移动互联网、智能终端等新技术；三是基础服务平台支撑薄弱，数据交换与业务协同能力不足，难以满足路网管理动态化、应急响应高效化的需求；四是系统未在软硬件平台环境中运行，未进行商用密码应用改造，存在安全风险。</w:t>
      </w:r>
    </w:p>
    <w:p w14:paraId="25DBFFD2">
      <w:pPr>
        <w:spacing w:line="360" w:lineRule="auto"/>
        <w:ind w:firstLine="420" w:firstLineChars="200"/>
        <w:rPr>
          <w:rFonts w:ascii="Times New Roman" w:hAnsi="Times New Roman" w:eastAsia="宋体" w:cs="宋体"/>
          <w:color w:val="auto"/>
          <w:kern w:val="0"/>
          <w:sz w:val="21"/>
          <w:szCs w:val="21"/>
          <w:highlight w:val="none"/>
        </w:rPr>
      </w:pPr>
      <w:r>
        <w:rPr>
          <w:rFonts w:hint="eastAsia" w:ascii="Times New Roman" w:hAnsi="Times New Roman" w:eastAsia="宋体" w:cs="宋体"/>
          <w:color w:val="auto"/>
          <w:kern w:val="0"/>
          <w:sz w:val="21"/>
          <w:szCs w:val="21"/>
          <w:highlight w:val="none"/>
        </w:rPr>
        <w:t>2024年，交通运输部印发《公路交通阻断信息报送制度》（交办公路〔2024〕30号），进一步规范公路交通阻断事件分类、报送与管理工作。该制度明确要求：</w:t>
      </w:r>
    </w:p>
    <w:p w14:paraId="256EB1C0">
      <w:pPr>
        <w:spacing w:line="360" w:lineRule="auto"/>
        <w:ind w:firstLine="422" w:firstLineChars="200"/>
        <w:rPr>
          <w:rFonts w:ascii="Times New Roman" w:hAnsi="Times New Roman" w:eastAsia="宋体" w:cs="宋体"/>
          <w:color w:val="auto"/>
          <w:kern w:val="0"/>
          <w:sz w:val="21"/>
          <w:szCs w:val="21"/>
          <w:highlight w:val="none"/>
        </w:rPr>
      </w:pPr>
      <w:r>
        <w:rPr>
          <w:rFonts w:hint="eastAsia" w:ascii="Times New Roman" w:hAnsi="Times New Roman" w:eastAsia="宋体" w:cs="宋体"/>
          <w:b/>
          <w:color w:val="auto"/>
          <w:kern w:val="0"/>
          <w:sz w:val="21"/>
          <w:szCs w:val="21"/>
          <w:highlight w:val="none"/>
        </w:rPr>
        <w:t>事件分类标准化：</w:t>
      </w:r>
      <w:r>
        <w:rPr>
          <w:rFonts w:hint="eastAsia" w:ascii="Times New Roman" w:hAnsi="Times New Roman" w:eastAsia="宋体" w:cs="宋体"/>
          <w:color w:val="auto"/>
          <w:kern w:val="0"/>
          <w:sz w:val="21"/>
          <w:szCs w:val="21"/>
          <w:highlight w:val="none"/>
        </w:rPr>
        <w:t>按性质划分为阻塞事件、中断事件，按级别分为重大事件、一般事件，按成因分为计划性、突发性与临时性事件；</w:t>
      </w:r>
    </w:p>
    <w:p w14:paraId="7F17D5F0">
      <w:pPr>
        <w:spacing w:line="360" w:lineRule="auto"/>
        <w:ind w:firstLine="422" w:firstLineChars="200"/>
        <w:rPr>
          <w:rFonts w:ascii="Times New Roman" w:hAnsi="Times New Roman" w:eastAsia="宋体" w:cs="宋体"/>
          <w:color w:val="auto"/>
          <w:kern w:val="0"/>
          <w:sz w:val="21"/>
          <w:szCs w:val="21"/>
          <w:highlight w:val="none"/>
        </w:rPr>
      </w:pPr>
      <w:r>
        <w:rPr>
          <w:rFonts w:hint="eastAsia" w:ascii="Times New Roman" w:hAnsi="Times New Roman" w:eastAsia="宋体" w:cs="宋体"/>
          <w:b/>
          <w:color w:val="auto"/>
          <w:kern w:val="0"/>
          <w:sz w:val="21"/>
          <w:szCs w:val="21"/>
          <w:highlight w:val="none"/>
        </w:rPr>
        <w:t>报送流程规范化：</w:t>
      </w:r>
      <w:r>
        <w:rPr>
          <w:rFonts w:hint="eastAsia" w:ascii="Times New Roman" w:hAnsi="Times New Roman" w:eastAsia="宋体" w:cs="宋体"/>
          <w:color w:val="auto"/>
          <w:kern w:val="0"/>
          <w:sz w:val="21"/>
          <w:szCs w:val="21"/>
          <w:highlight w:val="none"/>
        </w:rPr>
        <w:t>遵循“首报要快、续报要准、终报要全、调度要实”原则，强化24小时值班值守与主动监测，严禁迟报、漏报、瞒报；</w:t>
      </w:r>
    </w:p>
    <w:p w14:paraId="2F958EDB">
      <w:pPr>
        <w:spacing w:line="360" w:lineRule="auto"/>
        <w:ind w:firstLine="422" w:firstLineChars="200"/>
        <w:rPr>
          <w:rFonts w:ascii="Times New Roman" w:hAnsi="Times New Roman" w:eastAsia="宋体" w:cs="宋体"/>
          <w:color w:val="auto"/>
          <w:kern w:val="0"/>
          <w:sz w:val="21"/>
          <w:szCs w:val="21"/>
          <w:highlight w:val="none"/>
        </w:rPr>
      </w:pPr>
      <w:r>
        <w:rPr>
          <w:rFonts w:hint="eastAsia" w:ascii="Times New Roman" w:hAnsi="Times New Roman" w:eastAsia="宋体" w:cs="宋体"/>
          <w:b/>
          <w:color w:val="auto"/>
          <w:kern w:val="0"/>
          <w:sz w:val="21"/>
          <w:szCs w:val="21"/>
          <w:highlight w:val="none"/>
        </w:rPr>
        <w:t>技术支撑智能化：</w:t>
      </w:r>
      <w:r>
        <w:rPr>
          <w:rFonts w:hint="eastAsia" w:ascii="Times New Roman" w:hAnsi="Times New Roman" w:eastAsia="宋体" w:cs="宋体"/>
          <w:color w:val="auto"/>
          <w:kern w:val="0"/>
          <w:sz w:val="21"/>
          <w:szCs w:val="21"/>
          <w:highlight w:val="none"/>
        </w:rPr>
        <w:t>要求提升阻断事件自动感知与智能分析能力，推动自动化信息采集，优化路网平台（含移动端）功能性能，实现部－省－路段三级数据贯通。</w:t>
      </w:r>
    </w:p>
    <w:p w14:paraId="5D870637">
      <w:pPr>
        <w:spacing w:line="360" w:lineRule="auto"/>
        <w:ind w:firstLine="420" w:firstLineChars="200"/>
        <w:rPr>
          <w:rFonts w:hint="eastAsia" w:ascii="Times New Roman" w:hAnsi="Times New Roman" w:eastAsia="宋体" w:cs="宋体"/>
          <w:color w:val="auto"/>
          <w:kern w:val="0"/>
          <w:sz w:val="21"/>
          <w:szCs w:val="21"/>
          <w:highlight w:val="none"/>
        </w:rPr>
        <w:sectPr>
          <w:footerReference r:id="rId10" w:type="default"/>
          <w:pgSz w:w="11910" w:h="16840"/>
          <w:pgMar w:top="1340" w:right="1500" w:bottom="280" w:left="1680" w:header="720" w:footer="567" w:gutter="0"/>
          <w:pgNumType w:fmt="decimal"/>
          <w:cols w:space="720" w:num="1"/>
          <w:docGrid w:type="lines" w:linePitch="331" w:charSpace="0"/>
        </w:sectPr>
      </w:pPr>
      <w:r>
        <w:rPr>
          <w:rFonts w:hint="eastAsia" w:ascii="Times New Roman" w:hAnsi="Times New Roman" w:eastAsia="宋体" w:cs="宋体"/>
          <w:color w:val="auto"/>
          <w:kern w:val="0"/>
          <w:sz w:val="21"/>
          <w:szCs w:val="21"/>
          <w:highlight w:val="none"/>
        </w:rPr>
        <w:t>为全面落实《公路交通阻断信息报送制度》（交办公路〔2024〕30号）技术要求以及《“十四五”推进国家政务信息化规划》的通知（发改高技〔2021〕1898号）《国务院关于加强数字政府建设的指导意见》（国发〔2022〕14号）和《广西壮族自治区人民政府关于加强数字政府建设的实施意见》（桂政发〔2022〕31号）文件提出 “加强自主创新，加快数字政府建设领域关键核心技术攻关，强化安全可靠技术和产品应用，切实提高自主可控水平。”的要求，破解现有系统瓶颈，加快公路管理数字化转型，本项目拟对广西高速公路智能化服务管理与发布平台系统实施升级改造和改造。通过重构国产化技术底座、优化路况填报与发布流程、建设标准化数据</w:t>
      </w:r>
    </w:p>
    <w:p w14:paraId="10574602">
      <w:pPr>
        <w:spacing w:line="360" w:lineRule="auto"/>
        <w:ind w:firstLine="420" w:firstLineChars="200"/>
        <w:rPr>
          <w:rFonts w:ascii="Times New Roman" w:hAnsi="Times New Roman" w:eastAsia="宋体" w:cs="宋体"/>
          <w:color w:val="auto"/>
          <w:kern w:val="0"/>
          <w:sz w:val="21"/>
          <w:szCs w:val="21"/>
          <w:highlight w:val="none"/>
        </w:rPr>
      </w:pPr>
      <w:r>
        <w:rPr>
          <w:rFonts w:hint="eastAsia" w:ascii="Times New Roman" w:hAnsi="Times New Roman" w:eastAsia="宋体" w:cs="宋体"/>
          <w:color w:val="auto"/>
          <w:kern w:val="0"/>
          <w:sz w:val="21"/>
          <w:szCs w:val="21"/>
          <w:highlight w:val="none"/>
        </w:rPr>
        <w:t>接口、拓展移动端服务场景，系统性提升阻断事件报送时效性、信息发布精准性及跨层级业务协同能力；将现有系统迁移至软硬件平台环境中，能够在系统无缝迁移、用户无感操作。项目建成后，将实现四大目标：一是打通数据壁垒，完善基础数据库与业务数据库，支撑全区路网“一数一源、一源多用”；二是深化智能应用，利用移动互联网、缓存中间件等技术，实现阻断信息“分钟级”更新与多终端同步发布；三是服务提质增效，以精细化、个性化、多样性的出行信息服务，助力公众出行体验升级与行业治理能力现代化，为广西智慧公路高质量发展提供核心支撑；四是强化安全，实现技术自主可控，提升系统稳定性，保障数据传输存储安全，为公众提供更安全、高效、可靠的出行信息服务</w:t>
      </w:r>
      <w:r>
        <w:rPr>
          <w:rFonts w:ascii="Times New Roman" w:hAnsi="Times New Roman" w:eastAsia="宋体" w:cs="宋体"/>
          <w:color w:val="auto"/>
          <w:kern w:val="0"/>
          <w:sz w:val="21"/>
          <w:szCs w:val="21"/>
          <w:highlight w:val="none"/>
        </w:rPr>
        <w:t>。</w:t>
      </w:r>
    </w:p>
    <w:p w14:paraId="5F6A40B3">
      <w:pPr>
        <w:keepNext w:val="0"/>
        <w:keepLines w:val="0"/>
        <w:pageBreakBefore w:val="0"/>
        <w:widowControl w:val="0"/>
        <w:kinsoku/>
        <w:wordWrap/>
        <w:overflowPunct/>
        <w:topLinePunct w:val="0"/>
        <w:autoSpaceDE/>
        <w:autoSpaceDN/>
        <w:bidi w:val="0"/>
        <w:adjustRightInd/>
        <w:snapToGrid/>
        <w:spacing w:after="167" w:afterLines="50" w:line="360" w:lineRule="exact"/>
        <w:ind w:firstLine="422" w:firstLineChars="200"/>
        <w:textAlignment w:val="auto"/>
        <w:rPr>
          <w:rFonts w:hint="eastAsia" w:ascii="宋体" w:hAnsi="宋体"/>
          <w:b/>
          <w:color w:val="auto"/>
          <w:sz w:val="21"/>
          <w:szCs w:val="21"/>
          <w:highlight w:val="none"/>
        </w:rPr>
      </w:pPr>
      <w:r>
        <w:rPr>
          <w:rFonts w:hint="eastAsia" w:ascii="Times New Roman" w:hAnsi="Times New Roman" w:eastAsia="宋体" w:cs="宋体"/>
          <w:b/>
          <w:color w:val="auto"/>
          <w:kern w:val="0"/>
          <w:sz w:val="21"/>
          <w:szCs w:val="21"/>
          <w:highlight w:val="none"/>
          <w:lang w:val="en-US" w:eastAsia="zh-CN"/>
        </w:rPr>
        <w:t>二</w:t>
      </w:r>
      <w:r>
        <w:rPr>
          <w:rFonts w:hint="eastAsia" w:ascii="Times New Roman" w:hAnsi="Times New Roman" w:eastAsia="宋体" w:cs="宋体"/>
          <w:b/>
          <w:color w:val="auto"/>
          <w:kern w:val="0"/>
          <w:sz w:val="21"/>
          <w:szCs w:val="21"/>
          <w:highlight w:val="none"/>
        </w:rPr>
        <w:t>、项目</w:t>
      </w:r>
      <w:r>
        <w:rPr>
          <w:rFonts w:hint="eastAsia" w:ascii="Times New Roman" w:hAnsi="Times New Roman" w:eastAsia="宋体" w:cs="宋体"/>
          <w:b/>
          <w:color w:val="auto"/>
          <w:kern w:val="0"/>
          <w:sz w:val="21"/>
          <w:szCs w:val="21"/>
          <w:highlight w:val="none"/>
          <w:lang w:val="en-US" w:eastAsia="zh-CN"/>
        </w:rPr>
        <w:t>建设内容</w:t>
      </w:r>
    </w:p>
    <w:p w14:paraId="48815D25">
      <w:pPr>
        <w:keepNext w:val="0"/>
        <w:keepLines w:val="0"/>
        <w:pageBreakBefore w:val="0"/>
        <w:widowControl w:val="0"/>
        <w:kinsoku/>
        <w:wordWrap/>
        <w:overflowPunct/>
        <w:topLinePunct w:val="0"/>
        <w:autoSpaceDE/>
        <w:autoSpaceDN/>
        <w:bidi w:val="0"/>
        <w:adjustRightInd/>
        <w:snapToGrid/>
        <w:spacing w:before="0" w:line="360" w:lineRule="auto"/>
        <w:ind w:firstLine="420" w:firstLineChars="200"/>
        <w:textAlignment w:val="auto"/>
        <w:rPr>
          <w:rFonts w:ascii="Times New Roman" w:hAnsi="Times New Roman" w:eastAsia="宋体" w:cs="宋体"/>
          <w:color w:val="auto"/>
          <w:sz w:val="21"/>
          <w:szCs w:val="21"/>
          <w:highlight w:val="none"/>
        </w:rPr>
      </w:pPr>
      <w:r>
        <w:rPr>
          <w:rFonts w:ascii="Times New Roman" w:hAnsi="Times New Roman" w:eastAsia="宋体" w:cs="宋体"/>
          <w:color w:val="auto"/>
          <w:sz w:val="21"/>
          <w:szCs w:val="21"/>
          <w:highlight w:val="none"/>
        </w:rPr>
        <w:t>本项目总体建设</w:t>
      </w:r>
      <w:r>
        <w:rPr>
          <w:rFonts w:ascii="Times New Roman" w:hAnsi="Times New Roman" w:eastAsia="宋体" w:cs="宋体"/>
          <w:color w:val="auto"/>
          <w:kern w:val="0"/>
          <w:sz w:val="21"/>
          <w:szCs w:val="21"/>
          <w:highlight w:val="none"/>
        </w:rPr>
        <w:t>广西高速公路智能化服务管理与发布平台系统升级及改造</w:t>
      </w:r>
      <w:r>
        <w:rPr>
          <w:rFonts w:ascii="Times New Roman" w:hAnsi="Times New Roman" w:eastAsia="宋体" w:cs="宋体"/>
          <w:color w:val="auto"/>
          <w:sz w:val="21"/>
          <w:szCs w:val="21"/>
          <w:highlight w:val="none"/>
        </w:rPr>
        <w:t>，主要</w:t>
      </w:r>
      <w:r>
        <w:rPr>
          <w:rFonts w:hint="eastAsia" w:ascii="Times New Roman" w:hAnsi="Times New Roman" w:eastAsia="宋体" w:cs="宋体"/>
          <w:color w:val="auto"/>
          <w:sz w:val="21"/>
          <w:szCs w:val="21"/>
          <w:highlight w:val="none"/>
        </w:rPr>
        <w:t>为</w:t>
      </w:r>
      <w:r>
        <w:rPr>
          <w:rFonts w:ascii="Times New Roman" w:hAnsi="Times New Roman" w:eastAsia="宋体" w:cs="宋体"/>
          <w:color w:val="auto"/>
          <w:sz w:val="21"/>
          <w:szCs w:val="21"/>
          <w:highlight w:val="none"/>
        </w:rPr>
        <w:t>软件开发。主要内容</w:t>
      </w:r>
      <w:r>
        <w:rPr>
          <w:rFonts w:hint="eastAsia" w:ascii="Times New Roman" w:hAnsi="Times New Roman" w:eastAsia="宋体" w:cs="宋体"/>
          <w:color w:val="auto"/>
          <w:sz w:val="21"/>
          <w:szCs w:val="21"/>
          <w:highlight w:val="none"/>
        </w:rPr>
        <w:t>如下：</w:t>
      </w:r>
    </w:p>
    <w:p w14:paraId="3BCEA4E2">
      <w:pPr>
        <w:spacing w:line="360" w:lineRule="auto"/>
        <w:ind w:firstLine="420" w:firstLineChars="200"/>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（1）应用系统功能升级</w:t>
      </w:r>
    </w:p>
    <w:p w14:paraId="07B62D94">
      <w:pPr>
        <w:snapToGrid w:val="0"/>
        <w:spacing w:line="360" w:lineRule="auto"/>
        <w:ind w:firstLine="420" w:firstLineChars="200"/>
        <w:rPr>
          <w:rFonts w:hint="eastAsia"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对</w:t>
      </w:r>
      <w:r>
        <w:rPr>
          <w:rFonts w:ascii="Times New Roman" w:hAnsi="Times New Roman" w:eastAsia="宋体" w:cs="宋体"/>
          <w:color w:val="auto"/>
          <w:sz w:val="21"/>
          <w:szCs w:val="21"/>
          <w:highlight w:val="none"/>
        </w:rPr>
        <w:t>广西高速公路智能化服务管理与发布平台系统</w:t>
      </w:r>
      <w:r>
        <w:rPr>
          <w:rFonts w:hint="eastAsia" w:ascii="Times New Roman" w:hAnsi="Times New Roman" w:eastAsia="宋体" w:cs="宋体"/>
          <w:color w:val="auto"/>
          <w:sz w:val="21"/>
          <w:szCs w:val="21"/>
          <w:highlight w:val="none"/>
        </w:rPr>
        <w:t>的</w:t>
      </w:r>
      <w:r>
        <w:rPr>
          <w:rFonts w:ascii="Times New Roman" w:hAnsi="Times New Roman" w:eastAsia="宋体" w:cs="宋体"/>
          <w:color w:val="auto"/>
          <w:sz w:val="21"/>
          <w:szCs w:val="21"/>
          <w:highlight w:val="none"/>
        </w:rPr>
        <w:t>路况填报模块相关内容进行升级，</w:t>
      </w:r>
      <w:r>
        <w:rPr>
          <w:rFonts w:ascii="Times New Roman" w:hAnsi="Times New Roman" w:eastAsia="宋体" w:cs="宋体"/>
          <w:color w:val="auto"/>
          <w:sz w:val="21"/>
          <w:szCs w:val="21"/>
          <w:highlight w:val="none"/>
        </w:rPr>
        <w:t>对平台首页、高速公路、行业路况</w:t>
      </w:r>
      <w:r>
        <w:rPr>
          <w:rFonts w:hint="eastAsia" w:cs="宋体"/>
          <w:color w:val="auto"/>
          <w:sz w:val="21"/>
          <w:szCs w:val="21"/>
          <w:highlight w:val="none"/>
          <w:lang w:val="en-US" w:eastAsia="zh-CN"/>
        </w:rPr>
        <w:t>等</w:t>
      </w:r>
      <w:r>
        <w:rPr>
          <w:rFonts w:ascii="Times New Roman" w:hAnsi="Times New Roman" w:eastAsia="宋体" w:cs="宋体"/>
          <w:color w:val="auto"/>
          <w:sz w:val="21"/>
          <w:szCs w:val="21"/>
          <w:highlight w:val="none"/>
        </w:rPr>
        <w:t>模块进行升级</w:t>
      </w:r>
      <w:r>
        <w:rPr>
          <w:rFonts w:hint="eastAsia" w:cs="宋体"/>
          <w:color w:val="auto"/>
          <w:sz w:val="21"/>
          <w:szCs w:val="21"/>
          <w:highlight w:val="none"/>
          <w:lang w:eastAsia="zh-CN"/>
        </w:rPr>
        <w:t>。</w:t>
      </w:r>
      <w:r>
        <w:rPr>
          <w:rFonts w:hint="eastAsia" w:ascii="Times New Roman" w:hAnsi="Times New Roman" w:eastAsia="宋体" w:cs="宋体"/>
          <w:color w:val="auto"/>
          <w:sz w:val="21"/>
          <w:szCs w:val="21"/>
          <w:highlight w:val="none"/>
        </w:rPr>
        <w:t>建设与桂小通微信小程序接口、与交通运输部路网中心路况信息管理系统接口共两个接口。</w:t>
      </w:r>
    </w:p>
    <w:p w14:paraId="44E9407A">
      <w:pPr>
        <w:snapToGrid w:val="0"/>
        <w:spacing w:line="360" w:lineRule="auto"/>
        <w:ind w:firstLine="420" w:firstLineChars="200"/>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（2）应用系统</w:t>
      </w:r>
      <w:r>
        <w:rPr>
          <w:rFonts w:hint="eastAsia" w:cs="宋体"/>
          <w:color w:val="auto"/>
          <w:sz w:val="21"/>
          <w:szCs w:val="21"/>
          <w:highlight w:val="none"/>
          <w:lang w:eastAsia="zh-CN"/>
        </w:rPr>
        <w:t>升级</w:t>
      </w:r>
      <w:r>
        <w:rPr>
          <w:rFonts w:hint="eastAsia" w:ascii="Times New Roman" w:hAnsi="Times New Roman" w:eastAsia="宋体" w:cs="宋体"/>
          <w:color w:val="auto"/>
          <w:sz w:val="21"/>
          <w:szCs w:val="21"/>
          <w:highlight w:val="none"/>
        </w:rPr>
        <w:t>改造</w:t>
      </w:r>
    </w:p>
    <w:p w14:paraId="3FFC866C">
      <w:pPr>
        <w:snapToGrid w:val="0"/>
        <w:spacing w:line="360" w:lineRule="auto"/>
        <w:ind w:firstLine="420" w:firstLineChars="200"/>
        <w:rPr>
          <w:rFonts w:hint="eastAsia" w:ascii="Times New Roman" w:hAnsi="Times New Roman" w:eastAsia="宋体" w:cs="宋体"/>
          <w:color w:val="auto"/>
          <w:sz w:val="21"/>
          <w:szCs w:val="21"/>
          <w:highlight w:val="none"/>
          <w:lang w:val="en-US" w:eastAsia="zh-CN"/>
        </w:rPr>
      </w:pPr>
      <w:r>
        <w:rPr>
          <w:rFonts w:hint="eastAsia" w:ascii="Times New Roman" w:hAnsi="Times New Roman" w:eastAsia="宋体" w:cs="宋体"/>
          <w:color w:val="auto"/>
          <w:sz w:val="21"/>
          <w:szCs w:val="21"/>
          <w:highlight w:val="none"/>
        </w:rPr>
        <w:t>本次迁移改造的内容主要</w:t>
      </w:r>
      <w:r>
        <w:rPr>
          <w:rFonts w:hint="eastAsia" w:cs="宋体"/>
          <w:color w:val="auto"/>
          <w:sz w:val="21"/>
          <w:szCs w:val="21"/>
          <w:highlight w:val="none"/>
          <w:lang w:eastAsia="zh-CN"/>
        </w:rPr>
        <w:t>包括以下三个</w:t>
      </w:r>
      <w:r>
        <w:rPr>
          <w:rFonts w:hint="eastAsia" w:ascii="Times New Roman" w:hAnsi="Times New Roman" w:eastAsia="宋体" w:cs="宋体"/>
          <w:color w:val="auto"/>
          <w:sz w:val="21"/>
          <w:szCs w:val="21"/>
          <w:highlight w:val="none"/>
        </w:rPr>
        <w:t>部分：</w:t>
      </w:r>
      <w:r>
        <w:rPr>
          <w:rFonts w:hint="eastAsia" w:ascii="Times New Roman" w:hAnsi="Times New Roman" w:eastAsia="宋体" w:cs="宋体"/>
          <w:color w:val="auto"/>
          <w:sz w:val="21"/>
          <w:szCs w:val="21"/>
          <w:highlight w:val="none"/>
          <w:lang w:val="en-US" w:eastAsia="zh-CN"/>
        </w:rPr>
        <w:t>①</w:t>
      </w:r>
      <w:r>
        <w:rPr>
          <w:rFonts w:hint="eastAsia" w:ascii="Times New Roman" w:hAnsi="Times New Roman" w:eastAsia="宋体" w:cs="宋体"/>
          <w:color w:val="auto"/>
          <w:sz w:val="21"/>
          <w:szCs w:val="21"/>
          <w:highlight w:val="none"/>
        </w:rPr>
        <w:t>软件基础设施的选型建议、部署、集成和调试。包括数据库管理软件、WEB服务器软件、应用服务器软件、缓存服务器软件、地图服务器软件以及关联的操作系统和JDK环境等。</w:t>
      </w:r>
      <w:r>
        <w:rPr>
          <w:rFonts w:hint="eastAsia" w:ascii="Times New Roman" w:hAnsi="Times New Roman" w:eastAsia="宋体" w:cs="宋体"/>
          <w:color w:val="auto"/>
          <w:sz w:val="21"/>
          <w:szCs w:val="21"/>
          <w:highlight w:val="none"/>
          <w:lang w:val="en-US" w:eastAsia="zh-CN"/>
        </w:rPr>
        <w:t>②</w:t>
      </w:r>
      <w:r>
        <w:rPr>
          <w:rFonts w:hint="eastAsia" w:ascii="Times New Roman" w:hAnsi="Times New Roman" w:eastAsia="宋体" w:cs="宋体"/>
          <w:color w:val="auto"/>
          <w:sz w:val="21"/>
          <w:szCs w:val="21"/>
          <w:highlight w:val="none"/>
        </w:rPr>
        <w:t>应用软件即高速公路智能化服务管理与发布平台系统对软件基础设施的适配程序修改、测试、适配和试运行。</w:t>
      </w:r>
      <w:r>
        <w:rPr>
          <w:rFonts w:hint="eastAsia" w:ascii="Times New Roman" w:hAnsi="Times New Roman" w:eastAsia="宋体" w:cs="宋体"/>
          <w:color w:val="auto"/>
          <w:sz w:val="21"/>
          <w:szCs w:val="21"/>
          <w:highlight w:val="none"/>
          <w:lang w:val="en-US" w:eastAsia="zh-CN"/>
        </w:rPr>
        <w:t>③</w:t>
      </w:r>
      <w:r>
        <w:rPr>
          <w:rFonts w:hint="eastAsia" w:ascii="Times New Roman" w:hAnsi="Times New Roman" w:eastAsia="宋体" w:cs="宋体"/>
          <w:color w:val="auto"/>
          <w:sz w:val="21"/>
          <w:szCs w:val="21"/>
          <w:highlight w:val="none"/>
        </w:rPr>
        <w:t>数据的迁移、测试、适配和试运行</w:t>
      </w:r>
      <w:r>
        <w:rPr>
          <w:rFonts w:hint="eastAsia" w:cs="宋体"/>
          <w:color w:val="auto"/>
          <w:sz w:val="21"/>
          <w:szCs w:val="21"/>
          <w:highlight w:val="none"/>
          <w:lang w:eastAsia="zh-CN"/>
        </w:rPr>
        <w:t>。</w:t>
      </w:r>
    </w:p>
    <w:p w14:paraId="7F7ECB13">
      <w:pPr>
        <w:keepNext w:val="0"/>
        <w:keepLines w:val="0"/>
        <w:pageBreakBefore w:val="0"/>
        <w:widowControl w:val="0"/>
        <w:kinsoku/>
        <w:wordWrap/>
        <w:overflowPunct/>
        <w:topLinePunct w:val="0"/>
        <w:autoSpaceDE/>
        <w:autoSpaceDN/>
        <w:bidi w:val="0"/>
        <w:adjustRightInd/>
        <w:snapToGrid/>
        <w:spacing w:before="167" w:beforeLines="50" w:line="360" w:lineRule="auto"/>
        <w:ind w:firstLine="420" w:firstLineChars="200"/>
        <w:textAlignment w:val="auto"/>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（3）商用密码应用改造</w:t>
      </w:r>
    </w:p>
    <w:p w14:paraId="3E06CEC5">
      <w:pPr>
        <w:snapToGrid w:val="0"/>
        <w:spacing w:line="360" w:lineRule="auto"/>
        <w:ind w:firstLine="420" w:firstLineChars="200"/>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基于云平台提供的签名验签、服务器密码机加解密等密码服务以及系统的密码应用需求，需开发适配若干密码应用功能模块，以实现应用和数据等层面的各密码应用功能。</w:t>
      </w:r>
    </w:p>
    <w:p w14:paraId="3765C210">
      <w:pPr>
        <w:spacing w:line="360" w:lineRule="auto"/>
        <w:ind w:firstLine="420" w:firstLineChars="200"/>
        <w:rPr>
          <w:rFonts w:ascii="Times New Roman" w:hAnsi="Times New Roman" w:eastAsia="宋体" w:cs="宋体"/>
          <w:color w:val="auto"/>
          <w:sz w:val="21"/>
          <w:szCs w:val="21"/>
          <w:highlight w:val="none"/>
        </w:rPr>
      </w:pPr>
      <w:r>
        <w:rPr>
          <w:rFonts w:ascii="Times New Roman" w:hAnsi="Times New Roman" w:eastAsia="宋体" w:cs="宋体"/>
          <w:color w:val="auto"/>
          <w:sz w:val="21"/>
          <w:szCs w:val="21"/>
          <w:highlight w:val="none"/>
        </w:rPr>
        <w:t>（4）</w:t>
      </w:r>
      <w:r>
        <w:rPr>
          <w:rFonts w:hint="eastAsia" w:ascii="Times New Roman" w:hAnsi="Times New Roman" w:eastAsia="宋体" w:cs="宋体"/>
          <w:color w:val="auto"/>
          <w:sz w:val="21"/>
          <w:szCs w:val="21"/>
          <w:highlight w:val="none"/>
        </w:rPr>
        <w:t>基础</w:t>
      </w:r>
      <w:r>
        <w:rPr>
          <w:rFonts w:ascii="Times New Roman" w:hAnsi="Times New Roman" w:eastAsia="宋体" w:cs="宋体"/>
          <w:color w:val="auto"/>
          <w:sz w:val="21"/>
          <w:szCs w:val="21"/>
          <w:highlight w:val="none"/>
        </w:rPr>
        <w:t>支撑平台</w:t>
      </w:r>
    </w:p>
    <w:p w14:paraId="221B6A28">
      <w:pPr>
        <w:pStyle w:val="2"/>
        <w:rPr>
          <w:color w:val="auto"/>
          <w:sz w:val="21"/>
          <w:szCs w:val="21"/>
          <w:highlight w:val="none"/>
        </w:rPr>
        <w:sectPr>
          <w:footerReference r:id="rId11" w:type="default"/>
          <w:pgSz w:w="11910" w:h="16840"/>
          <w:pgMar w:top="1340" w:right="1500" w:bottom="280" w:left="1680" w:header="720" w:footer="567" w:gutter="0"/>
          <w:pgNumType w:fmt="decimal"/>
          <w:cols w:space="720" w:num="1"/>
          <w:docGrid w:type="lines" w:linePitch="331" w:charSpace="0"/>
        </w:sectPr>
      </w:pPr>
      <w:r>
        <w:rPr>
          <w:rFonts w:ascii="Times New Roman" w:hAnsi="Times New Roman" w:eastAsia="宋体" w:cs="宋体"/>
          <w:color w:val="auto"/>
          <w:sz w:val="21"/>
          <w:szCs w:val="21"/>
          <w:highlight w:val="none"/>
        </w:rPr>
        <w:t>本项目</w:t>
      </w:r>
      <w:r>
        <w:rPr>
          <w:rFonts w:hint="eastAsia" w:ascii="Times New Roman" w:hAnsi="Times New Roman" w:eastAsia="宋体" w:cs="宋体"/>
          <w:color w:val="auto"/>
          <w:sz w:val="21"/>
          <w:szCs w:val="21"/>
          <w:highlight w:val="none"/>
        </w:rPr>
        <w:t>充分</w:t>
      </w:r>
      <w:r>
        <w:rPr>
          <w:rFonts w:ascii="Times New Roman" w:hAnsi="Times New Roman" w:eastAsia="宋体" w:cs="宋体"/>
          <w:color w:val="auto"/>
          <w:sz w:val="21"/>
          <w:szCs w:val="21"/>
          <w:highlight w:val="none"/>
        </w:rPr>
        <w:t>复用广西壮族自治区</w:t>
      </w:r>
      <w:r>
        <w:rPr>
          <w:rFonts w:hint="eastAsia" w:ascii="Times New Roman" w:hAnsi="Times New Roman" w:eastAsia="宋体" w:cs="宋体"/>
          <w:color w:val="auto"/>
          <w:sz w:val="21"/>
          <w:szCs w:val="21"/>
          <w:highlight w:val="none"/>
        </w:rPr>
        <w:t>高速</w:t>
      </w:r>
      <w:r>
        <w:rPr>
          <w:rFonts w:ascii="Times New Roman" w:hAnsi="Times New Roman" w:eastAsia="宋体" w:cs="宋体"/>
          <w:color w:val="auto"/>
          <w:sz w:val="21"/>
          <w:szCs w:val="21"/>
          <w:highlight w:val="none"/>
        </w:rPr>
        <w:t>公路发展中心支撑软件的基础上，按需提出对</w:t>
      </w:r>
      <w:r>
        <w:rPr>
          <w:rFonts w:hint="eastAsia" w:ascii="Times New Roman" w:hAnsi="Times New Roman" w:eastAsia="宋体" w:cs="宋体"/>
          <w:color w:val="auto"/>
          <w:sz w:val="21"/>
          <w:szCs w:val="21"/>
          <w:highlight w:val="none"/>
        </w:rPr>
        <w:t>自治区级云平台</w:t>
      </w:r>
      <w:r>
        <w:rPr>
          <w:rFonts w:ascii="Times New Roman" w:hAnsi="Times New Roman" w:eastAsia="宋体" w:cs="宋体"/>
          <w:color w:val="auto"/>
          <w:sz w:val="21"/>
          <w:szCs w:val="21"/>
          <w:highlight w:val="none"/>
        </w:rPr>
        <w:t>配套建设的支撑软件</w:t>
      </w:r>
      <w:r>
        <w:rPr>
          <w:rFonts w:hint="eastAsia" w:ascii="Times New Roman" w:hAnsi="Times New Roman" w:eastAsia="宋体" w:cs="宋体"/>
          <w:color w:val="auto"/>
          <w:sz w:val="21"/>
          <w:szCs w:val="21"/>
          <w:highlight w:val="none"/>
        </w:rPr>
        <w:t>、计算、存储资源的需求，主要包括应用服务器、数据库服务器、互联网、操作系统、数据库、应用中间件等。此外，按需采购分布式数据缓存中间件、服务代理中间件。</w:t>
      </w:r>
    </w:p>
    <w:p w14:paraId="6B1200FB">
      <w:pPr>
        <w:pStyle w:val="3"/>
        <w:jc w:val="center"/>
        <w:rPr>
          <w:color w:val="auto"/>
          <w:highlight w:val="none"/>
        </w:rPr>
      </w:pPr>
      <w:r>
        <w:rPr>
          <w:rFonts w:hint="eastAsia"/>
          <w:color w:val="auto"/>
          <w:highlight w:val="none"/>
        </w:rPr>
        <w:t>第四章  评审程序、评审方法和评审标准</w:t>
      </w:r>
      <w:bookmarkEnd w:id="77"/>
    </w:p>
    <w:p w14:paraId="0E4EFBF4">
      <w:pPr>
        <w:spacing w:line="360" w:lineRule="auto"/>
        <w:jc w:val="center"/>
        <w:rPr>
          <w:rFonts w:hint="eastAsia" w:ascii="宋体" w:hAnsi="宋体"/>
          <w:b/>
          <w:color w:val="auto"/>
          <w:sz w:val="32"/>
          <w:szCs w:val="32"/>
          <w:highlight w:val="none"/>
        </w:rPr>
      </w:pPr>
      <w:r>
        <w:rPr>
          <w:rFonts w:hint="eastAsia" w:ascii="宋体" w:hAnsi="宋体"/>
          <w:b/>
          <w:color w:val="auto"/>
          <w:sz w:val="32"/>
          <w:szCs w:val="32"/>
          <w:highlight w:val="none"/>
        </w:rPr>
        <w:t>一、评审程序和评审方法</w:t>
      </w:r>
    </w:p>
    <w:p w14:paraId="3273595F">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1</w:t>
      </w:r>
      <w:r>
        <w:rPr>
          <w:rFonts w:hint="eastAsia" w:ascii="黑体" w:hAnsi="黑体" w:eastAsia="黑体" w:cs="宋体"/>
          <w:b/>
          <w:bCs/>
          <w:color w:val="auto"/>
          <w:sz w:val="24"/>
          <w:highlight w:val="none"/>
        </w:rPr>
        <w:t>.资格审查</w:t>
      </w:r>
    </w:p>
    <w:p w14:paraId="5511C8FB">
      <w:pPr>
        <w:snapToGrid w:val="0"/>
        <w:spacing w:line="360" w:lineRule="auto"/>
        <w:ind w:firstLine="420" w:firstLineChars="200"/>
        <w:rPr>
          <w:rFonts w:hint="eastAsia" w:ascii="宋体" w:hAnsi="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.1</w:t>
      </w:r>
      <w:r>
        <w:rPr>
          <w:rFonts w:hint="eastAsia" w:ascii="宋体" w:hAnsi="宋体"/>
          <w:color w:val="auto"/>
          <w:szCs w:val="21"/>
          <w:highlight w:val="none"/>
        </w:rPr>
        <w:t>响应文件开启后，磋商小组依法对供应商的资格证明文件进行审查。</w:t>
      </w:r>
    </w:p>
    <w:p w14:paraId="7C54B5A0">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注：</w:t>
      </w:r>
      <w:r>
        <w:rPr>
          <w:rFonts w:hint="eastAsia"/>
          <w:color w:val="auto"/>
          <w:highlight w:val="none"/>
        </w:rPr>
        <w:t>磋商小组</w:t>
      </w:r>
      <w:r>
        <w:rPr>
          <w:rFonts w:hint="eastAsia" w:ascii="宋体" w:hAnsi="宋体" w:cs="宋体"/>
          <w:color w:val="auto"/>
          <w:szCs w:val="21"/>
          <w:highlight w:val="none"/>
        </w:rPr>
        <w:t>在资格审查结束前，对供应商进行信用查询。</w:t>
      </w:r>
    </w:p>
    <w:p w14:paraId="4D14F282">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（1）查询渠道：“广西政府采购云平台”“信用中国”网站(www.creditchina.gov.cn)、中国政府采购网(www.ccgp.gov.cn)链接入口。</w:t>
      </w:r>
    </w:p>
    <w:p w14:paraId="57983851">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（2）信用查询截止时点：资格审查结束前。</w:t>
      </w:r>
    </w:p>
    <w:p w14:paraId="1A85BB92">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（3）查询记录和证据留存方式：在查询网站中直接查询，截图另存为电子文档作为评审资料保存。</w:t>
      </w:r>
    </w:p>
    <w:p w14:paraId="14EFE731">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资格审查不通过，不得参与政府采购活动。</w:t>
      </w:r>
      <w:r>
        <w:rPr>
          <w:rFonts w:hint="eastAsia" w:ascii="宋体" w:hAnsi="宋体"/>
          <w:color w:val="auto"/>
          <w:szCs w:val="21"/>
          <w:highlight w:val="none"/>
        </w:rPr>
        <w:t>两个以上的自然人、法人或者其他组织组成一个联合体，以一个供应商的身份共同参加政府采购活动的，应当对所有联合体成员进行信用记录查询，联合体成员存在不良信用记录（被列入失信被执行人、重大税收违法失信主体、政府采购严重违法失信行为记录名单及其他不符合《中华人民共和国政府采购法》第二十二条规定条件的供应商）的，视同联合体存在不良信用记录</w:t>
      </w:r>
      <w:r>
        <w:rPr>
          <w:rFonts w:hint="eastAsia" w:ascii="宋体" w:hAnsi="宋体" w:cs="宋体"/>
          <w:color w:val="auto"/>
          <w:szCs w:val="21"/>
          <w:highlight w:val="none"/>
        </w:rPr>
        <w:t>。</w:t>
      </w:r>
    </w:p>
    <w:p w14:paraId="7C73F8F4">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.2资格审查标准为本磋商文件中载明对供应商资格要求的条件。资格审查采用合格制，凡符合磋商文件规定的供应商资格要求的响应文件均通过资格审查。</w:t>
      </w:r>
    </w:p>
    <w:p w14:paraId="05BCCDA2">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.3供应商有下列情形之一的，资格审查不通过，其响应文件按无效响应处理：</w:t>
      </w:r>
    </w:p>
    <w:p w14:paraId="592D2A3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）不具备磋商文件中规定的资格要求的；</w:t>
      </w:r>
    </w:p>
    <w:p w14:paraId="3611898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（2）未按磋商文件规定的方式获取本磋商文件的供应商；</w:t>
      </w:r>
    </w:p>
    <w:p w14:paraId="29A7DD3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）响应文件的资格证明文件缺少任一项“供应商须知前附表”资格证明文件规定的“必须提供”的文件资料的；</w:t>
      </w:r>
    </w:p>
    <w:p w14:paraId="32FBAE7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4</w:t>
      </w:r>
      <w:r>
        <w:rPr>
          <w:rFonts w:hint="eastAsia" w:ascii="宋体" w:hAnsi="宋体" w:cs="宋体"/>
          <w:color w:val="auto"/>
          <w:szCs w:val="21"/>
          <w:highlight w:val="none"/>
        </w:rPr>
        <w:t>）响应文件中的资格证明文件出现任一项不符合“供应商须知前附表”资格证明文件规定的“必须提供”的文件资料要求或者无效的；</w:t>
      </w:r>
    </w:p>
    <w:p w14:paraId="3B8028F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5</w:t>
      </w:r>
      <w:r>
        <w:rPr>
          <w:rFonts w:hint="eastAsia" w:ascii="宋体" w:hAnsi="宋体" w:cs="宋体"/>
          <w:color w:val="auto"/>
          <w:szCs w:val="21"/>
          <w:highlight w:val="none"/>
        </w:rPr>
        <w:t>）同一合同项下的不同供应商，单位负责人为同一人或者存在直接控股、管理关系的；为本项目提供过整体设计、规范编制或者项目管理、监理、检测等服务的供应商，再参加该采购项目的其他采购活动的。</w:t>
      </w:r>
    </w:p>
    <w:p w14:paraId="625EC3A1">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.4通过资格审查的合格供应商不足3家的，不得进入符合性审查环节，</w:t>
      </w:r>
      <w:r>
        <w:rPr>
          <w:rFonts w:hint="eastAsia" w:ascii="宋体" w:hAnsi="宋体"/>
          <w:color w:val="auto"/>
          <w:szCs w:val="21"/>
          <w:highlight w:val="none"/>
        </w:rPr>
        <w:t>采购人或者采购代理机构应当重新开展采购活动。</w:t>
      </w:r>
    </w:p>
    <w:p w14:paraId="281DF9FE">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2</w:t>
      </w:r>
      <w:r>
        <w:rPr>
          <w:rFonts w:hint="eastAsia" w:ascii="黑体" w:hAnsi="黑体" w:eastAsia="黑体" w:cs="宋体"/>
          <w:b/>
          <w:bCs/>
          <w:color w:val="auto"/>
          <w:sz w:val="24"/>
          <w:highlight w:val="none"/>
        </w:rPr>
        <w:t>.符合性审查</w:t>
      </w:r>
    </w:p>
    <w:p w14:paraId="0DF36F84">
      <w:pPr>
        <w:spacing w:line="360" w:lineRule="auto"/>
        <w:ind w:firstLine="420" w:firstLineChars="200"/>
        <w:rPr>
          <w:rFonts w:hint="eastAsia" w:ascii="宋体" w:hAnsi="宋体" w:cs="宋体"/>
          <w:color w:val="auto"/>
          <w:szCs w:val="21"/>
          <w:highlight w:val="none"/>
        </w:rPr>
      </w:pPr>
      <w:bookmarkStart w:id="78" w:name="_Hlk42528882"/>
      <w:r>
        <w:rPr>
          <w:rFonts w:ascii="宋体" w:hAnsi="宋体" w:cs="宋体"/>
          <w:color w:val="auto"/>
          <w:szCs w:val="21"/>
          <w:highlight w:val="none"/>
        </w:rPr>
        <w:t>2.1</w:t>
      </w:r>
      <w:r>
        <w:rPr>
          <w:rFonts w:hint="eastAsia" w:ascii="宋体" w:hAnsi="宋体" w:cs="宋体"/>
          <w:color w:val="auto"/>
          <w:szCs w:val="21"/>
          <w:highlight w:val="none"/>
        </w:rPr>
        <w:t>由磋商小组对</w:t>
      </w:r>
      <w:r>
        <w:rPr>
          <w:rFonts w:hint="eastAsia" w:ascii="宋体" w:hAnsi="宋体"/>
          <w:color w:val="auto"/>
          <w:szCs w:val="21"/>
          <w:highlight w:val="none"/>
        </w:rPr>
        <w:t>通过资格审查的合格供应商</w:t>
      </w:r>
      <w:r>
        <w:rPr>
          <w:rFonts w:hint="eastAsia" w:ascii="宋体" w:hAnsi="宋体" w:cs="宋体"/>
          <w:color w:val="auto"/>
          <w:szCs w:val="21"/>
          <w:highlight w:val="none"/>
        </w:rPr>
        <w:t>的响应文件的竞标报价、商务、技术等实质性要求进行符合性审查，以确定其是否满足磋商文件的实质性要求。</w:t>
      </w:r>
    </w:p>
    <w:bookmarkEnd w:id="78"/>
    <w:p w14:paraId="28F63B06">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2.2</w:t>
      </w:r>
      <w:r>
        <w:rPr>
          <w:rFonts w:hint="eastAsia" w:ascii="宋体" w:hAnsi="宋体" w:cs="宋体"/>
          <w:color w:val="auto"/>
          <w:szCs w:val="21"/>
          <w:highlight w:val="none"/>
        </w:rPr>
        <w:t>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680D0AA4">
      <w:pPr>
        <w:spacing w:line="360" w:lineRule="auto"/>
        <w:ind w:firstLine="420" w:firstLineChars="200"/>
        <w:rPr>
          <w:rFonts w:hint="eastAsia" w:ascii="宋体" w:hAnsi="宋体" w:cs="宋体"/>
          <w:color w:val="auto"/>
          <w:spacing w:val="-6"/>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磋商小组要求供应商澄清、说明或者更正响应文件应当以电子澄清函形式作出。供应商的澄清、说明或者更正应当已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w:t>
      </w:r>
      <w:r>
        <w:rPr>
          <w:rFonts w:hint="eastAsia" w:hAnsi="宋体"/>
          <w:color w:val="auto"/>
          <w:highlight w:val="none"/>
        </w:rPr>
        <w:t>签章</w:t>
      </w:r>
      <w:r>
        <w:rPr>
          <w:rFonts w:hint="eastAsia" w:ascii="宋体" w:hAnsi="宋体" w:cs="宋体"/>
          <w:color w:val="auto"/>
          <w:spacing w:val="-6"/>
          <w:szCs w:val="21"/>
          <w:highlight w:val="none"/>
        </w:rPr>
        <w:t>。</w:t>
      </w:r>
    </w:p>
    <w:p w14:paraId="69E2FE16">
      <w:pPr>
        <w:spacing w:line="360" w:lineRule="auto"/>
        <w:ind w:firstLine="420" w:firstLineChars="200"/>
        <w:rPr>
          <w:rFonts w:hint="eastAsia" w:ascii="宋体" w:hAnsi="宋体" w:cs="宋体"/>
          <w:color w:val="auto"/>
          <w:spacing w:val="-6"/>
          <w:szCs w:val="21"/>
          <w:highlight w:val="none"/>
        </w:rPr>
      </w:pPr>
      <w:r>
        <w:rPr>
          <w:rFonts w:hint="eastAsia" w:ascii="宋体" w:hAnsi="宋体" w:cs="Courier New"/>
          <w:color w:val="auto"/>
          <w:szCs w:val="21"/>
          <w:highlight w:val="none"/>
        </w:rPr>
        <w:t>异常情况处理：如遇无法正常使用线上发送澄清函的情况，将启动书面形式办理。启动书面形式办理的情况下，磋商小组以书面形式要求供应商在规定时间内作出必要的澄清、说明或者补正。供应商的澄清、说明或者补正必须采用书面形式，并加盖公章，或者由法定代表人或者其授权的代表签字。</w:t>
      </w:r>
    </w:p>
    <w:p w14:paraId="5FCBB60D">
      <w:pPr>
        <w:spacing w:line="360" w:lineRule="auto"/>
        <w:ind w:firstLine="396" w:firstLineChars="200"/>
        <w:rPr>
          <w:rFonts w:hint="eastAsia" w:ascii="宋体" w:hAnsi="宋体" w:cs="宋体"/>
          <w:color w:val="auto"/>
          <w:szCs w:val="21"/>
          <w:highlight w:val="none"/>
        </w:rPr>
      </w:pPr>
      <w:r>
        <w:rPr>
          <w:rFonts w:ascii="宋体" w:hAnsi="宋体" w:cs="宋体"/>
          <w:color w:val="auto"/>
          <w:spacing w:val="-6"/>
          <w:szCs w:val="21"/>
          <w:highlight w:val="none"/>
        </w:rPr>
        <w:t>2.4</w:t>
      </w:r>
      <w:r>
        <w:rPr>
          <w:rFonts w:hint="eastAsia" w:ascii="宋体" w:hAnsi="宋体" w:cs="宋体"/>
          <w:color w:val="auto"/>
          <w:szCs w:val="21"/>
          <w:highlight w:val="none"/>
        </w:rPr>
        <w:t xml:space="preserve">首次响应文件报价出现前后不一致的，按照下列规定修正： </w:t>
      </w:r>
    </w:p>
    <w:p w14:paraId="416326E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（1）响应文件中报价表内容与响应文件中相应内容不一致的，以报价表为准；</w:t>
      </w:r>
    </w:p>
    <w:p w14:paraId="0054782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（2）大写金额和小写金额不一致的，以大写金额为准；</w:t>
      </w:r>
    </w:p>
    <w:p w14:paraId="447357F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（3）单价金额小数点或者百分比有明显错位的，以报价表的总价为准，并修改单价；</w:t>
      </w:r>
    </w:p>
    <w:p w14:paraId="0A0DEEE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（4）总价金额与按单价汇总金额不一致的，以单价金额计算结果为准。</w:t>
      </w:r>
    </w:p>
    <w:p w14:paraId="6FD7938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同时出现两种以上不一致的，按照以上（1）-（4）规定的顺序逐条进行修正。修正后的报价经供应商确认后产生约束力，供应商不确认的，其响应文件按无效响应处理。</w:t>
      </w:r>
    </w:p>
    <w:p w14:paraId="01446D02">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w:t>
      </w:r>
      <w:r>
        <w:rPr>
          <w:rFonts w:ascii="宋体" w:hAnsi="宋体" w:cs="宋体"/>
          <w:color w:val="auto"/>
          <w:szCs w:val="21"/>
          <w:highlight w:val="none"/>
        </w:rPr>
        <w:t>5</w:t>
      </w:r>
      <w:r>
        <w:rPr>
          <w:rFonts w:hint="eastAsia" w:ascii="宋体" w:hAnsi="宋体" w:cs="宋体"/>
          <w:color w:val="auto"/>
          <w:szCs w:val="21"/>
          <w:highlight w:val="none"/>
        </w:rPr>
        <w:t>商务技术报价评审</w:t>
      </w:r>
    </w:p>
    <w:p w14:paraId="045C1EF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在评审时，如发现下列情形之一的，将被视为响应文件无效处理：</w:t>
      </w:r>
    </w:p>
    <w:p w14:paraId="614EE24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（1）商务技术评审</w:t>
      </w:r>
    </w:p>
    <w:p w14:paraId="0D2A810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1）响应文件未按磋商文件要求签署、盖章；</w:t>
      </w:r>
    </w:p>
    <w:p w14:paraId="3223167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2）委托代理人未能出具有效身份证或者出具的身份证与授权委托书中的信息不符的； </w:t>
      </w:r>
    </w:p>
    <w:p w14:paraId="62AC32D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3）提交的磋商保证金无效的或者未按照磋商文件的规定提交磋商保证金；</w:t>
      </w:r>
    </w:p>
    <w:p w14:paraId="0E369C0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4）响应文件未提供任一项“供应商须知前附表”商务技术文件中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269792F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5）商务要求允许负偏离的条款数超过“供应商须知前附表”规定项数的；</w:t>
      </w:r>
    </w:p>
    <w:p w14:paraId="5D39581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6）未对竞标有效期作出响应或者响应文件承诺的竞标有效期不满足磋商文件要求；</w:t>
      </w:r>
    </w:p>
    <w:p w14:paraId="1CD9A06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7）响应文件的实质性内容未使用中文表述、使用计量单位不符合磋商文件要求；</w:t>
      </w:r>
    </w:p>
    <w:p w14:paraId="1FA60D5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8）响应文件中的文件资料因填写不齐全或者内容虚假或者出现其他情形而导致被磋商小组认定无效；</w:t>
      </w:r>
    </w:p>
    <w:p w14:paraId="0364EC0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9）响应文件含有采购人不能接受的附加条件；</w:t>
      </w:r>
    </w:p>
    <w:p w14:paraId="2BA6833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10）属于“供应商须知正文”第7.</w:t>
      </w:r>
      <w:r>
        <w:rPr>
          <w:rFonts w:ascii="宋体" w:hAnsi="宋体" w:cs="宋体"/>
          <w:color w:val="auto"/>
          <w:szCs w:val="21"/>
          <w:highlight w:val="none"/>
        </w:rPr>
        <w:t>5</w:t>
      </w:r>
      <w:r>
        <w:rPr>
          <w:rFonts w:hint="eastAsia" w:ascii="宋体" w:hAnsi="宋体" w:cs="宋体"/>
          <w:color w:val="auto"/>
          <w:szCs w:val="21"/>
          <w:highlight w:val="none"/>
        </w:rPr>
        <w:t>条情形；</w:t>
      </w:r>
    </w:p>
    <w:p w14:paraId="14FA2F78">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1）技术要求允许负偏离的条款数超过“供应商须知前附表”规定项数；</w:t>
      </w:r>
    </w:p>
    <w:p w14:paraId="6FE0639A">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2）虚假竞标，或者出现其他情形而导致被磋商小组认定无效；</w:t>
      </w:r>
    </w:p>
    <w:p w14:paraId="3BEE9F4D">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3）</w:t>
      </w:r>
      <w:bookmarkStart w:id="79" w:name="_Hlk71704147"/>
      <w:r>
        <w:rPr>
          <w:rFonts w:hint="eastAsia" w:ascii="宋体" w:hAnsi="宋体" w:cs="宋体"/>
          <w:color w:val="auto"/>
          <w:szCs w:val="21"/>
          <w:highlight w:val="none"/>
        </w:rPr>
        <w:t>磋商文件未载明允许提供备选（替代）竞标方案或明确不允许提供备选（替代）竞标方案时，供应商提供了备选（替代）竞标方案的；</w:t>
      </w:r>
      <w:bookmarkEnd w:id="79"/>
    </w:p>
    <w:p w14:paraId="6CFACD49">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4）响应文件标注的项目名称或者项目编号与磋商文件标注的项目名称或者项目编号不一致的；</w:t>
      </w:r>
    </w:p>
    <w:p w14:paraId="6FD0CB2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w:t>
      </w:r>
      <w:r>
        <w:rPr>
          <w:rFonts w:hint="eastAsia" w:ascii="宋体" w:hAnsi="宋体"/>
          <w:b/>
          <w:color w:val="auto"/>
          <w:szCs w:val="21"/>
          <w:highlight w:val="none"/>
        </w:rPr>
        <w:t>竞争性磋商文件明确不允许分包，响应文件拟分包的；</w:t>
      </w:r>
    </w:p>
    <w:p w14:paraId="0D9B3D14">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6）未响应磋商文件实质性要求；</w:t>
      </w:r>
    </w:p>
    <w:p w14:paraId="717957A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17）法律、法规和磋商文件规定的其他无效情形。</w:t>
      </w:r>
    </w:p>
    <w:p w14:paraId="27B7907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）报价评审</w:t>
      </w:r>
    </w:p>
    <w:p w14:paraId="73FF9A5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 xml:space="preserve"> </w:t>
      </w:r>
      <w:r>
        <w:rPr>
          <w:rFonts w:hint="eastAsia" w:ascii="宋体" w:hAnsi="宋体" w:cs="宋体"/>
          <w:color w:val="auto"/>
          <w:szCs w:val="21"/>
          <w:highlight w:val="none"/>
        </w:rPr>
        <w:t>响应文件未提供“供应商须知前附表” 中规定的“磋商报价表”；</w:t>
      </w:r>
    </w:p>
    <w:p w14:paraId="07B0744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2）未采用人民币报价或者未按照磋商文件标明的币种报价；</w:t>
      </w:r>
    </w:p>
    <w:p w14:paraId="56BFA1F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供应商未就所竞标分标进行报价或者存在漏项报价；供应商未就所竞标分标的单项内容作唯一报价；供应商未就所竞标分标的全部内容作完整唯一总价报价；供应商响应文件中存在有选择、有条件报价的（磋商文件允许有备选方案或者其他约定的除外）；</w:t>
      </w:r>
    </w:p>
    <w:p w14:paraId="54D8499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4）竞标报价（包含首次报价、最后报价）超过所竞标分标规定的采购预算金额或者最高限价的（如本项目公布了最高限价）；</w:t>
      </w:r>
      <w:bookmarkStart w:id="80" w:name="_Hlk42596405"/>
      <w:r>
        <w:rPr>
          <w:rFonts w:hint="eastAsia" w:ascii="宋体" w:hAnsi="宋体" w:cs="宋体"/>
          <w:color w:val="auto"/>
          <w:szCs w:val="21"/>
          <w:highlight w:val="none"/>
        </w:rPr>
        <w:t>竞标报价（包含首次报价、最后报价）</w:t>
      </w:r>
      <w:bookmarkEnd w:id="80"/>
      <w:bookmarkStart w:id="81" w:name="_Hlk42596276"/>
      <w:r>
        <w:rPr>
          <w:rFonts w:hint="eastAsia" w:ascii="宋体" w:hAnsi="宋体" w:cs="宋体"/>
          <w:color w:val="auto"/>
          <w:szCs w:val="21"/>
          <w:highlight w:val="none"/>
        </w:rPr>
        <w:t>超过磋商文件分项采购预算金额或者最高限价的</w:t>
      </w:r>
      <w:bookmarkEnd w:id="81"/>
      <w:r>
        <w:rPr>
          <w:rFonts w:hint="eastAsia" w:ascii="宋体" w:hAnsi="宋体" w:cs="宋体"/>
          <w:color w:val="auto"/>
          <w:szCs w:val="21"/>
          <w:highlight w:val="none"/>
        </w:rPr>
        <w:t>（如本项目公布了最高限价）；</w:t>
      </w:r>
    </w:p>
    <w:p w14:paraId="2DDEBE0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修正后的报价，供应商不确认的；或者经供应商确认修正后的竞标报价（包含首次报价、最后报价）超过所竞标分标规定的采购预算金额或者最高限价（如本项目公布了最高限价）；或者经供应商确认修正后竞标报价（包含首次报价、最后报价）超过磋商文件分项采购预算金额或者最高限价的（如本项目公布了最高限价）。</w:t>
      </w:r>
    </w:p>
    <w:p w14:paraId="1148021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w:t>
      </w:r>
      <w:r>
        <w:rPr>
          <w:rFonts w:hint="eastAsia" w:ascii="宋体" w:hAnsi="宋体"/>
          <w:color w:val="auto"/>
          <w:szCs w:val="21"/>
          <w:highlight w:val="none"/>
        </w:rPr>
        <w:t>响应文件响应的标的数量及单位与竞争性磋商采购文件要求实质性不一致的。</w:t>
      </w:r>
    </w:p>
    <w:p w14:paraId="13859A51">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2.6</w:t>
      </w:r>
      <w:r>
        <w:rPr>
          <w:rFonts w:hint="eastAsia" w:ascii="宋体" w:hAnsi="宋体" w:cs="宋体"/>
          <w:color w:val="auto"/>
          <w:szCs w:val="21"/>
          <w:highlight w:val="none"/>
        </w:rPr>
        <w:t>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3B97E5D1">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3</w:t>
      </w:r>
      <w:r>
        <w:rPr>
          <w:rFonts w:hint="eastAsia" w:ascii="黑体" w:hAnsi="黑体" w:eastAsia="黑体" w:cs="宋体"/>
          <w:b/>
          <w:bCs/>
          <w:color w:val="auto"/>
          <w:sz w:val="24"/>
          <w:highlight w:val="none"/>
        </w:rPr>
        <w:t>.磋商程序</w:t>
      </w:r>
    </w:p>
    <w:p w14:paraId="19777265">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3</w:t>
      </w:r>
      <w:r>
        <w:rPr>
          <w:rFonts w:ascii="宋体" w:hAnsi="宋体" w:cs="宋体"/>
          <w:color w:val="auto"/>
          <w:kern w:val="0"/>
          <w:szCs w:val="21"/>
          <w:highlight w:val="none"/>
        </w:rPr>
        <w:t>.1</w:t>
      </w:r>
      <w:r>
        <w:rPr>
          <w:rFonts w:hint="eastAsia" w:ascii="宋体" w:hAnsi="宋体" w:cs="宋体"/>
          <w:color w:val="auto"/>
          <w:kern w:val="0"/>
          <w:szCs w:val="21"/>
          <w:highlight w:val="none"/>
        </w:rPr>
        <w:t>磋商小组</w:t>
      </w:r>
      <w:r>
        <w:rPr>
          <w:rFonts w:hint="eastAsia" w:ascii="宋体" w:hAnsi="宋体" w:cs="宋体"/>
          <w:color w:val="auto"/>
          <w:szCs w:val="21"/>
          <w:highlight w:val="none"/>
        </w:rPr>
        <w:t>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180B502A">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3.2</w:t>
      </w:r>
      <w:r>
        <w:rPr>
          <w:rFonts w:hint="eastAsia" w:ascii="宋体" w:hAnsi="宋体" w:cs="宋体"/>
          <w:color w:val="auto"/>
          <w:szCs w:val="21"/>
          <w:highlight w:val="none"/>
        </w:rPr>
        <w:t>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01313955">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3.3</w:t>
      </w:r>
      <w:r>
        <w:rPr>
          <w:rFonts w:hint="eastAsia" w:ascii="宋体" w:hAnsi="宋体" w:cs="宋体"/>
          <w:color w:val="auto"/>
          <w:szCs w:val="21"/>
          <w:highlight w:val="none"/>
        </w:rPr>
        <w:t>对磋商文件作出的实质性变动是磋商文件的有效组成部分，由磋商小组及时以电子澄清函形式同时通知所有参加磋商的供应商。</w:t>
      </w:r>
    </w:p>
    <w:p w14:paraId="453B09C5">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3.4</w:t>
      </w:r>
      <w:r>
        <w:rPr>
          <w:rFonts w:hint="eastAsia" w:ascii="宋体" w:hAnsi="宋体" w:cs="宋体"/>
          <w:color w:val="auto"/>
          <w:szCs w:val="21"/>
          <w:highlight w:val="none"/>
        </w:rPr>
        <w:t>供应商必须按照磋商文件的变动情况和磋商小组的要求以回函的形式重新提交响应文件，并加盖电子签章。参加磋商的供应商未在规定时间内重新提交响应文件的，视同退出磋商，其响应文件按无效处理。</w:t>
      </w:r>
    </w:p>
    <w:p w14:paraId="07542BA5">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3.5</w:t>
      </w:r>
      <w:r>
        <w:rPr>
          <w:rFonts w:hint="eastAsia" w:ascii="宋体" w:hAnsi="宋体" w:cs="宋体"/>
          <w:color w:val="auto"/>
          <w:szCs w:val="21"/>
          <w:highlight w:val="none"/>
        </w:rPr>
        <w:t>磋商中，</w:t>
      </w:r>
      <w:r>
        <w:rPr>
          <w:rFonts w:hint="eastAsia" w:ascii="宋体" w:hAnsi="宋体" w:cs="宋体"/>
          <w:color w:val="auto"/>
          <w:spacing w:val="-6"/>
          <w:szCs w:val="21"/>
          <w:highlight w:val="none"/>
        </w:rPr>
        <w:t>磋商的任何一方不得透露与磋商有关的其他供应商的技术资料、价格和其他信息。</w:t>
      </w:r>
    </w:p>
    <w:p w14:paraId="557BA74E">
      <w:pPr>
        <w:widowControl/>
        <w:tabs>
          <w:tab w:val="left" w:pos="540"/>
        </w:tabs>
        <w:spacing w:line="360" w:lineRule="auto"/>
        <w:ind w:firstLine="420" w:firstLineChars="200"/>
        <w:jc w:val="left"/>
        <w:rPr>
          <w:rFonts w:hint="eastAsia" w:ascii="宋体" w:hAnsi="宋体" w:cs="宋体"/>
          <w:color w:val="auto"/>
          <w:szCs w:val="21"/>
          <w:highlight w:val="none"/>
        </w:rPr>
      </w:pPr>
      <w:r>
        <w:rPr>
          <w:rFonts w:ascii="宋体" w:hAnsi="宋体" w:cs="宋体"/>
          <w:color w:val="auto"/>
          <w:szCs w:val="21"/>
          <w:highlight w:val="none"/>
        </w:rPr>
        <w:t>3.6</w:t>
      </w:r>
      <w:r>
        <w:rPr>
          <w:rFonts w:hint="eastAsia" w:ascii="宋体" w:hAnsi="宋体" w:cs="宋体"/>
          <w:color w:val="auto"/>
          <w:szCs w:val="21"/>
          <w:highlight w:val="none"/>
        </w:rPr>
        <w:t>采购代理机构对磋商过程和重要磋商内容进行记录。</w:t>
      </w:r>
    </w:p>
    <w:p w14:paraId="1885F0C8">
      <w:pPr>
        <w:widowControl/>
        <w:tabs>
          <w:tab w:val="left" w:pos="540"/>
        </w:tabs>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.7</w:t>
      </w:r>
      <w:r>
        <w:rPr>
          <w:color w:val="auto"/>
          <w:highlight w:val="none"/>
        </w:rPr>
        <w:t>根据《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19735534">
      <w:pPr>
        <w:tabs>
          <w:tab w:val="left" w:pos="2835"/>
        </w:tabs>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3.8除</w:t>
      </w:r>
      <w:r>
        <w:rPr>
          <w:color w:val="auto"/>
          <w:highlight w:val="none"/>
        </w:rPr>
        <w:t>本章第3.7条情形</w:t>
      </w:r>
      <w:r>
        <w:rPr>
          <w:rFonts w:hint="eastAsia"/>
          <w:color w:val="auto"/>
          <w:highlight w:val="none"/>
        </w:rPr>
        <w:t>外，</w:t>
      </w:r>
      <w:r>
        <w:rPr>
          <w:rFonts w:hint="eastAsia" w:ascii="宋体" w:hAnsi="宋体"/>
          <w:color w:val="auto"/>
          <w:szCs w:val="21"/>
          <w:highlight w:val="none"/>
        </w:rPr>
        <w:t>对磋商过程提交的响应文件进行有效性、完整性和响应程度审查，通过审查的合格供应商不足3家的，采购人或者采购代理机构应当重新开展采购活动。</w:t>
      </w:r>
    </w:p>
    <w:p w14:paraId="30FB9D75">
      <w:pPr>
        <w:spacing w:line="360" w:lineRule="auto"/>
        <w:ind w:firstLine="482" w:firstLineChars="200"/>
        <w:rPr>
          <w:rFonts w:hint="eastAsia" w:ascii="宋体" w:hAnsi="宋体" w:cs="宋体"/>
          <w:color w:val="auto"/>
          <w:szCs w:val="21"/>
          <w:highlight w:val="none"/>
        </w:rPr>
      </w:pPr>
      <w:r>
        <w:rPr>
          <w:rFonts w:ascii="黑体" w:hAnsi="黑体" w:eastAsia="黑体" w:cs="宋体"/>
          <w:b/>
          <w:bCs/>
          <w:color w:val="auto"/>
          <w:sz w:val="24"/>
          <w:highlight w:val="none"/>
        </w:rPr>
        <w:t>4.</w:t>
      </w:r>
      <w:r>
        <w:rPr>
          <w:rFonts w:hint="eastAsia" w:ascii="黑体" w:hAnsi="黑体" w:eastAsia="黑体" w:cs="宋体"/>
          <w:b/>
          <w:bCs/>
          <w:color w:val="auto"/>
          <w:sz w:val="24"/>
          <w:highlight w:val="none"/>
        </w:rPr>
        <w:t xml:space="preserve"> 最后报价</w:t>
      </w:r>
    </w:p>
    <w:p w14:paraId="619564E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.1</w:t>
      </w:r>
      <w:r>
        <w:rPr>
          <w:rFonts w:hint="eastAsia" w:ascii="宋体" w:hAnsi="宋体" w:cs="宋体"/>
          <w:color w:val="auto"/>
          <w:szCs w:val="21"/>
          <w:highlight w:val="none"/>
        </w:rPr>
        <w:t>磋商文件能够详细列明采购标的的技术、服务要求的，磋商结束后，磋商小组应当要求所有继续参加磋商的供应商在规定时间内在“广西政府采购云平台”开标大厅提交最后报价，除本章第</w:t>
      </w:r>
      <w:r>
        <w:rPr>
          <w:rFonts w:ascii="宋体" w:hAnsi="宋体" w:cs="宋体"/>
          <w:color w:val="auto"/>
          <w:szCs w:val="21"/>
          <w:highlight w:val="none"/>
        </w:rPr>
        <w:t>4.3</w:t>
      </w:r>
      <w:r>
        <w:rPr>
          <w:rFonts w:hint="eastAsia" w:ascii="宋体" w:hAnsi="宋体" w:cs="宋体"/>
          <w:color w:val="auto"/>
          <w:szCs w:val="21"/>
          <w:highlight w:val="none"/>
        </w:rPr>
        <w:t>条外，提交最后报价的供应商不得少于3家，否则必须重新采购。</w:t>
      </w:r>
    </w:p>
    <w:p w14:paraId="04AE789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.2</w:t>
      </w:r>
      <w:r>
        <w:rPr>
          <w:rFonts w:hint="eastAsia" w:ascii="宋体" w:hAnsi="宋体" w:cs="宋体"/>
          <w:color w:val="auto"/>
          <w:szCs w:val="21"/>
          <w:highlight w:val="none"/>
        </w:rPr>
        <w:t>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在“广西政府采购云平台”开标大厅提交最后报价。</w:t>
      </w:r>
    </w:p>
    <w:p w14:paraId="5BD6B061">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4.3</w:t>
      </w:r>
      <w:r>
        <w:rPr>
          <w:rFonts w:hint="eastAsia" w:ascii="宋体" w:hAnsi="宋体" w:cs="宋体"/>
          <w:color w:val="auto"/>
          <w:szCs w:val="21"/>
          <w:highlight w:val="none"/>
        </w:rPr>
        <w:t xml:space="preserve"> 最后报价是供应商响应文件的有效组成部分。符合《政府采购竞争性磋商采购方式管理暂行办法》（财库〔2014〕214号）第三条第四项“市场竞争不充分的科研项目，以及需要扶持的科技成果转化项目”和</w:t>
      </w:r>
      <w:r>
        <w:rPr>
          <w:color w:val="auto"/>
          <w:highlight w:val="none"/>
        </w:rPr>
        <w:t>本章第3.7条情形的，</w:t>
      </w:r>
      <w:r>
        <w:rPr>
          <w:rFonts w:hint="eastAsia" w:ascii="宋体" w:hAnsi="宋体" w:cs="宋体"/>
          <w:color w:val="auto"/>
          <w:szCs w:val="21"/>
          <w:highlight w:val="none"/>
        </w:rPr>
        <w:t>提交最后报价的供应商可以为2家。</w:t>
      </w:r>
    </w:p>
    <w:p w14:paraId="30CB5C18">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4.4</w:t>
      </w:r>
      <w:r>
        <w:rPr>
          <w:rFonts w:hint="eastAsia" w:ascii="宋体" w:hAnsi="宋体" w:cs="宋体"/>
          <w:color w:val="auto"/>
          <w:szCs w:val="21"/>
          <w:highlight w:val="none"/>
        </w:rPr>
        <w:t>已经提交响应文件的供应商，在提交最后报价之前，可以根据磋商情况退出磋商，退出磋商的供应商的响应文件按无效响应处理。采购人、采购代理机构将退还退出磋商的供应商的保证金。</w:t>
      </w:r>
    </w:p>
    <w:p w14:paraId="50525328">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4.5</w:t>
      </w:r>
      <w:r>
        <w:rPr>
          <w:rFonts w:hint="eastAsia" w:ascii="宋体" w:hAnsi="宋体" w:cs="宋体"/>
          <w:color w:val="auto"/>
          <w:szCs w:val="21"/>
          <w:highlight w:val="none"/>
        </w:rPr>
        <w:t>供应商未在规定时间内提交最后报价的，视同退出磋商，其响应文件按无效处理。</w:t>
      </w:r>
    </w:p>
    <w:p w14:paraId="2BF5094D">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4.6</w:t>
      </w:r>
      <w:r>
        <w:rPr>
          <w:rFonts w:hint="eastAsia" w:ascii="宋体" w:hAnsi="宋体" w:cs="宋体"/>
          <w:color w:val="auto"/>
          <w:szCs w:val="21"/>
          <w:highlight w:val="none"/>
        </w:rPr>
        <w:t>最后报价统一开启后，磋商小组对最后报价进行有效性、完整性和响应程度的审查。</w:t>
      </w:r>
    </w:p>
    <w:p w14:paraId="28DBDA7F">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4.7</w:t>
      </w:r>
      <w:r>
        <w:rPr>
          <w:rFonts w:hint="eastAsia" w:ascii="宋体" w:hAnsi="宋体" w:cs="宋体"/>
          <w:color w:val="auto"/>
          <w:szCs w:val="21"/>
          <w:highlight w:val="none"/>
        </w:rPr>
        <w:t>最后报价出现前后不一致的，按照本章第</w:t>
      </w:r>
      <w:r>
        <w:rPr>
          <w:rFonts w:ascii="宋体" w:hAnsi="宋体" w:cs="宋体"/>
          <w:color w:val="auto"/>
          <w:szCs w:val="21"/>
          <w:highlight w:val="none"/>
        </w:rPr>
        <w:t>2.4</w:t>
      </w:r>
      <w:r>
        <w:rPr>
          <w:rFonts w:hint="eastAsia" w:ascii="宋体" w:hAnsi="宋体" w:cs="宋体"/>
          <w:color w:val="auto"/>
          <w:szCs w:val="21"/>
          <w:highlight w:val="none"/>
        </w:rPr>
        <w:t xml:space="preserve">条的规定修正。 </w:t>
      </w:r>
    </w:p>
    <w:p w14:paraId="2E2631D2">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4.8</w:t>
      </w:r>
      <w:r>
        <w:rPr>
          <w:rFonts w:hint="eastAsia" w:ascii="宋体" w:hAnsi="宋体" w:cs="宋体"/>
          <w:color w:val="auto"/>
          <w:szCs w:val="21"/>
          <w:highlight w:val="none"/>
        </w:rPr>
        <w:t>修正后的报价出现下列情形的，按无效响应处理：</w:t>
      </w:r>
    </w:p>
    <w:p w14:paraId="4C15A36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（1）供应商不确认的（全流程电子化评标采取在线确认）；</w:t>
      </w:r>
    </w:p>
    <w:p w14:paraId="60710DA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（2）经供应商确认修正后的竞标报价（包含首次报价、最后报价）超过所竞标分标规定的采购预算金额或者最高限价的（如本项目公布了最高限价）；</w:t>
      </w:r>
    </w:p>
    <w:p w14:paraId="4CA0767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（3）经供应商确认修正后的竞标报价（包含首次报价、最后报价）超过分项采购预算金额或者最高限价的（如本项目公布了最高限价）。</w:t>
      </w:r>
    </w:p>
    <w:p w14:paraId="201AD9D4">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4.9</w:t>
      </w:r>
      <w:r>
        <w:rPr>
          <w:rFonts w:hint="eastAsia" w:ascii="宋体" w:hAnsi="宋体" w:cs="宋体"/>
          <w:color w:val="auto"/>
          <w:szCs w:val="21"/>
          <w:highlight w:val="none"/>
        </w:rPr>
        <w:t>经供应商确认修正后的最后报价作为评审及签订合同的依据。</w:t>
      </w:r>
    </w:p>
    <w:p w14:paraId="6B13768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4.10供应商出现最后报价按无效响应处理或者响应文件按无效处理时</w:t>
      </w:r>
      <w:r>
        <w:rPr>
          <w:rFonts w:hint="eastAsia" w:ascii="宋体" w:hAnsi="宋体"/>
          <w:color w:val="auto"/>
          <w:sz w:val="22"/>
          <w:szCs w:val="22"/>
          <w:highlight w:val="none"/>
        </w:rPr>
        <w:t>，磋商小组应当告知有关供应商</w:t>
      </w:r>
      <w:r>
        <w:rPr>
          <w:rFonts w:hint="eastAsia" w:ascii="宋体" w:hAnsi="宋体" w:cs="宋体"/>
          <w:color w:val="auto"/>
          <w:szCs w:val="21"/>
          <w:highlight w:val="none"/>
        </w:rPr>
        <w:t>。</w:t>
      </w:r>
    </w:p>
    <w:p w14:paraId="12C2175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.1</w:t>
      </w:r>
      <w:r>
        <w:rPr>
          <w:rFonts w:hint="eastAsia" w:ascii="宋体" w:hAnsi="宋体" w:cs="宋体"/>
          <w:color w:val="auto"/>
          <w:szCs w:val="21"/>
          <w:highlight w:val="none"/>
        </w:rPr>
        <w:t>1最后报价结束后，磋商小组不得再与供应商进行任何形式的商谈。</w:t>
      </w:r>
    </w:p>
    <w:p w14:paraId="67B2ABB0">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5</w:t>
      </w:r>
      <w:r>
        <w:rPr>
          <w:rFonts w:ascii="黑体" w:hAnsi="黑体" w:eastAsia="黑体" w:cs="宋体"/>
          <w:b/>
          <w:bCs/>
          <w:color w:val="auto"/>
          <w:sz w:val="24"/>
          <w:highlight w:val="none"/>
        </w:rPr>
        <w:t>.</w:t>
      </w:r>
      <w:r>
        <w:rPr>
          <w:rFonts w:hint="eastAsia" w:ascii="黑体" w:hAnsi="黑体" w:eastAsia="黑体" w:cs="宋体"/>
          <w:b/>
          <w:bCs/>
          <w:color w:val="auto"/>
          <w:sz w:val="24"/>
          <w:highlight w:val="none"/>
        </w:rPr>
        <w:t>比较与评价</w:t>
      </w:r>
    </w:p>
    <w:p w14:paraId="2B9D93DA">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5.1</w:t>
      </w:r>
      <w:r>
        <w:rPr>
          <w:rFonts w:hint="eastAsia" w:ascii="宋体" w:hAnsi="宋体" w:cs="宋体"/>
          <w:color w:val="auto"/>
          <w:szCs w:val="21"/>
          <w:highlight w:val="none"/>
        </w:rPr>
        <w:t>评审方法：综合评分法。</w:t>
      </w:r>
    </w:p>
    <w:p w14:paraId="1E17724D">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5.2</w:t>
      </w:r>
      <w:r>
        <w:rPr>
          <w:rFonts w:hint="eastAsia" w:ascii="宋体" w:hAnsi="宋体" w:cs="宋体"/>
          <w:color w:val="auto"/>
          <w:szCs w:val="21"/>
          <w:highlight w:val="none"/>
        </w:rPr>
        <w:t>经磋商确定最终采购需求和提交最后报价的供应商后，由磋商小组采用综合评分法对提交最后报价的供应商的响应文件和最后报价进行综合评分。</w:t>
      </w:r>
    </w:p>
    <w:p w14:paraId="6018C773">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5.3</w:t>
      </w:r>
      <w:r>
        <w:rPr>
          <w:rFonts w:hint="eastAsia" w:ascii="宋体" w:hAnsi="宋体" w:cs="宋体"/>
          <w:color w:val="auto"/>
          <w:szCs w:val="21"/>
          <w:highlight w:val="none"/>
        </w:rPr>
        <w:t>评审时，磋商小组各成员应当独立对每个有效响应的文件进行评价、打分，然后汇总每个供应商每项评分因素的得分。</w:t>
      </w:r>
    </w:p>
    <w:p w14:paraId="1874DA2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（1）磋商小组按照磋商文件中规定的评审标准计算各供应商的报价得分。项目评审过程中，不得去掉最后报价中的最高报价和最低报价。</w:t>
      </w:r>
    </w:p>
    <w:p w14:paraId="2B1470B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（2）各供应商的得分为磋商小组所有成员的有效评分的算术平均数。</w:t>
      </w:r>
    </w:p>
    <w:p w14:paraId="398759C7">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5.4</w:t>
      </w:r>
      <w:r>
        <w:rPr>
          <w:rFonts w:hint="eastAsia" w:ascii="宋体" w:hAnsi="宋体" w:cs="宋体"/>
          <w:color w:val="auto"/>
          <w:szCs w:val="21"/>
          <w:highlight w:val="none"/>
        </w:rPr>
        <w:t>评审价为供应商的最后报价进行政策性扣除后的价格，评审价只是作为评审时使用。最终成交供应商的成交金额等于最后报价（如有修正，以确认修正后的最后报价为准）。</w:t>
      </w:r>
    </w:p>
    <w:p w14:paraId="7F9438BC">
      <w:pPr>
        <w:spacing w:line="360" w:lineRule="auto"/>
        <w:ind w:firstLine="420" w:firstLineChars="200"/>
        <w:rPr>
          <w:rFonts w:hint="eastAsia" w:ascii="宋体" w:hAnsi="宋体"/>
          <w:color w:val="auto"/>
          <w:kern w:val="0"/>
          <w:szCs w:val="21"/>
          <w:highlight w:val="none"/>
        </w:rPr>
      </w:pPr>
      <w:r>
        <w:rPr>
          <w:rFonts w:ascii="宋体" w:hAnsi="宋体" w:cs="宋体"/>
          <w:color w:val="auto"/>
          <w:szCs w:val="21"/>
          <w:highlight w:val="none"/>
        </w:rPr>
        <w:t>5.5</w:t>
      </w:r>
      <w:r>
        <w:rPr>
          <w:rFonts w:hint="eastAsia" w:ascii="宋体" w:hAnsi="宋体" w:cs="宋体"/>
          <w:color w:val="auto"/>
          <w:szCs w:val="21"/>
          <w:highlight w:val="none"/>
        </w:rPr>
        <w:t>由磋商小组根据综合评分情况，按照评审得分由高到低顺序推荐3名以上成交候选供应商，并编写评</w:t>
      </w:r>
      <w:r>
        <w:rPr>
          <w:rFonts w:hint="eastAsia" w:ascii="宋体" w:hAnsi="宋体"/>
          <w:color w:val="auto"/>
          <w:kern w:val="0"/>
          <w:szCs w:val="21"/>
          <w:highlight w:val="none"/>
        </w:rPr>
        <w:t>审报告。符合本章第</w:t>
      </w:r>
      <w:r>
        <w:rPr>
          <w:rFonts w:ascii="宋体" w:hAnsi="宋体"/>
          <w:color w:val="auto"/>
          <w:kern w:val="0"/>
          <w:szCs w:val="21"/>
          <w:highlight w:val="none"/>
        </w:rPr>
        <w:t>4.3</w:t>
      </w:r>
      <w:r>
        <w:rPr>
          <w:rFonts w:hint="eastAsia" w:ascii="宋体" w:hAnsi="宋体"/>
          <w:color w:val="auto"/>
          <w:kern w:val="0"/>
          <w:szCs w:val="21"/>
          <w:highlight w:val="none"/>
        </w:rPr>
        <w:t>条情形的，可以推荐2家成交候选供应商。评审得分相同的，按照最后报价由低到高的顺序推荐。评审得分且最后报价相同的，按照技术指标优劣顺序推荐。</w:t>
      </w:r>
    </w:p>
    <w:p w14:paraId="57101BA1">
      <w:pPr>
        <w:spacing w:line="360" w:lineRule="auto"/>
        <w:ind w:firstLine="420" w:firstLineChars="200"/>
        <w:rPr>
          <w:rFonts w:hint="eastAsia" w:ascii="宋体" w:hAnsi="宋体"/>
          <w:color w:val="auto"/>
          <w:kern w:val="0"/>
          <w:szCs w:val="21"/>
          <w:highlight w:val="none"/>
        </w:rPr>
      </w:pPr>
      <w:r>
        <w:rPr>
          <w:rFonts w:ascii="宋体" w:hAnsi="宋体"/>
          <w:color w:val="auto"/>
          <w:kern w:val="0"/>
          <w:szCs w:val="21"/>
          <w:highlight w:val="none"/>
        </w:rPr>
        <w:t>5.6</w:t>
      </w:r>
      <w:r>
        <w:rPr>
          <w:rFonts w:hint="eastAsia" w:ascii="宋体" w:hAnsi="宋体"/>
          <w:color w:val="auto"/>
          <w:kern w:val="0"/>
          <w:szCs w:val="21"/>
          <w:highlight w:val="none"/>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520F1AED">
      <w:pPr>
        <w:snapToGrid w:val="0"/>
        <w:spacing w:line="360" w:lineRule="auto"/>
        <w:ind w:firstLine="422" w:firstLineChars="200"/>
        <w:rPr>
          <w:rFonts w:hint="eastAsia" w:ascii="宋体" w:hAnsi="宋体"/>
          <w:color w:val="auto"/>
          <w:szCs w:val="21"/>
          <w:highlight w:val="none"/>
        </w:rPr>
      </w:pPr>
      <w:r>
        <w:rPr>
          <w:rFonts w:hint="eastAsia" w:ascii="宋体" w:hAnsi="宋体"/>
          <w:b/>
          <w:bCs/>
          <w:color w:val="auto"/>
          <w:szCs w:val="21"/>
          <w:highlight w:val="none"/>
        </w:rPr>
        <w:t>5.7根据财政部《关于推动解决政府采购异常低价问题的通知》（财库〔2026〕2号），政府采购评审中出现下列情形之一的，磋商小组应当启动异常低价投标审查程序：</w:t>
      </w:r>
    </w:p>
    <w:p w14:paraId="68C9E722">
      <w:pPr>
        <w:snapToGrid w:val="0"/>
        <w:spacing w:line="360" w:lineRule="auto"/>
        <w:ind w:firstLine="420" w:firstLineChars="200"/>
        <w:rPr>
          <w:rFonts w:hint="eastAsia" w:ascii="宋体" w:hAnsi="宋体"/>
          <w:color w:val="auto"/>
          <w:szCs w:val="21"/>
          <w:highlight w:val="none"/>
        </w:rPr>
      </w:pPr>
      <w:r>
        <w:rPr>
          <w:rFonts w:ascii="Calibri" w:hAnsi="Calibri" w:cs="Calibri"/>
          <w:color w:val="auto"/>
          <w:szCs w:val="21"/>
          <w:highlight w:val="none"/>
        </w:rPr>
        <w:t>①</w:t>
      </w:r>
      <w:r>
        <w:rPr>
          <w:rFonts w:hint="eastAsia" w:ascii="宋体" w:hAnsi="宋体"/>
          <w:color w:val="auto"/>
          <w:szCs w:val="21"/>
          <w:highlight w:val="none"/>
        </w:rPr>
        <w:t>最后报价</w:t>
      </w:r>
      <w:r>
        <w:rPr>
          <w:rFonts w:ascii="宋体" w:hAnsi="宋体"/>
          <w:color w:val="auto"/>
          <w:szCs w:val="21"/>
          <w:highlight w:val="none"/>
        </w:rPr>
        <w:t>低于全部通过符合性审查供应商</w:t>
      </w:r>
      <w:r>
        <w:rPr>
          <w:rFonts w:hint="eastAsia" w:ascii="宋体" w:hAnsi="宋体"/>
          <w:color w:val="auto"/>
          <w:szCs w:val="21"/>
          <w:highlight w:val="none"/>
        </w:rPr>
        <w:t>最后报价</w:t>
      </w:r>
      <w:r>
        <w:rPr>
          <w:rFonts w:ascii="宋体" w:hAnsi="宋体"/>
          <w:color w:val="auto"/>
          <w:szCs w:val="21"/>
          <w:highlight w:val="none"/>
        </w:rPr>
        <w:t>平均值</w:t>
      </w:r>
      <w:r>
        <w:rPr>
          <w:rFonts w:hint="eastAsia" w:ascii="宋体" w:hAnsi="宋体"/>
          <w:color w:val="auto"/>
          <w:szCs w:val="21"/>
          <w:highlight w:val="none"/>
        </w:rPr>
        <w:t>50%</w:t>
      </w:r>
      <w:r>
        <w:rPr>
          <w:rFonts w:ascii="宋体" w:hAnsi="宋体"/>
          <w:color w:val="auto"/>
          <w:szCs w:val="21"/>
          <w:highlight w:val="none"/>
        </w:rPr>
        <w:t>的，即</w:t>
      </w:r>
      <w:r>
        <w:rPr>
          <w:rFonts w:hint="eastAsia" w:ascii="宋体" w:hAnsi="宋体"/>
          <w:color w:val="auto"/>
          <w:szCs w:val="21"/>
          <w:highlight w:val="none"/>
        </w:rPr>
        <w:t>最后报价</w:t>
      </w:r>
      <w:r>
        <w:rPr>
          <w:rFonts w:ascii="宋体" w:hAnsi="宋体"/>
          <w:color w:val="auto"/>
          <w:szCs w:val="21"/>
          <w:highlight w:val="none"/>
        </w:rPr>
        <w:t>&lt;全部通过符合性审查供应商</w:t>
      </w:r>
      <w:r>
        <w:rPr>
          <w:rFonts w:hint="eastAsia" w:ascii="宋体" w:hAnsi="宋体"/>
          <w:color w:val="auto"/>
          <w:szCs w:val="21"/>
          <w:highlight w:val="none"/>
        </w:rPr>
        <w:t>最后报价</w:t>
      </w:r>
      <w:r>
        <w:rPr>
          <w:rFonts w:ascii="宋体" w:hAnsi="宋体"/>
          <w:color w:val="auto"/>
          <w:szCs w:val="21"/>
          <w:highlight w:val="none"/>
        </w:rPr>
        <w:t>平均值×</w:t>
      </w:r>
      <w:r>
        <w:rPr>
          <w:rFonts w:hint="eastAsia" w:ascii="宋体" w:hAnsi="宋体"/>
          <w:color w:val="auto"/>
          <w:szCs w:val="21"/>
          <w:highlight w:val="none"/>
        </w:rPr>
        <w:t>50%</w:t>
      </w:r>
      <w:r>
        <w:rPr>
          <w:rFonts w:ascii="宋体" w:hAnsi="宋体"/>
          <w:color w:val="auto"/>
          <w:szCs w:val="21"/>
          <w:highlight w:val="none"/>
        </w:rPr>
        <w:t>； </w:t>
      </w:r>
    </w:p>
    <w:p w14:paraId="3CE0D3A9">
      <w:pPr>
        <w:snapToGrid w:val="0"/>
        <w:spacing w:line="360" w:lineRule="auto"/>
        <w:ind w:firstLine="420" w:firstLineChars="200"/>
        <w:rPr>
          <w:rFonts w:hint="eastAsia" w:ascii="宋体" w:hAnsi="宋体"/>
          <w:color w:val="auto"/>
          <w:szCs w:val="21"/>
          <w:highlight w:val="none"/>
        </w:rPr>
      </w:pPr>
      <w:r>
        <w:rPr>
          <w:rFonts w:ascii="Calibri" w:hAnsi="Calibri" w:cs="Calibri"/>
          <w:color w:val="auto"/>
          <w:szCs w:val="21"/>
          <w:highlight w:val="none"/>
        </w:rPr>
        <w:t>②</w:t>
      </w:r>
      <w:r>
        <w:rPr>
          <w:rFonts w:hint="eastAsia" w:ascii="宋体" w:hAnsi="宋体"/>
          <w:color w:val="auto"/>
          <w:szCs w:val="21"/>
          <w:highlight w:val="none"/>
        </w:rPr>
        <w:t>最后报价</w:t>
      </w:r>
      <w:r>
        <w:rPr>
          <w:rFonts w:ascii="宋体" w:hAnsi="宋体"/>
          <w:color w:val="auto"/>
          <w:szCs w:val="21"/>
          <w:highlight w:val="none"/>
        </w:rPr>
        <w:t>低于通过符合性审查的次低报价供应商</w:t>
      </w:r>
      <w:r>
        <w:rPr>
          <w:rFonts w:hint="eastAsia" w:ascii="宋体" w:hAnsi="宋体"/>
          <w:color w:val="auto"/>
          <w:szCs w:val="21"/>
          <w:highlight w:val="none"/>
        </w:rPr>
        <w:t>最后报价50%</w:t>
      </w:r>
      <w:r>
        <w:rPr>
          <w:rFonts w:ascii="宋体" w:hAnsi="宋体"/>
          <w:color w:val="auto"/>
          <w:szCs w:val="21"/>
          <w:highlight w:val="none"/>
        </w:rPr>
        <w:t>的，即</w:t>
      </w:r>
      <w:r>
        <w:rPr>
          <w:rFonts w:hint="eastAsia" w:ascii="宋体" w:hAnsi="宋体"/>
          <w:color w:val="auto"/>
          <w:szCs w:val="21"/>
          <w:highlight w:val="none"/>
        </w:rPr>
        <w:t>最后报价</w:t>
      </w:r>
      <w:r>
        <w:rPr>
          <w:rFonts w:ascii="宋体" w:hAnsi="宋体"/>
          <w:color w:val="auto"/>
          <w:szCs w:val="21"/>
          <w:highlight w:val="none"/>
        </w:rPr>
        <w:t>&lt;通过符合性审查的次低报价供应商</w:t>
      </w:r>
      <w:r>
        <w:rPr>
          <w:rFonts w:hint="eastAsia" w:ascii="宋体" w:hAnsi="宋体"/>
          <w:color w:val="auto"/>
          <w:szCs w:val="21"/>
          <w:highlight w:val="none"/>
        </w:rPr>
        <w:t>最后报价</w:t>
      </w:r>
      <w:r>
        <w:rPr>
          <w:rFonts w:ascii="宋体" w:hAnsi="宋体"/>
          <w:color w:val="auto"/>
          <w:szCs w:val="21"/>
          <w:highlight w:val="none"/>
        </w:rPr>
        <w:t>×</w:t>
      </w:r>
      <w:r>
        <w:rPr>
          <w:rFonts w:hint="eastAsia" w:ascii="宋体" w:hAnsi="宋体"/>
          <w:color w:val="auto"/>
          <w:szCs w:val="21"/>
          <w:highlight w:val="none"/>
        </w:rPr>
        <w:t>50%</w:t>
      </w:r>
      <w:r>
        <w:rPr>
          <w:rFonts w:ascii="宋体" w:hAnsi="宋体"/>
          <w:color w:val="auto"/>
          <w:szCs w:val="21"/>
          <w:highlight w:val="none"/>
        </w:rPr>
        <w:t>； </w:t>
      </w:r>
    </w:p>
    <w:p w14:paraId="5602D1D1">
      <w:pPr>
        <w:snapToGrid w:val="0"/>
        <w:spacing w:line="360" w:lineRule="auto"/>
        <w:ind w:firstLine="420" w:firstLineChars="200"/>
        <w:rPr>
          <w:rFonts w:hint="eastAsia" w:ascii="宋体" w:hAnsi="宋体"/>
          <w:color w:val="auto"/>
          <w:szCs w:val="21"/>
          <w:highlight w:val="none"/>
        </w:rPr>
      </w:pPr>
      <w:r>
        <w:rPr>
          <w:rFonts w:ascii="Calibri" w:hAnsi="Calibri" w:cs="Calibri"/>
          <w:color w:val="auto"/>
          <w:szCs w:val="21"/>
          <w:highlight w:val="none"/>
        </w:rPr>
        <w:t>③</w:t>
      </w:r>
      <w:r>
        <w:rPr>
          <w:rFonts w:hint="eastAsia" w:ascii="宋体" w:hAnsi="宋体"/>
          <w:color w:val="auto"/>
          <w:szCs w:val="21"/>
          <w:highlight w:val="none"/>
        </w:rPr>
        <w:t>最后报价</w:t>
      </w:r>
      <w:r>
        <w:rPr>
          <w:rFonts w:ascii="宋体" w:hAnsi="宋体"/>
          <w:color w:val="auto"/>
          <w:szCs w:val="21"/>
          <w:highlight w:val="none"/>
        </w:rPr>
        <w:t>低于采购项目最高限价</w:t>
      </w:r>
      <w:r>
        <w:rPr>
          <w:rFonts w:hint="eastAsia" w:ascii="宋体" w:hAnsi="宋体"/>
          <w:color w:val="auto"/>
          <w:szCs w:val="21"/>
          <w:highlight w:val="none"/>
        </w:rPr>
        <w:t>50%</w:t>
      </w:r>
      <w:r>
        <w:rPr>
          <w:rFonts w:ascii="宋体" w:hAnsi="宋体"/>
          <w:color w:val="auto"/>
          <w:szCs w:val="21"/>
          <w:highlight w:val="none"/>
        </w:rPr>
        <w:t>的，即</w:t>
      </w:r>
      <w:r>
        <w:rPr>
          <w:rFonts w:hint="eastAsia" w:ascii="宋体" w:hAnsi="宋体"/>
          <w:color w:val="auto"/>
          <w:szCs w:val="21"/>
          <w:highlight w:val="none"/>
        </w:rPr>
        <w:t>最后报价</w:t>
      </w:r>
      <w:r>
        <w:rPr>
          <w:rFonts w:ascii="宋体" w:hAnsi="宋体"/>
          <w:color w:val="auto"/>
          <w:szCs w:val="21"/>
          <w:highlight w:val="none"/>
        </w:rPr>
        <w:t>&lt;采购项目最高限价×</w:t>
      </w:r>
      <w:r>
        <w:rPr>
          <w:rFonts w:hint="eastAsia" w:ascii="宋体" w:hAnsi="宋体"/>
          <w:color w:val="auto"/>
          <w:szCs w:val="21"/>
          <w:highlight w:val="none"/>
        </w:rPr>
        <w:t>50%</w:t>
      </w:r>
      <w:r>
        <w:rPr>
          <w:rFonts w:ascii="宋体" w:hAnsi="宋体"/>
          <w:color w:val="auto"/>
          <w:szCs w:val="21"/>
          <w:highlight w:val="none"/>
        </w:rPr>
        <w:t>； </w:t>
      </w:r>
    </w:p>
    <w:p w14:paraId="28474648">
      <w:pPr>
        <w:snapToGrid w:val="0"/>
        <w:spacing w:line="360" w:lineRule="auto"/>
        <w:ind w:firstLine="420" w:firstLineChars="200"/>
        <w:rPr>
          <w:rFonts w:hint="eastAsia" w:ascii="宋体" w:hAnsi="宋体"/>
          <w:color w:val="auto"/>
          <w:szCs w:val="21"/>
          <w:highlight w:val="none"/>
        </w:rPr>
      </w:pPr>
      <w:r>
        <w:rPr>
          <w:rFonts w:ascii="Calibri" w:hAnsi="Calibri" w:cs="Calibri"/>
          <w:color w:val="auto"/>
          <w:szCs w:val="21"/>
          <w:highlight w:val="none"/>
        </w:rPr>
        <w:t>④</w:t>
      </w:r>
      <w:r>
        <w:rPr>
          <w:rFonts w:hint="eastAsia" w:ascii="宋体" w:hAnsi="宋体"/>
          <w:color w:val="auto"/>
          <w:szCs w:val="21"/>
          <w:highlight w:val="none"/>
        </w:rPr>
        <w:t>磋商小组</w:t>
      </w:r>
      <w:r>
        <w:rPr>
          <w:rFonts w:ascii="宋体" w:hAnsi="宋体"/>
          <w:color w:val="auto"/>
          <w:szCs w:val="21"/>
          <w:highlight w:val="none"/>
        </w:rPr>
        <w:t>基于专业判断，认为供应商报价过低，有可能影响产品质量或者不能诚信履约的其他情形。 </w:t>
      </w:r>
    </w:p>
    <w:p w14:paraId="0356D556">
      <w:pPr>
        <w:snapToGrid w:val="0"/>
        <w:spacing w:line="360" w:lineRule="auto"/>
        <w:ind w:firstLine="420" w:firstLineChars="200"/>
        <w:rPr>
          <w:rFonts w:hint="eastAsia" w:ascii="宋体" w:hAnsi="宋体"/>
          <w:color w:val="auto"/>
          <w:szCs w:val="21"/>
          <w:highlight w:val="none"/>
        </w:rPr>
      </w:pPr>
      <w:r>
        <w:rPr>
          <w:rFonts w:ascii="宋体" w:hAnsi="宋体"/>
          <w:color w:val="auto"/>
          <w:szCs w:val="21"/>
          <w:highlight w:val="none"/>
        </w:rPr>
        <w:t>相关法律法规对供应商报价有规定的，从其规定。 </w:t>
      </w:r>
    </w:p>
    <w:p w14:paraId="62803D57">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磋商小组</w:t>
      </w:r>
      <w:r>
        <w:rPr>
          <w:rFonts w:ascii="宋体" w:hAnsi="宋体"/>
          <w:color w:val="auto"/>
          <w:szCs w:val="21"/>
          <w:highlight w:val="none"/>
        </w:rPr>
        <w:t>启动异常低价投标审查后，属于前述第</w:t>
      </w:r>
      <w:r>
        <w:rPr>
          <w:rFonts w:ascii="Calibri" w:hAnsi="Calibri" w:cs="Calibri"/>
          <w:color w:val="auto"/>
          <w:szCs w:val="21"/>
          <w:highlight w:val="none"/>
        </w:rPr>
        <w:t>①</w:t>
      </w:r>
      <w:r>
        <w:rPr>
          <w:rFonts w:ascii="宋体" w:hAnsi="宋体"/>
          <w:color w:val="auto"/>
          <w:szCs w:val="21"/>
          <w:highlight w:val="none"/>
        </w:rPr>
        <w:t>项至第</w:t>
      </w:r>
      <w:r>
        <w:rPr>
          <w:rFonts w:ascii="Calibri" w:hAnsi="Calibri" w:cs="Calibri"/>
          <w:color w:val="auto"/>
          <w:szCs w:val="21"/>
          <w:highlight w:val="none"/>
        </w:rPr>
        <w:t>④</w:t>
      </w:r>
      <w:r>
        <w:rPr>
          <w:rFonts w:ascii="宋体" w:hAnsi="宋体"/>
          <w:color w:val="auto"/>
          <w:szCs w:val="21"/>
          <w:highlight w:val="none"/>
        </w:rPr>
        <w:t>项情形的，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30分钟。其中，属于第</w:t>
      </w:r>
      <w:r>
        <w:rPr>
          <w:rFonts w:ascii="Calibri" w:hAnsi="Calibri" w:cs="Calibri"/>
          <w:color w:val="auto"/>
          <w:szCs w:val="21"/>
          <w:highlight w:val="none"/>
        </w:rPr>
        <w:t>③</w:t>
      </w:r>
      <w:r>
        <w:rPr>
          <w:rFonts w:ascii="宋体" w:hAnsi="宋体"/>
          <w:color w:val="auto"/>
          <w:szCs w:val="21"/>
          <w:highlight w:val="none"/>
        </w:rPr>
        <w:t>项情形，供应商已随</w:t>
      </w:r>
      <w:r>
        <w:rPr>
          <w:rFonts w:hint="eastAsia" w:ascii="宋体" w:hAnsi="宋体"/>
          <w:color w:val="auto"/>
          <w:szCs w:val="21"/>
          <w:highlight w:val="none"/>
          <w:lang w:eastAsia="zh-CN"/>
        </w:rPr>
        <w:t>响应</w:t>
      </w:r>
      <w:r>
        <w:rPr>
          <w:rFonts w:ascii="宋体" w:hAnsi="宋体"/>
          <w:color w:val="auto"/>
          <w:szCs w:val="21"/>
          <w:highlight w:val="none"/>
        </w:rPr>
        <w:t>文件一并提交相关书面说明及必要的证明材料的，在评审现场可不再重复提交。 </w:t>
      </w:r>
    </w:p>
    <w:p w14:paraId="0778456E">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磋商小组</w:t>
      </w:r>
      <w:r>
        <w:rPr>
          <w:rFonts w:ascii="宋体" w:hAnsi="宋体"/>
          <w:color w:val="auto"/>
          <w:szCs w:val="21"/>
          <w:highlight w:val="none"/>
        </w:rPr>
        <w:t>依据专业经验，参考同类项目中标价格、类似产品市场价格水平、行业人工费用标准、国家有关部门指导行业协会发布的行业平均成本等情况，对报价合理性进行判断。投标供应商不能提供书面说明、证明材料，或者提供的书面说明、证明材料不能证明其报价合理性的，</w:t>
      </w:r>
      <w:r>
        <w:rPr>
          <w:rFonts w:hint="eastAsia" w:ascii="宋体" w:hAnsi="宋体"/>
          <w:color w:val="auto"/>
          <w:szCs w:val="21"/>
          <w:highlight w:val="none"/>
        </w:rPr>
        <w:t>磋商小组</w:t>
      </w:r>
      <w:r>
        <w:rPr>
          <w:rFonts w:ascii="宋体" w:hAnsi="宋体"/>
          <w:color w:val="auto"/>
          <w:szCs w:val="21"/>
          <w:highlight w:val="none"/>
        </w:rPr>
        <w:t>应当将其作为无效</w:t>
      </w:r>
      <w:r>
        <w:rPr>
          <w:rFonts w:hint="eastAsia" w:ascii="宋体" w:hAnsi="宋体"/>
          <w:color w:val="auto"/>
          <w:szCs w:val="21"/>
          <w:highlight w:val="none"/>
          <w:lang w:eastAsia="zh-CN"/>
        </w:rPr>
        <w:t>响应</w:t>
      </w:r>
      <w:r>
        <w:rPr>
          <w:rFonts w:ascii="宋体" w:hAnsi="宋体"/>
          <w:color w:val="auto"/>
          <w:szCs w:val="21"/>
          <w:highlight w:val="none"/>
        </w:rPr>
        <w:t>处理。 </w:t>
      </w:r>
    </w:p>
    <w:p w14:paraId="756E5CD6">
      <w:pPr>
        <w:snapToGrid w:val="0"/>
        <w:spacing w:line="360" w:lineRule="auto"/>
        <w:ind w:firstLine="420" w:firstLineChars="200"/>
        <w:rPr>
          <w:rFonts w:hint="eastAsia" w:ascii="宋体" w:hAnsi="宋体"/>
          <w:color w:val="auto"/>
          <w:szCs w:val="21"/>
          <w:highlight w:val="none"/>
        </w:rPr>
      </w:pPr>
      <w:r>
        <w:rPr>
          <w:rFonts w:ascii="宋体" w:hAnsi="宋体"/>
          <w:color w:val="auto"/>
          <w:szCs w:val="21"/>
          <w:highlight w:val="none"/>
        </w:rPr>
        <w:t>采购人、采购代理机构应当为</w:t>
      </w:r>
      <w:r>
        <w:rPr>
          <w:rFonts w:hint="eastAsia" w:ascii="宋体" w:hAnsi="宋体"/>
          <w:color w:val="auto"/>
          <w:szCs w:val="21"/>
          <w:highlight w:val="none"/>
        </w:rPr>
        <w:t>磋商小组</w:t>
      </w:r>
      <w:r>
        <w:rPr>
          <w:rFonts w:ascii="宋体" w:hAnsi="宋体"/>
          <w:color w:val="auto"/>
          <w:szCs w:val="21"/>
          <w:highlight w:val="none"/>
        </w:rPr>
        <w:t>在评审现场及时获取同类项目中标价格、类似产品市场价格水平、行业人工费用标准、国家有关部门指导行业协会发布的行业平均成本等相关信息资料提供便利。</w:t>
      </w:r>
      <w:r>
        <w:rPr>
          <w:rFonts w:hint="eastAsia" w:ascii="宋体" w:hAnsi="宋体"/>
          <w:color w:val="auto"/>
          <w:szCs w:val="21"/>
          <w:highlight w:val="none"/>
        </w:rPr>
        <w:t>磋商小组</w:t>
      </w:r>
      <w:r>
        <w:rPr>
          <w:rFonts w:ascii="宋体" w:hAnsi="宋体"/>
          <w:color w:val="auto"/>
          <w:szCs w:val="21"/>
          <w:highlight w:val="none"/>
        </w:rPr>
        <w:t>借助互联网等渠道查询相关信息的，应当严格遵守评审工作纪律，不得实施影响评审公正的行为。 </w:t>
      </w:r>
    </w:p>
    <w:p w14:paraId="016FED2E">
      <w:pPr>
        <w:snapToGrid w:val="0"/>
        <w:spacing w:line="360" w:lineRule="auto"/>
        <w:ind w:firstLine="420" w:firstLineChars="200"/>
        <w:rPr>
          <w:rFonts w:hint="eastAsia" w:ascii="宋体" w:hAnsi="宋体"/>
          <w:color w:val="auto"/>
          <w:szCs w:val="21"/>
          <w:highlight w:val="none"/>
        </w:rPr>
      </w:pPr>
      <w:r>
        <w:rPr>
          <w:rFonts w:ascii="宋体" w:hAnsi="宋体"/>
          <w:color w:val="auto"/>
          <w:szCs w:val="21"/>
          <w:highlight w:val="none"/>
        </w:rPr>
        <w:t>异常低价投标审查的启动原因、审查意见和审查结果应当在评审报告中记录，并随供应商提供的相关书面说明及证明材料，以及</w:t>
      </w:r>
      <w:r>
        <w:rPr>
          <w:rFonts w:hint="eastAsia" w:ascii="宋体" w:hAnsi="宋体"/>
          <w:color w:val="auto"/>
          <w:szCs w:val="21"/>
          <w:highlight w:val="none"/>
        </w:rPr>
        <w:t>磋商小组</w:t>
      </w:r>
      <w:r>
        <w:rPr>
          <w:rFonts w:ascii="宋体" w:hAnsi="宋体"/>
          <w:color w:val="auto"/>
          <w:szCs w:val="21"/>
          <w:highlight w:val="none"/>
        </w:rPr>
        <w:t>有关互联网浏览、查询历史一并归档。</w:t>
      </w:r>
    </w:p>
    <w:p w14:paraId="14BE24CB">
      <w:pPr>
        <w:spacing w:line="360" w:lineRule="auto"/>
        <w:jc w:val="center"/>
        <w:rPr>
          <w:rFonts w:hint="eastAsia" w:ascii="宋体" w:hAnsi="宋体"/>
          <w:b/>
          <w:color w:val="auto"/>
          <w:sz w:val="32"/>
          <w:szCs w:val="32"/>
          <w:highlight w:val="none"/>
        </w:rPr>
      </w:pPr>
      <w:r>
        <w:rPr>
          <w:rFonts w:hint="eastAsia" w:ascii="宋体" w:hAnsi="宋体"/>
          <w:b/>
          <w:color w:val="auto"/>
          <w:sz w:val="32"/>
          <w:szCs w:val="32"/>
          <w:highlight w:val="none"/>
        </w:rPr>
        <w:t>二、评审标准</w:t>
      </w:r>
    </w:p>
    <w:p w14:paraId="777D99B4">
      <w:pPr>
        <w:spacing w:line="360" w:lineRule="auto"/>
        <w:ind w:firstLine="422" w:firstLineChars="200"/>
        <w:rPr>
          <w:rFonts w:hint="eastAsia" w:ascii="宋体" w:hAnsi="宋体"/>
          <w:bCs/>
          <w:color w:val="auto"/>
          <w:szCs w:val="21"/>
          <w:highlight w:val="none"/>
        </w:rPr>
      </w:pPr>
      <w:r>
        <w:rPr>
          <w:rFonts w:hint="eastAsia" w:ascii="宋体" w:hAnsi="宋体"/>
          <w:b/>
          <w:color w:val="auto"/>
          <w:szCs w:val="21"/>
          <w:highlight w:val="none"/>
        </w:rPr>
        <w:t>1.评审依据：</w:t>
      </w:r>
      <w:r>
        <w:rPr>
          <w:rFonts w:hint="eastAsia" w:ascii="宋体" w:hAnsi="宋体"/>
          <w:bCs/>
          <w:color w:val="auto"/>
          <w:szCs w:val="21"/>
          <w:highlight w:val="none"/>
        </w:rPr>
        <w:t>磋商小组将以磋商响应文件为评审依据，对供应商的报价、技术、商务等方面内容按百分制打分。（计分方法按四舍五入取至百分位）</w:t>
      </w:r>
    </w:p>
    <w:p w14:paraId="4545F189">
      <w:pPr>
        <w:rPr>
          <w:color w:val="auto"/>
          <w:highlight w:val="none"/>
        </w:rPr>
      </w:pPr>
    </w:p>
    <w:tbl>
      <w:tblPr>
        <w:tblStyle w:val="20"/>
        <w:tblW w:w="94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895"/>
        <w:gridCol w:w="1134"/>
        <w:gridCol w:w="6896"/>
      </w:tblGrid>
      <w:tr w14:paraId="46599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0" w:type="dxa"/>
            <w:gridSpan w:val="2"/>
            <w:tcBorders>
              <w:top w:val="single" w:color="auto" w:sz="4" w:space="0"/>
              <w:left w:val="single" w:color="auto" w:sz="4" w:space="0"/>
              <w:bottom w:val="single" w:color="auto" w:sz="4" w:space="0"/>
              <w:right w:val="single" w:color="auto" w:sz="4" w:space="0"/>
            </w:tcBorders>
            <w:vAlign w:val="center"/>
          </w:tcPr>
          <w:p w14:paraId="4EBD2329">
            <w:pPr>
              <w:adjustRightInd w:val="0"/>
              <w:spacing w:line="400" w:lineRule="exact"/>
              <w:jc w:val="center"/>
              <w:textAlignment w:val="baseline"/>
              <w:rPr>
                <w:rFonts w:hint="eastAsia" w:ascii="宋体" w:hAnsi="宋体"/>
                <w:color w:val="auto"/>
                <w:szCs w:val="21"/>
                <w:highlight w:val="none"/>
              </w:rPr>
            </w:pPr>
            <w:r>
              <w:rPr>
                <w:rFonts w:hint="eastAsia" w:ascii="宋体" w:hAnsi="宋体"/>
                <w:b/>
                <w:color w:val="auto"/>
                <w:szCs w:val="21"/>
                <w:highlight w:val="none"/>
              </w:rPr>
              <w:t>序号</w:t>
            </w:r>
          </w:p>
        </w:tc>
        <w:tc>
          <w:tcPr>
            <w:tcW w:w="1134" w:type="dxa"/>
            <w:tcBorders>
              <w:top w:val="single" w:color="auto" w:sz="4" w:space="0"/>
              <w:left w:val="single" w:color="auto" w:sz="4" w:space="0"/>
              <w:bottom w:val="single" w:color="auto" w:sz="4" w:space="0"/>
              <w:right w:val="single" w:color="auto" w:sz="4" w:space="0"/>
            </w:tcBorders>
            <w:vAlign w:val="center"/>
          </w:tcPr>
          <w:p w14:paraId="2974FD0C">
            <w:pPr>
              <w:adjustRightInd w:val="0"/>
              <w:spacing w:line="400" w:lineRule="exact"/>
              <w:jc w:val="center"/>
              <w:textAlignment w:val="baseline"/>
              <w:rPr>
                <w:rFonts w:hint="eastAsia" w:ascii="宋体" w:hAnsi="宋体"/>
                <w:color w:val="auto"/>
                <w:szCs w:val="21"/>
                <w:highlight w:val="none"/>
              </w:rPr>
            </w:pPr>
            <w:r>
              <w:rPr>
                <w:rFonts w:hint="eastAsia" w:ascii="宋体" w:hAnsi="宋体"/>
                <w:b/>
                <w:color w:val="auto"/>
                <w:szCs w:val="21"/>
                <w:highlight w:val="none"/>
              </w:rPr>
              <w:t>评审因素</w:t>
            </w:r>
          </w:p>
        </w:tc>
        <w:tc>
          <w:tcPr>
            <w:tcW w:w="6896" w:type="dxa"/>
            <w:tcBorders>
              <w:top w:val="single" w:color="auto" w:sz="4" w:space="0"/>
              <w:left w:val="single" w:color="auto" w:sz="4" w:space="0"/>
              <w:bottom w:val="single" w:color="auto" w:sz="4" w:space="0"/>
              <w:right w:val="single" w:color="auto" w:sz="4" w:space="0"/>
            </w:tcBorders>
            <w:vAlign w:val="center"/>
          </w:tcPr>
          <w:p w14:paraId="33F5D189">
            <w:pPr>
              <w:adjustRightInd w:val="0"/>
              <w:spacing w:line="400" w:lineRule="exact"/>
              <w:jc w:val="center"/>
              <w:textAlignment w:val="baseline"/>
              <w:rPr>
                <w:rFonts w:hint="eastAsia" w:ascii="宋体" w:hAnsi="宋体"/>
                <w:color w:val="auto"/>
                <w:szCs w:val="21"/>
                <w:highlight w:val="none"/>
              </w:rPr>
            </w:pPr>
            <w:r>
              <w:rPr>
                <w:rFonts w:hint="eastAsia" w:ascii="宋体" w:hAnsi="宋体"/>
                <w:b/>
                <w:color w:val="auto"/>
                <w:szCs w:val="21"/>
                <w:highlight w:val="none"/>
              </w:rPr>
              <w:t>评分标准</w:t>
            </w:r>
          </w:p>
        </w:tc>
      </w:tr>
      <w:tr w14:paraId="738C5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dxa"/>
            <w:tcBorders>
              <w:top w:val="single" w:color="auto" w:sz="4" w:space="0"/>
              <w:left w:val="single" w:color="auto" w:sz="4" w:space="0"/>
              <w:bottom w:val="single" w:color="auto" w:sz="4" w:space="0"/>
              <w:right w:val="single" w:color="auto" w:sz="4" w:space="0"/>
            </w:tcBorders>
            <w:vAlign w:val="center"/>
          </w:tcPr>
          <w:p w14:paraId="13E889B7">
            <w:pPr>
              <w:adjustRightInd w:val="0"/>
              <w:spacing w:line="400" w:lineRule="exact"/>
              <w:jc w:val="center"/>
              <w:textAlignment w:val="baseline"/>
              <w:rPr>
                <w:rFonts w:hint="eastAsia" w:ascii="宋体" w:hAnsi="宋体"/>
                <w:b/>
                <w:color w:val="auto"/>
                <w:szCs w:val="21"/>
                <w:highlight w:val="none"/>
              </w:rPr>
            </w:pPr>
            <w:r>
              <w:rPr>
                <w:rFonts w:hint="eastAsia" w:ascii="宋体" w:hAnsi="宋体"/>
                <w:b/>
                <w:color w:val="auto"/>
                <w:szCs w:val="21"/>
                <w:highlight w:val="none"/>
              </w:rPr>
              <w:t>1</w:t>
            </w:r>
          </w:p>
        </w:tc>
        <w:tc>
          <w:tcPr>
            <w:tcW w:w="895" w:type="dxa"/>
            <w:tcBorders>
              <w:top w:val="single" w:color="auto" w:sz="4" w:space="0"/>
              <w:left w:val="single" w:color="auto" w:sz="4" w:space="0"/>
              <w:bottom w:val="single" w:color="auto" w:sz="4" w:space="0"/>
              <w:right w:val="single" w:color="auto" w:sz="4" w:space="0"/>
            </w:tcBorders>
            <w:vAlign w:val="center"/>
          </w:tcPr>
          <w:p w14:paraId="2534F746">
            <w:pPr>
              <w:adjustRightInd w:val="0"/>
              <w:spacing w:line="400" w:lineRule="exact"/>
              <w:jc w:val="center"/>
              <w:textAlignment w:val="baseline"/>
              <w:rPr>
                <w:rFonts w:hint="eastAsia" w:ascii="宋体" w:hAnsi="宋体"/>
                <w:b/>
                <w:color w:val="auto"/>
                <w:szCs w:val="21"/>
                <w:highlight w:val="none"/>
              </w:rPr>
            </w:pPr>
            <w:r>
              <w:rPr>
                <w:rFonts w:hint="eastAsia" w:ascii="宋体" w:hAnsi="宋体"/>
                <w:b/>
                <w:color w:val="auto"/>
                <w:szCs w:val="21"/>
                <w:highlight w:val="none"/>
              </w:rPr>
              <w:t>价格分</w:t>
            </w:r>
          </w:p>
          <w:p w14:paraId="609039B5">
            <w:pPr>
              <w:adjustRightInd w:val="0"/>
              <w:spacing w:line="400" w:lineRule="exact"/>
              <w:jc w:val="center"/>
              <w:textAlignment w:val="baseline"/>
              <w:rPr>
                <w:rFonts w:hint="eastAsia" w:ascii="宋体" w:hAnsi="宋体"/>
                <w:color w:val="auto"/>
                <w:szCs w:val="21"/>
                <w:highlight w:val="none"/>
              </w:rPr>
            </w:pPr>
            <w:r>
              <w:rPr>
                <w:rFonts w:hint="eastAsia" w:ascii="宋体" w:hAnsi="宋体"/>
                <w:b/>
                <w:color w:val="auto"/>
                <w:szCs w:val="21"/>
                <w:highlight w:val="none"/>
              </w:rPr>
              <w:t>（满分1</w:t>
            </w:r>
            <w:r>
              <w:rPr>
                <w:rFonts w:hint="eastAsia" w:ascii="宋体" w:hAnsi="宋体"/>
                <w:b/>
                <w:color w:val="auto"/>
                <w:szCs w:val="21"/>
                <w:highlight w:val="none"/>
                <w:u w:val="single"/>
              </w:rPr>
              <w:t>0</w:t>
            </w:r>
            <w:r>
              <w:rPr>
                <w:rFonts w:hint="eastAsia" w:ascii="宋体" w:hAnsi="宋体"/>
                <w:b/>
                <w:color w:val="auto"/>
                <w:szCs w:val="21"/>
                <w:highlight w:val="none"/>
              </w:rPr>
              <w:t>分）</w:t>
            </w:r>
          </w:p>
        </w:tc>
        <w:tc>
          <w:tcPr>
            <w:tcW w:w="1134" w:type="dxa"/>
            <w:tcBorders>
              <w:top w:val="single" w:color="auto" w:sz="4" w:space="0"/>
              <w:left w:val="single" w:color="auto" w:sz="4" w:space="0"/>
              <w:bottom w:val="single" w:color="auto" w:sz="4" w:space="0"/>
              <w:right w:val="single" w:color="auto" w:sz="4" w:space="0"/>
            </w:tcBorders>
            <w:vAlign w:val="center"/>
          </w:tcPr>
          <w:p w14:paraId="4436CD13">
            <w:pPr>
              <w:adjustRightInd w:val="0"/>
              <w:spacing w:line="400" w:lineRule="exact"/>
              <w:jc w:val="center"/>
              <w:textAlignment w:val="baseline"/>
              <w:rPr>
                <w:rFonts w:hint="eastAsia" w:ascii="宋体" w:hAnsi="宋体"/>
                <w:color w:val="auto"/>
                <w:szCs w:val="21"/>
                <w:highlight w:val="none"/>
              </w:rPr>
            </w:pPr>
            <w:r>
              <w:rPr>
                <w:rFonts w:hint="eastAsia" w:ascii="宋体" w:hAnsi="宋体"/>
                <w:color w:val="auto"/>
                <w:szCs w:val="21"/>
                <w:highlight w:val="none"/>
              </w:rPr>
              <w:t>磋商报价</w:t>
            </w:r>
          </w:p>
          <w:p w14:paraId="0FA6B2D0">
            <w:pPr>
              <w:adjustRightInd w:val="0"/>
              <w:spacing w:line="400" w:lineRule="exact"/>
              <w:jc w:val="center"/>
              <w:textAlignment w:val="baseline"/>
              <w:rPr>
                <w:rFonts w:hint="eastAsia" w:ascii="宋体" w:hAnsi="宋体"/>
                <w:color w:val="auto"/>
                <w:szCs w:val="21"/>
                <w:highlight w:val="none"/>
              </w:rPr>
            </w:pPr>
            <w:r>
              <w:rPr>
                <w:rFonts w:hint="eastAsia" w:ascii="宋体" w:hAnsi="宋体"/>
                <w:color w:val="auto"/>
                <w:szCs w:val="21"/>
                <w:highlight w:val="none"/>
              </w:rPr>
              <w:t>（满分10分）</w:t>
            </w:r>
          </w:p>
        </w:tc>
        <w:tc>
          <w:tcPr>
            <w:tcW w:w="6896" w:type="dxa"/>
            <w:tcBorders>
              <w:top w:val="single" w:color="auto" w:sz="4" w:space="0"/>
              <w:left w:val="single" w:color="auto" w:sz="4" w:space="0"/>
              <w:bottom w:val="single" w:color="auto" w:sz="4" w:space="0"/>
              <w:right w:val="single" w:color="auto" w:sz="4" w:space="0"/>
            </w:tcBorders>
            <w:vAlign w:val="center"/>
          </w:tcPr>
          <w:p w14:paraId="74A1DD6A">
            <w:pPr>
              <w:spacing w:line="400" w:lineRule="exact"/>
              <w:ind w:firstLine="233" w:firstLineChars="111"/>
              <w:rPr>
                <w:rFonts w:hint="eastAsia" w:ascii="宋体" w:hAnsi="宋体"/>
                <w:bCs/>
                <w:color w:val="auto"/>
                <w:szCs w:val="21"/>
                <w:highlight w:val="none"/>
              </w:rPr>
            </w:pPr>
            <w:r>
              <w:rPr>
                <w:rFonts w:hint="eastAsia" w:ascii="宋体" w:hAnsi="宋体"/>
                <w:bCs/>
                <w:color w:val="auto"/>
                <w:szCs w:val="21"/>
                <w:highlight w:val="none"/>
              </w:rPr>
              <w:t>（1）评标报价为磋商供应商的响应报价进行政策性扣除后的价格，评标报价只是作为评标时使用。最终成交供应商的成交金额等于响应报价。</w:t>
            </w:r>
          </w:p>
          <w:p w14:paraId="4FBE4290">
            <w:pPr>
              <w:spacing w:line="400" w:lineRule="exact"/>
              <w:ind w:firstLine="233" w:firstLineChars="111"/>
              <w:rPr>
                <w:rFonts w:hint="eastAsia" w:ascii="宋体" w:hAnsi="宋体"/>
                <w:bCs/>
                <w:color w:val="auto"/>
                <w:szCs w:val="21"/>
                <w:highlight w:val="none"/>
              </w:rPr>
            </w:pPr>
            <w:r>
              <w:rPr>
                <w:rFonts w:hint="eastAsia" w:ascii="宋体" w:hAnsi="宋体"/>
                <w:bCs/>
                <w:color w:val="auto"/>
                <w:szCs w:val="21"/>
                <w:highlight w:val="none"/>
              </w:rPr>
              <w:t>（2）按照《政府采购促进中小企业发展管理办法》（财库〔2020〕46号）的规定，服务全部为小型和微型企业承接，且磋商供应商在其响应文件中提供《中小企业声明函》的，按《广西壮族自治区财政厅关于持续优化政府采购营商环境推动高质量发展的通知》（桂财采〔2024〕55号）的规定对其最后报价给予10%的扣除。</w:t>
            </w:r>
          </w:p>
          <w:p w14:paraId="355B0327">
            <w:pPr>
              <w:spacing w:line="400" w:lineRule="exact"/>
              <w:ind w:firstLine="233" w:firstLineChars="111"/>
              <w:rPr>
                <w:rFonts w:hint="eastAsia" w:ascii="宋体" w:hAnsi="宋体"/>
                <w:bCs/>
                <w:color w:val="auto"/>
                <w:szCs w:val="21"/>
                <w:highlight w:val="none"/>
              </w:rPr>
            </w:pPr>
            <w:r>
              <w:rPr>
                <w:rFonts w:hint="eastAsia" w:ascii="宋体" w:hAnsi="宋体"/>
                <w:bCs/>
                <w:color w:val="auto"/>
                <w:szCs w:val="21"/>
                <w:highlight w:val="none"/>
              </w:rPr>
              <w:t>（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w:t>
            </w:r>
          </w:p>
          <w:p w14:paraId="7F7FC893">
            <w:pPr>
              <w:spacing w:line="400" w:lineRule="exact"/>
              <w:ind w:firstLine="233" w:firstLineChars="111"/>
              <w:rPr>
                <w:rFonts w:hint="eastAsia" w:ascii="宋体" w:hAnsi="宋体"/>
                <w:bCs/>
                <w:color w:val="auto"/>
                <w:szCs w:val="21"/>
                <w:highlight w:val="none"/>
              </w:rPr>
            </w:pPr>
            <w:r>
              <w:rPr>
                <w:rFonts w:hint="eastAsia" w:ascii="宋体" w:hAnsi="宋体"/>
                <w:bCs/>
                <w:color w:val="auto"/>
                <w:szCs w:val="21"/>
                <w:highlight w:val="none"/>
              </w:rPr>
              <w:t>（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411F7B48">
            <w:pPr>
              <w:spacing w:line="400" w:lineRule="exact"/>
              <w:ind w:firstLine="233" w:firstLineChars="111"/>
              <w:rPr>
                <w:rFonts w:hint="eastAsia" w:ascii="宋体" w:hAnsi="宋体"/>
                <w:bCs/>
                <w:color w:val="auto"/>
                <w:szCs w:val="21"/>
                <w:highlight w:val="none"/>
              </w:rPr>
            </w:pPr>
            <w:r>
              <w:rPr>
                <w:rFonts w:hint="eastAsia" w:ascii="宋体" w:hAnsi="宋体"/>
                <w:bCs/>
                <w:color w:val="auto"/>
                <w:szCs w:val="21"/>
                <w:highlight w:val="none"/>
              </w:rPr>
              <w:t>（5）政策性扣除计算方法。</w:t>
            </w:r>
          </w:p>
          <w:p w14:paraId="5BAFBC7F">
            <w:pPr>
              <w:spacing w:line="400" w:lineRule="exact"/>
              <w:ind w:firstLine="233" w:firstLineChars="111"/>
              <w:rPr>
                <w:rFonts w:hint="eastAsia" w:ascii="宋体" w:hAnsi="宋体"/>
                <w:bCs/>
                <w:color w:val="auto"/>
                <w:szCs w:val="21"/>
                <w:highlight w:val="none"/>
              </w:rPr>
            </w:pPr>
            <w:r>
              <w:rPr>
                <w:rFonts w:hint="eastAsia" w:ascii="宋体" w:hAnsi="宋体"/>
                <w:bCs/>
                <w:color w:val="auto"/>
                <w:szCs w:val="21"/>
                <w:highlight w:val="none"/>
              </w:rPr>
              <w:t>在服务采购项目中，服务由小微企业承接；对符合上述要求的磋商供应商的响应报价给予10%的扣除，扣除后的价格为评标报价，即评标报价=响应报价×（1-10%）。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 6% 的扣除，用扣除后的价格参加评审，扣除后的价格为评标报价，即评标报价=响应报价×（1-6%）。除上述情况外，评标报价=响应报价。</w:t>
            </w:r>
          </w:p>
          <w:p w14:paraId="774E9D65">
            <w:pPr>
              <w:spacing w:line="400" w:lineRule="exact"/>
              <w:ind w:firstLine="233" w:firstLineChars="111"/>
              <w:rPr>
                <w:rFonts w:hint="eastAsia" w:ascii="宋体" w:hAnsi="宋体"/>
                <w:bCs/>
                <w:color w:val="auto"/>
                <w:szCs w:val="21"/>
                <w:highlight w:val="none"/>
              </w:rPr>
            </w:pPr>
            <w:r>
              <w:rPr>
                <w:rFonts w:hint="eastAsia" w:ascii="宋体" w:hAnsi="宋体"/>
                <w:bCs/>
                <w:color w:val="auto"/>
                <w:szCs w:val="21"/>
                <w:highlight w:val="none"/>
              </w:rPr>
              <w:t>（6）以进入综合评分环节的最低的评标报价为基准价，基准价报价得分为10分。</w:t>
            </w:r>
          </w:p>
          <w:p w14:paraId="0AE6ED79">
            <w:pPr>
              <w:spacing w:line="400" w:lineRule="exact"/>
              <w:ind w:firstLine="233" w:firstLineChars="111"/>
              <w:rPr>
                <w:rFonts w:hint="eastAsia" w:ascii="宋体" w:hAnsi="宋体"/>
                <w:bCs/>
                <w:color w:val="auto"/>
                <w:szCs w:val="21"/>
                <w:highlight w:val="none"/>
              </w:rPr>
            </w:pPr>
            <w:r>
              <w:rPr>
                <w:rFonts w:hint="eastAsia" w:ascii="宋体" w:hAnsi="宋体"/>
                <w:bCs/>
                <w:color w:val="auto"/>
                <w:szCs w:val="21"/>
                <w:highlight w:val="none"/>
              </w:rPr>
              <w:t>（</w:t>
            </w:r>
            <w:r>
              <w:rPr>
                <w:rFonts w:hint="eastAsia" w:ascii="宋体" w:hAnsi="宋体"/>
                <w:bCs/>
                <w:color w:val="auto"/>
                <w:szCs w:val="21"/>
                <w:highlight w:val="none"/>
                <w:lang w:val="en-US" w:eastAsia="zh-CN"/>
              </w:rPr>
              <w:t>7</w:t>
            </w:r>
            <w:r>
              <w:rPr>
                <w:rFonts w:hint="eastAsia" w:ascii="宋体" w:hAnsi="宋体"/>
                <w:bCs/>
                <w:color w:val="auto"/>
                <w:szCs w:val="21"/>
                <w:highlight w:val="none"/>
              </w:rPr>
              <w:t xml:space="preserve">）价格分计算公式：        </w:t>
            </w:r>
          </w:p>
          <w:p w14:paraId="2D704BB3">
            <w:pPr>
              <w:spacing w:line="400" w:lineRule="exact"/>
              <w:ind w:firstLine="233" w:firstLineChars="111"/>
              <w:rPr>
                <w:rFonts w:hint="eastAsia" w:ascii="宋体" w:hAnsi="宋体" w:eastAsia="宋体"/>
                <w:bCs/>
                <w:color w:val="auto"/>
                <w:szCs w:val="21"/>
                <w:highlight w:val="none"/>
                <w:lang w:eastAsia="zh-CN"/>
              </w:rPr>
            </w:pPr>
            <w:r>
              <w:rPr>
                <w:rFonts w:hint="eastAsia" w:ascii="宋体" w:hAnsi="宋体"/>
                <w:bCs/>
                <w:color w:val="auto"/>
                <w:szCs w:val="21"/>
                <w:highlight w:val="none"/>
              </w:rPr>
              <w:t>某供应商价格分=基准价/某供应商评标报价金额×10分</w:t>
            </w:r>
            <w:r>
              <w:rPr>
                <w:rFonts w:hint="eastAsia" w:ascii="宋体" w:hAnsi="宋体"/>
                <w:bCs/>
                <w:color w:val="auto"/>
                <w:szCs w:val="21"/>
                <w:highlight w:val="none"/>
                <w:lang w:eastAsia="zh-CN"/>
              </w:rPr>
              <w:t>。</w:t>
            </w:r>
          </w:p>
        </w:tc>
      </w:tr>
      <w:tr w14:paraId="2715D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25" w:type="dxa"/>
            <w:vMerge w:val="restart"/>
            <w:tcBorders>
              <w:top w:val="single" w:color="auto" w:sz="4" w:space="0"/>
              <w:left w:val="single" w:color="auto" w:sz="4" w:space="0"/>
              <w:bottom w:val="single" w:color="auto" w:sz="4" w:space="0"/>
              <w:right w:val="single" w:color="auto" w:sz="4" w:space="0"/>
            </w:tcBorders>
            <w:vAlign w:val="center"/>
          </w:tcPr>
          <w:p w14:paraId="4B45363A">
            <w:pPr>
              <w:adjustRightInd w:val="0"/>
              <w:spacing w:line="400" w:lineRule="exact"/>
              <w:jc w:val="center"/>
              <w:textAlignment w:val="baseline"/>
              <w:rPr>
                <w:rFonts w:hint="eastAsia" w:ascii="宋体" w:hAnsi="宋体"/>
                <w:b/>
                <w:color w:val="auto"/>
                <w:szCs w:val="21"/>
                <w:highlight w:val="none"/>
              </w:rPr>
            </w:pPr>
            <w:r>
              <w:rPr>
                <w:rFonts w:hint="eastAsia" w:ascii="宋体" w:hAnsi="宋体"/>
                <w:b/>
                <w:color w:val="auto"/>
                <w:szCs w:val="21"/>
                <w:highlight w:val="none"/>
              </w:rPr>
              <w:t>2</w:t>
            </w:r>
          </w:p>
        </w:tc>
        <w:tc>
          <w:tcPr>
            <w:tcW w:w="895" w:type="dxa"/>
            <w:vMerge w:val="restart"/>
            <w:tcBorders>
              <w:top w:val="single" w:color="auto" w:sz="4" w:space="0"/>
              <w:left w:val="single" w:color="auto" w:sz="4" w:space="0"/>
              <w:bottom w:val="single" w:color="auto" w:sz="4" w:space="0"/>
              <w:right w:val="single" w:color="auto" w:sz="4" w:space="0"/>
            </w:tcBorders>
            <w:vAlign w:val="center"/>
          </w:tcPr>
          <w:p w14:paraId="537AFE75">
            <w:pPr>
              <w:tabs>
                <w:tab w:val="left" w:pos="180"/>
                <w:tab w:val="left" w:pos="1620"/>
              </w:tabs>
              <w:spacing w:line="360" w:lineRule="auto"/>
              <w:jc w:val="center"/>
              <w:rPr>
                <w:rFonts w:hint="eastAsia" w:ascii="宋体" w:hAnsi="宋体" w:cs="宋体"/>
                <w:b/>
                <w:bCs/>
                <w:color w:val="auto"/>
                <w:szCs w:val="21"/>
                <w:highlight w:val="none"/>
              </w:rPr>
            </w:pPr>
            <w:r>
              <w:rPr>
                <w:rFonts w:hint="eastAsia" w:ascii="宋体" w:hAnsi="宋体" w:cs="宋体"/>
                <w:b/>
                <w:bCs/>
                <w:color w:val="auto"/>
                <w:szCs w:val="21"/>
                <w:highlight w:val="none"/>
              </w:rPr>
              <w:t>技术分</w:t>
            </w:r>
          </w:p>
          <w:p w14:paraId="5ADAF91F">
            <w:pPr>
              <w:adjustRightInd w:val="0"/>
              <w:spacing w:line="400" w:lineRule="exact"/>
              <w:ind w:left="-105" w:leftChars="-50" w:right="-105" w:rightChars="-50"/>
              <w:jc w:val="center"/>
              <w:textAlignment w:val="baseline"/>
              <w:rPr>
                <w:rFonts w:hint="eastAsia" w:ascii="宋体" w:hAnsi="宋体"/>
                <w:b/>
                <w:bCs/>
                <w:color w:val="auto"/>
                <w:szCs w:val="21"/>
                <w:highlight w:val="none"/>
              </w:rPr>
            </w:pPr>
            <w:r>
              <w:rPr>
                <w:rFonts w:hint="eastAsia" w:ascii="宋体" w:hAnsi="宋体" w:cs="宋体"/>
                <w:b/>
                <w:bCs/>
                <w:color w:val="auto"/>
                <w:szCs w:val="21"/>
                <w:highlight w:val="none"/>
              </w:rPr>
              <w:t>（满分</w:t>
            </w:r>
            <w:r>
              <w:rPr>
                <w:rFonts w:hint="eastAsia" w:ascii="宋体" w:hAnsi="宋体" w:cs="宋体"/>
                <w:b/>
                <w:bCs/>
                <w:color w:val="auto"/>
                <w:szCs w:val="21"/>
                <w:highlight w:val="none"/>
                <w:lang w:val="en-US" w:eastAsia="zh-CN"/>
              </w:rPr>
              <w:t>45</w:t>
            </w:r>
            <w:r>
              <w:rPr>
                <w:rFonts w:hint="eastAsia" w:ascii="宋体" w:hAnsi="宋体" w:cs="宋体"/>
                <w:b/>
                <w:bCs/>
                <w:color w:val="auto"/>
                <w:szCs w:val="21"/>
                <w:highlight w:val="none"/>
              </w:rPr>
              <w:t>分）</w:t>
            </w:r>
          </w:p>
        </w:tc>
        <w:tc>
          <w:tcPr>
            <w:tcW w:w="1134" w:type="dxa"/>
            <w:tcBorders>
              <w:top w:val="single" w:color="auto" w:sz="4" w:space="0"/>
              <w:left w:val="single" w:color="auto" w:sz="4" w:space="0"/>
              <w:bottom w:val="single" w:color="auto" w:sz="4" w:space="0"/>
              <w:right w:val="single" w:color="auto" w:sz="4" w:space="0"/>
            </w:tcBorders>
            <w:vAlign w:val="center"/>
          </w:tcPr>
          <w:p w14:paraId="60A233DC">
            <w:pPr>
              <w:spacing w:line="360" w:lineRule="auto"/>
              <w:jc w:val="center"/>
              <w:rPr>
                <w:color w:val="auto"/>
                <w:highlight w:val="none"/>
              </w:rPr>
            </w:pPr>
          </w:p>
          <w:p w14:paraId="2CD34CCE">
            <w:pPr>
              <w:spacing w:line="360" w:lineRule="auto"/>
              <w:jc w:val="center"/>
              <w:rPr>
                <w:color w:val="auto"/>
                <w:szCs w:val="21"/>
                <w:highlight w:val="none"/>
              </w:rPr>
            </w:pPr>
            <w:r>
              <w:rPr>
                <w:rFonts w:hint="eastAsia"/>
                <w:color w:val="auto"/>
                <w:highlight w:val="none"/>
              </w:rPr>
              <w:t>2.1技术</w:t>
            </w:r>
            <w:r>
              <w:rPr>
                <w:rFonts w:hint="eastAsia"/>
                <w:color w:val="auto"/>
                <w:highlight w:val="none"/>
                <w:lang w:val="en-US" w:eastAsia="zh-CN"/>
              </w:rPr>
              <w:t>服务</w:t>
            </w:r>
            <w:r>
              <w:rPr>
                <w:rFonts w:hint="eastAsia"/>
                <w:color w:val="auto"/>
                <w:highlight w:val="none"/>
              </w:rPr>
              <w:t>方案</w:t>
            </w:r>
            <w:r>
              <w:rPr>
                <w:rFonts w:hint="eastAsia" w:ascii="宋体" w:hAnsi="宋体" w:cs="宋体"/>
                <w:color w:val="auto"/>
                <w:szCs w:val="21"/>
                <w:highlight w:val="none"/>
              </w:rPr>
              <w:t>（满分</w:t>
            </w:r>
            <w:r>
              <w:rPr>
                <w:rFonts w:hint="eastAsia" w:ascii="宋体" w:hAnsi="宋体" w:cs="宋体"/>
                <w:color w:val="auto"/>
                <w:szCs w:val="21"/>
                <w:highlight w:val="none"/>
                <w:lang w:val="en-US" w:eastAsia="zh-CN"/>
                <w:woUserID w:val="1"/>
              </w:rPr>
              <w:t>15</w:t>
            </w:r>
            <w:r>
              <w:rPr>
                <w:rFonts w:hint="eastAsia" w:ascii="宋体" w:hAnsi="宋体" w:cs="宋体"/>
                <w:color w:val="auto"/>
                <w:szCs w:val="21"/>
                <w:highlight w:val="none"/>
              </w:rPr>
              <w:t>分）</w:t>
            </w:r>
          </w:p>
        </w:tc>
        <w:tc>
          <w:tcPr>
            <w:tcW w:w="6896" w:type="dxa"/>
            <w:tcBorders>
              <w:top w:val="single" w:color="auto" w:sz="4" w:space="0"/>
              <w:left w:val="single" w:color="auto" w:sz="4" w:space="0"/>
              <w:bottom w:val="single" w:color="auto" w:sz="4" w:space="0"/>
              <w:right w:val="single" w:color="auto" w:sz="4" w:space="0"/>
            </w:tcBorders>
          </w:tcPr>
          <w:p w14:paraId="2E9141FB">
            <w:pPr>
              <w:autoSpaceDE w:val="0"/>
              <w:autoSpaceDN w:val="0"/>
              <w:adjustRightInd w:val="0"/>
              <w:snapToGrid w:val="0"/>
              <w:spacing w:line="360" w:lineRule="auto"/>
              <w:ind w:left="0" w:firstLine="420" w:firstLineChars="200"/>
              <w:jc w:val="left"/>
              <w:rPr>
                <w:rFonts w:hint="eastAsia" w:ascii="宋体" w:hAnsi="宋体" w:cs="宋体"/>
                <w:bCs/>
                <w:color w:val="auto"/>
                <w:kern w:val="0"/>
                <w:szCs w:val="21"/>
                <w:highlight w:val="none"/>
              </w:rPr>
            </w:pPr>
            <w:r>
              <w:rPr>
                <w:rFonts w:hint="eastAsia" w:ascii="宋体" w:hAnsi="宋体" w:cs="宋体"/>
                <w:bCs/>
                <w:color w:val="auto"/>
                <w:kern w:val="0"/>
                <w:szCs w:val="21"/>
                <w:highlight w:val="none"/>
              </w:rPr>
              <w:t>不提供相关方案的不得分。</w:t>
            </w:r>
          </w:p>
          <w:p w14:paraId="76FCC942">
            <w:pPr>
              <w:autoSpaceDE w:val="0"/>
              <w:autoSpaceDN w:val="0"/>
              <w:adjustRightInd w:val="0"/>
              <w:snapToGrid w:val="0"/>
              <w:spacing w:line="360" w:lineRule="auto"/>
              <w:ind w:left="0" w:firstLine="404" w:firstLineChars="200"/>
              <w:jc w:val="left"/>
              <w:rPr>
                <w:rFonts w:hint="eastAsia" w:ascii="宋体" w:hAnsi="宋体" w:cs="宋体"/>
                <w:color w:val="auto"/>
                <w:spacing w:val="-4"/>
                <w:szCs w:val="21"/>
                <w:highlight w:val="none"/>
              </w:rPr>
            </w:pPr>
            <w:r>
              <w:rPr>
                <w:rFonts w:hint="eastAsia" w:ascii="宋体" w:hAnsi="宋体" w:cs="宋体"/>
                <w:color w:val="auto"/>
                <w:spacing w:val="-4"/>
                <w:szCs w:val="21"/>
                <w:highlight w:val="none"/>
              </w:rPr>
              <w:t>一档（</w:t>
            </w:r>
            <w:r>
              <w:rPr>
                <w:rFonts w:hint="eastAsia" w:ascii="宋体" w:hAnsi="宋体" w:cs="宋体"/>
                <w:color w:val="auto"/>
                <w:spacing w:val="-4"/>
                <w:szCs w:val="21"/>
                <w:highlight w:val="none"/>
                <w:lang w:val="en-US" w:eastAsia="zh-CN"/>
              </w:rPr>
              <w:t>5</w:t>
            </w:r>
            <w:r>
              <w:rPr>
                <w:rFonts w:hint="eastAsia" w:ascii="宋体" w:hAnsi="宋体" w:cs="宋体"/>
                <w:color w:val="auto"/>
                <w:spacing w:val="-4"/>
                <w:szCs w:val="21"/>
                <w:highlight w:val="none"/>
              </w:rPr>
              <w:t>分）：提供</w:t>
            </w:r>
            <w:r>
              <w:rPr>
                <w:rFonts w:hint="eastAsia" w:ascii="宋体" w:hAnsi="宋体" w:cs="宋体"/>
                <w:color w:val="auto"/>
                <w:spacing w:val="-4"/>
                <w:szCs w:val="21"/>
                <w:highlight w:val="none"/>
                <w:lang w:eastAsia="zh-CN"/>
              </w:rPr>
              <w:t>技术实施方案</w:t>
            </w:r>
            <w:r>
              <w:rPr>
                <w:rFonts w:hint="eastAsia" w:ascii="宋体" w:hAnsi="宋体" w:cs="宋体"/>
                <w:color w:val="auto"/>
                <w:spacing w:val="-4"/>
                <w:szCs w:val="21"/>
                <w:highlight w:val="none"/>
              </w:rPr>
              <w:t>，能对项目需求理解、总体架构设计、总体需求、系统功能和非功能性需求有基本的描述</w:t>
            </w:r>
            <w:r>
              <w:rPr>
                <w:rFonts w:hint="eastAsia" w:ascii="宋体" w:hAnsi="宋体" w:cs="Courier New"/>
                <w:bCs/>
                <w:color w:val="auto"/>
                <w:szCs w:val="21"/>
                <w:highlight w:val="none"/>
                <w:woUserID w:val="1"/>
              </w:rPr>
              <w:t>。</w:t>
            </w:r>
          </w:p>
          <w:p w14:paraId="4B9485C3">
            <w:pPr>
              <w:autoSpaceDE w:val="0"/>
              <w:autoSpaceDN w:val="0"/>
              <w:adjustRightInd w:val="0"/>
              <w:snapToGrid w:val="0"/>
              <w:spacing w:line="360" w:lineRule="auto"/>
              <w:ind w:firstLine="408" w:firstLineChars="200"/>
              <w:jc w:val="left"/>
              <w:rPr>
                <w:rFonts w:hint="eastAsia" w:ascii="宋体" w:hAnsi="宋体" w:cs="宋体"/>
                <w:color w:val="auto"/>
                <w:spacing w:val="-3"/>
                <w:szCs w:val="21"/>
                <w:highlight w:val="none"/>
              </w:rPr>
            </w:pPr>
            <w:r>
              <w:rPr>
                <w:rFonts w:hint="eastAsia" w:ascii="宋体" w:hAnsi="宋体" w:cs="宋体"/>
                <w:color w:val="auto"/>
                <w:spacing w:val="-3"/>
                <w:szCs w:val="21"/>
                <w:highlight w:val="none"/>
              </w:rPr>
              <w:t>二档（</w:t>
            </w:r>
            <w:r>
              <w:rPr>
                <w:rFonts w:hint="eastAsia" w:ascii="宋体" w:hAnsi="宋体" w:cs="宋体"/>
                <w:color w:val="auto"/>
                <w:spacing w:val="-3"/>
                <w:szCs w:val="21"/>
                <w:highlight w:val="none"/>
                <w:lang w:val="en-US" w:eastAsia="zh-CN"/>
              </w:rPr>
              <w:t>10</w:t>
            </w:r>
            <w:r>
              <w:rPr>
                <w:rFonts w:hint="eastAsia" w:ascii="宋体" w:hAnsi="宋体" w:cs="宋体"/>
                <w:color w:val="auto"/>
                <w:spacing w:val="-3"/>
                <w:szCs w:val="21"/>
                <w:highlight w:val="none"/>
              </w:rPr>
              <w:t>分）: 提供</w:t>
            </w:r>
            <w:r>
              <w:rPr>
                <w:rFonts w:hint="eastAsia" w:ascii="宋体" w:hAnsi="宋体" w:cs="宋体"/>
                <w:color w:val="auto"/>
                <w:spacing w:val="-3"/>
                <w:szCs w:val="21"/>
                <w:highlight w:val="none"/>
                <w:lang w:eastAsia="zh-CN"/>
              </w:rPr>
              <w:t>技术实施方案</w:t>
            </w:r>
            <w:r>
              <w:rPr>
                <w:rFonts w:hint="eastAsia" w:ascii="宋体" w:hAnsi="宋体" w:cs="宋体"/>
                <w:color w:val="auto"/>
                <w:spacing w:val="-3"/>
                <w:szCs w:val="21"/>
                <w:highlight w:val="none"/>
              </w:rPr>
              <w:t>，能对项目需求理解、总体架构设计、总体需求、系统功能和非功能性需求有详细的描述，需求分析符合项目建设情况，方案总体逻辑结构清楚，层次分明，建设思路清晰。</w:t>
            </w:r>
          </w:p>
          <w:p w14:paraId="2C0B5B59">
            <w:pPr>
              <w:autoSpaceDE w:val="0"/>
              <w:autoSpaceDN w:val="0"/>
              <w:adjustRightInd w:val="0"/>
              <w:snapToGrid w:val="0"/>
              <w:spacing w:line="360" w:lineRule="auto"/>
              <w:ind w:firstLine="408" w:firstLineChars="200"/>
              <w:jc w:val="left"/>
              <w:rPr>
                <w:rFonts w:hint="default"/>
                <w:color w:val="auto"/>
                <w:highlight w:val="none"/>
              </w:rPr>
            </w:pPr>
            <w:r>
              <w:rPr>
                <w:rFonts w:hint="eastAsia" w:ascii="宋体" w:hAnsi="宋体" w:cs="宋体"/>
                <w:color w:val="auto"/>
                <w:spacing w:val="-3"/>
                <w:szCs w:val="21"/>
                <w:highlight w:val="none"/>
              </w:rPr>
              <w:t>三档（</w:t>
            </w:r>
            <w:r>
              <w:rPr>
                <w:rFonts w:hint="eastAsia" w:ascii="宋体" w:hAnsi="宋体" w:cs="宋体"/>
                <w:color w:val="auto"/>
                <w:spacing w:val="-3"/>
                <w:szCs w:val="21"/>
                <w:highlight w:val="none"/>
                <w:lang w:val="en-US" w:eastAsia="zh-CN"/>
              </w:rPr>
              <w:t>15</w:t>
            </w:r>
            <w:r>
              <w:rPr>
                <w:rFonts w:hint="eastAsia" w:ascii="宋体" w:hAnsi="宋体" w:cs="宋体"/>
                <w:color w:val="auto"/>
                <w:spacing w:val="-3"/>
                <w:szCs w:val="21"/>
                <w:highlight w:val="none"/>
              </w:rPr>
              <w:t>分）: 在满足二档的基础上，</w:t>
            </w:r>
            <w:r>
              <w:rPr>
                <w:rFonts w:hint="eastAsia" w:ascii="宋体" w:hAnsi="宋体" w:cs="宋体"/>
                <w:color w:val="auto"/>
                <w:spacing w:val="-3"/>
                <w:szCs w:val="21"/>
                <w:highlight w:val="none"/>
                <w:lang w:eastAsia="zh-CN"/>
              </w:rPr>
              <w:t>供应商</w:t>
            </w:r>
            <w:r>
              <w:rPr>
                <w:rFonts w:hint="eastAsia" w:ascii="宋体" w:hAnsi="宋体" w:cs="宋体"/>
                <w:color w:val="auto"/>
                <w:spacing w:val="-3"/>
                <w:szCs w:val="21"/>
                <w:highlight w:val="none"/>
                <w:lang w:eastAsia="zh"/>
              </w:rPr>
              <w:t>结合采购需求，能够了解采购人现有相关系统的架构、业务功能等情况，</w:t>
            </w:r>
            <w:r>
              <w:rPr>
                <w:rFonts w:hint="eastAsia" w:ascii="宋体" w:hAnsi="宋体" w:cs="宋体"/>
                <w:color w:val="auto"/>
                <w:spacing w:val="-3"/>
                <w:szCs w:val="21"/>
                <w:highlight w:val="none"/>
              </w:rPr>
              <w:t>提供项目重难点分析、产品技术架构、总体数据流程、接口总体设计、系统总体架构、系统用户分析，提供国产化升级关键系统功能设计</w:t>
            </w:r>
            <w:r>
              <w:rPr>
                <w:rFonts w:hint="eastAsia" w:ascii="宋体" w:hAnsi="宋体" w:cs="宋体"/>
                <w:color w:val="auto"/>
                <w:spacing w:val="-3"/>
                <w:szCs w:val="21"/>
                <w:highlight w:val="none"/>
                <w:lang w:eastAsia="zh"/>
              </w:rPr>
              <w:t>、国产化适配改造方案</w:t>
            </w:r>
            <w:r>
              <w:rPr>
                <w:rFonts w:hint="eastAsia" w:ascii="宋体" w:hAnsi="宋体" w:cs="宋体"/>
                <w:color w:val="auto"/>
                <w:spacing w:val="-3"/>
                <w:szCs w:val="21"/>
                <w:highlight w:val="none"/>
              </w:rPr>
              <w:t>，保证</w:t>
            </w:r>
            <w:r>
              <w:rPr>
                <w:rFonts w:hint="eastAsia" w:ascii="宋体" w:hAnsi="宋体" w:cs="宋体"/>
                <w:color w:val="auto"/>
                <w:spacing w:val="-3"/>
                <w:szCs w:val="21"/>
                <w:highlight w:val="none"/>
                <w:lang w:val="en-US" w:eastAsia="zh-CN"/>
              </w:rPr>
              <w:t>改造后的</w:t>
            </w:r>
            <w:r>
              <w:rPr>
                <w:rFonts w:hint="eastAsia" w:ascii="宋体" w:hAnsi="宋体" w:cs="宋体"/>
                <w:color w:val="auto"/>
                <w:spacing w:val="-3"/>
                <w:szCs w:val="21"/>
                <w:highlight w:val="none"/>
              </w:rPr>
              <w:t>系统</w:t>
            </w:r>
            <w:r>
              <w:rPr>
                <w:rFonts w:hint="eastAsia" w:ascii="宋体" w:hAnsi="宋体" w:cs="宋体"/>
                <w:color w:val="auto"/>
                <w:spacing w:val="-3"/>
                <w:szCs w:val="21"/>
                <w:highlight w:val="none"/>
                <w:lang w:val="en-US" w:eastAsia="zh-CN"/>
              </w:rPr>
              <w:t>正常有序运行</w:t>
            </w:r>
            <w:r>
              <w:rPr>
                <w:rFonts w:hint="eastAsia" w:ascii="宋体" w:hAnsi="宋体" w:cs="宋体"/>
                <w:color w:val="auto"/>
                <w:spacing w:val="-3"/>
                <w:szCs w:val="21"/>
                <w:highlight w:val="none"/>
              </w:rPr>
              <w:t>；能准确应答招标需求提出的全部项目诉求。</w:t>
            </w:r>
          </w:p>
        </w:tc>
      </w:tr>
      <w:tr w14:paraId="02B92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25" w:type="dxa"/>
            <w:vMerge w:val="continue"/>
            <w:tcBorders>
              <w:left w:val="single" w:color="auto" w:sz="4" w:space="0"/>
              <w:right w:val="single" w:color="auto" w:sz="4" w:space="0"/>
            </w:tcBorders>
            <w:vAlign w:val="center"/>
          </w:tcPr>
          <w:p w14:paraId="74DB4E49">
            <w:pPr>
              <w:adjustRightInd w:val="0"/>
              <w:spacing w:line="400" w:lineRule="exact"/>
              <w:jc w:val="center"/>
              <w:textAlignment w:val="baseline"/>
              <w:rPr>
                <w:rFonts w:hint="eastAsia" w:ascii="宋体" w:hAnsi="宋体"/>
                <w:b/>
                <w:color w:val="auto"/>
                <w:szCs w:val="21"/>
                <w:highlight w:val="none"/>
              </w:rPr>
            </w:pPr>
          </w:p>
        </w:tc>
        <w:tc>
          <w:tcPr>
            <w:tcW w:w="895" w:type="dxa"/>
            <w:vMerge w:val="continue"/>
            <w:tcBorders>
              <w:left w:val="single" w:color="auto" w:sz="4" w:space="0"/>
              <w:right w:val="single" w:color="auto" w:sz="4" w:space="0"/>
            </w:tcBorders>
            <w:vAlign w:val="center"/>
          </w:tcPr>
          <w:p w14:paraId="43C21F1B">
            <w:pPr>
              <w:adjustRightInd w:val="0"/>
              <w:spacing w:line="400" w:lineRule="exact"/>
              <w:ind w:left="-105" w:leftChars="-50" w:right="-105" w:rightChars="-50"/>
              <w:jc w:val="center"/>
              <w:textAlignment w:val="baseline"/>
              <w:rPr>
                <w:rFonts w:hint="eastAsia" w:ascii="宋体" w:hAnsi="宋体" w:cs="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289E1EBD">
            <w:pPr>
              <w:spacing w:line="360" w:lineRule="auto"/>
              <w:jc w:val="center"/>
              <w:rPr>
                <w:color w:val="auto"/>
                <w:szCs w:val="21"/>
                <w:highlight w:val="none"/>
              </w:rPr>
            </w:pPr>
            <w:r>
              <w:rPr>
                <w:rFonts w:hint="eastAsia"/>
                <w:color w:val="auto"/>
                <w:szCs w:val="21"/>
                <w:highlight w:val="none"/>
              </w:rPr>
              <w:t>2.2</w:t>
            </w:r>
            <w:r>
              <w:rPr>
                <w:rFonts w:hint="eastAsia"/>
                <w:color w:val="auto"/>
                <w:highlight w:val="none"/>
                <w:lang w:val="en-US" w:eastAsia="zh-CN"/>
              </w:rPr>
              <w:t>技术实施方案</w:t>
            </w:r>
            <w:r>
              <w:rPr>
                <w:rFonts w:hint="eastAsia" w:ascii="宋体" w:hAnsi="宋体" w:cs="宋体"/>
                <w:color w:val="auto"/>
                <w:szCs w:val="21"/>
                <w:highlight w:val="none"/>
              </w:rPr>
              <w:t>（满分</w:t>
            </w:r>
            <w:r>
              <w:rPr>
                <w:rFonts w:hint="eastAsia" w:ascii="宋体" w:hAnsi="宋体" w:cs="宋体"/>
                <w:color w:val="auto"/>
                <w:szCs w:val="21"/>
                <w:highlight w:val="none"/>
                <w:lang w:val="en-US" w:eastAsia="zh-CN"/>
              </w:rPr>
              <w:t>15</w:t>
            </w:r>
            <w:r>
              <w:rPr>
                <w:rFonts w:hint="eastAsia" w:ascii="宋体" w:hAnsi="宋体" w:cs="宋体"/>
                <w:color w:val="auto"/>
                <w:szCs w:val="21"/>
                <w:highlight w:val="none"/>
              </w:rPr>
              <w:t>分）</w:t>
            </w:r>
          </w:p>
        </w:tc>
        <w:tc>
          <w:tcPr>
            <w:tcW w:w="6896" w:type="dxa"/>
            <w:tcBorders>
              <w:top w:val="single" w:color="auto" w:sz="4" w:space="0"/>
              <w:left w:val="single" w:color="auto" w:sz="4" w:space="0"/>
              <w:bottom w:val="single" w:color="auto" w:sz="4" w:space="0"/>
              <w:right w:val="single" w:color="auto" w:sz="4" w:space="0"/>
            </w:tcBorders>
          </w:tcPr>
          <w:p w14:paraId="2FD99A21">
            <w:pPr>
              <w:pageBreakBefore w:val="0"/>
              <w:widowControl/>
              <w:kinsoku/>
              <w:wordWrap/>
              <w:overflowPunct/>
              <w:topLinePunct w:val="0"/>
              <w:autoSpaceDE/>
              <w:autoSpaceDN/>
              <w:bidi w:val="0"/>
              <w:adjustRightInd w:val="0"/>
              <w:snapToGrid w:val="0"/>
              <w:spacing w:line="400" w:lineRule="exact"/>
              <w:ind w:firstLine="378" w:firstLineChars="180"/>
              <w:textAlignment w:val="auto"/>
              <w:rPr>
                <w:rFonts w:hint="eastAsia" w:ascii="宋体" w:hAnsi="宋体" w:cs="宋体"/>
                <w:bCs/>
                <w:color w:val="auto"/>
                <w:kern w:val="0"/>
                <w:szCs w:val="21"/>
                <w:highlight w:val="none"/>
              </w:rPr>
            </w:pPr>
            <w:r>
              <w:rPr>
                <w:rFonts w:hint="eastAsia" w:ascii="宋体" w:hAnsi="宋体" w:cs="宋体"/>
                <w:bCs/>
                <w:color w:val="auto"/>
                <w:kern w:val="0"/>
                <w:szCs w:val="21"/>
                <w:highlight w:val="none"/>
              </w:rPr>
              <w:t>不提供相关方案的不得分。</w:t>
            </w:r>
          </w:p>
          <w:p w14:paraId="12886CD0">
            <w:pPr>
              <w:snapToGrid w:val="0"/>
              <w:spacing w:line="380" w:lineRule="exact"/>
              <w:ind w:firstLine="420" w:firstLineChars="200"/>
              <w:rPr>
                <w:rFonts w:hint="eastAsia" w:ascii="宋体" w:hAnsi="宋体"/>
                <w:color w:val="auto"/>
                <w:highlight w:val="none"/>
              </w:rPr>
            </w:pPr>
            <w:r>
              <w:rPr>
                <w:rFonts w:hint="eastAsia" w:ascii="宋体" w:hAnsi="宋体"/>
                <w:color w:val="auto"/>
                <w:highlight w:val="none"/>
              </w:rPr>
              <w:t>一档（</w:t>
            </w:r>
            <w:r>
              <w:rPr>
                <w:rFonts w:hint="eastAsia" w:ascii="宋体" w:hAnsi="宋体"/>
                <w:color w:val="auto"/>
                <w:highlight w:val="none"/>
                <w:lang w:val="en-US" w:eastAsia="zh-CN"/>
              </w:rPr>
              <w:t>5</w:t>
            </w:r>
            <w:r>
              <w:rPr>
                <w:rFonts w:hint="eastAsia" w:ascii="宋体" w:hAnsi="宋体"/>
                <w:color w:val="auto"/>
                <w:highlight w:val="none"/>
              </w:rPr>
              <w:t>分）：提供基本系统实施方案，方案中包含软件开发维护、项目验收方案、项目人员安排计划。</w:t>
            </w:r>
          </w:p>
          <w:p w14:paraId="13E3A87A">
            <w:pPr>
              <w:snapToGrid w:val="0"/>
              <w:spacing w:line="380" w:lineRule="exact"/>
              <w:ind w:firstLine="420" w:firstLineChars="200"/>
              <w:rPr>
                <w:rFonts w:hint="eastAsia" w:ascii="宋体" w:hAnsi="宋体"/>
                <w:color w:val="auto"/>
                <w:highlight w:val="none"/>
              </w:rPr>
            </w:pPr>
            <w:r>
              <w:rPr>
                <w:rFonts w:hint="eastAsia" w:ascii="宋体" w:hAnsi="宋体"/>
                <w:color w:val="auto"/>
                <w:highlight w:val="none"/>
              </w:rPr>
              <w:t>二档（</w:t>
            </w:r>
            <w:r>
              <w:rPr>
                <w:rFonts w:hint="eastAsia" w:ascii="宋体" w:hAnsi="宋体"/>
                <w:color w:val="auto"/>
                <w:highlight w:val="none"/>
                <w:lang w:val="en-US" w:eastAsia="zh-CN"/>
              </w:rPr>
              <w:t>10</w:t>
            </w:r>
            <w:r>
              <w:rPr>
                <w:rFonts w:hint="eastAsia" w:ascii="宋体" w:hAnsi="宋体"/>
                <w:color w:val="auto"/>
                <w:highlight w:val="none"/>
              </w:rPr>
              <w:t>分）：在满足一档的基础上，系统实施方案</w:t>
            </w:r>
            <w:r>
              <w:rPr>
                <w:rFonts w:hint="eastAsia" w:ascii="宋体" w:hAnsi="宋体"/>
                <w:color w:val="auto"/>
                <w:highlight w:val="none"/>
                <w:lang w:eastAsia="zh-CN"/>
              </w:rPr>
              <w:t>中</w:t>
            </w:r>
            <w:r>
              <w:rPr>
                <w:rFonts w:hint="eastAsia" w:ascii="宋体" w:hAnsi="宋体"/>
                <w:color w:val="auto"/>
                <w:highlight w:val="none"/>
              </w:rPr>
              <w:t>提供实施计划进度安排，进度计划应包含需求分析和方案、基本功能开发和测试、全部功能开发、系统初验、人员培训、试运行验收等关键环节的计划，有基本的质量控制保证方案措施及风险管理措施。</w:t>
            </w:r>
          </w:p>
          <w:p w14:paraId="07BFD88F">
            <w:pPr>
              <w:snapToGrid w:val="0"/>
              <w:spacing w:line="380" w:lineRule="exact"/>
              <w:ind w:firstLine="420" w:firstLineChars="200"/>
              <w:rPr>
                <w:rFonts w:hint="eastAsia" w:ascii="宋体" w:hAnsi="宋体"/>
                <w:color w:val="auto"/>
                <w:highlight w:val="none"/>
              </w:rPr>
            </w:pPr>
            <w:r>
              <w:rPr>
                <w:rFonts w:hint="eastAsia" w:ascii="宋体" w:hAnsi="宋体"/>
                <w:color w:val="auto"/>
                <w:highlight w:val="none"/>
              </w:rPr>
              <w:t>三档（</w:t>
            </w:r>
            <w:r>
              <w:rPr>
                <w:rFonts w:hint="eastAsia" w:ascii="宋体" w:hAnsi="宋体"/>
                <w:color w:val="auto"/>
                <w:highlight w:val="none"/>
                <w:lang w:val="en-US" w:eastAsia="zh-CN"/>
              </w:rPr>
              <w:t>15</w:t>
            </w:r>
            <w:r>
              <w:rPr>
                <w:rFonts w:hint="eastAsia" w:ascii="宋体" w:hAnsi="宋体"/>
                <w:color w:val="auto"/>
                <w:highlight w:val="none"/>
              </w:rPr>
              <w:t>分）：满足二档基础上，系统实施方案阐述有具体的项目团队管理计划、项目进度保证措施、项目资料管理措施和项目实施安全保障措施</w:t>
            </w:r>
            <w:r>
              <w:rPr>
                <w:rFonts w:hint="eastAsia" w:ascii="宋体" w:hAnsi="宋体"/>
                <w:color w:val="auto"/>
                <w:highlight w:val="none"/>
                <w:lang w:eastAsia="zh"/>
              </w:rPr>
              <w:t>，有应急处置方案，包含系统试运行方案与升级改造前后系统业务割接方案</w:t>
            </w:r>
            <w:r>
              <w:rPr>
                <w:rFonts w:hint="eastAsia" w:ascii="宋体" w:hAnsi="宋体"/>
                <w:color w:val="auto"/>
                <w:highlight w:val="none"/>
              </w:rPr>
              <w:t>。</w:t>
            </w:r>
          </w:p>
          <w:p w14:paraId="58ECFBB6">
            <w:pPr>
              <w:spacing w:line="360" w:lineRule="auto"/>
              <w:rPr>
                <w:color w:val="auto"/>
                <w:szCs w:val="21"/>
                <w:highlight w:val="none"/>
              </w:rPr>
            </w:pPr>
          </w:p>
        </w:tc>
      </w:tr>
      <w:tr w14:paraId="0D0FA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dxa"/>
            <w:vMerge w:val="continue"/>
            <w:tcBorders>
              <w:top w:val="single" w:color="auto" w:sz="4" w:space="0"/>
              <w:left w:val="single" w:color="auto" w:sz="4" w:space="0"/>
              <w:bottom w:val="single" w:color="auto" w:sz="4" w:space="0"/>
              <w:right w:val="single" w:color="auto" w:sz="4" w:space="0"/>
            </w:tcBorders>
            <w:vAlign w:val="center"/>
          </w:tcPr>
          <w:p w14:paraId="1FF6AB43">
            <w:pPr>
              <w:adjustRightInd w:val="0"/>
              <w:spacing w:line="400" w:lineRule="exact"/>
              <w:jc w:val="center"/>
              <w:textAlignment w:val="baseline"/>
              <w:rPr>
                <w:rFonts w:hint="eastAsia" w:ascii="宋体" w:hAnsi="宋体"/>
                <w:b/>
                <w:color w:val="auto"/>
                <w:szCs w:val="21"/>
                <w:highlight w:val="none"/>
              </w:rPr>
            </w:pPr>
          </w:p>
        </w:tc>
        <w:tc>
          <w:tcPr>
            <w:tcW w:w="895" w:type="dxa"/>
            <w:vMerge w:val="continue"/>
            <w:tcBorders>
              <w:top w:val="single" w:color="auto" w:sz="4" w:space="0"/>
              <w:left w:val="single" w:color="auto" w:sz="4" w:space="0"/>
              <w:bottom w:val="single" w:color="auto" w:sz="4" w:space="0"/>
              <w:right w:val="single" w:color="auto" w:sz="4" w:space="0"/>
            </w:tcBorders>
            <w:vAlign w:val="center"/>
          </w:tcPr>
          <w:p w14:paraId="0FFF981F">
            <w:pPr>
              <w:adjustRightInd w:val="0"/>
              <w:spacing w:line="400" w:lineRule="exact"/>
              <w:ind w:left="-105" w:leftChars="-50" w:right="-105" w:rightChars="-50"/>
              <w:jc w:val="center"/>
              <w:textAlignment w:val="baseline"/>
              <w:rPr>
                <w:b/>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774D9ECE">
            <w:pPr>
              <w:spacing w:line="360" w:lineRule="auto"/>
              <w:jc w:val="center"/>
              <w:rPr>
                <w:color w:val="auto"/>
                <w:szCs w:val="21"/>
                <w:highlight w:val="none"/>
              </w:rPr>
            </w:pPr>
            <w:r>
              <w:rPr>
                <w:rFonts w:hint="eastAsia"/>
                <w:color w:val="auto"/>
                <w:szCs w:val="21"/>
                <w:highlight w:val="none"/>
              </w:rPr>
              <w:t>2.3</w:t>
            </w:r>
            <w:r>
              <w:rPr>
                <w:rFonts w:hint="eastAsia" w:ascii="宋体" w:hAnsi="宋体" w:cs="宋体"/>
                <w:b w:val="0"/>
                <w:bCs/>
                <w:color w:val="auto"/>
                <w:szCs w:val="21"/>
                <w:highlight w:val="none"/>
              </w:rPr>
              <w:t>售后服务方案分</w:t>
            </w:r>
            <w:r>
              <w:rPr>
                <w:rFonts w:hint="eastAsia" w:ascii="宋体" w:hAnsi="宋体" w:cs="宋体"/>
                <w:color w:val="auto"/>
                <w:szCs w:val="21"/>
                <w:highlight w:val="none"/>
              </w:rPr>
              <w:t>（满分</w:t>
            </w:r>
            <w:r>
              <w:rPr>
                <w:rFonts w:hint="eastAsia" w:ascii="宋体" w:hAnsi="宋体" w:cs="宋体"/>
                <w:color w:val="auto"/>
                <w:szCs w:val="21"/>
                <w:highlight w:val="none"/>
                <w:lang w:val="en-US" w:eastAsia="zh-CN"/>
              </w:rPr>
              <w:t>15</w:t>
            </w:r>
            <w:r>
              <w:rPr>
                <w:rFonts w:hint="eastAsia" w:ascii="宋体" w:hAnsi="宋体" w:cs="宋体"/>
                <w:color w:val="auto"/>
                <w:szCs w:val="21"/>
                <w:highlight w:val="none"/>
              </w:rPr>
              <w:t>分）</w:t>
            </w:r>
          </w:p>
        </w:tc>
        <w:tc>
          <w:tcPr>
            <w:tcW w:w="6896" w:type="dxa"/>
            <w:tcBorders>
              <w:top w:val="single" w:color="auto" w:sz="4" w:space="0"/>
              <w:left w:val="single" w:color="auto" w:sz="4" w:space="0"/>
              <w:bottom w:val="single" w:color="auto" w:sz="4" w:space="0"/>
              <w:right w:val="single" w:color="auto" w:sz="4" w:space="0"/>
            </w:tcBorders>
            <w:vAlign w:val="center"/>
          </w:tcPr>
          <w:p w14:paraId="5AF7AF3E">
            <w:pPr>
              <w:snapToGrid w:val="0"/>
              <w:spacing w:line="380" w:lineRule="exact"/>
              <w:ind w:firstLine="420" w:firstLineChars="20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不提供相关方案的不得分。</w:t>
            </w:r>
          </w:p>
          <w:p w14:paraId="0BA35B84">
            <w:pPr>
              <w:snapToGrid w:val="0"/>
              <w:spacing w:line="380" w:lineRule="exact"/>
              <w:ind w:firstLine="420" w:firstLineChars="200"/>
              <w:rPr>
                <w:rFonts w:hint="eastAsia" w:ascii="宋体" w:hAnsi="宋体"/>
                <w:color w:val="auto"/>
                <w:highlight w:val="none"/>
              </w:rPr>
            </w:pPr>
            <w:r>
              <w:rPr>
                <w:rFonts w:hint="eastAsia" w:ascii="宋体" w:hAnsi="宋体"/>
                <w:color w:val="auto"/>
                <w:highlight w:val="none"/>
              </w:rPr>
              <w:t>一档（</w:t>
            </w:r>
            <w:r>
              <w:rPr>
                <w:rFonts w:hint="eastAsia" w:ascii="宋体" w:hAnsi="宋体"/>
                <w:color w:val="auto"/>
                <w:highlight w:val="none"/>
                <w:lang w:val="en-US" w:eastAsia="zh-CN"/>
              </w:rPr>
              <w:t>5</w:t>
            </w:r>
            <w:r>
              <w:rPr>
                <w:rFonts w:hint="eastAsia" w:ascii="宋体" w:hAnsi="宋体"/>
                <w:color w:val="auto"/>
                <w:highlight w:val="none"/>
              </w:rPr>
              <w:t>分）：提供</w:t>
            </w:r>
            <w:r>
              <w:rPr>
                <w:rFonts w:hint="eastAsia" w:ascii="宋体" w:hAnsi="宋体"/>
                <w:color w:val="auto"/>
                <w:highlight w:val="none"/>
              </w:rPr>
              <w:t>质量保证期</w:t>
            </w:r>
            <w:r>
              <w:rPr>
                <w:rFonts w:hint="eastAsia" w:ascii="宋体" w:hAnsi="宋体"/>
                <w:color w:val="auto"/>
                <w:highlight w:val="none"/>
              </w:rPr>
              <w:t>内售后服务方案，服务方案满足</w:t>
            </w:r>
            <w:r>
              <w:rPr>
                <w:rFonts w:hint="eastAsia" w:ascii="宋体" w:hAnsi="宋体"/>
                <w:color w:val="auto"/>
                <w:highlight w:val="none"/>
                <w:lang w:eastAsia="zh-CN"/>
              </w:rPr>
              <w:t>本项目</w:t>
            </w:r>
            <w:r>
              <w:rPr>
                <w:rFonts w:hint="eastAsia" w:ascii="宋体" w:hAnsi="宋体"/>
                <w:color w:val="auto"/>
                <w:highlight w:val="none"/>
              </w:rPr>
              <w:t>要求，包含售后服务承诺、售后服务内容、故障响应时间。</w:t>
            </w:r>
          </w:p>
          <w:p w14:paraId="255EB766">
            <w:pPr>
              <w:snapToGrid w:val="0"/>
              <w:spacing w:line="380" w:lineRule="exact"/>
              <w:ind w:firstLine="420" w:firstLineChars="200"/>
              <w:rPr>
                <w:rFonts w:hint="eastAsia" w:ascii="宋体" w:hAnsi="宋体"/>
                <w:color w:val="auto"/>
                <w:highlight w:val="none"/>
              </w:rPr>
            </w:pPr>
            <w:r>
              <w:rPr>
                <w:rFonts w:hint="eastAsia" w:ascii="宋体" w:hAnsi="宋体"/>
                <w:color w:val="auto"/>
                <w:highlight w:val="none"/>
              </w:rPr>
              <w:t>二档（</w:t>
            </w:r>
            <w:r>
              <w:rPr>
                <w:rFonts w:hint="eastAsia" w:ascii="宋体" w:hAnsi="宋体"/>
                <w:color w:val="auto"/>
                <w:highlight w:val="none"/>
                <w:lang w:val="en-US" w:eastAsia="zh-CN"/>
              </w:rPr>
              <w:t>10</w:t>
            </w:r>
            <w:r>
              <w:rPr>
                <w:rFonts w:hint="eastAsia" w:ascii="宋体" w:hAnsi="宋体"/>
                <w:color w:val="auto"/>
                <w:highlight w:val="none"/>
              </w:rPr>
              <w:t>分）：在满足一档的基础上，售后服务方案包含售后服务流程、售后保障措施及售后组织架构；针对本项目提供专门的</w:t>
            </w:r>
            <w:r>
              <w:rPr>
                <w:rFonts w:hint="eastAsia" w:ascii="宋体" w:hAnsi="宋体"/>
                <w:color w:val="auto"/>
                <w:highlight w:val="none"/>
                <w:lang w:val="en-US" w:eastAsia="zh-CN"/>
              </w:rPr>
              <w:t>线上</w:t>
            </w:r>
            <w:r>
              <w:rPr>
                <w:rFonts w:hint="eastAsia" w:ascii="宋体" w:hAnsi="宋体"/>
                <w:color w:val="auto"/>
                <w:highlight w:val="none"/>
              </w:rPr>
              <w:t>服务支持，</w:t>
            </w:r>
            <w:r>
              <w:rPr>
                <w:rFonts w:hint="eastAsia" w:ascii="宋体" w:hAnsi="宋体"/>
                <w:color w:val="auto"/>
                <w:highlight w:val="none"/>
                <w:lang w:eastAsia="zh-CN"/>
              </w:rPr>
              <w:t>供应商</w:t>
            </w:r>
            <w:r>
              <w:rPr>
                <w:rFonts w:hint="eastAsia" w:ascii="宋体" w:hAnsi="宋体"/>
                <w:color w:val="auto"/>
                <w:highlight w:val="none"/>
              </w:rPr>
              <w:t>承诺在质保期内提供不少于</w:t>
            </w:r>
            <w:r>
              <w:rPr>
                <w:rFonts w:hint="eastAsia" w:ascii="宋体" w:hAnsi="宋体"/>
                <w:color w:val="auto"/>
                <w:highlight w:val="none"/>
                <w:lang w:val="en-US" w:eastAsia="zh-CN"/>
              </w:rPr>
              <w:t>1</w:t>
            </w:r>
            <w:r>
              <w:rPr>
                <w:rFonts w:hint="eastAsia" w:ascii="宋体" w:hAnsi="宋体"/>
                <w:color w:val="auto"/>
                <w:highlight w:val="none"/>
              </w:rPr>
              <w:t>人的支撑服务。</w:t>
            </w:r>
          </w:p>
          <w:p w14:paraId="1A1517AD">
            <w:pPr>
              <w:snapToGrid w:val="0"/>
              <w:spacing w:line="380" w:lineRule="exact"/>
              <w:ind w:firstLine="420" w:firstLineChars="200"/>
              <w:rPr>
                <w:color w:val="auto"/>
                <w:szCs w:val="21"/>
                <w:highlight w:val="none"/>
                <w:lang w:val="zh-CN"/>
              </w:rPr>
            </w:pPr>
            <w:r>
              <w:rPr>
                <w:rFonts w:hint="eastAsia" w:ascii="宋体" w:hAnsi="宋体"/>
                <w:color w:val="auto"/>
                <w:highlight w:val="none"/>
              </w:rPr>
              <w:t>三档（</w:t>
            </w:r>
            <w:r>
              <w:rPr>
                <w:rFonts w:hint="eastAsia" w:ascii="宋体" w:hAnsi="宋体"/>
                <w:color w:val="auto"/>
                <w:highlight w:val="none"/>
                <w:lang w:val="en-US" w:eastAsia="zh-CN"/>
              </w:rPr>
              <w:t>15</w:t>
            </w:r>
            <w:r>
              <w:rPr>
                <w:rFonts w:hint="eastAsia" w:ascii="宋体" w:hAnsi="宋体"/>
                <w:color w:val="auto"/>
                <w:highlight w:val="none"/>
              </w:rPr>
              <w:t>分）：在满足二档的基础上，提供对采购人的技术培训计划，应包含国产化升级等与本项目相关的关键业务的培训内容；能根据采购人情况提供技术支持服务、定期回访服务；针对本项目提供专门的本地售后服务支持，</w:t>
            </w:r>
            <w:r>
              <w:rPr>
                <w:rFonts w:hint="eastAsia" w:ascii="宋体" w:hAnsi="宋体"/>
                <w:color w:val="auto"/>
                <w:highlight w:val="none"/>
                <w:lang w:eastAsia="zh-CN"/>
              </w:rPr>
              <w:t>供应商</w:t>
            </w:r>
            <w:r>
              <w:rPr>
                <w:rFonts w:hint="eastAsia" w:ascii="宋体" w:hAnsi="宋体"/>
                <w:color w:val="auto"/>
                <w:highlight w:val="none"/>
              </w:rPr>
              <w:t>承诺在质保期内提供不少于</w:t>
            </w:r>
            <w:r>
              <w:rPr>
                <w:rFonts w:hint="eastAsia" w:ascii="宋体" w:hAnsi="宋体"/>
                <w:color w:val="auto"/>
                <w:highlight w:val="none"/>
                <w:lang w:val="en-US" w:eastAsia="zh-CN"/>
              </w:rPr>
              <w:t>1</w:t>
            </w:r>
            <w:r>
              <w:rPr>
                <w:rFonts w:hint="eastAsia" w:ascii="宋体" w:hAnsi="宋体"/>
                <w:color w:val="auto"/>
                <w:highlight w:val="none"/>
              </w:rPr>
              <w:t>人的驻点，</w:t>
            </w:r>
            <w:r>
              <w:rPr>
                <w:rFonts w:hint="eastAsia" w:ascii="宋体" w:hAnsi="宋体" w:eastAsia="宋体" w:cs="宋体"/>
                <w:color w:val="auto"/>
                <w:kern w:val="2"/>
                <w:sz w:val="21"/>
                <w:szCs w:val="21"/>
                <w:highlight w:val="none"/>
                <w:woUserID w:val="1"/>
              </w:rPr>
              <w:t>后台不少于</w:t>
            </w:r>
            <w:r>
              <w:rPr>
                <w:rFonts w:hint="default" w:ascii="宋体" w:hAnsi="宋体" w:eastAsia="宋体" w:cs="宋体"/>
                <w:color w:val="auto"/>
                <w:kern w:val="2"/>
                <w:sz w:val="21"/>
                <w:szCs w:val="21"/>
                <w:highlight w:val="none"/>
                <w:woUserID w:val="1"/>
              </w:rPr>
              <w:t>3</w:t>
            </w:r>
            <w:r>
              <w:rPr>
                <w:rFonts w:hint="eastAsia" w:ascii="宋体" w:hAnsi="宋体" w:eastAsia="宋体" w:cs="宋体"/>
                <w:color w:val="auto"/>
                <w:kern w:val="2"/>
                <w:sz w:val="21"/>
                <w:szCs w:val="21"/>
                <w:highlight w:val="none"/>
                <w:woUserID w:val="1"/>
              </w:rPr>
              <w:t>人的支撑服务</w:t>
            </w:r>
            <w:r>
              <w:rPr>
                <w:rFonts w:hint="default" w:ascii="宋体" w:hAnsi="宋体" w:eastAsia="宋体" w:cs="宋体"/>
                <w:color w:val="auto"/>
                <w:kern w:val="2"/>
                <w:sz w:val="21"/>
                <w:szCs w:val="21"/>
                <w:highlight w:val="none"/>
                <w:woUserID w:val="1"/>
              </w:rPr>
              <w:t>，</w:t>
            </w:r>
            <w:r>
              <w:rPr>
                <w:rFonts w:hint="eastAsia" w:ascii="宋体" w:hAnsi="宋体"/>
                <w:color w:val="auto"/>
                <w:highlight w:val="none"/>
              </w:rPr>
              <w:t>提供</w:t>
            </w:r>
            <w:r>
              <w:rPr>
                <w:rFonts w:hint="eastAsia" w:ascii="宋体" w:hAnsi="宋体"/>
                <w:color w:val="auto"/>
                <w:highlight w:val="none"/>
                <w:lang w:eastAsia="zh-CN"/>
              </w:rPr>
              <w:t>快速的</w:t>
            </w:r>
            <w:r>
              <w:rPr>
                <w:rFonts w:hint="eastAsia" w:ascii="宋体" w:hAnsi="宋体"/>
                <w:color w:val="auto"/>
                <w:highlight w:val="none"/>
              </w:rPr>
              <w:t>售后服务响应。</w:t>
            </w:r>
          </w:p>
        </w:tc>
      </w:tr>
      <w:tr w14:paraId="329D3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7" w:hRule="atLeast"/>
          <w:jc w:val="center"/>
        </w:trPr>
        <w:tc>
          <w:tcPr>
            <w:tcW w:w="525" w:type="dxa"/>
            <w:vMerge w:val="restart"/>
            <w:tcBorders>
              <w:top w:val="single" w:color="auto" w:sz="4" w:space="0"/>
              <w:left w:val="single" w:color="auto" w:sz="4" w:space="0"/>
              <w:right w:val="single" w:color="auto" w:sz="4" w:space="0"/>
            </w:tcBorders>
            <w:vAlign w:val="center"/>
          </w:tcPr>
          <w:p w14:paraId="1E6D6199">
            <w:pPr>
              <w:adjustRightInd w:val="0"/>
              <w:spacing w:line="400" w:lineRule="exact"/>
              <w:jc w:val="center"/>
              <w:textAlignment w:val="baseline"/>
              <w:rPr>
                <w:rFonts w:hint="eastAsia" w:ascii="宋体" w:hAnsi="宋体"/>
                <w:b/>
                <w:color w:val="auto"/>
                <w:szCs w:val="21"/>
                <w:highlight w:val="none"/>
              </w:rPr>
            </w:pPr>
            <w:r>
              <w:rPr>
                <w:rFonts w:hint="eastAsia" w:ascii="宋体" w:hAnsi="宋体"/>
                <w:b/>
                <w:color w:val="auto"/>
                <w:szCs w:val="21"/>
                <w:highlight w:val="none"/>
              </w:rPr>
              <w:t>3</w:t>
            </w:r>
          </w:p>
        </w:tc>
        <w:tc>
          <w:tcPr>
            <w:tcW w:w="895" w:type="dxa"/>
            <w:vMerge w:val="restart"/>
            <w:tcBorders>
              <w:top w:val="single" w:color="auto" w:sz="4" w:space="0"/>
              <w:left w:val="single" w:color="auto" w:sz="4" w:space="0"/>
              <w:right w:val="single" w:color="auto" w:sz="4" w:space="0"/>
            </w:tcBorders>
            <w:vAlign w:val="center"/>
          </w:tcPr>
          <w:p w14:paraId="7BB9AB0B">
            <w:pPr>
              <w:spacing w:line="400" w:lineRule="exact"/>
              <w:jc w:val="center"/>
              <w:rPr>
                <w:rFonts w:hint="eastAsia" w:ascii="宋体" w:hAnsi="宋体"/>
                <w:b/>
                <w:bCs/>
                <w:color w:val="auto"/>
                <w:szCs w:val="21"/>
                <w:highlight w:val="none"/>
              </w:rPr>
            </w:pPr>
            <w:r>
              <w:rPr>
                <w:rFonts w:hint="eastAsia" w:ascii="宋体" w:hAnsi="宋体"/>
                <w:b/>
                <w:bCs/>
                <w:color w:val="auto"/>
                <w:szCs w:val="21"/>
                <w:highlight w:val="none"/>
              </w:rPr>
              <w:t>商务分</w:t>
            </w:r>
          </w:p>
          <w:p w14:paraId="67B6F8AF">
            <w:pPr>
              <w:spacing w:line="400" w:lineRule="exact"/>
              <w:jc w:val="center"/>
              <w:rPr>
                <w:rFonts w:hint="eastAsia" w:ascii="宋体" w:hAnsi="宋体"/>
                <w:b/>
                <w:bCs/>
                <w:color w:val="auto"/>
                <w:szCs w:val="21"/>
                <w:highlight w:val="none"/>
              </w:rPr>
            </w:pPr>
            <w:r>
              <w:rPr>
                <w:rFonts w:hint="eastAsia" w:ascii="宋体" w:hAnsi="宋体"/>
                <w:b/>
                <w:bCs/>
                <w:color w:val="auto"/>
                <w:szCs w:val="21"/>
                <w:highlight w:val="none"/>
              </w:rPr>
              <w:t>（</w:t>
            </w:r>
            <w:r>
              <w:rPr>
                <w:rFonts w:hint="eastAsia" w:ascii="宋体" w:hAnsi="宋体"/>
                <w:b/>
                <w:color w:val="auto"/>
                <w:szCs w:val="21"/>
                <w:highlight w:val="none"/>
              </w:rPr>
              <w:t>满分</w:t>
            </w:r>
            <w:r>
              <w:rPr>
                <w:rFonts w:hint="eastAsia" w:ascii="宋体" w:hAnsi="宋体"/>
                <w:b/>
                <w:bCs/>
                <w:color w:val="auto"/>
                <w:szCs w:val="21"/>
                <w:highlight w:val="none"/>
                <w:lang w:val="en-US" w:eastAsia="zh-CN"/>
              </w:rPr>
              <w:t>45</w:t>
            </w:r>
            <w:r>
              <w:rPr>
                <w:rFonts w:hint="eastAsia" w:ascii="宋体" w:hAnsi="宋体"/>
                <w:b/>
                <w:bCs/>
                <w:color w:val="auto"/>
                <w:szCs w:val="21"/>
                <w:highlight w:val="none"/>
              </w:rPr>
              <w:t>分）</w:t>
            </w:r>
          </w:p>
        </w:tc>
        <w:tc>
          <w:tcPr>
            <w:tcW w:w="1134" w:type="dxa"/>
            <w:tcBorders>
              <w:top w:val="single" w:color="auto" w:sz="4" w:space="0"/>
              <w:left w:val="single" w:color="auto" w:sz="4" w:space="0"/>
              <w:right w:val="single" w:color="auto" w:sz="4" w:space="0"/>
            </w:tcBorders>
            <w:vAlign w:val="center"/>
          </w:tcPr>
          <w:p w14:paraId="2F49BFD6">
            <w:pPr>
              <w:spacing w:line="360" w:lineRule="auto"/>
              <w:jc w:val="center"/>
              <w:rPr>
                <w:rFonts w:hint="eastAsia" w:ascii="宋体" w:hAnsi="宋体" w:cs="宋体"/>
                <w:color w:val="auto"/>
                <w:szCs w:val="21"/>
                <w:highlight w:val="none"/>
              </w:rPr>
            </w:pPr>
            <w:r>
              <w:rPr>
                <w:rFonts w:hint="eastAsia"/>
                <w:color w:val="auto"/>
                <w:szCs w:val="21"/>
                <w:highlight w:val="none"/>
              </w:rPr>
              <w:t>2.</w:t>
            </w:r>
            <w:r>
              <w:rPr>
                <w:rFonts w:hint="default"/>
                <w:color w:val="auto"/>
                <w:szCs w:val="21"/>
                <w:highlight w:val="none"/>
                <w:woUserID w:val="1"/>
              </w:rPr>
              <w:t>4</w:t>
            </w:r>
            <w:r>
              <w:rPr>
                <w:rFonts w:hint="eastAsia"/>
                <w:color w:val="auto"/>
                <w:szCs w:val="21"/>
                <w:highlight w:val="none"/>
              </w:rPr>
              <w:t>拟投入本项目人员情况</w:t>
            </w:r>
            <w:r>
              <w:rPr>
                <w:rFonts w:hint="eastAsia" w:ascii="宋体" w:hAnsi="宋体" w:cs="宋体"/>
                <w:color w:val="auto"/>
                <w:szCs w:val="21"/>
                <w:highlight w:val="none"/>
              </w:rPr>
              <w:t>（满分</w:t>
            </w:r>
            <w:r>
              <w:rPr>
                <w:rFonts w:hint="eastAsia" w:ascii="宋体" w:hAnsi="宋体" w:cs="宋体"/>
                <w:color w:val="auto"/>
                <w:szCs w:val="21"/>
                <w:highlight w:val="none"/>
                <w:lang w:val="en-US" w:eastAsia="zh-CN"/>
              </w:rPr>
              <w:t>27</w:t>
            </w:r>
            <w:r>
              <w:rPr>
                <w:rFonts w:hint="eastAsia" w:ascii="宋体" w:hAnsi="宋体" w:cs="宋体"/>
                <w:color w:val="auto"/>
                <w:szCs w:val="21"/>
                <w:highlight w:val="none"/>
              </w:rPr>
              <w:t>分）</w:t>
            </w:r>
          </w:p>
        </w:tc>
        <w:tc>
          <w:tcPr>
            <w:tcW w:w="6896" w:type="dxa"/>
            <w:tcBorders>
              <w:top w:val="single" w:color="auto" w:sz="4" w:space="0"/>
              <w:left w:val="single" w:color="auto" w:sz="4" w:space="0"/>
              <w:right w:val="single" w:color="auto" w:sz="4" w:space="0"/>
            </w:tcBorders>
            <w:vAlign w:val="center"/>
          </w:tcPr>
          <w:p w14:paraId="55EC775A">
            <w:pPr>
              <w:pageBreakBefore w:val="0"/>
              <w:widowControl/>
              <w:kinsoku/>
              <w:wordWrap/>
              <w:overflowPunct/>
              <w:topLinePunct w:val="0"/>
              <w:autoSpaceDE/>
              <w:autoSpaceDN/>
              <w:bidi w:val="0"/>
              <w:adjustRightInd/>
              <w:snapToGrid/>
              <w:spacing w:line="360" w:lineRule="auto"/>
              <w:ind w:right="267" w:rightChars="127" w:firstLine="0" w:firstLineChars="0"/>
              <w:textAlignment w:val="auto"/>
              <w:rPr>
                <w:rFonts w:hint="eastAsia" w:ascii="宋体" w:hAnsi="宋体" w:cs="宋体"/>
                <w:b/>
                <w:bCs/>
                <w:color w:val="auto"/>
                <w:highlight w:val="none"/>
              </w:rPr>
            </w:pPr>
            <w:r>
              <w:rPr>
                <w:rFonts w:hint="eastAsia"/>
                <w:lang w:val="en-US" w:eastAsia="zh-CN"/>
              </w:rPr>
              <w:t xml:space="preserve">   </w:t>
            </w:r>
            <w:r>
              <w:rPr>
                <w:rFonts w:hint="eastAsia" w:ascii="宋体" w:hAnsi="宋体" w:cs="宋体"/>
                <w:b/>
                <w:bCs/>
                <w:color w:val="auto"/>
                <w:highlight w:val="none"/>
              </w:rPr>
              <w:t>（1）项目负责人：</w:t>
            </w:r>
          </w:p>
          <w:p w14:paraId="717738E9">
            <w:pPr>
              <w:pageBreakBefore w:val="0"/>
              <w:widowControl/>
              <w:kinsoku/>
              <w:wordWrap/>
              <w:overflowPunct/>
              <w:topLinePunct w:val="0"/>
              <w:autoSpaceDE/>
              <w:autoSpaceDN/>
              <w:bidi w:val="0"/>
              <w:adjustRightInd w:val="0"/>
              <w:snapToGrid w:val="0"/>
              <w:spacing w:line="360" w:lineRule="auto"/>
              <w:ind w:firstLine="378" w:firstLineChars="180"/>
              <w:textAlignment w:val="auto"/>
              <w:rPr>
                <w:rFonts w:hint="eastAsia" w:ascii="宋体" w:hAnsi="宋体" w:cs="宋体"/>
                <w:color w:val="auto"/>
                <w:highlight w:val="none"/>
              </w:rPr>
            </w:pPr>
            <w:r>
              <w:rPr>
                <w:rFonts w:hint="eastAsia" w:ascii="宋体" w:hAnsi="宋体" w:cs="宋体"/>
                <w:color w:val="auto"/>
                <w:highlight w:val="none"/>
              </w:rPr>
              <w:t>①项目负责人</w:t>
            </w:r>
            <w:r>
              <w:rPr>
                <w:rFonts w:hint="eastAsia" w:ascii="宋体" w:hAnsi="宋体" w:eastAsia="宋体" w:cs="Times New Roman"/>
                <w:iCs/>
                <w:color w:val="auto"/>
                <w:szCs w:val="21"/>
                <w:highlight w:val="none"/>
                <w:lang w:eastAsia="zh-CN"/>
              </w:rPr>
              <w:t>具有经人力资源和社会保障部门备案的职称评审机构颁发的计算机类</w:t>
            </w:r>
            <w:r>
              <w:rPr>
                <w:rFonts w:hint="eastAsia" w:ascii="宋体" w:hAnsi="宋体" w:cs="Times New Roman"/>
                <w:iCs/>
                <w:color w:val="auto"/>
                <w:szCs w:val="21"/>
                <w:highlight w:val="none"/>
                <w:lang w:eastAsia="zh-CN"/>
              </w:rPr>
              <w:t>或</w:t>
            </w:r>
            <w:r>
              <w:rPr>
                <w:rFonts w:hint="eastAsia" w:ascii="宋体" w:hAnsi="宋体" w:eastAsia="宋体" w:cs="Times New Roman"/>
                <w:iCs/>
                <w:color w:val="auto"/>
                <w:szCs w:val="21"/>
                <w:highlight w:val="none"/>
                <w:lang w:eastAsia="zh-CN"/>
              </w:rPr>
              <w:t>信息通信类相关专业高级</w:t>
            </w:r>
            <w:r>
              <w:rPr>
                <w:rFonts w:hint="eastAsia" w:ascii="宋体" w:hAnsi="宋体" w:cs="宋体"/>
                <w:color w:val="auto"/>
                <w:highlight w:val="none"/>
              </w:rPr>
              <w:t>或以上</w:t>
            </w:r>
            <w:r>
              <w:rPr>
                <w:rFonts w:hint="eastAsia" w:ascii="宋体" w:hAnsi="宋体" w:eastAsia="宋体" w:cs="Times New Roman"/>
                <w:iCs/>
                <w:color w:val="auto"/>
                <w:szCs w:val="21"/>
                <w:highlight w:val="none"/>
                <w:lang w:eastAsia="zh-CN"/>
              </w:rPr>
              <w:t>技术职称证书</w:t>
            </w:r>
            <w:r>
              <w:rPr>
                <w:rFonts w:hint="eastAsia" w:ascii="宋体" w:hAnsi="宋体" w:cs="宋体"/>
                <w:color w:val="auto"/>
                <w:highlight w:val="none"/>
              </w:rPr>
              <w:t>得</w:t>
            </w:r>
            <w:r>
              <w:rPr>
                <w:rFonts w:hint="eastAsia" w:ascii="宋体" w:hAnsi="宋体" w:cs="宋体"/>
                <w:color w:val="auto"/>
                <w:highlight w:val="none"/>
                <w:lang w:val="en-US" w:eastAsia="zh-CN"/>
              </w:rPr>
              <w:t>3</w:t>
            </w:r>
            <w:r>
              <w:rPr>
                <w:rFonts w:hint="eastAsia" w:ascii="宋体" w:hAnsi="宋体" w:cs="宋体"/>
                <w:color w:val="auto"/>
                <w:highlight w:val="none"/>
              </w:rPr>
              <w:t>分；</w:t>
            </w:r>
          </w:p>
          <w:p w14:paraId="529FF90A">
            <w:pPr>
              <w:pageBreakBefore w:val="0"/>
              <w:widowControl/>
              <w:kinsoku/>
              <w:wordWrap/>
              <w:overflowPunct/>
              <w:topLinePunct w:val="0"/>
              <w:autoSpaceDE/>
              <w:autoSpaceDN/>
              <w:bidi w:val="0"/>
              <w:adjustRightInd w:val="0"/>
              <w:snapToGrid w:val="0"/>
              <w:spacing w:line="360" w:lineRule="auto"/>
              <w:ind w:firstLine="378" w:firstLineChars="180"/>
              <w:textAlignment w:val="auto"/>
              <w:rPr>
                <w:rFonts w:hint="eastAsia" w:ascii="宋体" w:hAnsi="宋体" w:cs="宋体"/>
                <w:color w:val="auto"/>
                <w:highlight w:val="none"/>
              </w:rPr>
            </w:pPr>
            <w:r>
              <w:rPr>
                <w:rFonts w:hint="eastAsia" w:ascii="宋体" w:hAnsi="宋体" w:cs="宋体"/>
                <w:color w:val="auto"/>
                <w:highlight w:val="none"/>
              </w:rPr>
              <w:t>②项目负责人</w:t>
            </w:r>
            <w:r>
              <w:rPr>
                <w:rFonts w:hint="eastAsia" w:ascii="宋体" w:hAnsi="宋体" w:eastAsia="宋体" w:cs="Times New Roman"/>
                <w:iCs/>
                <w:color w:val="auto"/>
                <w:szCs w:val="21"/>
                <w:highlight w:val="none"/>
                <w:lang w:eastAsia="zh-CN"/>
              </w:rPr>
              <w:t>具有人力资源和社会保障部门、工业和信息化部联合颁发（加盖双方用印）的</w:t>
            </w:r>
            <w:r>
              <w:rPr>
                <w:rFonts w:hint="eastAsia" w:ascii="宋体" w:hAnsi="宋体" w:cs="宋体"/>
                <w:color w:val="auto"/>
                <w:highlight w:val="none"/>
              </w:rPr>
              <w:t>信息系统项目管理师</w:t>
            </w:r>
            <w:r>
              <w:rPr>
                <w:rFonts w:hint="eastAsia" w:ascii="宋体" w:hAnsi="宋体" w:cs="宋体"/>
                <w:color w:val="auto"/>
                <w:highlight w:val="none"/>
                <w:lang w:eastAsia="zh-CN"/>
              </w:rPr>
              <w:t>，</w:t>
            </w:r>
            <w:r>
              <w:rPr>
                <w:rFonts w:hint="eastAsia" w:ascii="宋体" w:hAnsi="宋体" w:cs="宋体"/>
                <w:color w:val="auto"/>
                <w:highlight w:val="none"/>
              </w:rPr>
              <w:t>得</w:t>
            </w:r>
            <w:r>
              <w:rPr>
                <w:rFonts w:hint="eastAsia"/>
                <w:color w:val="auto"/>
                <w:highlight w:val="none"/>
                <w:lang w:val="en-US" w:eastAsia="zh-CN"/>
              </w:rPr>
              <w:t>3</w:t>
            </w:r>
            <w:r>
              <w:rPr>
                <w:rFonts w:hint="eastAsia" w:ascii="宋体" w:hAnsi="宋体" w:cs="宋体"/>
                <w:color w:val="auto"/>
                <w:highlight w:val="none"/>
              </w:rPr>
              <w:t>分。</w:t>
            </w:r>
          </w:p>
          <w:p w14:paraId="5051EBFA">
            <w:pPr>
              <w:pStyle w:val="2"/>
              <w:ind w:firstLine="420" w:firstLineChars="200"/>
              <w:rPr>
                <w:rFonts w:hint="default" w:eastAsia="宋体"/>
                <w:color w:val="auto"/>
                <w:highlight w:val="none"/>
                <w:lang w:val="en-US" w:eastAsia="zh-CN"/>
              </w:rPr>
            </w:pPr>
            <w:r>
              <w:rPr>
                <w:rFonts w:hint="eastAsia"/>
                <w:color w:val="auto"/>
                <w:highlight w:val="none"/>
                <w:lang w:eastAsia="zh-CN"/>
              </w:rPr>
              <w:t>本项满分</w:t>
            </w:r>
            <w:r>
              <w:rPr>
                <w:rFonts w:hint="eastAsia"/>
                <w:color w:val="auto"/>
                <w:highlight w:val="none"/>
                <w:lang w:val="en-US" w:eastAsia="zh-CN"/>
              </w:rPr>
              <w:t>6分。</w:t>
            </w:r>
          </w:p>
          <w:p w14:paraId="6BEE5935">
            <w:pPr>
              <w:pageBreakBefore w:val="0"/>
              <w:widowControl/>
              <w:kinsoku/>
              <w:wordWrap/>
              <w:overflowPunct/>
              <w:topLinePunct w:val="0"/>
              <w:autoSpaceDE/>
              <w:autoSpaceDN/>
              <w:bidi w:val="0"/>
              <w:adjustRightInd w:val="0"/>
              <w:snapToGrid w:val="0"/>
              <w:spacing w:line="360" w:lineRule="auto"/>
              <w:ind w:firstLine="379" w:firstLineChars="180"/>
              <w:textAlignment w:val="auto"/>
              <w:rPr>
                <w:rFonts w:hint="eastAsia" w:ascii="宋体" w:hAnsi="宋体" w:cs="宋体"/>
                <w:b/>
                <w:bCs/>
                <w:color w:val="auto"/>
                <w:highlight w:val="none"/>
              </w:rPr>
            </w:pPr>
            <w:r>
              <w:rPr>
                <w:rFonts w:hint="eastAsia" w:ascii="宋体" w:hAnsi="宋体" w:cs="宋体"/>
                <w:b/>
                <w:bCs/>
                <w:color w:val="auto"/>
                <w:highlight w:val="none"/>
              </w:rPr>
              <w:t>（2）技术负责人：</w:t>
            </w:r>
          </w:p>
          <w:p w14:paraId="145FB9E0">
            <w:pPr>
              <w:pageBreakBefore w:val="0"/>
              <w:widowControl/>
              <w:kinsoku/>
              <w:wordWrap/>
              <w:overflowPunct/>
              <w:topLinePunct w:val="0"/>
              <w:autoSpaceDE/>
              <w:autoSpaceDN/>
              <w:bidi w:val="0"/>
              <w:adjustRightInd w:val="0"/>
              <w:snapToGrid w:val="0"/>
              <w:spacing w:line="360" w:lineRule="auto"/>
              <w:ind w:firstLine="378" w:firstLineChars="180"/>
              <w:textAlignment w:val="auto"/>
              <w:rPr>
                <w:rFonts w:hint="eastAsia" w:ascii="宋体" w:hAnsi="宋体" w:cs="宋体"/>
                <w:color w:val="auto"/>
                <w:highlight w:val="none"/>
              </w:rPr>
            </w:pPr>
            <w:r>
              <w:rPr>
                <w:rFonts w:hint="eastAsia" w:ascii="宋体" w:hAnsi="宋体" w:cs="宋体"/>
                <w:color w:val="auto"/>
                <w:highlight w:val="none"/>
              </w:rPr>
              <w:t>①技术负责人</w:t>
            </w:r>
            <w:r>
              <w:rPr>
                <w:rFonts w:hint="eastAsia" w:ascii="宋体" w:hAnsi="宋体" w:eastAsia="宋体" w:cs="Times New Roman"/>
                <w:iCs/>
                <w:color w:val="auto"/>
                <w:szCs w:val="21"/>
                <w:highlight w:val="none"/>
                <w:lang w:eastAsia="zh-CN"/>
              </w:rPr>
              <w:t>具有经人力资源和社会保障部门备案的职称评审机构颁发的计算机类</w:t>
            </w:r>
            <w:r>
              <w:rPr>
                <w:rFonts w:hint="eastAsia" w:ascii="宋体" w:hAnsi="宋体" w:cs="Times New Roman"/>
                <w:iCs/>
                <w:color w:val="auto"/>
                <w:szCs w:val="21"/>
                <w:highlight w:val="none"/>
                <w:lang w:eastAsia="zh-CN"/>
              </w:rPr>
              <w:t>或</w:t>
            </w:r>
            <w:r>
              <w:rPr>
                <w:rFonts w:hint="eastAsia" w:ascii="宋体" w:hAnsi="宋体" w:eastAsia="宋体" w:cs="Times New Roman"/>
                <w:iCs/>
                <w:color w:val="auto"/>
                <w:szCs w:val="21"/>
                <w:highlight w:val="none"/>
                <w:lang w:eastAsia="zh-CN"/>
              </w:rPr>
              <w:t>信息通信类相关专业高级</w:t>
            </w:r>
            <w:r>
              <w:rPr>
                <w:rFonts w:hint="eastAsia" w:ascii="宋体" w:hAnsi="宋体" w:cs="宋体"/>
                <w:color w:val="auto"/>
                <w:highlight w:val="none"/>
              </w:rPr>
              <w:t>或以上</w:t>
            </w:r>
            <w:r>
              <w:rPr>
                <w:rFonts w:hint="eastAsia" w:ascii="宋体" w:hAnsi="宋体" w:eastAsia="宋体" w:cs="Times New Roman"/>
                <w:iCs/>
                <w:color w:val="auto"/>
                <w:szCs w:val="21"/>
                <w:highlight w:val="none"/>
                <w:lang w:eastAsia="zh-CN"/>
              </w:rPr>
              <w:t>技术职称证书</w:t>
            </w:r>
            <w:r>
              <w:rPr>
                <w:rFonts w:hint="eastAsia" w:ascii="宋体" w:hAnsi="宋体" w:cs="宋体"/>
                <w:color w:val="auto"/>
                <w:highlight w:val="none"/>
              </w:rPr>
              <w:t>得</w:t>
            </w:r>
            <w:r>
              <w:rPr>
                <w:rFonts w:hint="eastAsia" w:ascii="宋体" w:hAnsi="宋体" w:cs="宋体"/>
                <w:color w:val="auto"/>
                <w:highlight w:val="none"/>
                <w:lang w:val="en-US" w:eastAsia="zh-CN"/>
              </w:rPr>
              <w:t>3</w:t>
            </w:r>
            <w:r>
              <w:rPr>
                <w:rFonts w:hint="eastAsia" w:ascii="宋体" w:hAnsi="宋体" w:cs="宋体"/>
                <w:color w:val="auto"/>
                <w:highlight w:val="none"/>
              </w:rPr>
              <w:t>分；</w:t>
            </w:r>
          </w:p>
          <w:p w14:paraId="66A208EE">
            <w:pPr>
              <w:spacing w:line="360" w:lineRule="auto"/>
              <w:ind w:right="267" w:rightChars="127" w:firstLine="420" w:firstLineChars="200"/>
              <w:rPr>
                <w:rFonts w:hint="eastAsia" w:ascii="宋体" w:hAnsi="宋体" w:cs="宋体"/>
                <w:color w:val="auto"/>
                <w:highlight w:val="none"/>
              </w:rPr>
            </w:pPr>
            <w:r>
              <w:rPr>
                <w:rFonts w:hint="eastAsia" w:ascii="宋体" w:hAnsi="宋体" w:cs="宋体"/>
                <w:color w:val="auto"/>
                <w:highlight w:val="none"/>
              </w:rPr>
              <w:t>②技术负责人</w:t>
            </w:r>
            <w:r>
              <w:rPr>
                <w:rFonts w:hint="eastAsia" w:ascii="宋体" w:hAnsi="宋体" w:eastAsia="宋体" w:cs="Times New Roman"/>
                <w:iCs/>
                <w:color w:val="auto"/>
                <w:szCs w:val="21"/>
                <w:highlight w:val="none"/>
                <w:lang w:eastAsia="zh-CN"/>
              </w:rPr>
              <w:t>具有人力资源和社会保障部门、工业和信息化部联合颁发（加盖双方用印）的</w:t>
            </w:r>
            <w:r>
              <w:rPr>
                <w:rFonts w:hint="eastAsia" w:ascii="宋体" w:hAnsi="宋体" w:cs="宋体"/>
                <w:color w:val="auto"/>
                <w:highlight w:val="none"/>
              </w:rPr>
              <w:t>系统架构设计师</w:t>
            </w:r>
            <w:r>
              <w:rPr>
                <w:rFonts w:hint="eastAsia" w:ascii="宋体" w:hAnsi="宋体" w:cs="宋体"/>
                <w:color w:val="auto"/>
                <w:highlight w:val="none"/>
                <w:lang w:val="en-US" w:eastAsia="zh-CN"/>
              </w:rPr>
              <w:t>，</w:t>
            </w:r>
            <w:r>
              <w:rPr>
                <w:rFonts w:hint="eastAsia" w:ascii="宋体" w:hAnsi="宋体" w:cs="宋体"/>
                <w:color w:val="auto"/>
                <w:highlight w:val="none"/>
              </w:rPr>
              <w:t>得</w:t>
            </w:r>
            <w:r>
              <w:rPr>
                <w:rFonts w:hint="eastAsia" w:ascii="宋体" w:hAnsi="宋体" w:cs="宋体"/>
                <w:color w:val="auto"/>
                <w:highlight w:val="none"/>
                <w:lang w:val="en-US" w:eastAsia="zh-CN"/>
              </w:rPr>
              <w:t>3</w:t>
            </w:r>
            <w:r>
              <w:rPr>
                <w:rFonts w:hint="eastAsia" w:ascii="宋体" w:hAnsi="宋体" w:cs="宋体"/>
                <w:color w:val="auto"/>
                <w:highlight w:val="none"/>
              </w:rPr>
              <w:t>分。</w:t>
            </w:r>
          </w:p>
          <w:p w14:paraId="573EBBEF">
            <w:pPr>
              <w:pStyle w:val="2"/>
              <w:ind w:firstLine="420" w:firstLineChars="200"/>
              <w:rPr>
                <w:rFonts w:hint="eastAsia"/>
                <w:color w:val="auto"/>
                <w:highlight w:val="none"/>
              </w:rPr>
            </w:pPr>
            <w:r>
              <w:rPr>
                <w:rFonts w:hint="eastAsia"/>
                <w:color w:val="auto"/>
                <w:highlight w:val="none"/>
                <w:lang w:eastAsia="zh-CN"/>
              </w:rPr>
              <w:t>本项满分</w:t>
            </w:r>
            <w:r>
              <w:rPr>
                <w:rFonts w:hint="eastAsia"/>
                <w:color w:val="auto"/>
                <w:highlight w:val="none"/>
                <w:lang w:val="en-US" w:eastAsia="zh-CN"/>
              </w:rPr>
              <w:t>6分。</w:t>
            </w:r>
          </w:p>
          <w:p w14:paraId="6306B5E5">
            <w:pPr>
              <w:spacing w:line="360" w:lineRule="auto"/>
              <w:ind w:right="267" w:rightChars="127" w:firstLine="420" w:firstLineChars="200"/>
              <w:rPr>
                <w:rFonts w:hint="eastAsia" w:ascii="宋体" w:hAnsi="宋体" w:cs="宋体"/>
                <w:color w:val="auto"/>
                <w:highlight w:val="none"/>
                <w:lang w:val="en-US" w:eastAsia="zh-CN"/>
              </w:rPr>
            </w:pPr>
            <w:r>
              <w:rPr>
                <w:rFonts w:hint="eastAsia" w:ascii="宋体" w:hAnsi="宋体" w:cs="宋体"/>
                <w:color w:val="auto"/>
                <w:highlight w:val="none"/>
                <w:lang w:val="en-US" w:eastAsia="zh-CN"/>
              </w:rPr>
              <w:t>（3）</w:t>
            </w:r>
            <w:r>
              <w:rPr>
                <w:rFonts w:hint="eastAsia" w:ascii="宋体" w:hAnsi="宋体" w:cs="宋体"/>
                <w:b/>
                <w:bCs/>
                <w:color w:val="auto"/>
                <w:highlight w:val="none"/>
              </w:rPr>
              <w:t>项目实施成员（除项目负责人、技术负责人外）</w:t>
            </w:r>
            <w:r>
              <w:rPr>
                <w:rFonts w:hint="eastAsia" w:ascii="宋体" w:hAnsi="宋体" w:cs="宋体"/>
                <w:b/>
                <w:bCs/>
                <w:color w:val="auto"/>
                <w:highlight w:val="none"/>
                <w:lang w:eastAsia="zh-CN"/>
              </w:rPr>
              <w:t>：</w:t>
            </w:r>
          </w:p>
          <w:p w14:paraId="0FAF17CB">
            <w:pPr>
              <w:spacing w:line="360" w:lineRule="auto"/>
              <w:ind w:right="267" w:rightChars="127" w:firstLine="420" w:firstLineChars="200"/>
              <w:rPr>
                <w:rFonts w:hint="eastAsia" w:ascii="宋体" w:hAnsi="宋体" w:cs="宋体"/>
                <w:color w:val="auto"/>
                <w:highlight w:val="none"/>
              </w:rPr>
            </w:pPr>
            <w:r>
              <w:rPr>
                <w:rFonts w:hint="eastAsia" w:ascii="宋体" w:hAnsi="宋体" w:cs="宋体"/>
                <w:color w:val="auto"/>
                <w:highlight w:val="none"/>
                <w:lang w:val="en-US" w:eastAsia="zh-CN"/>
              </w:rPr>
              <w:t>①</w:t>
            </w:r>
            <w:r>
              <w:rPr>
                <w:rFonts w:hint="eastAsia" w:ascii="宋体" w:hAnsi="宋体" w:eastAsia="宋体" w:cs="Times New Roman"/>
                <w:iCs/>
                <w:color w:val="auto"/>
                <w:szCs w:val="21"/>
                <w:highlight w:val="none"/>
                <w:lang w:eastAsia="zh-CN"/>
              </w:rPr>
              <w:t>具有人力资源和社会保障部门、工业和信息化部联合颁发（加盖双方用印）的</w:t>
            </w:r>
            <w:r>
              <w:rPr>
                <w:rFonts w:hint="eastAsia" w:ascii="宋体" w:hAnsi="宋体" w:cs="宋体"/>
                <w:color w:val="auto"/>
                <w:highlight w:val="none"/>
              </w:rPr>
              <w:t>信息系统项目管理师</w:t>
            </w:r>
            <w:r>
              <w:rPr>
                <w:rFonts w:hint="eastAsia" w:ascii="宋体" w:hAnsi="宋体" w:cs="Times New Roman"/>
                <w:iCs/>
                <w:color w:val="auto"/>
                <w:szCs w:val="21"/>
                <w:highlight w:val="none"/>
                <w:lang w:eastAsia="zh-CN"/>
              </w:rPr>
              <w:t>或</w:t>
            </w:r>
            <w:r>
              <w:rPr>
                <w:rFonts w:hint="eastAsia" w:ascii="宋体" w:hAnsi="宋体" w:cs="宋体"/>
                <w:color w:val="auto"/>
                <w:highlight w:val="none"/>
              </w:rPr>
              <w:t>系统架构设计师</w:t>
            </w:r>
            <w:r>
              <w:rPr>
                <w:rFonts w:hint="eastAsia" w:ascii="宋体" w:hAnsi="宋体" w:cs="宋体"/>
                <w:color w:val="auto"/>
                <w:highlight w:val="none"/>
                <w:lang w:eastAsia="zh-CN"/>
              </w:rPr>
              <w:t>，得</w:t>
            </w:r>
            <w:r>
              <w:rPr>
                <w:rFonts w:hint="eastAsia" w:ascii="宋体" w:hAnsi="宋体" w:cs="宋体"/>
                <w:color w:val="auto"/>
                <w:highlight w:val="none"/>
                <w:lang w:val="en-US" w:eastAsia="zh-CN"/>
              </w:rPr>
              <w:t>3分，本项满分6分。</w:t>
            </w:r>
          </w:p>
          <w:p w14:paraId="37470817">
            <w:pPr>
              <w:spacing w:line="360" w:lineRule="auto"/>
              <w:ind w:right="267" w:rightChars="127" w:firstLine="420" w:firstLineChars="200"/>
              <w:rPr>
                <w:rFonts w:hint="default" w:ascii="宋体" w:hAnsi="宋体" w:cs="宋体"/>
                <w:color w:val="auto"/>
                <w:highlight w:val="none"/>
                <w:lang w:val="en-US" w:eastAsia="zh-CN"/>
              </w:rPr>
            </w:pPr>
            <w:r>
              <w:rPr>
                <w:rFonts w:hint="eastAsia" w:ascii="宋体" w:hAnsi="宋体" w:cs="宋体"/>
                <w:color w:val="auto"/>
                <w:highlight w:val="none"/>
                <w:lang w:val="en-US" w:eastAsia="zh-CN"/>
              </w:rPr>
              <w:t>②每有一人具有人力资源和社会保障部门用印的信息安全工程师证书或中国信息安全测评中心颁发的注册信息安全管理人员（CISO）证书，得3分，本项满分3分。</w:t>
            </w:r>
          </w:p>
          <w:p w14:paraId="6C869FFD">
            <w:pPr>
              <w:spacing w:line="360" w:lineRule="auto"/>
              <w:ind w:right="267" w:rightChars="127" w:firstLine="420" w:firstLineChars="200"/>
              <w:rPr>
                <w:color w:val="auto"/>
                <w:highlight w:val="none"/>
              </w:rPr>
            </w:pPr>
            <w:r>
              <w:rPr>
                <w:rFonts w:hint="eastAsia" w:ascii="宋体" w:hAnsi="宋体" w:cs="Times New Roman"/>
                <w:iCs/>
                <w:color w:val="auto"/>
                <w:szCs w:val="21"/>
                <w:highlight w:val="none"/>
                <w:lang w:eastAsia="zh-CN"/>
              </w:rPr>
              <w:t>③</w:t>
            </w:r>
            <w:r>
              <w:rPr>
                <w:rFonts w:hint="eastAsia" w:ascii="宋体" w:hAnsi="宋体" w:eastAsia="宋体" w:cs="Times New Roman"/>
                <w:iCs/>
                <w:color w:val="auto"/>
                <w:szCs w:val="21"/>
                <w:highlight w:val="none"/>
                <w:lang w:eastAsia="zh-CN"/>
              </w:rPr>
              <w:t>具有人力资源和社会保障部门、工业和信息化部联合颁发（加盖双方用印）的</w:t>
            </w:r>
            <w:r>
              <w:rPr>
                <w:rFonts w:hint="eastAsia" w:ascii="宋体" w:hAnsi="宋体" w:cs="宋体"/>
                <w:color w:val="auto"/>
                <w:highlight w:val="none"/>
                <w:lang w:val="en-US" w:eastAsia="zh-CN"/>
              </w:rPr>
              <w:t>数据库系统工程师或</w:t>
            </w:r>
            <w:r>
              <w:rPr>
                <w:rFonts w:hint="eastAsia" w:ascii="宋体" w:hAnsi="宋体" w:cs="Times New Roman"/>
                <w:iCs/>
                <w:color w:val="auto"/>
                <w:szCs w:val="21"/>
                <w:highlight w:val="none"/>
                <w:lang w:eastAsia="zh-CN"/>
              </w:rPr>
              <w:t>软件设计师或</w:t>
            </w:r>
            <w:r>
              <w:rPr>
                <w:rFonts w:hint="eastAsia" w:ascii="宋体" w:hAnsi="宋体" w:cs="宋体"/>
                <w:color w:val="auto"/>
                <w:highlight w:val="none"/>
                <w:lang w:val="en-US" w:eastAsia="zh-CN"/>
              </w:rPr>
              <w:t>系统集成项目管理工程师，得1.5分，本项满分6分</w:t>
            </w:r>
          </w:p>
          <w:p w14:paraId="56BE9E2F">
            <w:pPr>
              <w:rPr>
                <w:color w:val="auto"/>
                <w:highlight w:val="none"/>
              </w:rPr>
            </w:pPr>
          </w:p>
          <w:p w14:paraId="47E0D3EA">
            <w:pPr>
              <w:spacing w:line="360" w:lineRule="auto"/>
              <w:rPr>
                <w:rFonts w:hint="eastAsia" w:ascii="宋体" w:hAnsi="宋体" w:eastAsia="宋体" w:cs="宋体"/>
                <w:b/>
                <w:bCs/>
                <w:color w:val="auto"/>
                <w:kern w:val="2"/>
                <w:sz w:val="21"/>
                <w:szCs w:val="21"/>
                <w:highlight w:val="none"/>
                <w:lang w:val="en-US" w:eastAsia="zh-CN" w:bidi="ar-SA"/>
              </w:rPr>
            </w:pPr>
            <w:r>
              <w:rPr>
                <w:rFonts w:hint="eastAsia" w:ascii="宋体" w:hAnsi="宋体" w:cs="宋体"/>
                <w:color w:val="auto"/>
                <w:highlight w:val="none"/>
              </w:rPr>
              <w:t>注：</w:t>
            </w:r>
            <w:r>
              <w:rPr>
                <w:rFonts w:hint="eastAsia" w:ascii="宋体" w:hAnsi="宋体" w:eastAsia="宋体" w:cs="宋体"/>
                <w:b/>
                <w:bCs/>
                <w:color w:val="auto"/>
                <w:kern w:val="2"/>
                <w:sz w:val="21"/>
                <w:szCs w:val="21"/>
                <w:highlight w:val="none"/>
                <w:lang w:val="en-US" w:eastAsia="zh-CN" w:bidi="ar-SA"/>
              </w:rPr>
              <w:t>1、</w:t>
            </w:r>
            <w:r>
              <w:rPr>
                <w:rFonts w:hint="eastAsia" w:ascii="宋体" w:hAnsi="宋体" w:cs="宋体"/>
                <w:b w:val="0"/>
                <w:bCs w:val="0"/>
                <w:color w:val="auto"/>
                <w:kern w:val="2"/>
                <w:sz w:val="21"/>
                <w:szCs w:val="21"/>
                <w:highlight w:val="none"/>
                <w:lang w:val="en-US" w:eastAsia="zh-CN" w:bidi="ar-SA"/>
              </w:rPr>
              <w:t>响应</w:t>
            </w:r>
            <w:r>
              <w:rPr>
                <w:rFonts w:hint="eastAsia" w:ascii="宋体" w:hAnsi="宋体" w:eastAsia="宋体" w:cs="宋体"/>
                <w:b w:val="0"/>
                <w:bCs w:val="0"/>
                <w:color w:val="auto"/>
                <w:kern w:val="2"/>
                <w:sz w:val="21"/>
                <w:szCs w:val="21"/>
                <w:highlight w:val="none"/>
                <w:lang w:val="en-US" w:eastAsia="zh-CN" w:bidi="ar-SA"/>
              </w:rPr>
              <w:t>文件中提供该人员证书复印件，且所列人员须是</w:t>
            </w:r>
            <w:r>
              <w:rPr>
                <w:rFonts w:hint="eastAsia" w:ascii="宋体" w:hAnsi="宋体" w:cs="宋体"/>
                <w:b w:val="0"/>
                <w:bCs w:val="0"/>
                <w:color w:val="auto"/>
                <w:kern w:val="2"/>
                <w:sz w:val="21"/>
                <w:szCs w:val="21"/>
                <w:highlight w:val="none"/>
                <w:lang w:val="en-US" w:eastAsia="zh-CN" w:bidi="ar-SA"/>
              </w:rPr>
              <w:t>供应商</w:t>
            </w:r>
            <w:r>
              <w:rPr>
                <w:rFonts w:hint="eastAsia" w:ascii="宋体" w:hAnsi="宋体" w:eastAsia="宋体" w:cs="宋体"/>
                <w:b w:val="0"/>
                <w:bCs w:val="0"/>
                <w:color w:val="auto"/>
                <w:kern w:val="2"/>
                <w:sz w:val="21"/>
                <w:szCs w:val="21"/>
                <w:highlight w:val="none"/>
                <w:lang w:val="en-US" w:eastAsia="zh-CN" w:bidi="ar-SA"/>
              </w:rPr>
              <w:t>本单位员工（附2025年</w:t>
            </w:r>
            <w:r>
              <w:rPr>
                <w:rFonts w:hint="eastAsia" w:ascii="宋体" w:hAnsi="宋体" w:cs="宋体"/>
                <w:b w:val="0"/>
                <w:bCs w:val="0"/>
                <w:color w:val="auto"/>
                <w:kern w:val="2"/>
                <w:sz w:val="21"/>
                <w:szCs w:val="21"/>
                <w:highlight w:val="none"/>
                <w:lang w:val="en-US" w:eastAsia="zh-CN" w:bidi="ar-SA"/>
              </w:rPr>
              <w:t>10</w:t>
            </w:r>
            <w:r>
              <w:rPr>
                <w:rFonts w:hint="eastAsia" w:ascii="宋体" w:hAnsi="宋体" w:eastAsia="宋体" w:cs="宋体"/>
                <w:b w:val="0"/>
                <w:bCs w:val="0"/>
                <w:color w:val="auto"/>
                <w:kern w:val="2"/>
                <w:sz w:val="21"/>
                <w:szCs w:val="21"/>
                <w:highlight w:val="none"/>
                <w:lang w:val="en-US" w:eastAsia="zh-CN" w:bidi="ar-SA"/>
              </w:rPr>
              <w:t>月至</w:t>
            </w:r>
            <w:r>
              <w:rPr>
                <w:rFonts w:hint="eastAsia" w:ascii="宋体" w:hAnsi="宋体" w:cs="宋体"/>
                <w:b w:val="0"/>
                <w:bCs w:val="0"/>
                <w:color w:val="auto"/>
                <w:kern w:val="2"/>
                <w:sz w:val="21"/>
                <w:szCs w:val="21"/>
                <w:highlight w:val="none"/>
                <w:lang w:val="en-US" w:eastAsia="zh-CN" w:bidi="ar-SA"/>
              </w:rPr>
              <w:t>竞</w:t>
            </w:r>
            <w:r>
              <w:rPr>
                <w:rFonts w:hint="eastAsia" w:ascii="宋体" w:hAnsi="宋体" w:eastAsia="宋体" w:cs="宋体"/>
                <w:b w:val="0"/>
                <w:bCs w:val="0"/>
                <w:color w:val="auto"/>
                <w:kern w:val="2"/>
                <w:sz w:val="21"/>
                <w:szCs w:val="21"/>
                <w:highlight w:val="none"/>
                <w:lang w:val="en-US" w:eastAsia="zh-CN" w:bidi="ar-SA"/>
              </w:rPr>
              <w:t>标截止时间内任意连续</w:t>
            </w:r>
            <w:r>
              <w:rPr>
                <w:rFonts w:hint="eastAsia" w:ascii="宋体" w:hAnsi="宋体" w:cs="宋体"/>
                <w:b w:val="0"/>
                <w:bCs w:val="0"/>
                <w:color w:val="auto"/>
                <w:kern w:val="2"/>
                <w:sz w:val="21"/>
                <w:szCs w:val="21"/>
                <w:highlight w:val="none"/>
                <w:lang w:val="en-US" w:eastAsia="zh-CN" w:bidi="ar-SA"/>
              </w:rPr>
              <w:t>3</w:t>
            </w:r>
            <w:r>
              <w:rPr>
                <w:rFonts w:hint="eastAsia" w:ascii="宋体" w:hAnsi="宋体" w:eastAsia="宋体" w:cs="宋体"/>
                <w:b w:val="0"/>
                <w:bCs w:val="0"/>
                <w:color w:val="auto"/>
                <w:kern w:val="2"/>
                <w:sz w:val="21"/>
                <w:szCs w:val="21"/>
                <w:highlight w:val="none"/>
                <w:lang w:val="en-US" w:eastAsia="zh-CN" w:bidi="ar-SA"/>
              </w:rPr>
              <w:t>个月为其缴纳社保</w:t>
            </w:r>
            <w:r>
              <w:rPr>
                <w:rFonts w:hint="eastAsia" w:ascii="宋体" w:hAnsi="宋体" w:eastAsia="宋体" w:cs="宋体"/>
                <w:i w:val="0"/>
                <w:iCs w:val="0"/>
                <w:caps w:val="0"/>
                <w:color w:val="auto"/>
                <w:spacing w:val="0"/>
                <w:sz w:val="21"/>
                <w:szCs w:val="21"/>
                <w:highlight w:val="none"/>
                <w:shd w:val="clear" w:color="auto" w:fill="FFFFFF"/>
              </w:rPr>
              <w:t>或其他属于本单位职工</w:t>
            </w:r>
            <w:r>
              <w:rPr>
                <w:rFonts w:hint="eastAsia" w:ascii="宋体" w:hAnsi="宋体" w:eastAsia="宋体" w:cs="宋体"/>
                <w:b w:val="0"/>
                <w:bCs w:val="0"/>
                <w:color w:val="auto"/>
                <w:kern w:val="2"/>
                <w:sz w:val="21"/>
                <w:szCs w:val="21"/>
                <w:highlight w:val="none"/>
                <w:lang w:val="en-US" w:eastAsia="zh-CN" w:bidi="ar-SA"/>
              </w:rPr>
              <w:t>的证明材料复印件）。项目实施成员中，一人拥有多种职称、资格证书的，不重复计分</w:t>
            </w:r>
            <w:r>
              <w:rPr>
                <w:rFonts w:hint="eastAsia" w:ascii="宋体" w:hAnsi="宋体" w:cs="宋体"/>
                <w:b w:val="0"/>
                <w:bCs w:val="0"/>
                <w:color w:val="auto"/>
                <w:kern w:val="2"/>
                <w:sz w:val="21"/>
                <w:szCs w:val="21"/>
                <w:highlight w:val="none"/>
                <w:lang w:val="en-US" w:eastAsia="zh-CN" w:bidi="ar-SA"/>
              </w:rPr>
              <w:t>；</w:t>
            </w:r>
          </w:p>
          <w:p w14:paraId="0B03C1C8">
            <w:pPr>
              <w:pStyle w:val="2"/>
              <w:rPr>
                <w:rFonts w:hint="default"/>
                <w:lang w:val="en-US"/>
              </w:rPr>
            </w:pPr>
            <w:r>
              <w:rPr>
                <w:rFonts w:hint="eastAsia" w:ascii="宋体" w:hAnsi="宋体" w:cs="宋体"/>
                <w:b w:val="0"/>
                <w:bCs w:val="0"/>
                <w:color w:val="auto"/>
                <w:kern w:val="2"/>
                <w:sz w:val="21"/>
                <w:szCs w:val="21"/>
                <w:highlight w:val="none"/>
                <w:shd w:val="clear" w:color="auto" w:fill="FFFFFF"/>
                <w:lang w:val="en-US" w:eastAsia="zh-CN" w:bidi="ar-SA"/>
              </w:rPr>
              <w:t>2、计算机类或信息通信类相关专业包含交通信息工程及控制、计算机科学与技术、软件工程、电子信息工程、通信工程等相关专业。</w:t>
            </w:r>
          </w:p>
        </w:tc>
      </w:tr>
      <w:tr w14:paraId="77CB5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7" w:hRule="atLeast"/>
          <w:jc w:val="center"/>
        </w:trPr>
        <w:tc>
          <w:tcPr>
            <w:tcW w:w="525" w:type="dxa"/>
            <w:vMerge w:val="continue"/>
            <w:tcBorders>
              <w:left w:val="single" w:color="auto" w:sz="4" w:space="0"/>
              <w:right w:val="single" w:color="auto" w:sz="4" w:space="0"/>
            </w:tcBorders>
            <w:vAlign w:val="center"/>
          </w:tcPr>
          <w:p w14:paraId="78573A40">
            <w:pPr>
              <w:adjustRightInd w:val="0"/>
              <w:spacing w:line="400" w:lineRule="exact"/>
              <w:jc w:val="center"/>
              <w:textAlignment w:val="baseline"/>
              <w:rPr>
                <w:rFonts w:hint="eastAsia" w:ascii="宋体" w:hAnsi="宋体"/>
                <w:b/>
                <w:color w:val="auto"/>
                <w:szCs w:val="21"/>
                <w:highlight w:val="none"/>
              </w:rPr>
            </w:pPr>
          </w:p>
        </w:tc>
        <w:tc>
          <w:tcPr>
            <w:tcW w:w="895" w:type="dxa"/>
            <w:vMerge w:val="continue"/>
            <w:tcBorders>
              <w:left w:val="single" w:color="auto" w:sz="4" w:space="0"/>
              <w:right w:val="single" w:color="auto" w:sz="4" w:space="0"/>
            </w:tcBorders>
            <w:vAlign w:val="center"/>
          </w:tcPr>
          <w:p w14:paraId="16419ACF">
            <w:pPr>
              <w:spacing w:line="400" w:lineRule="exact"/>
              <w:jc w:val="center"/>
              <w:rPr>
                <w:rFonts w:hint="eastAsia" w:ascii="宋体" w:hAnsi="宋体"/>
                <w:b/>
                <w:bCs/>
                <w:color w:val="auto"/>
                <w:szCs w:val="21"/>
                <w:highlight w:val="none"/>
              </w:rPr>
            </w:pPr>
          </w:p>
        </w:tc>
        <w:tc>
          <w:tcPr>
            <w:tcW w:w="1134" w:type="dxa"/>
            <w:tcBorders>
              <w:top w:val="single" w:color="auto" w:sz="4" w:space="0"/>
              <w:left w:val="single" w:color="auto" w:sz="4" w:space="0"/>
              <w:right w:val="single" w:color="auto" w:sz="4" w:space="0"/>
            </w:tcBorders>
            <w:shd w:val="clear" w:color="auto" w:fill="auto"/>
            <w:vAlign w:val="center"/>
          </w:tcPr>
          <w:p w14:paraId="29472712">
            <w:pPr>
              <w:snapToGrid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业绩、信誉分（满分</w:t>
            </w:r>
            <w:r>
              <w:rPr>
                <w:rFonts w:hint="eastAsia" w:ascii="宋体" w:hAnsi="宋体" w:cs="宋体"/>
                <w:color w:val="auto"/>
                <w:szCs w:val="21"/>
                <w:highlight w:val="none"/>
                <w:lang w:val="en-US" w:eastAsia="zh-CN"/>
              </w:rPr>
              <w:t>18</w:t>
            </w:r>
            <w:r>
              <w:rPr>
                <w:rFonts w:hint="eastAsia" w:ascii="宋体" w:hAnsi="宋体" w:cs="宋体"/>
                <w:color w:val="auto"/>
                <w:szCs w:val="21"/>
                <w:highlight w:val="none"/>
              </w:rPr>
              <w:t>分）</w:t>
            </w:r>
          </w:p>
        </w:tc>
        <w:tc>
          <w:tcPr>
            <w:tcW w:w="6896" w:type="dxa"/>
            <w:tcBorders>
              <w:top w:val="single" w:color="auto" w:sz="4" w:space="0"/>
              <w:left w:val="single" w:color="auto" w:sz="4" w:space="0"/>
              <w:right w:val="single" w:color="auto" w:sz="4" w:space="0"/>
            </w:tcBorders>
            <w:shd w:val="clear" w:color="auto" w:fill="auto"/>
            <w:vAlign w:val="center"/>
          </w:tcPr>
          <w:p w14:paraId="6119C77A">
            <w:pPr>
              <w:numPr>
                <w:ilvl w:val="0"/>
                <w:numId w:val="0"/>
              </w:numPr>
              <w:spacing w:line="360" w:lineRule="auto"/>
              <w:ind w:firstLine="396" w:firstLineChars="200"/>
              <w:jc w:val="left"/>
              <w:rPr>
                <w:rFonts w:hint="eastAsia" w:ascii="宋体" w:hAnsi="宋体" w:cs="宋体"/>
                <w:b w:val="0"/>
                <w:bCs w:val="0"/>
                <w:color w:val="auto"/>
                <w:spacing w:val="-6"/>
                <w:szCs w:val="21"/>
                <w:highlight w:val="none"/>
                <w:lang w:val="en-US" w:eastAsia="zh-CN"/>
              </w:rPr>
            </w:pPr>
            <w:r>
              <w:rPr>
                <w:rFonts w:hint="eastAsia" w:ascii="宋体" w:hAnsi="宋体" w:cs="宋体"/>
                <w:b w:val="0"/>
                <w:bCs w:val="0"/>
                <w:color w:val="auto"/>
                <w:spacing w:val="-6"/>
                <w:szCs w:val="21"/>
                <w:highlight w:val="none"/>
                <w:lang w:val="en-US" w:eastAsia="zh-CN"/>
              </w:rPr>
              <w:t>（1）供应商</w:t>
            </w:r>
            <w:r>
              <w:rPr>
                <w:rFonts w:hint="eastAsia" w:ascii="宋体" w:hAnsi="宋体" w:cs="宋体"/>
                <w:color w:val="auto"/>
                <w:spacing w:val="-6"/>
                <w:szCs w:val="21"/>
                <w:highlight w:val="none"/>
              </w:rPr>
              <w:t>具有ISO9001质量管理体系认证证书、ISO20000信息技术服务管理体系证书、ISO27001信息安全管理体系证书</w:t>
            </w:r>
            <w:r>
              <w:rPr>
                <w:rFonts w:hint="eastAsia" w:ascii="宋体" w:hAnsi="宋体" w:cs="宋体"/>
                <w:b w:val="0"/>
                <w:bCs w:val="0"/>
                <w:color w:val="auto"/>
                <w:spacing w:val="-6"/>
                <w:szCs w:val="21"/>
                <w:highlight w:val="none"/>
              </w:rPr>
              <w:t>的得</w:t>
            </w:r>
            <w:r>
              <w:rPr>
                <w:rFonts w:hint="eastAsia" w:ascii="宋体" w:hAnsi="宋体" w:cs="宋体"/>
                <w:b w:val="0"/>
                <w:bCs w:val="0"/>
                <w:color w:val="auto"/>
                <w:spacing w:val="-6"/>
                <w:szCs w:val="21"/>
                <w:highlight w:val="none"/>
                <w:lang w:val="en-US" w:eastAsia="zh-CN"/>
              </w:rPr>
              <w:t>3</w:t>
            </w:r>
            <w:r>
              <w:rPr>
                <w:rFonts w:hint="eastAsia" w:ascii="宋体" w:hAnsi="宋体" w:cs="宋体"/>
                <w:b w:val="0"/>
                <w:bCs w:val="0"/>
                <w:color w:val="auto"/>
                <w:spacing w:val="-6"/>
                <w:szCs w:val="21"/>
                <w:highlight w:val="none"/>
              </w:rPr>
              <w:t>分，满分</w:t>
            </w:r>
            <w:r>
              <w:rPr>
                <w:rFonts w:hint="eastAsia" w:ascii="宋体" w:hAnsi="宋体" w:cs="宋体"/>
                <w:b w:val="0"/>
                <w:bCs w:val="0"/>
                <w:color w:val="auto"/>
                <w:spacing w:val="-6"/>
                <w:szCs w:val="21"/>
                <w:highlight w:val="none"/>
                <w:lang w:val="en-US" w:eastAsia="zh-CN"/>
              </w:rPr>
              <w:t>9</w:t>
            </w:r>
            <w:r>
              <w:rPr>
                <w:rFonts w:hint="eastAsia" w:ascii="宋体" w:hAnsi="宋体" w:cs="宋体"/>
                <w:b w:val="0"/>
                <w:bCs w:val="0"/>
                <w:color w:val="auto"/>
                <w:spacing w:val="-6"/>
                <w:szCs w:val="21"/>
                <w:highlight w:val="none"/>
              </w:rPr>
              <w:t>分。</w:t>
            </w:r>
          </w:p>
          <w:p w14:paraId="083ED744">
            <w:pPr>
              <w:spacing w:line="360" w:lineRule="auto"/>
              <w:ind w:firstLine="396" w:firstLineChars="200"/>
              <w:jc w:val="left"/>
              <w:rPr>
                <w:rFonts w:hint="eastAsia" w:ascii="宋体" w:hAnsi="宋体" w:cs="宋体"/>
                <w:b w:val="0"/>
                <w:bCs w:val="0"/>
                <w:color w:val="auto"/>
                <w:spacing w:val="-6"/>
                <w:szCs w:val="21"/>
                <w:highlight w:val="none"/>
              </w:rPr>
            </w:pPr>
            <w:r>
              <w:rPr>
                <w:rFonts w:hint="eastAsia" w:ascii="宋体" w:hAnsi="宋体" w:cs="宋体"/>
                <w:b w:val="0"/>
                <w:bCs w:val="0"/>
                <w:color w:val="auto"/>
                <w:spacing w:val="-6"/>
                <w:szCs w:val="21"/>
                <w:highlight w:val="none"/>
              </w:rPr>
              <w:t>（</w:t>
            </w:r>
            <w:r>
              <w:rPr>
                <w:rFonts w:hint="eastAsia" w:ascii="宋体" w:hAnsi="宋体" w:cs="宋体"/>
                <w:b w:val="0"/>
                <w:bCs w:val="0"/>
                <w:color w:val="auto"/>
                <w:spacing w:val="-6"/>
                <w:szCs w:val="21"/>
                <w:highlight w:val="none"/>
                <w:lang w:val="en-US" w:eastAsia="zh-CN"/>
              </w:rPr>
              <w:t>2</w:t>
            </w:r>
            <w:r>
              <w:rPr>
                <w:rFonts w:hint="eastAsia" w:ascii="宋体" w:hAnsi="宋体" w:cs="宋体"/>
                <w:b w:val="0"/>
                <w:bCs w:val="0"/>
                <w:color w:val="auto"/>
                <w:spacing w:val="-6"/>
                <w:szCs w:val="21"/>
                <w:highlight w:val="none"/>
              </w:rPr>
              <w:t>）自 2023年1月1日以来供应商</w:t>
            </w:r>
            <w:r>
              <w:rPr>
                <w:rFonts w:hint="eastAsia" w:ascii="宋体" w:hAnsi="宋体" w:cs="宋体"/>
                <w:b w:val="0"/>
                <w:bCs w:val="0"/>
                <w:color w:val="auto"/>
                <w:spacing w:val="-6"/>
                <w:szCs w:val="21"/>
                <w:highlight w:val="none"/>
                <w:lang w:eastAsia="zh-CN"/>
              </w:rPr>
              <w:t>承接过</w:t>
            </w:r>
            <w:r>
              <w:rPr>
                <w:rFonts w:hint="eastAsia" w:ascii="宋体" w:hAnsi="宋体" w:cs="宋体"/>
                <w:b w:val="0"/>
                <w:bCs w:val="0"/>
                <w:color w:val="auto"/>
                <w:spacing w:val="-6"/>
                <w:szCs w:val="21"/>
                <w:highlight w:val="none"/>
              </w:rPr>
              <w:t>类似项目</w:t>
            </w:r>
            <w:r>
              <w:rPr>
                <w:rFonts w:hint="eastAsia" w:ascii="宋体" w:hAnsi="宋体" w:cs="宋体"/>
                <w:b w:val="0"/>
                <w:bCs w:val="0"/>
                <w:color w:val="auto"/>
                <w:spacing w:val="-6"/>
                <w:szCs w:val="21"/>
                <w:highlight w:val="none"/>
                <w:lang w:eastAsia="zh-CN"/>
              </w:rPr>
              <w:t>业绩的</w:t>
            </w:r>
            <w:r>
              <w:rPr>
                <w:rFonts w:hint="eastAsia"/>
                <w:b w:val="0"/>
                <w:bCs w:val="0"/>
                <w:color w:val="auto"/>
                <w:highlight w:val="none"/>
              </w:rPr>
              <w:t>，</w:t>
            </w:r>
            <w:r>
              <w:rPr>
                <w:rFonts w:hint="eastAsia" w:ascii="宋体" w:hAnsi="宋体" w:cs="宋体"/>
                <w:b w:val="0"/>
                <w:bCs w:val="0"/>
                <w:color w:val="auto"/>
                <w:spacing w:val="-6"/>
                <w:szCs w:val="21"/>
                <w:highlight w:val="none"/>
              </w:rPr>
              <w:t xml:space="preserve">每个得 </w:t>
            </w:r>
            <w:r>
              <w:rPr>
                <w:rFonts w:hint="eastAsia" w:ascii="宋体" w:hAnsi="宋体" w:cs="宋体"/>
                <w:b w:val="0"/>
                <w:bCs w:val="0"/>
                <w:color w:val="auto"/>
                <w:spacing w:val="-6"/>
                <w:szCs w:val="21"/>
                <w:highlight w:val="none"/>
                <w:lang w:val="en-US" w:eastAsia="zh-CN"/>
              </w:rPr>
              <w:t>3</w:t>
            </w:r>
            <w:r>
              <w:rPr>
                <w:rFonts w:hint="eastAsia" w:ascii="宋体" w:hAnsi="宋体" w:cs="宋体"/>
                <w:b w:val="0"/>
                <w:bCs w:val="0"/>
                <w:color w:val="auto"/>
                <w:spacing w:val="-6"/>
                <w:szCs w:val="21"/>
                <w:highlight w:val="none"/>
              </w:rPr>
              <w:t>分，</w:t>
            </w:r>
            <w:r>
              <w:rPr>
                <w:rFonts w:hint="eastAsia" w:ascii="宋体" w:hAnsi="宋体" w:cs="宋体"/>
                <w:b w:val="0"/>
                <w:bCs w:val="0"/>
                <w:color w:val="auto"/>
                <w:spacing w:val="-6"/>
                <w:szCs w:val="21"/>
                <w:highlight w:val="none"/>
                <w:lang w:val="en-US" w:eastAsia="zh-CN"/>
              </w:rPr>
              <w:t>本</w:t>
            </w:r>
            <w:r>
              <w:rPr>
                <w:rFonts w:hint="eastAsia" w:ascii="宋体" w:hAnsi="宋体" w:cs="宋体"/>
                <w:b w:val="0"/>
                <w:bCs w:val="0"/>
                <w:color w:val="auto"/>
                <w:spacing w:val="-6"/>
                <w:szCs w:val="21"/>
                <w:highlight w:val="none"/>
              </w:rPr>
              <w:t>项满分</w:t>
            </w:r>
            <w:r>
              <w:rPr>
                <w:rFonts w:hint="eastAsia" w:ascii="宋体" w:hAnsi="宋体" w:cs="宋体"/>
                <w:b w:val="0"/>
                <w:bCs w:val="0"/>
                <w:color w:val="auto"/>
                <w:spacing w:val="-6"/>
                <w:szCs w:val="21"/>
                <w:highlight w:val="none"/>
                <w:lang w:val="en-US" w:eastAsia="zh-CN"/>
              </w:rPr>
              <w:t>9</w:t>
            </w:r>
            <w:r>
              <w:rPr>
                <w:rFonts w:hint="eastAsia" w:ascii="宋体" w:hAnsi="宋体" w:cs="宋体"/>
                <w:b w:val="0"/>
                <w:bCs w:val="0"/>
                <w:color w:val="auto"/>
                <w:spacing w:val="-6"/>
                <w:szCs w:val="21"/>
                <w:highlight w:val="none"/>
              </w:rPr>
              <w:t>分。</w:t>
            </w:r>
          </w:p>
          <w:p w14:paraId="564E19F5">
            <w:pPr>
              <w:spacing w:line="360" w:lineRule="auto"/>
              <w:jc w:val="left"/>
              <w:rPr>
                <w:rFonts w:hint="eastAsia" w:ascii="宋体" w:hAnsi="宋体" w:cs="宋体"/>
                <w:b/>
                <w:bCs/>
                <w:color w:val="auto"/>
                <w:kern w:val="2"/>
                <w:sz w:val="21"/>
                <w:szCs w:val="21"/>
                <w:highlight w:val="none"/>
                <w:lang w:val="en-US" w:eastAsia="zh-CN" w:bidi="ar-SA"/>
              </w:rPr>
            </w:pPr>
            <w:r>
              <w:rPr>
                <w:rFonts w:hint="eastAsia" w:ascii="宋体" w:hAnsi="宋体" w:cs="宋体"/>
                <w:b/>
                <w:bCs/>
                <w:color w:val="auto"/>
                <w:spacing w:val="-6"/>
                <w:szCs w:val="21"/>
                <w:highlight w:val="none"/>
                <w:lang w:eastAsia="zh-CN"/>
              </w:rPr>
              <w:t>注：</w:t>
            </w:r>
            <w:r>
              <w:rPr>
                <w:rFonts w:hint="eastAsia" w:ascii="宋体" w:hAnsi="宋体" w:cs="宋体"/>
                <w:b/>
                <w:bCs/>
                <w:color w:val="auto"/>
                <w:spacing w:val="-6"/>
                <w:szCs w:val="21"/>
                <w:highlight w:val="none"/>
                <w:lang w:val="en-US" w:eastAsia="zh-CN"/>
              </w:rPr>
              <w:t>1、</w:t>
            </w:r>
            <w:r>
              <w:rPr>
                <w:rFonts w:hint="eastAsia" w:ascii="宋体" w:hAnsi="宋体" w:cs="宋体"/>
                <w:b/>
                <w:bCs/>
                <w:color w:val="auto"/>
                <w:kern w:val="2"/>
                <w:sz w:val="21"/>
                <w:szCs w:val="21"/>
                <w:highlight w:val="none"/>
                <w:lang w:val="en-US" w:eastAsia="zh-CN" w:bidi="ar-SA"/>
              </w:rPr>
              <w:t>响应</w:t>
            </w:r>
            <w:r>
              <w:rPr>
                <w:rFonts w:hint="eastAsia" w:ascii="宋体" w:hAnsi="宋体" w:eastAsia="宋体" w:cs="宋体"/>
                <w:b/>
                <w:bCs/>
                <w:color w:val="auto"/>
                <w:kern w:val="2"/>
                <w:sz w:val="21"/>
                <w:szCs w:val="21"/>
                <w:highlight w:val="none"/>
                <w:lang w:val="en-US" w:eastAsia="zh-CN" w:bidi="ar-SA"/>
              </w:rPr>
              <w:t>文件中提供证书复印件，证书需在有效期内</w:t>
            </w:r>
            <w:r>
              <w:rPr>
                <w:rFonts w:hint="eastAsia" w:ascii="宋体" w:hAnsi="宋体" w:cs="宋体"/>
                <w:b/>
                <w:bCs/>
                <w:color w:val="auto"/>
                <w:kern w:val="2"/>
                <w:sz w:val="21"/>
                <w:szCs w:val="21"/>
                <w:highlight w:val="none"/>
                <w:lang w:val="en-US" w:eastAsia="zh-CN" w:bidi="ar-SA"/>
              </w:rPr>
              <w:t>；</w:t>
            </w:r>
          </w:p>
          <w:p w14:paraId="1A089210">
            <w:pPr>
              <w:numPr>
                <w:ilvl w:val="0"/>
                <w:numId w:val="3"/>
              </w:numPr>
              <w:spacing w:line="360" w:lineRule="auto"/>
              <w:jc w:val="left"/>
              <w:rPr>
                <w:rFonts w:hint="eastAsia" w:ascii="宋体" w:hAnsi="宋体" w:cs="宋体"/>
                <w:b/>
                <w:bCs/>
                <w:color w:val="auto"/>
                <w:spacing w:val="-6"/>
                <w:szCs w:val="21"/>
                <w:highlight w:val="none"/>
              </w:rPr>
            </w:pPr>
            <w:r>
              <w:rPr>
                <w:rFonts w:hint="eastAsia" w:ascii="宋体" w:hAnsi="宋体" w:cs="宋体"/>
                <w:b/>
                <w:bCs/>
                <w:color w:val="auto"/>
                <w:spacing w:val="-6"/>
                <w:szCs w:val="21"/>
                <w:highlight w:val="none"/>
              </w:rPr>
              <w:t>响应文件中提供中标/成交通知书复印件或有效合同复印件，并加盖单位公章，否则不得分</w:t>
            </w:r>
            <w:r>
              <w:rPr>
                <w:rFonts w:hint="eastAsia" w:ascii="宋体" w:hAnsi="宋体" w:cs="宋体"/>
                <w:b/>
                <w:bCs/>
                <w:color w:val="auto"/>
                <w:spacing w:val="-6"/>
                <w:szCs w:val="21"/>
                <w:highlight w:val="none"/>
                <w:lang w:eastAsia="zh-CN"/>
              </w:rPr>
              <w:t>；</w:t>
            </w:r>
          </w:p>
          <w:p w14:paraId="40EE9AB2">
            <w:pPr>
              <w:pStyle w:val="2"/>
              <w:numPr>
                <w:ilvl w:val="0"/>
                <w:numId w:val="3"/>
              </w:numPr>
              <w:rPr>
                <w:rFonts w:hint="eastAsia"/>
                <w:lang w:val="en-US" w:eastAsia="zh-CN"/>
              </w:rPr>
            </w:pPr>
            <w:r>
              <w:rPr>
                <w:rFonts w:hint="eastAsia"/>
                <w:lang w:val="en-US" w:eastAsia="zh-CN"/>
              </w:rPr>
              <w:t>类似项目业绩包含：信息化系统升级或信息化系统改造或信息化系统国产化适配等相关业绩。</w:t>
            </w:r>
          </w:p>
        </w:tc>
      </w:tr>
      <w:tr w14:paraId="37E7E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0" w:type="dxa"/>
            <w:gridSpan w:val="4"/>
            <w:tcBorders>
              <w:top w:val="single" w:color="auto" w:sz="4" w:space="0"/>
              <w:left w:val="single" w:color="auto" w:sz="4" w:space="0"/>
              <w:bottom w:val="single" w:color="auto" w:sz="4" w:space="0"/>
              <w:right w:val="single" w:color="auto" w:sz="4" w:space="0"/>
            </w:tcBorders>
            <w:vAlign w:val="center"/>
          </w:tcPr>
          <w:p w14:paraId="154623F4">
            <w:pPr>
              <w:widowControl/>
              <w:spacing w:line="360" w:lineRule="exact"/>
              <w:jc w:val="left"/>
              <w:rPr>
                <w:color w:val="auto"/>
                <w:szCs w:val="21"/>
                <w:highlight w:val="none"/>
              </w:rPr>
            </w:pPr>
            <w:r>
              <w:rPr>
                <w:color w:val="auto"/>
                <w:szCs w:val="21"/>
                <w:highlight w:val="none"/>
              </w:rPr>
              <w:t>总得分=</w:t>
            </w:r>
            <w:r>
              <w:rPr>
                <w:rFonts w:hint="eastAsia"/>
                <w:color w:val="auto"/>
                <w:szCs w:val="21"/>
                <w:highlight w:val="none"/>
              </w:rPr>
              <w:t>价格分+技术分+商务分</w:t>
            </w:r>
          </w:p>
        </w:tc>
      </w:tr>
    </w:tbl>
    <w:p w14:paraId="229021CC">
      <w:pPr>
        <w:spacing w:line="360" w:lineRule="exact"/>
        <w:ind w:firstLine="420" w:firstLineChars="200"/>
        <w:rPr>
          <w:color w:val="auto"/>
          <w:highlight w:val="none"/>
        </w:rPr>
      </w:pPr>
      <w:r>
        <w:rPr>
          <w:rFonts w:ascii="宋体" w:hAnsi="宋体"/>
          <w:bCs/>
          <w:color w:val="auto"/>
          <w:szCs w:val="21"/>
          <w:highlight w:val="none"/>
        </w:rPr>
        <w:t>7.</w:t>
      </w:r>
      <w:r>
        <w:rPr>
          <w:rFonts w:hint="eastAsia" w:ascii="宋体" w:hAnsi="宋体"/>
          <w:bCs/>
          <w:color w:val="auto"/>
          <w:szCs w:val="21"/>
          <w:highlight w:val="none"/>
        </w:rPr>
        <w:t>由磋商小组根据综合评分情况，按照评审得分由高到低顺序推荐3名以上成交候选供应商，并编写评审报告，</w:t>
      </w:r>
      <w:r>
        <w:rPr>
          <w:rFonts w:hint="eastAsia" w:ascii="宋体" w:hAnsi="宋体" w:cs="宋体"/>
          <w:color w:val="auto"/>
          <w:highlight w:val="none"/>
        </w:rPr>
        <w:t>评审报告</w:t>
      </w:r>
      <w:r>
        <w:rPr>
          <w:rFonts w:hint="eastAsia" w:hAnsi="宋体"/>
          <w:color w:val="auto"/>
          <w:highlight w:val="none"/>
        </w:rPr>
        <w:t>通过电子交易平台向采购人、采购代理机构提交。</w:t>
      </w:r>
      <w:r>
        <w:rPr>
          <w:rFonts w:hint="eastAsia" w:ascii="宋体" w:hAnsi="宋体"/>
          <w:bCs/>
          <w:color w:val="auto"/>
          <w:szCs w:val="21"/>
          <w:highlight w:val="none"/>
        </w:rPr>
        <w:t>符合本章第</w:t>
      </w:r>
      <w:r>
        <w:rPr>
          <w:rFonts w:ascii="宋体" w:hAnsi="宋体"/>
          <w:bCs/>
          <w:color w:val="auto"/>
          <w:szCs w:val="21"/>
          <w:highlight w:val="none"/>
        </w:rPr>
        <w:t>4.3</w:t>
      </w:r>
      <w:r>
        <w:rPr>
          <w:rFonts w:hint="eastAsia" w:ascii="宋体" w:hAnsi="宋体"/>
          <w:bCs/>
          <w:color w:val="auto"/>
          <w:szCs w:val="21"/>
          <w:highlight w:val="none"/>
        </w:rPr>
        <w:t>条情形的，可以推荐2家成交候选供应商。评审得分相同的，按照最后报价（不计算价格折扣）由低到高的顺序推荐。评审得分且最后报价（不计算价格折扣）相同的，按照技术分由高到低顺序推荐。评审得分、最后报价（不计算价格折扣）、技术得分均相同的，由磋商小组随机抽取推荐。</w:t>
      </w:r>
    </w:p>
    <w:p w14:paraId="0F7811A9">
      <w:pPr>
        <w:pStyle w:val="3"/>
        <w:jc w:val="center"/>
        <w:rPr>
          <w:color w:val="auto"/>
          <w:highlight w:val="none"/>
        </w:rPr>
      </w:pPr>
      <w:r>
        <w:rPr>
          <w:color w:val="auto"/>
          <w:highlight w:val="none"/>
        </w:rPr>
        <w:br w:type="page"/>
      </w:r>
    </w:p>
    <w:p w14:paraId="3743B775">
      <w:pPr>
        <w:rPr>
          <w:color w:val="auto"/>
          <w:highlight w:val="none"/>
        </w:rPr>
      </w:pPr>
    </w:p>
    <w:p w14:paraId="68A06A11">
      <w:pPr>
        <w:rPr>
          <w:color w:val="auto"/>
          <w:highlight w:val="none"/>
        </w:rPr>
      </w:pPr>
    </w:p>
    <w:p w14:paraId="7F6143A8">
      <w:pPr>
        <w:pStyle w:val="3"/>
        <w:jc w:val="center"/>
        <w:rPr>
          <w:color w:val="auto"/>
          <w:highlight w:val="none"/>
        </w:rPr>
      </w:pPr>
      <w:bookmarkStart w:id="82" w:name="_Toc74323460"/>
      <w:bookmarkStart w:id="189" w:name="_GoBack"/>
      <w:bookmarkEnd w:id="189"/>
      <w:r>
        <w:rPr>
          <w:rFonts w:hint="eastAsia"/>
          <w:color w:val="auto"/>
          <w:highlight w:val="none"/>
        </w:rPr>
        <w:t>第五章 响应文件格式</w:t>
      </w:r>
      <w:bookmarkEnd w:id="82"/>
    </w:p>
    <w:p w14:paraId="5B9BCFF7">
      <w:pPr>
        <w:spacing w:line="240" w:lineRule="atLeast"/>
        <w:rPr>
          <w:rFonts w:hint="eastAsia" w:ascii="宋体" w:hAnsi="宋体"/>
          <w:b/>
          <w:color w:val="auto"/>
          <w:sz w:val="32"/>
          <w:szCs w:val="32"/>
          <w:highlight w:val="none"/>
        </w:rPr>
      </w:pPr>
    </w:p>
    <w:p w14:paraId="58D456D9">
      <w:pPr>
        <w:spacing w:line="240" w:lineRule="atLeast"/>
        <w:rPr>
          <w:rFonts w:hint="eastAsia" w:ascii="宋体" w:hAnsi="宋体"/>
          <w:b/>
          <w:color w:val="auto"/>
          <w:sz w:val="32"/>
          <w:szCs w:val="32"/>
          <w:highlight w:val="none"/>
        </w:rPr>
      </w:pPr>
    </w:p>
    <w:p w14:paraId="68AFEE36">
      <w:pPr>
        <w:spacing w:line="240" w:lineRule="atLeast"/>
        <w:rPr>
          <w:rFonts w:hint="eastAsia" w:ascii="宋体" w:hAnsi="宋体"/>
          <w:b/>
          <w:color w:val="auto"/>
          <w:sz w:val="32"/>
          <w:szCs w:val="32"/>
          <w:highlight w:val="none"/>
        </w:rPr>
      </w:pPr>
    </w:p>
    <w:p w14:paraId="5D3C888F">
      <w:pPr>
        <w:spacing w:line="240" w:lineRule="atLeast"/>
        <w:rPr>
          <w:rFonts w:hint="eastAsia" w:ascii="宋体" w:hAnsi="宋体"/>
          <w:b/>
          <w:color w:val="auto"/>
          <w:sz w:val="32"/>
          <w:szCs w:val="32"/>
          <w:highlight w:val="none"/>
        </w:rPr>
      </w:pPr>
    </w:p>
    <w:p w14:paraId="244757CD">
      <w:pPr>
        <w:spacing w:line="240" w:lineRule="atLeast"/>
        <w:rPr>
          <w:rFonts w:hint="eastAsia" w:ascii="宋体" w:hAnsi="宋体"/>
          <w:b/>
          <w:color w:val="auto"/>
          <w:sz w:val="32"/>
          <w:szCs w:val="32"/>
          <w:highlight w:val="none"/>
        </w:rPr>
      </w:pPr>
    </w:p>
    <w:p w14:paraId="7F8B2703">
      <w:pPr>
        <w:spacing w:line="240" w:lineRule="atLeast"/>
        <w:rPr>
          <w:rFonts w:hint="eastAsia" w:ascii="宋体" w:hAnsi="宋体"/>
          <w:b/>
          <w:color w:val="auto"/>
          <w:sz w:val="32"/>
          <w:szCs w:val="32"/>
          <w:highlight w:val="none"/>
        </w:rPr>
      </w:pPr>
    </w:p>
    <w:p w14:paraId="3E524ECA">
      <w:pPr>
        <w:spacing w:line="240" w:lineRule="atLeast"/>
        <w:rPr>
          <w:rFonts w:hint="eastAsia" w:ascii="宋体" w:hAnsi="宋体"/>
          <w:b/>
          <w:color w:val="auto"/>
          <w:sz w:val="32"/>
          <w:szCs w:val="32"/>
          <w:highlight w:val="none"/>
        </w:rPr>
      </w:pPr>
    </w:p>
    <w:p w14:paraId="254416E7">
      <w:pPr>
        <w:spacing w:line="240" w:lineRule="atLeast"/>
        <w:rPr>
          <w:rFonts w:hint="eastAsia" w:ascii="宋体" w:hAnsi="宋体"/>
          <w:b/>
          <w:color w:val="auto"/>
          <w:sz w:val="32"/>
          <w:szCs w:val="32"/>
          <w:highlight w:val="none"/>
        </w:rPr>
      </w:pPr>
    </w:p>
    <w:p w14:paraId="6A9B451F">
      <w:pPr>
        <w:spacing w:line="240" w:lineRule="atLeast"/>
        <w:rPr>
          <w:rFonts w:hint="eastAsia" w:ascii="宋体" w:hAnsi="宋体"/>
          <w:b/>
          <w:color w:val="auto"/>
          <w:sz w:val="32"/>
          <w:szCs w:val="32"/>
          <w:highlight w:val="none"/>
        </w:rPr>
      </w:pPr>
    </w:p>
    <w:p w14:paraId="47375548">
      <w:pPr>
        <w:spacing w:line="240" w:lineRule="atLeast"/>
        <w:rPr>
          <w:rFonts w:hint="eastAsia" w:ascii="宋体" w:hAnsi="宋体"/>
          <w:b/>
          <w:color w:val="auto"/>
          <w:sz w:val="32"/>
          <w:szCs w:val="32"/>
          <w:highlight w:val="none"/>
        </w:rPr>
      </w:pPr>
    </w:p>
    <w:p w14:paraId="03EA9B48">
      <w:pPr>
        <w:spacing w:line="240" w:lineRule="atLeast"/>
        <w:rPr>
          <w:rFonts w:hint="eastAsia" w:ascii="宋体" w:hAnsi="宋体"/>
          <w:b/>
          <w:color w:val="auto"/>
          <w:sz w:val="32"/>
          <w:szCs w:val="32"/>
          <w:highlight w:val="none"/>
        </w:rPr>
      </w:pPr>
    </w:p>
    <w:p w14:paraId="2192F0DE">
      <w:pPr>
        <w:snapToGrid w:val="0"/>
        <w:spacing w:before="50" w:after="50"/>
        <w:outlineLvl w:val="1"/>
        <w:rPr>
          <w:rFonts w:hint="eastAsia" w:ascii="宋体" w:hAnsi="宋体"/>
          <w:b/>
          <w:bCs/>
          <w:color w:val="auto"/>
          <w:sz w:val="24"/>
          <w:highlight w:val="none"/>
        </w:rPr>
      </w:pPr>
    </w:p>
    <w:p w14:paraId="7ACAF7BD">
      <w:pPr>
        <w:snapToGrid w:val="0"/>
        <w:spacing w:before="120" w:beforeLines="50" w:after="50"/>
        <w:jc w:val="center"/>
        <w:rPr>
          <w:rFonts w:hint="eastAsia" w:ascii="仿宋_GB2312" w:hAnsi="仿宋_GB2312" w:eastAsia="仿宋_GB2312" w:cs="仿宋_GB2312"/>
          <w:bCs/>
          <w:color w:val="auto"/>
          <w:sz w:val="32"/>
          <w:szCs w:val="32"/>
          <w:highlight w:val="none"/>
        </w:rPr>
      </w:pPr>
    </w:p>
    <w:p w14:paraId="1CCB0672">
      <w:pPr>
        <w:rPr>
          <w:b/>
          <w:color w:val="auto"/>
          <w:sz w:val="32"/>
          <w:szCs w:val="32"/>
          <w:highlight w:val="none"/>
        </w:rPr>
      </w:pPr>
      <w:bookmarkStart w:id="83" w:name="_Toc35611516"/>
      <w:bookmarkStart w:id="84" w:name="_Toc31728084"/>
      <w:bookmarkStart w:id="85" w:name="_Toc71366186"/>
      <w:bookmarkStart w:id="86" w:name="_Toc31723070"/>
      <w:bookmarkStart w:id="87" w:name="_Toc35611438"/>
      <w:bookmarkStart w:id="88" w:name="_Toc44229899"/>
      <w:r>
        <w:rPr>
          <w:rFonts w:hint="eastAsia"/>
          <w:b/>
          <w:color w:val="auto"/>
          <w:sz w:val="32"/>
          <w:szCs w:val="32"/>
          <w:highlight w:val="none"/>
        </w:rPr>
        <w:br w:type="page"/>
      </w:r>
      <w:r>
        <w:rPr>
          <w:rFonts w:hint="eastAsia"/>
          <w:b/>
          <w:color w:val="auto"/>
          <w:sz w:val="32"/>
          <w:szCs w:val="32"/>
          <w:highlight w:val="none"/>
        </w:rPr>
        <w:t>一、资格证明文件格式</w:t>
      </w:r>
      <w:bookmarkEnd w:id="83"/>
      <w:bookmarkEnd w:id="84"/>
      <w:bookmarkEnd w:id="85"/>
      <w:bookmarkEnd w:id="86"/>
      <w:bookmarkEnd w:id="87"/>
      <w:bookmarkEnd w:id="88"/>
    </w:p>
    <w:p w14:paraId="03F3C46A">
      <w:pPr>
        <w:snapToGrid w:val="0"/>
        <w:spacing w:before="120" w:beforeLines="50" w:after="50" w:line="360" w:lineRule="auto"/>
        <w:jc w:val="left"/>
        <w:rPr>
          <w:rFonts w:hint="eastAsia" w:ascii="宋体" w:hAnsi="宋体"/>
          <w:b/>
          <w:color w:val="auto"/>
          <w:sz w:val="24"/>
          <w:highlight w:val="none"/>
        </w:rPr>
      </w:pPr>
      <w:r>
        <w:rPr>
          <w:rFonts w:hint="eastAsia" w:ascii="宋体" w:hAnsi="宋体"/>
          <w:b/>
          <w:color w:val="auto"/>
          <w:sz w:val="32"/>
          <w:szCs w:val="32"/>
          <w:highlight w:val="none"/>
        </w:rPr>
        <w:t>1.资格证明文件封面格式：</w:t>
      </w:r>
      <w:r>
        <w:rPr>
          <w:rFonts w:hint="eastAsia" w:ascii="宋体" w:hAnsi="宋体"/>
          <w:b/>
          <w:color w:val="auto"/>
          <w:sz w:val="24"/>
          <w:highlight w:val="none"/>
        </w:rPr>
        <w:t xml:space="preserve"> </w:t>
      </w:r>
    </w:p>
    <w:p w14:paraId="4FD8785B">
      <w:pPr>
        <w:snapToGrid w:val="0"/>
        <w:spacing w:before="120" w:beforeLines="50" w:after="50"/>
        <w:jc w:val="center"/>
        <w:rPr>
          <w:rFonts w:hint="eastAsia" w:ascii="宋体" w:hAnsi="宋体"/>
          <w:color w:val="auto"/>
          <w:sz w:val="44"/>
          <w:szCs w:val="44"/>
          <w:highlight w:val="none"/>
        </w:rPr>
      </w:pPr>
    </w:p>
    <w:p w14:paraId="671F01E1">
      <w:pPr>
        <w:snapToGrid w:val="0"/>
        <w:spacing w:before="120" w:beforeLines="50" w:after="50"/>
        <w:jc w:val="center"/>
        <w:rPr>
          <w:rFonts w:hint="eastAsia" w:ascii="宋体" w:hAnsi="宋体"/>
          <w:color w:val="auto"/>
          <w:sz w:val="44"/>
          <w:szCs w:val="44"/>
          <w:highlight w:val="none"/>
        </w:rPr>
      </w:pPr>
      <w:r>
        <w:rPr>
          <w:rFonts w:hint="eastAsia" w:ascii="宋体" w:hAnsi="宋体"/>
          <w:color w:val="auto"/>
          <w:sz w:val="44"/>
          <w:szCs w:val="44"/>
          <w:highlight w:val="none"/>
        </w:rPr>
        <w:t>电 子 响 应 文 件</w:t>
      </w:r>
    </w:p>
    <w:p w14:paraId="3EFBB572">
      <w:pPr>
        <w:snapToGrid w:val="0"/>
        <w:spacing w:before="120" w:beforeLines="50" w:after="50"/>
        <w:rPr>
          <w:rFonts w:hint="eastAsia" w:ascii="宋体" w:hAnsi="宋体"/>
          <w:color w:val="auto"/>
          <w:sz w:val="24"/>
          <w:szCs w:val="20"/>
          <w:highlight w:val="none"/>
        </w:rPr>
      </w:pPr>
    </w:p>
    <w:p w14:paraId="7C1C8F0B">
      <w:pPr>
        <w:snapToGrid w:val="0"/>
        <w:spacing w:before="120" w:beforeLines="50" w:after="5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资  格  证  明  文  件</w:t>
      </w:r>
    </w:p>
    <w:p w14:paraId="534FD159">
      <w:pPr>
        <w:snapToGrid w:val="0"/>
        <w:spacing w:before="120" w:beforeLines="50" w:after="50"/>
        <w:rPr>
          <w:rFonts w:hint="eastAsia" w:ascii="宋体" w:hAnsi="宋体"/>
          <w:bCs/>
          <w:color w:val="auto"/>
          <w:sz w:val="24"/>
          <w:szCs w:val="20"/>
          <w:highlight w:val="none"/>
        </w:rPr>
      </w:pPr>
    </w:p>
    <w:p w14:paraId="63CEC1B2">
      <w:pPr>
        <w:snapToGrid w:val="0"/>
        <w:spacing w:before="120" w:beforeLines="50" w:after="50"/>
        <w:rPr>
          <w:rFonts w:hint="eastAsia" w:ascii="宋体" w:hAnsi="宋体"/>
          <w:bCs/>
          <w:color w:val="auto"/>
          <w:sz w:val="24"/>
          <w:szCs w:val="20"/>
          <w:highlight w:val="none"/>
        </w:rPr>
      </w:pPr>
    </w:p>
    <w:p w14:paraId="7ADCD9C6">
      <w:pPr>
        <w:snapToGrid w:val="0"/>
        <w:spacing w:before="120" w:beforeLines="50" w:after="50"/>
        <w:rPr>
          <w:rFonts w:hint="eastAsia" w:ascii="宋体" w:hAnsi="宋体"/>
          <w:bCs/>
          <w:color w:val="auto"/>
          <w:sz w:val="24"/>
          <w:szCs w:val="20"/>
          <w:highlight w:val="none"/>
        </w:rPr>
      </w:pPr>
    </w:p>
    <w:p w14:paraId="37F98A53">
      <w:pPr>
        <w:snapToGrid w:val="0"/>
        <w:spacing w:before="120" w:beforeLines="50" w:after="50"/>
        <w:rPr>
          <w:rFonts w:hint="eastAsia" w:ascii="宋体" w:hAnsi="宋体"/>
          <w:bCs/>
          <w:color w:val="auto"/>
          <w:sz w:val="24"/>
          <w:szCs w:val="20"/>
          <w:highlight w:val="none"/>
        </w:rPr>
      </w:pPr>
    </w:p>
    <w:p w14:paraId="38E73D7B">
      <w:pPr>
        <w:snapToGrid w:val="0"/>
        <w:spacing w:before="120" w:beforeLines="50" w:after="50"/>
        <w:rPr>
          <w:rFonts w:hint="eastAsia" w:ascii="宋体" w:hAnsi="宋体"/>
          <w:bCs/>
          <w:color w:val="auto"/>
          <w:sz w:val="24"/>
          <w:szCs w:val="20"/>
          <w:highlight w:val="none"/>
        </w:rPr>
      </w:pPr>
    </w:p>
    <w:p w14:paraId="7CDF6478">
      <w:pPr>
        <w:snapToGrid w:val="0"/>
        <w:spacing w:before="120"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项目名称：</w:t>
      </w:r>
    </w:p>
    <w:p w14:paraId="5D245AAE">
      <w:pPr>
        <w:snapToGrid w:val="0"/>
        <w:spacing w:before="120" w:beforeLines="50" w:after="50"/>
        <w:ind w:firstLine="720" w:firstLineChars="225"/>
        <w:rPr>
          <w:rFonts w:hint="eastAsia" w:ascii="宋体" w:hAnsi="宋体" w:cs="仿宋_GB2312"/>
          <w:bCs/>
          <w:color w:val="auto"/>
          <w:sz w:val="32"/>
          <w:szCs w:val="32"/>
          <w:highlight w:val="none"/>
        </w:rPr>
      </w:pPr>
    </w:p>
    <w:p w14:paraId="28987D85">
      <w:pPr>
        <w:snapToGrid w:val="0"/>
        <w:spacing w:before="120" w:beforeLines="50" w:after="50"/>
        <w:ind w:firstLine="720" w:firstLineChars="225"/>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p>
    <w:p w14:paraId="60FE6EB4">
      <w:pPr>
        <w:snapToGrid w:val="0"/>
        <w:spacing w:before="120" w:beforeLines="50" w:after="50"/>
        <w:ind w:firstLine="720" w:firstLineChars="225"/>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 xml:space="preserve"> </w:t>
      </w:r>
    </w:p>
    <w:p w14:paraId="39E10C7A">
      <w:pPr>
        <w:snapToGrid w:val="0"/>
        <w:spacing w:before="120" w:beforeLines="50" w:after="50"/>
        <w:ind w:firstLine="720" w:firstLineChars="225"/>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所竞分标（如有则填写，无分标时填写“无”或者留空）：</w:t>
      </w:r>
    </w:p>
    <w:p w14:paraId="10AD484A">
      <w:pPr>
        <w:snapToGrid w:val="0"/>
        <w:spacing w:before="120" w:beforeLines="50" w:after="50"/>
        <w:ind w:firstLine="720" w:firstLineChars="225"/>
        <w:rPr>
          <w:rFonts w:hint="eastAsia" w:ascii="宋体" w:hAnsi="宋体" w:cs="仿宋_GB2312"/>
          <w:bCs/>
          <w:color w:val="auto"/>
          <w:sz w:val="32"/>
          <w:szCs w:val="32"/>
          <w:highlight w:val="none"/>
        </w:rPr>
      </w:pPr>
    </w:p>
    <w:p w14:paraId="555EC730">
      <w:pPr>
        <w:pStyle w:val="8"/>
        <w:snapToGrid w:val="0"/>
        <w:spacing w:before="50" w:after="50"/>
        <w:ind w:firstLine="720" w:firstLineChars="225"/>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14:paraId="4A7386B1">
      <w:pPr>
        <w:snapToGrid w:val="0"/>
        <w:spacing w:before="120" w:beforeLines="50" w:after="50"/>
        <w:ind w:firstLine="640" w:firstLineChars="200"/>
        <w:rPr>
          <w:rFonts w:hint="eastAsia" w:ascii="宋体" w:hAnsi="宋体" w:cs="仿宋_GB2312"/>
          <w:bCs/>
          <w:color w:val="auto"/>
          <w:sz w:val="32"/>
          <w:szCs w:val="32"/>
          <w:highlight w:val="none"/>
        </w:rPr>
      </w:pPr>
    </w:p>
    <w:p w14:paraId="38D0AF54">
      <w:pPr>
        <w:pStyle w:val="8"/>
        <w:snapToGrid w:val="0"/>
        <w:spacing w:before="50" w:after="50"/>
        <w:ind w:firstLine="720" w:firstLineChars="225"/>
        <w:rPr>
          <w:rFonts w:hint="eastAsia" w:ascii="宋体" w:hAnsi="宋体" w:cs="仿宋_GB2312"/>
          <w:bCs/>
          <w:color w:val="auto"/>
          <w:sz w:val="32"/>
          <w:szCs w:val="32"/>
          <w:highlight w:val="none"/>
        </w:rPr>
      </w:pPr>
    </w:p>
    <w:p w14:paraId="4B8185B4">
      <w:pPr>
        <w:pStyle w:val="8"/>
        <w:snapToGrid w:val="0"/>
        <w:spacing w:before="50" w:after="50"/>
        <w:ind w:firstLine="720" w:firstLineChars="225"/>
        <w:rPr>
          <w:rFonts w:hint="eastAsia" w:ascii="宋体" w:hAnsi="宋体" w:cs="仿宋_GB2312"/>
          <w:bCs/>
          <w:color w:val="auto"/>
          <w:sz w:val="32"/>
          <w:szCs w:val="32"/>
          <w:highlight w:val="none"/>
        </w:rPr>
      </w:pPr>
    </w:p>
    <w:p w14:paraId="2F9CB7E2">
      <w:pPr>
        <w:pStyle w:val="8"/>
        <w:snapToGrid w:val="0"/>
        <w:spacing w:before="50" w:after="50"/>
        <w:ind w:firstLine="1280" w:firstLineChars="400"/>
        <w:rPr>
          <w:rFonts w:hint="eastAsia" w:ascii="宋体" w:hAnsi="宋体" w:cs="仿宋_GB2312"/>
          <w:bCs/>
          <w:color w:val="auto"/>
          <w:sz w:val="32"/>
          <w:szCs w:val="32"/>
          <w:highlight w:val="none"/>
        </w:rPr>
      </w:pPr>
    </w:p>
    <w:p w14:paraId="36155E61">
      <w:pPr>
        <w:snapToGrid w:val="0"/>
        <w:spacing w:before="120" w:beforeLines="50" w:after="50"/>
        <w:jc w:val="center"/>
        <w:rPr>
          <w:rFonts w:hint="eastAsia" w:ascii="宋体" w:hAnsi="宋体" w:cs="仿宋_GB2312"/>
          <w:color w:val="auto"/>
          <w:sz w:val="32"/>
          <w:szCs w:val="32"/>
          <w:highlight w:val="none"/>
        </w:rPr>
      </w:pPr>
      <w:r>
        <w:rPr>
          <w:rFonts w:hint="eastAsia" w:ascii="宋体" w:hAnsi="宋体" w:cs="仿宋_GB2312"/>
          <w:color w:val="auto"/>
          <w:sz w:val="32"/>
          <w:szCs w:val="32"/>
          <w:highlight w:val="none"/>
        </w:rPr>
        <w:t>年    月    日</w:t>
      </w:r>
    </w:p>
    <w:p w14:paraId="76C05261">
      <w:pPr>
        <w:snapToGrid w:val="0"/>
        <w:spacing w:before="120" w:beforeLines="50" w:after="50" w:line="360" w:lineRule="auto"/>
        <w:ind w:left="142"/>
        <w:jc w:val="left"/>
        <w:rPr>
          <w:rFonts w:hint="eastAsia" w:ascii="宋体" w:hAnsi="宋体"/>
          <w:b/>
          <w:bCs/>
          <w:color w:val="auto"/>
          <w:sz w:val="32"/>
          <w:szCs w:val="32"/>
          <w:highlight w:val="none"/>
        </w:rPr>
      </w:pPr>
      <w:r>
        <w:rPr>
          <w:rFonts w:ascii="宋体" w:hAnsi="宋体"/>
          <w:color w:val="auto"/>
          <w:sz w:val="24"/>
          <w:highlight w:val="none"/>
        </w:rPr>
        <w:br w:type="page"/>
      </w:r>
      <w:r>
        <w:rPr>
          <w:rFonts w:hint="eastAsia" w:ascii="宋体" w:hAnsi="宋体"/>
          <w:b/>
          <w:bCs/>
          <w:color w:val="auto"/>
          <w:sz w:val="32"/>
          <w:szCs w:val="32"/>
          <w:highlight w:val="none"/>
        </w:rPr>
        <w:t>2.资格证明文件目录</w:t>
      </w:r>
    </w:p>
    <w:p w14:paraId="39C7BE20">
      <w:pPr>
        <w:snapToGrid w:val="0"/>
        <w:spacing w:before="120" w:beforeLines="50" w:after="50" w:line="360" w:lineRule="auto"/>
        <w:ind w:firstLine="645"/>
        <w:rPr>
          <w:rFonts w:hint="eastAsia" w:ascii="宋体" w:hAnsi="宋体"/>
          <w:color w:val="auto"/>
          <w:sz w:val="32"/>
          <w:szCs w:val="32"/>
          <w:highlight w:val="none"/>
        </w:rPr>
      </w:pPr>
      <w:r>
        <w:rPr>
          <w:rFonts w:hint="eastAsia" w:ascii="宋体" w:hAnsi="宋体"/>
          <w:color w:val="auto"/>
          <w:sz w:val="32"/>
          <w:szCs w:val="32"/>
          <w:highlight w:val="none"/>
        </w:rPr>
        <w:t>根据磋商文件第二章供应商须知前附表12.1.1规定及供应商提供的材料自行编写目录（部分格式后附）。</w:t>
      </w:r>
    </w:p>
    <w:p w14:paraId="2A3334DE">
      <w:pPr>
        <w:snapToGrid w:val="0"/>
        <w:spacing w:before="120" w:beforeLines="50" w:after="50"/>
        <w:rPr>
          <w:rFonts w:hint="eastAsia" w:ascii="宋体" w:hAnsi="宋体"/>
          <w:color w:val="auto"/>
          <w:sz w:val="24"/>
          <w:szCs w:val="20"/>
          <w:highlight w:val="none"/>
        </w:rPr>
      </w:pPr>
      <w:r>
        <w:rPr>
          <w:rFonts w:ascii="宋体" w:hAnsi="宋体"/>
          <w:color w:val="auto"/>
          <w:sz w:val="24"/>
          <w:szCs w:val="20"/>
          <w:highlight w:val="none"/>
        </w:rPr>
        <w:t xml:space="preserve"> </w:t>
      </w:r>
    </w:p>
    <w:p w14:paraId="66CA0D2F">
      <w:pPr>
        <w:spacing w:line="300" w:lineRule="auto"/>
        <w:rPr>
          <w:rFonts w:hint="eastAsia" w:ascii="宋体" w:hAnsi="宋体"/>
          <w:color w:val="auto"/>
          <w:szCs w:val="21"/>
          <w:highlight w:val="none"/>
        </w:rPr>
      </w:pPr>
    </w:p>
    <w:p w14:paraId="63720E68">
      <w:pPr>
        <w:spacing w:line="300" w:lineRule="auto"/>
        <w:rPr>
          <w:rFonts w:hint="eastAsia" w:ascii="宋体" w:hAnsi="宋体"/>
          <w:color w:val="auto"/>
          <w:szCs w:val="21"/>
          <w:highlight w:val="none"/>
        </w:rPr>
      </w:pPr>
    </w:p>
    <w:p w14:paraId="02BDE089">
      <w:pPr>
        <w:spacing w:line="300" w:lineRule="auto"/>
        <w:rPr>
          <w:rFonts w:hint="eastAsia" w:ascii="宋体" w:hAnsi="宋体"/>
          <w:color w:val="auto"/>
          <w:szCs w:val="21"/>
          <w:highlight w:val="none"/>
        </w:rPr>
      </w:pPr>
    </w:p>
    <w:p w14:paraId="0C795E28">
      <w:pPr>
        <w:spacing w:line="300" w:lineRule="auto"/>
        <w:rPr>
          <w:rFonts w:hint="eastAsia" w:ascii="宋体" w:hAnsi="宋体"/>
          <w:color w:val="auto"/>
          <w:szCs w:val="21"/>
          <w:highlight w:val="none"/>
        </w:rPr>
      </w:pPr>
    </w:p>
    <w:p w14:paraId="15579E11">
      <w:pPr>
        <w:spacing w:line="300" w:lineRule="auto"/>
        <w:rPr>
          <w:rFonts w:hint="eastAsia" w:ascii="宋体" w:hAnsi="宋体"/>
          <w:color w:val="auto"/>
          <w:szCs w:val="21"/>
          <w:highlight w:val="none"/>
        </w:rPr>
      </w:pPr>
    </w:p>
    <w:p w14:paraId="3CF85160">
      <w:pPr>
        <w:spacing w:line="300" w:lineRule="auto"/>
        <w:rPr>
          <w:rFonts w:hint="eastAsia" w:ascii="宋体" w:hAnsi="宋体"/>
          <w:color w:val="auto"/>
          <w:szCs w:val="21"/>
          <w:highlight w:val="none"/>
        </w:rPr>
      </w:pPr>
    </w:p>
    <w:p w14:paraId="56D76767">
      <w:pPr>
        <w:spacing w:line="300" w:lineRule="auto"/>
        <w:rPr>
          <w:rFonts w:hint="eastAsia" w:ascii="宋体" w:hAnsi="宋体"/>
          <w:color w:val="auto"/>
          <w:szCs w:val="21"/>
          <w:highlight w:val="none"/>
        </w:rPr>
      </w:pPr>
    </w:p>
    <w:p w14:paraId="3F332720">
      <w:pPr>
        <w:spacing w:line="300" w:lineRule="auto"/>
        <w:rPr>
          <w:rFonts w:hint="eastAsia" w:ascii="宋体" w:hAnsi="宋体"/>
          <w:color w:val="auto"/>
          <w:szCs w:val="21"/>
          <w:highlight w:val="none"/>
        </w:rPr>
      </w:pPr>
    </w:p>
    <w:p w14:paraId="531A2B98">
      <w:pPr>
        <w:spacing w:line="300" w:lineRule="auto"/>
        <w:rPr>
          <w:rFonts w:hint="eastAsia" w:ascii="宋体" w:hAnsi="宋体"/>
          <w:color w:val="auto"/>
          <w:szCs w:val="21"/>
          <w:highlight w:val="none"/>
        </w:rPr>
      </w:pPr>
    </w:p>
    <w:p w14:paraId="26069CB2">
      <w:pPr>
        <w:spacing w:line="300" w:lineRule="auto"/>
        <w:rPr>
          <w:rFonts w:hint="eastAsia" w:ascii="宋体" w:hAnsi="宋体"/>
          <w:color w:val="auto"/>
          <w:szCs w:val="21"/>
          <w:highlight w:val="none"/>
        </w:rPr>
      </w:pPr>
    </w:p>
    <w:p w14:paraId="24F65255">
      <w:pPr>
        <w:spacing w:line="300" w:lineRule="auto"/>
        <w:rPr>
          <w:rFonts w:hint="eastAsia" w:ascii="宋体" w:hAnsi="宋体"/>
          <w:color w:val="auto"/>
          <w:szCs w:val="21"/>
          <w:highlight w:val="none"/>
        </w:rPr>
      </w:pPr>
    </w:p>
    <w:p w14:paraId="537CACD0">
      <w:pPr>
        <w:spacing w:line="300" w:lineRule="auto"/>
        <w:rPr>
          <w:rFonts w:hint="eastAsia" w:ascii="宋体" w:hAnsi="宋体"/>
          <w:color w:val="auto"/>
          <w:szCs w:val="21"/>
          <w:highlight w:val="none"/>
        </w:rPr>
      </w:pPr>
    </w:p>
    <w:p w14:paraId="3893B01E">
      <w:pPr>
        <w:spacing w:line="300" w:lineRule="auto"/>
        <w:rPr>
          <w:rFonts w:hint="eastAsia" w:ascii="宋体" w:hAnsi="宋体"/>
          <w:color w:val="auto"/>
          <w:szCs w:val="21"/>
          <w:highlight w:val="none"/>
        </w:rPr>
      </w:pPr>
    </w:p>
    <w:p w14:paraId="69548AF4">
      <w:pPr>
        <w:spacing w:line="300" w:lineRule="auto"/>
        <w:rPr>
          <w:rFonts w:hint="eastAsia" w:ascii="宋体" w:hAnsi="宋体"/>
          <w:color w:val="auto"/>
          <w:szCs w:val="21"/>
          <w:highlight w:val="none"/>
        </w:rPr>
      </w:pPr>
    </w:p>
    <w:p w14:paraId="4D05F87C">
      <w:pPr>
        <w:spacing w:line="300" w:lineRule="auto"/>
        <w:rPr>
          <w:rFonts w:hint="eastAsia" w:ascii="宋体" w:hAnsi="宋体"/>
          <w:color w:val="auto"/>
          <w:szCs w:val="21"/>
          <w:highlight w:val="none"/>
        </w:rPr>
      </w:pPr>
    </w:p>
    <w:p w14:paraId="2085DA26">
      <w:pPr>
        <w:spacing w:line="320" w:lineRule="exact"/>
        <w:jc w:val="left"/>
        <w:rPr>
          <w:rFonts w:hint="eastAsia" w:ascii="宋体" w:hAnsi="宋体"/>
          <w:color w:val="auto"/>
          <w:szCs w:val="21"/>
          <w:highlight w:val="none"/>
        </w:rPr>
      </w:pPr>
      <w:r>
        <w:rPr>
          <w:rFonts w:ascii="宋体" w:hAnsi="宋体"/>
          <w:color w:val="auto"/>
          <w:szCs w:val="21"/>
          <w:highlight w:val="none"/>
        </w:rPr>
        <w:br w:type="page"/>
      </w:r>
      <w:r>
        <w:rPr>
          <w:rFonts w:hint="eastAsia" w:ascii="宋体" w:hAnsi="宋体"/>
          <w:color w:val="auto"/>
          <w:szCs w:val="21"/>
          <w:highlight w:val="none"/>
        </w:rPr>
        <w:t xml:space="preserve"> </w:t>
      </w:r>
    </w:p>
    <w:p w14:paraId="1AC8C5A6">
      <w:pPr>
        <w:wordWrap w:val="0"/>
        <w:spacing w:before="120" w:beforeLines="50" w:after="50" w:line="320" w:lineRule="exact"/>
        <w:ind w:right="482" w:firstLine="210" w:firstLineChars="100"/>
        <w:contextualSpacing/>
        <w:jc w:val="center"/>
        <w:rPr>
          <w:rFonts w:hint="eastAsia" w:ascii="宋体" w:hAnsi="宋体"/>
          <w:color w:val="auto"/>
          <w:szCs w:val="21"/>
          <w:highlight w:val="none"/>
        </w:rPr>
      </w:pPr>
    </w:p>
    <w:p w14:paraId="51C12C46">
      <w:pPr>
        <w:spacing w:line="360" w:lineRule="exact"/>
        <w:jc w:val="center"/>
        <w:rPr>
          <w:rFonts w:hint="eastAsia" w:ascii="宋体" w:hAnsi="宋体"/>
          <w:b/>
          <w:color w:val="auto"/>
          <w:sz w:val="32"/>
          <w:szCs w:val="32"/>
          <w:highlight w:val="none"/>
        </w:rPr>
      </w:pPr>
      <w:r>
        <w:rPr>
          <w:rFonts w:hint="eastAsia" w:ascii="宋体" w:hAnsi="宋体"/>
          <w:b/>
          <w:color w:val="auto"/>
          <w:sz w:val="32"/>
          <w:szCs w:val="32"/>
          <w:highlight w:val="none"/>
        </w:rPr>
        <w:t>供应商直接控股、管理关系信息表</w:t>
      </w:r>
    </w:p>
    <w:p w14:paraId="278C0492">
      <w:pPr>
        <w:snapToGrid w:val="0"/>
        <w:spacing w:before="120" w:beforeLines="50" w:after="50" w:line="360" w:lineRule="auto"/>
        <w:jc w:val="center"/>
        <w:rPr>
          <w:rFonts w:hint="eastAsia" w:ascii="宋体" w:hAnsi="宋体"/>
          <w:b/>
          <w:color w:val="auto"/>
          <w:sz w:val="24"/>
          <w:highlight w:val="none"/>
        </w:rPr>
      </w:pPr>
    </w:p>
    <w:p w14:paraId="28480DC3">
      <w:pPr>
        <w:spacing w:line="360" w:lineRule="auto"/>
        <w:contextualSpacing/>
        <w:jc w:val="center"/>
        <w:rPr>
          <w:rFonts w:hint="eastAsia" w:ascii="宋体" w:hAnsi="宋体"/>
          <w:b/>
          <w:color w:val="auto"/>
          <w:sz w:val="32"/>
          <w:szCs w:val="32"/>
          <w:highlight w:val="none"/>
        </w:rPr>
      </w:pPr>
      <w:r>
        <w:rPr>
          <w:rFonts w:hint="eastAsia" w:ascii="宋体" w:hAnsi="宋体"/>
          <w:b/>
          <w:color w:val="auto"/>
          <w:sz w:val="32"/>
          <w:szCs w:val="32"/>
          <w:highlight w:val="none"/>
        </w:rPr>
        <w:t>供应商直接控股股东信息表</w:t>
      </w:r>
    </w:p>
    <w:p w14:paraId="55644DC8">
      <w:pPr>
        <w:spacing w:line="360" w:lineRule="auto"/>
        <w:contextualSpacing/>
        <w:jc w:val="center"/>
        <w:rPr>
          <w:rFonts w:hint="eastAsia" w:ascii="宋体" w:hAnsi="宋体"/>
          <w:b/>
          <w:color w:val="auto"/>
          <w:sz w:val="24"/>
          <w:highlight w:val="none"/>
        </w:rPr>
      </w:pPr>
    </w:p>
    <w:tbl>
      <w:tblPr>
        <w:tblStyle w:val="20"/>
        <w:tblW w:w="0" w:type="auto"/>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6AFA5525">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7A43796">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871BAB1">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60B572E">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768FD73">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4CC98DC">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6C2008A6">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6F2CC27">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F986987">
            <w:pPr>
              <w:widowControl/>
              <w:spacing w:line="360" w:lineRule="auto"/>
              <w:contextualSpacing/>
              <w:jc w:val="center"/>
              <w:rPr>
                <w:rFonts w:hint="eastAsia"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2E4E8BE">
            <w:pPr>
              <w:widowControl/>
              <w:spacing w:line="360" w:lineRule="auto"/>
              <w:contextualSpacing/>
              <w:jc w:val="center"/>
              <w:rPr>
                <w:rFonts w:hint="eastAsia"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66A2A32">
            <w:pPr>
              <w:widowControl/>
              <w:spacing w:line="360" w:lineRule="auto"/>
              <w:contextualSpacing/>
              <w:jc w:val="center"/>
              <w:rPr>
                <w:rFonts w:hint="eastAsia"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531DDEE">
            <w:pPr>
              <w:widowControl/>
              <w:spacing w:line="360" w:lineRule="auto"/>
              <w:contextualSpacing/>
              <w:jc w:val="center"/>
              <w:rPr>
                <w:rFonts w:hint="eastAsia" w:ascii="宋体" w:hAnsi="宋体" w:cs="宋体"/>
                <w:color w:val="auto"/>
                <w:kern w:val="0"/>
                <w:sz w:val="24"/>
                <w:highlight w:val="none"/>
              </w:rPr>
            </w:pPr>
          </w:p>
        </w:tc>
      </w:tr>
      <w:tr w14:paraId="49158538">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D4F12AA">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A0F6459">
            <w:pPr>
              <w:widowControl/>
              <w:spacing w:line="360" w:lineRule="auto"/>
              <w:contextualSpacing/>
              <w:jc w:val="center"/>
              <w:rPr>
                <w:rFonts w:hint="eastAsia"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E521425">
            <w:pPr>
              <w:widowControl/>
              <w:spacing w:line="360" w:lineRule="auto"/>
              <w:contextualSpacing/>
              <w:jc w:val="center"/>
              <w:rPr>
                <w:rFonts w:hint="eastAsia"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EE27884">
            <w:pPr>
              <w:widowControl/>
              <w:spacing w:line="360" w:lineRule="auto"/>
              <w:contextualSpacing/>
              <w:jc w:val="center"/>
              <w:rPr>
                <w:rFonts w:hint="eastAsia"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C32E6EA">
            <w:pPr>
              <w:widowControl/>
              <w:spacing w:line="360" w:lineRule="auto"/>
              <w:contextualSpacing/>
              <w:jc w:val="center"/>
              <w:rPr>
                <w:rFonts w:hint="eastAsia" w:ascii="宋体" w:hAnsi="宋体" w:cs="宋体"/>
                <w:color w:val="auto"/>
                <w:kern w:val="0"/>
                <w:sz w:val="24"/>
                <w:highlight w:val="none"/>
              </w:rPr>
            </w:pPr>
          </w:p>
        </w:tc>
      </w:tr>
      <w:tr w14:paraId="0EF45618">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4776CF0">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7A34D6B">
            <w:pPr>
              <w:widowControl/>
              <w:spacing w:line="360" w:lineRule="auto"/>
              <w:contextualSpacing/>
              <w:jc w:val="center"/>
              <w:rPr>
                <w:rFonts w:hint="eastAsia"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3A82BD4">
            <w:pPr>
              <w:widowControl/>
              <w:spacing w:line="360" w:lineRule="auto"/>
              <w:contextualSpacing/>
              <w:jc w:val="center"/>
              <w:rPr>
                <w:rFonts w:hint="eastAsia"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EBC29BD">
            <w:pPr>
              <w:widowControl/>
              <w:spacing w:line="360" w:lineRule="auto"/>
              <w:contextualSpacing/>
              <w:jc w:val="center"/>
              <w:rPr>
                <w:rFonts w:hint="eastAsia"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AD60537">
            <w:pPr>
              <w:widowControl/>
              <w:spacing w:line="360" w:lineRule="auto"/>
              <w:contextualSpacing/>
              <w:jc w:val="center"/>
              <w:rPr>
                <w:rFonts w:hint="eastAsia" w:ascii="宋体" w:hAnsi="宋体" w:cs="宋体"/>
                <w:color w:val="auto"/>
                <w:kern w:val="0"/>
                <w:sz w:val="24"/>
                <w:highlight w:val="none"/>
              </w:rPr>
            </w:pPr>
          </w:p>
        </w:tc>
      </w:tr>
      <w:tr w14:paraId="07481104">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0D7A5D5">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B693C54">
            <w:pPr>
              <w:widowControl/>
              <w:spacing w:line="360" w:lineRule="auto"/>
              <w:contextualSpacing/>
              <w:jc w:val="center"/>
              <w:rPr>
                <w:rFonts w:hint="eastAsia"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4D175FC">
            <w:pPr>
              <w:widowControl/>
              <w:spacing w:line="360" w:lineRule="auto"/>
              <w:contextualSpacing/>
              <w:jc w:val="center"/>
              <w:rPr>
                <w:rFonts w:hint="eastAsia"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451AE35">
            <w:pPr>
              <w:widowControl/>
              <w:spacing w:line="360" w:lineRule="auto"/>
              <w:contextualSpacing/>
              <w:jc w:val="center"/>
              <w:rPr>
                <w:rFonts w:hint="eastAsia"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75F7CB5">
            <w:pPr>
              <w:widowControl/>
              <w:spacing w:line="360" w:lineRule="auto"/>
              <w:contextualSpacing/>
              <w:jc w:val="center"/>
              <w:rPr>
                <w:rFonts w:hint="eastAsia" w:ascii="宋体" w:hAnsi="宋体" w:cs="宋体"/>
                <w:color w:val="auto"/>
                <w:kern w:val="0"/>
                <w:sz w:val="24"/>
                <w:highlight w:val="none"/>
              </w:rPr>
            </w:pPr>
          </w:p>
        </w:tc>
      </w:tr>
    </w:tbl>
    <w:p w14:paraId="650126B3">
      <w:pPr>
        <w:spacing w:line="360" w:lineRule="auto"/>
        <w:contextualSpacing/>
        <w:jc w:val="left"/>
        <w:rPr>
          <w:rFonts w:hint="eastAsia" w:ascii="宋体" w:hAnsi="宋体" w:cs="宋体"/>
          <w:color w:val="auto"/>
          <w:sz w:val="24"/>
          <w:highlight w:val="none"/>
        </w:rPr>
      </w:pPr>
      <w:r>
        <w:rPr>
          <w:rFonts w:hint="eastAsia" w:ascii="宋体" w:hAnsi="宋体" w:cs="宋体"/>
          <w:color w:val="auto"/>
          <w:sz w:val="24"/>
          <w:highlight w:val="none"/>
        </w:rPr>
        <w:t>注：</w:t>
      </w:r>
    </w:p>
    <w:p w14:paraId="3A9D74C8">
      <w:pPr>
        <w:spacing w:line="360" w:lineRule="auto"/>
        <w:ind w:firstLine="480" w:firstLineChars="200"/>
        <w:contextualSpacing/>
        <w:jc w:val="left"/>
        <w:rPr>
          <w:rFonts w:hint="eastAsia" w:ascii="宋体" w:hAnsi="宋体" w:cs="宋体"/>
          <w:color w:val="auto"/>
          <w:sz w:val="24"/>
          <w:highlight w:val="none"/>
        </w:rPr>
      </w:pPr>
      <w:r>
        <w:rPr>
          <w:rFonts w:hint="eastAsia" w:ascii="宋体" w:hAnsi="宋体" w:cs="宋体"/>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15D565AC">
      <w:pPr>
        <w:spacing w:line="360" w:lineRule="auto"/>
        <w:ind w:firstLine="480" w:firstLineChars="200"/>
        <w:contextualSpacing/>
        <w:jc w:val="left"/>
        <w:rPr>
          <w:rFonts w:hint="eastAsia" w:ascii="宋体" w:hAnsi="宋体" w:cs="宋体"/>
          <w:color w:val="auto"/>
          <w:sz w:val="24"/>
          <w:highlight w:val="none"/>
        </w:rPr>
      </w:pPr>
      <w:r>
        <w:rPr>
          <w:rFonts w:hint="eastAsia" w:ascii="宋体" w:hAnsi="宋体" w:cs="宋体"/>
          <w:color w:val="auto"/>
          <w:sz w:val="24"/>
          <w:highlight w:val="none"/>
        </w:rPr>
        <w:t>2.本表所指的控股关系仅限于直接控股关系，不包括间接的控股关系。公司实际控制人与公司之间的关系不属于本表所指的直接控股关系。</w:t>
      </w:r>
    </w:p>
    <w:p w14:paraId="24F5CEAF">
      <w:pPr>
        <w:spacing w:line="360" w:lineRule="auto"/>
        <w:ind w:firstLine="480" w:firstLineChars="200"/>
        <w:contextualSpacing/>
        <w:jc w:val="left"/>
        <w:rPr>
          <w:rFonts w:hint="eastAsia" w:ascii="宋体" w:hAnsi="宋体" w:cs="宋体"/>
          <w:color w:val="auto"/>
          <w:sz w:val="24"/>
          <w:highlight w:val="none"/>
        </w:rPr>
      </w:pPr>
      <w:r>
        <w:rPr>
          <w:rFonts w:hint="eastAsia" w:ascii="宋体" w:hAnsi="宋体" w:cs="宋体"/>
          <w:color w:val="auto"/>
          <w:sz w:val="24"/>
          <w:highlight w:val="none"/>
        </w:rPr>
        <w:t>3.供应商不存在直接控股股东的，</w:t>
      </w:r>
      <w:r>
        <w:rPr>
          <w:rFonts w:hint="eastAsia" w:ascii="宋体" w:hAnsi="宋体"/>
          <w:color w:val="auto"/>
          <w:sz w:val="24"/>
          <w:highlight w:val="none"/>
        </w:rPr>
        <w:t>则在“直接控股股东名称”填“无”</w:t>
      </w:r>
      <w:r>
        <w:rPr>
          <w:rFonts w:hint="eastAsia" w:ascii="宋体" w:hAnsi="宋体" w:cs="宋体"/>
          <w:color w:val="auto"/>
          <w:sz w:val="24"/>
          <w:highlight w:val="none"/>
        </w:rPr>
        <w:t>。</w:t>
      </w:r>
    </w:p>
    <w:p w14:paraId="07B13EA9">
      <w:pPr>
        <w:spacing w:line="360" w:lineRule="auto"/>
        <w:ind w:firstLine="420" w:firstLineChars="200"/>
        <w:contextualSpacing/>
        <w:jc w:val="left"/>
        <w:rPr>
          <w:rFonts w:hint="eastAsia" w:ascii="宋体" w:hAnsi="宋体" w:cs="宋体"/>
          <w:color w:val="auto"/>
          <w:szCs w:val="21"/>
          <w:highlight w:val="none"/>
        </w:rPr>
      </w:pPr>
    </w:p>
    <w:p w14:paraId="66940F0B">
      <w:pPr>
        <w:spacing w:line="360" w:lineRule="auto"/>
        <w:ind w:firstLine="560" w:firstLineChars="200"/>
        <w:contextualSpacing/>
        <w:jc w:val="left"/>
        <w:rPr>
          <w:rFonts w:hint="eastAsia" w:ascii="宋体" w:hAnsi="宋体" w:cs="宋体"/>
          <w:color w:val="auto"/>
          <w:sz w:val="28"/>
          <w:szCs w:val="28"/>
          <w:highlight w:val="none"/>
        </w:rPr>
      </w:pPr>
    </w:p>
    <w:p w14:paraId="60F3BCA9">
      <w:pPr>
        <w:spacing w:line="360" w:lineRule="auto"/>
        <w:ind w:right="480"/>
        <w:contextualSpacing/>
        <w:jc w:val="center"/>
        <w:rPr>
          <w:rFonts w:hint="eastAsia" w:ascii="宋体" w:hAnsi="宋体" w:cs="宋体"/>
          <w:color w:val="auto"/>
          <w:sz w:val="24"/>
          <w:highlight w:val="none"/>
          <w:u w:val="single"/>
        </w:rPr>
      </w:pPr>
      <w:r>
        <w:rPr>
          <w:rFonts w:hint="eastAsia" w:ascii="宋体" w:hAnsi="宋体" w:cs="宋体"/>
          <w:color w:val="auto"/>
          <w:sz w:val="24"/>
          <w:highlight w:val="none"/>
        </w:rPr>
        <w:t xml:space="preserve"> </w:t>
      </w:r>
      <w:r>
        <w:rPr>
          <w:rFonts w:ascii="宋体" w:hAnsi="宋体" w:cs="宋体"/>
          <w:color w:val="auto"/>
          <w:sz w:val="24"/>
          <w:highlight w:val="none"/>
        </w:rPr>
        <w:t xml:space="preserve">       </w:t>
      </w:r>
      <w:r>
        <w:rPr>
          <w:rFonts w:hint="eastAsia" w:ascii="宋体" w:hAnsi="宋体" w:cs="宋体"/>
          <w:color w:val="auto"/>
          <w:sz w:val="24"/>
          <w:highlight w:val="none"/>
        </w:rPr>
        <w:t>法定代表人或者委托代理人</w:t>
      </w:r>
      <w:r>
        <w:rPr>
          <w:rFonts w:hint="eastAsia" w:ascii="宋体" w:hAnsi="宋体"/>
          <w:color w:val="auto"/>
          <w:sz w:val="24"/>
          <w:highlight w:val="none"/>
        </w:rPr>
        <w:t>（签字或者电子签名）</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p>
    <w:p w14:paraId="1FD1853C">
      <w:pPr>
        <w:spacing w:line="360" w:lineRule="auto"/>
        <w:ind w:right="480" w:firstLine="3000" w:firstLineChars="1250"/>
        <w:contextualSpacing/>
        <w:rPr>
          <w:rFonts w:hint="eastAsia" w:ascii="宋体" w:hAnsi="宋体" w:cs="宋体"/>
          <w:color w:val="auto"/>
          <w:sz w:val="24"/>
          <w:highlight w:val="none"/>
          <w:u w:val="single"/>
        </w:rPr>
      </w:pPr>
      <w:r>
        <w:rPr>
          <w:rFonts w:hint="eastAsia" w:ascii="宋体" w:hAnsi="宋体" w:cs="宋体"/>
          <w:color w:val="auto"/>
          <w:sz w:val="24"/>
          <w:highlight w:val="none"/>
        </w:rPr>
        <w:t>供应商</w:t>
      </w:r>
      <w:r>
        <w:rPr>
          <w:rFonts w:hint="eastAsia" w:ascii="宋体" w:hAnsi="宋体"/>
          <w:color w:val="auto"/>
          <w:sz w:val="24"/>
          <w:highlight w:val="none"/>
        </w:rPr>
        <w:t>（电子签章）</w:t>
      </w:r>
      <w:r>
        <w:rPr>
          <w:rFonts w:hint="eastAsia" w:ascii="宋体" w:hAnsi="宋体" w:cs="宋体"/>
          <w:color w:val="auto"/>
          <w:sz w:val="24"/>
          <w:highlight w:val="none"/>
        </w:rPr>
        <w:t xml:space="preserve">： </w:t>
      </w:r>
      <w:r>
        <w:rPr>
          <w:rFonts w:hint="eastAsia" w:ascii="宋体" w:hAnsi="宋体" w:cs="宋体"/>
          <w:color w:val="auto"/>
          <w:sz w:val="24"/>
          <w:highlight w:val="none"/>
          <w:u w:val="single"/>
        </w:rPr>
        <w:t xml:space="preserve">                              </w:t>
      </w:r>
    </w:p>
    <w:p w14:paraId="6EE58E23">
      <w:pPr>
        <w:spacing w:line="360" w:lineRule="auto"/>
        <w:ind w:firstLine="480" w:firstLineChars="200"/>
        <w:contextualSpacing/>
        <w:jc w:val="right"/>
        <w:rPr>
          <w:rFonts w:hint="eastAsia" w:ascii="宋体" w:hAnsi="宋体" w:cs="宋体"/>
          <w:color w:val="auto"/>
          <w:sz w:val="28"/>
          <w:szCs w:val="28"/>
          <w:highlight w:val="none"/>
        </w:rPr>
      </w:pPr>
      <w:r>
        <w:rPr>
          <w:rFonts w:hint="eastAsia" w:ascii="宋体" w:hAnsi="宋体" w:cs="宋体"/>
          <w:color w:val="auto"/>
          <w:sz w:val="24"/>
          <w:highlight w:val="none"/>
        </w:rPr>
        <w:t>年    月    日</w:t>
      </w:r>
    </w:p>
    <w:p w14:paraId="070BF92D">
      <w:pPr>
        <w:snapToGrid w:val="0"/>
        <w:jc w:val="center"/>
        <w:rPr>
          <w:rFonts w:hint="eastAsia" w:ascii="宋体" w:hAnsi="宋体"/>
          <w:b/>
          <w:color w:val="auto"/>
          <w:sz w:val="28"/>
          <w:szCs w:val="28"/>
          <w:highlight w:val="none"/>
        </w:rPr>
      </w:pPr>
      <w:r>
        <w:rPr>
          <w:rFonts w:ascii="宋体" w:hAnsi="宋体"/>
          <w:b/>
          <w:color w:val="auto"/>
          <w:sz w:val="28"/>
          <w:szCs w:val="28"/>
          <w:highlight w:val="none"/>
        </w:rPr>
        <w:br w:type="page"/>
      </w:r>
    </w:p>
    <w:p w14:paraId="0E449BC5">
      <w:pPr>
        <w:spacing w:line="320" w:lineRule="exact"/>
        <w:jc w:val="center"/>
        <w:rPr>
          <w:rFonts w:hint="eastAsia" w:ascii="宋体" w:hAnsi="宋体"/>
          <w:b/>
          <w:color w:val="auto"/>
          <w:sz w:val="32"/>
          <w:szCs w:val="32"/>
          <w:highlight w:val="none"/>
        </w:rPr>
      </w:pPr>
      <w:r>
        <w:rPr>
          <w:rFonts w:hint="eastAsia" w:ascii="宋体" w:hAnsi="宋体"/>
          <w:b/>
          <w:color w:val="auto"/>
          <w:sz w:val="32"/>
          <w:szCs w:val="32"/>
          <w:highlight w:val="none"/>
        </w:rPr>
        <w:t>供应商直接管理关系信息表</w:t>
      </w:r>
    </w:p>
    <w:p w14:paraId="657306F0">
      <w:pPr>
        <w:snapToGrid w:val="0"/>
        <w:spacing w:line="360" w:lineRule="auto"/>
        <w:jc w:val="center"/>
        <w:rPr>
          <w:rFonts w:hint="eastAsia" w:ascii="宋体" w:hAnsi="宋体"/>
          <w:b/>
          <w:color w:val="auto"/>
          <w:sz w:val="24"/>
          <w:highlight w:val="none"/>
        </w:rPr>
      </w:pPr>
    </w:p>
    <w:tbl>
      <w:tblPr>
        <w:tblStyle w:val="20"/>
        <w:tblW w:w="0" w:type="auto"/>
        <w:jc w:val="center"/>
        <w:shd w:val="clear" w:color="auto" w:fill="FBFBFB"/>
        <w:tblLayout w:type="fixed"/>
        <w:tblCellMar>
          <w:top w:w="0" w:type="dxa"/>
          <w:left w:w="0" w:type="dxa"/>
          <w:bottom w:w="0" w:type="dxa"/>
          <w:right w:w="0" w:type="dxa"/>
        </w:tblCellMar>
      </w:tblPr>
      <w:tblGrid>
        <w:gridCol w:w="808"/>
        <w:gridCol w:w="3600"/>
        <w:gridCol w:w="3555"/>
        <w:gridCol w:w="1689"/>
      </w:tblGrid>
      <w:tr w14:paraId="4708422D">
        <w:tblPrEx>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B17E404">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E1A2228">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16E4C96">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1C94102">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6C8A9891">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2BA5D5C">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D447BF5">
            <w:pPr>
              <w:widowControl/>
              <w:spacing w:line="360" w:lineRule="auto"/>
              <w:contextualSpacing/>
              <w:jc w:val="center"/>
              <w:rPr>
                <w:rFonts w:hint="eastAsia"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4C3C947">
            <w:pPr>
              <w:widowControl/>
              <w:spacing w:line="360" w:lineRule="auto"/>
              <w:contextualSpacing/>
              <w:jc w:val="center"/>
              <w:rPr>
                <w:rFonts w:hint="eastAsia"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0ABF4A0">
            <w:pPr>
              <w:widowControl/>
              <w:spacing w:line="360" w:lineRule="auto"/>
              <w:contextualSpacing/>
              <w:jc w:val="center"/>
              <w:rPr>
                <w:rFonts w:hint="eastAsia" w:ascii="宋体" w:hAnsi="宋体" w:cs="宋体"/>
                <w:color w:val="auto"/>
                <w:kern w:val="0"/>
                <w:sz w:val="24"/>
                <w:highlight w:val="none"/>
              </w:rPr>
            </w:pPr>
          </w:p>
        </w:tc>
      </w:tr>
      <w:tr w14:paraId="04A238FA">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63254C1">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22AD641">
            <w:pPr>
              <w:widowControl/>
              <w:spacing w:line="360" w:lineRule="auto"/>
              <w:contextualSpacing/>
              <w:jc w:val="center"/>
              <w:rPr>
                <w:rFonts w:hint="eastAsia"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1E47B60">
            <w:pPr>
              <w:widowControl/>
              <w:spacing w:line="360" w:lineRule="auto"/>
              <w:contextualSpacing/>
              <w:jc w:val="center"/>
              <w:rPr>
                <w:rFonts w:hint="eastAsia"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C6C1E51">
            <w:pPr>
              <w:widowControl/>
              <w:spacing w:line="360" w:lineRule="auto"/>
              <w:contextualSpacing/>
              <w:jc w:val="center"/>
              <w:rPr>
                <w:rFonts w:hint="eastAsia" w:ascii="宋体" w:hAnsi="宋体" w:cs="宋体"/>
                <w:color w:val="auto"/>
                <w:kern w:val="0"/>
                <w:sz w:val="24"/>
                <w:highlight w:val="none"/>
              </w:rPr>
            </w:pPr>
          </w:p>
        </w:tc>
      </w:tr>
      <w:tr w14:paraId="66B35957">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E080957">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75151AD">
            <w:pPr>
              <w:widowControl/>
              <w:spacing w:line="360" w:lineRule="auto"/>
              <w:contextualSpacing/>
              <w:jc w:val="center"/>
              <w:rPr>
                <w:rFonts w:hint="eastAsia"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A10809A">
            <w:pPr>
              <w:widowControl/>
              <w:spacing w:line="360" w:lineRule="auto"/>
              <w:contextualSpacing/>
              <w:jc w:val="center"/>
              <w:rPr>
                <w:rFonts w:hint="eastAsia"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79E31A8">
            <w:pPr>
              <w:widowControl/>
              <w:spacing w:line="360" w:lineRule="auto"/>
              <w:contextualSpacing/>
              <w:jc w:val="center"/>
              <w:rPr>
                <w:rFonts w:hint="eastAsia" w:ascii="宋体" w:hAnsi="宋体" w:cs="宋体"/>
                <w:color w:val="auto"/>
                <w:kern w:val="0"/>
                <w:sz w:val="24"/>
                <w:highlight w:val="none"/>
              </w:rPr>
            </w:pPr>
          </w:p>
        </w:tc>
      </w:tr>
      <w:tr w14:paraId="3EA43F83">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32A9946">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1D25324">
            <w:pPr>
              <w:widowControl/>
              <w:spacing w:line="360" w:lineRule="auto"/>
              <w:contextualSpacing/>
              <w:jc w:val="center"/>
              <w:rPr>
                <w:rFonts w:hint="eastAsia"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40C7F75">
            <w:pPr>
              <w:widowControl/>
              <w:spacing w:line="360" w:lineRule="auto"/>
              <w:contextualSpacing/>
              <w:jc w:val="center"/>
              <w:rPr>
                <w:rFonts w:hint="eastAsia"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BB242BA">
            <w:pPr>
              <w:widowControl/>
              <w:spacing w:line="360" w:lineRule="auto"/>
              <w:contextualSpacing/>
              <w:jc w:val="center"/>
              <w:rPr>
                <w:rFonts w:hint="eastAsia" w:ascii="宋体" w:hAnsi="宋体" w:cs="宋体"/>
                <w:color w:val="auto"/>
                <w:kern w:val="0"/>
                <w:sz w:val="24"/>
                <w:highlight w:val="none"/>
              </w:rPr>
            </w:pPr>
          </w:p>
        </w:tc>
      </w:tr>
    </w:tbl>
    <w:p w14:paraId="191D8E26">
      <w:pPr>
        <w:spacing w:line="360" w:lineRule="auto"/>
        <w:contextualSpacing/>
        <w:jc w:val="left"/>
        <w:rPr>
          <w:rFonts w:hint="eastAsia" w:ascii="宋体" w:hAnsi="宋体"/>
          <w:color w:val="auto"/>
          <w:sz w:val="24"/>
          <w:highlight w:val="none"/>
        </w:rPr>
      </w:pPr>
      <w:r>
        <w:rPr>
          <w:rFonts w:hint="eastAsia" w:ascii="宋体" w:hAnsi="宋体"/>
          <w:color w:val="auto"/>
          <w:sz w:val="24"/>
          <w:highlight w:val="none"/>
        </w:rPr>
        <w:t>注：</w:t>
      </w:r>
    </w:p>
    <w:p w14:paraId="7882B424">
      <w:pPr>
        <w:spacing w:line="360" w:lineRule="auto"/>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1.管理关系：是指不具有出资持股关系的其他单位之间存在的管理与被管理关系，如一些上下级关系的事业单位和团体组织。</w:t>
      </w:r>
    </w:p>
    <w:p w14:paraId="7F93B52E">
      <w:pPr>
        <w:spacing w:line="360" w:lineRule="auto"/>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2.</w:t>
      </w:r>
      <w:r>
        <w:rPr>
          <w:rFonts w:hint="eastAsia" w:ascii="宋体" w:hAnsi="宋体"/>
          <w:color w:val="auto"/>
          <w:spacing w:val="-6"/>
          <w:sz w:val="24"/>
          <w:highlight w:val="none"/>
        </w:rPr>
        <w:t>本表所指的管理关系仅限于直接管理关系，不包括间接的管理关系。</w:t>
      </w:r>
    </w:p>
    <w:p w14:paraId="505307FD">
      <w:pPr>
        <w:spacing w:line="360" w:lineRule="auto"/>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3.供应商不存在直接管理关系的，则在“直接管理关系单位名称”填“无”。</w:t>
      </w:r>
    </w:p>
    <w:p w14:paraId="441FB450">
      <w:pPr>
        <w:spacing w:line="360" w:lineRule="auto"/>
        <w:contextualSpacing/>
        <w:jc w:val="left"/>
        <w:rPr>
          <w:rFonts w:hint="eastAsia" w:ascii="宋体" w:hAnsi="宋体"/>
          <w:color w:val="auto"/>
          <w:sz w:val="28"/>
          <w:szCs w:val="28"/>
          <w:highlight w:val="none"/>
        </w:rPr>
      </w:pPr>
    </w:p>
    <w:p w14:paraId="1B59F302">
      <w:pPr>
        <w:spacing w:line="360" w:lineRule="auto"/>
        <w:contextualSpacing/>
        <w:jc w:val="left"/>
        <w:rPr>
          <w:rFonts w:hint="eastAsia" w:ascii="宋体" w:hAnsi="宋体"/>
          <w:color w:val="auto"/>
          <w:sz w:val="28"/>
          <w:szCs w:val="28"/>
          <w:highlight w:val="none"/>
        </w:rPr>
      </w:pPr>
    </w:p>
    <w:p w14:paraId="09DC3156">
      <w:pPr>
        <w:spacing w:line="360" w:lineRule="auto"/>
        <w:contextualSpacing/>
        <w:jc w:val="left"/>
        <w:rPr>
          <w:color w:val="auto"/>
          <w:sz w:val="28"/>
          <w:szCs w:val="28"/>
          <w:highlight w:val="none"/>
        </w:rPr>
      </w:pPr>
    </w:p>
    <w:p w14:paraId="4E33FE28">
      <w:pPr>
        <w:spacing w:line="360" w:lineRule="auto"/>
        <w:contextualSpacing/>
        <w:jc w:val="left"/>
        <w:rPr>
          <w:color w:val="auto"/>
          <w:sz w:val="28"/>
          <w:szCs w:val="28"/>
          <w:highlight w:val="none"/>
        </w:rPr>
      </w:pPr>
    </w:p>
    <w:p w14:paraId="664F0DC2">
      <w:pPr>
        <w:spacing w:line="360" w:lineRule="auto"/>
        <w:contextualSpacing/>
        <w:jc w:val="left"/>
        <w:rPr>
          <w:color w:val="auto"/>
          <w:sz w:val="28"/>
          <w:szCs w:val="28"/>
          <w:highlight w:val="none"/>
        </w:rPr>
      </w:pPr>
    </w:p>
    <w:p w14:paraId="1F77B34D">
      <w:pPr>
        <w:spacing w:line="360" w:lineRule="auto"/>
        <w:contextualSpacing/>
        <w:jc w:val="left"/>
        <w:rPr>
          <w:rFonts w:hint="eastAsia" w:ascii="宋体" w:hAnsi="宋体"/>
          <w:color w:val="auto"/>
          <w:sz w:val="28"/>
          <w:szCs w:val="28"/>
          <w:highlight w:val="none"/>
        </w:rPr>
      </w:pPr>
    </w:p>
    <w:p w14:paraId="1AD2FA31">
      <w:pPr>
        <w:spacing w:line="360" w:lineRule="auto"/>
        <w:ind w:right="480"/>
        <w:contextualSpacing/>
        <w:jc w:val="center"/>
        <w:rPr>
          <w:rFonts w:hint="eastAsia" w:ascii="宋体" w:hAnsi="宋体"/>
          <w:color w:val="auto"/>
          <w:sz w:val="24"/>
          <w:highlight w:val="none"/>
          <w:u w:val="single"/>
        </w:rPr>
      </w:pPr>
      <w:r>
        <w:rPr>
          <w:rFonts w:hint="eastAsia" w:ascii="宋体" w:hAnsi="宋体"/>
          <w:color w:val="auto"/>
          <w:sz w:val="24"/>
          <w:highlight w:val="none"/>
        </w:rPr>
        <w:t xml:space="preserve"> </w:t>
      </w:r>
      <w:r>
        <w:rPr>
          <w:rFonts w:ascii="宋体" w:hAnsi="宋体"/>
          <w:color w:val="auto"/>
          <w:sz w:val="24"/>
          <w:highlight w:val="none"/>
        </w:rPr>
        <w:t xml:space="preserve">             </w:t>
      </w:r>
      <w:r>
        <w:rPr>
          <w:rFonts w:hint="eastAsia" w:ascii="宋体" w:hAnsi="宋体"/>
          <w:color w:val="auto"/>
          <w:sz w:val="24"/>
          <w:highlight w:val="none"/>
        </w:rPr>
        <w:t>法定代表人或者委托代理人（签字或者电子签名）：</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p>
    <w:p w14:paraId="3A24BE1D">
      <w:pPr>
        <w:spacing w:line="360" w:lineRule="auto"/>
        <w:ind w:right="480" w:firstLine="3360" w:firstLineChars="1400"/>
        <w:contextualSpacing/>
        <w:rPr>
          <w:rFonts w:hint="eastAsia" w:ascii="宋体" w:hAnsi="宋体"/>
          <w:color w:val="auto"/>
          <w:sz w:val="24"/>
          <w:highlight w:val="none"/>
        </w:rPr>
      </w:pPr>
      <w:r>
        <w:rPr>
          <w:rFonts w:hint="eastAsia" w:ascii="宋体" w:hAnsi="宋体"/>
          <w:color w:val="auto"/>
          <w:sz w:val="24"/>
          <w:highlight w:val="none"/>
        </w:rPr>
        <w:t>供应商（电子签章）：</w:t>
      </w:r>
      <w:r>
        <w:rPr>
          <w:rFonts w:hint="eastAsia" w:ascii="宋体" w:hAnsi="宋体"/>
          <w:color w:val="auto"/>
          <w:sz w:val="24"/>
          <w:highlight w:val="none"/>
          <w:u w:val="single"/>
        </w:rPr>
        <w:t xml:space="preserve">                </w:t>
      </w:r>
    </w:p>
    <w:p w14:paraId="5749C734">
      <w:pPr>
        <w:spacing w:line="360" w:lineRule="auto"/>
        <w:ind w:firstLine="480" w:firstLineChars="200"/>
        <w:contextualSpacing/>
        <w:jc w:val="left"/>
        <w:rPr>
          <w:rFonts w:hint="eastAsia" w:ascii="宋体" w:hAnsi="宋体"/>
          <w:color w:val="auto"/>
          <w:sz w:val="28"/>
          <w:szCs w:val="28"/>
          <w:highlight w:val="none"/>
        </w:rPr>
      </w:pPr>
      <w:r>
        <w:rPr>
          <w:rFonts w:hint="eastAsia" w:ascii="宋体" w:hAnsi="宋体"/>
          <w:color w:val="auto"/>
          <w:sz w:val="24"/>
          <w:highlight w:val="none"/>
        </w:rPr>
        <w:t xml:space="preserve">                                        年    月    日</w:t>
      </w:r>
    </w:p>
    <w:p w14:paraId="297DA4A9">
      <w:pPr>
        <w:spacing w:line="320" w:lineRule="exact"/>
        <w:jc w:val="center"/>
        <w:rPr>
          <w:rFonts w:hint="eastAsia" w:ascii="宋体" w:hAnsi="宋体"/>
          <w:b/>
          <w:color w:val="auto"/>
          <w:sz w:val="32"/>
          <w:szCs w:val="32"/>
          <w:highlight w:val="none"/>
        </w:rPr>
      </w:pPr>
      <w:r>
        <w:rPr>
          <w:rFonts w:ascii="宋体" w:hAnsi="宋体"/>
          <w:color w:val="auto"/>
          <w:sz w:val="28"/>
          <w:szCs w:val="28"/>
          <w:highlight w:val="none"/>
        </w:rPr>
        <w:br w:type="page"/>
      </w:r>
      <w:r>
        <w:rPr>
          <w:rFonts w:hint="eastAsia" w:ascii="宋体" w:hAnsi="宋体"/>
          <w:b/>
          <w:color w:val="auto"/>
          <w:sz w:val="32"/>
          <w:szCs w:val="32"/>
          <w:highlight w:val="none"/>
        </w:rPr>
        <w:t>竞标声明</w:t>
      </w:r>
    </w:p>
    <w:p w14:paraId="52613B51">
      <w:pPr>
        <w:spacing w:line="320" w:lineRule="exact"/>
        <w:jc w:val="center"/>
        <w:rPr>
          <w:rFonts w:hint="eastAsia" w:ascii="宋体" w:hAnsi="宋体"/>
          <w:color w:val="auto"/>
          <w:sz w:val="24"/>
          <w:szCs w:val="20"/>
          <w:highlight w:val="none"/>
        </w:rPr>
      </w:pPr>
    </w:p>
    <w:p w14:paraId="7BFB47EA">
      <w:pPr>
        <w:spacing w:line="360" w:lineRule="auto"/>
        <w:contextualSpacing/>
        <w:rPr>
          <w:rFonts w:hint="eastAsia"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（采购人名称）</w:t>
      </w:r>
      <w:r>
        <w:rPr>
          <w:rFonts w:hint="eastAsia" w:ascii="宋体" w:hAnsi="宋体" w:cs="宋体"/>
          <w:color w:val="auto"/>
          <w:sz w:val="24"/>
          <w:highlight w:val="none"/>
        </w:rPr>
        <w:t>：</w:t>
      </w:r>
    </w:p>
    <w:p w14:paraId="79FEF7D7">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u w:val="single"/>
        </w:rPr>
        <w:t>（供应商名称）</w:t>
      </w:r>
      <w:r>
        <w:rPr>
          <w:rFonts w:hint="eastAsia" w:ascii="宋体" w:hAnsi="宋体" w:cs="宋体"/>
          <w:color w:val="auto"/>
          <w:sz w:val="24"/>
          <w:highlight w:val="none"/>
        </w:rPr>
        <w:t>系中华人民共和国合法供应商，经营地址</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17D41407">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我方愿意参加贵方组织的</w:t>
      </w:r>
      <w:r>
        <w:rPr>
          <w:rFonts w:hint="eastAsia" w:ascii="宋体" w:hAnsi="宋体" w:cs="宋体"/>
          <w:color w:val="auto"/>
          <w:sz w:val="24"/>
          <w:highlight w:val="none"/>
          <w:u w:val="single"/>
        </w:rPr>
        <w:t>（项目名称）</w:t>
      </w:r>
      <w:r>
        <w:rPr>
          <w:rFonts w:hint="eastAsia" w:ascii="宋体" w:hAnsi="宋体" w:cs="宋体"/>
          <w:color w:val="auto"/>
          <w:sz w:val="24"/>
          <w:highlight w:val="none"/>
        </w:rPr>
        <w:t>项目的竞标，为便于贵方公正、择优地确定成交供应商及其竞标产品和服务，我方就本次竞标有关事项郑重声明如下：</w:t>
      </w:r>
    </w:p>
    <w:p w14:paraId="5661178D">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1.我方向贵方提交的所有响应文件、资料都是准确的和真实的。</w:t>
      </w:r>
    </w:p>
    <w:p w14:paraId="3D528354">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olor w:val="auto"/>
          <w:sz w:val="24"/>
          <w:highlight w:val="none"/>
        </w:rPr>
        <w:t>我方不是为本次采购项目提供整体设计、规范编制或者项目管理、监理、检测等服务的供应商</w:t>
      </w:r>
      <w:r>
        <w:rPr>
          <w:rFonts w:hint="eastAsia" w:ascii="宋体" w:hAnsi="宋体" w:cs="宋体"/>
          <w:color w:val="auto"/>
          <w:sz w:val="24"/>
          <w:highlight w:val="none"/>
        </w:rPr>
        <w:t>。</w:t>
      </w:r>
    </w:p>
    <w:p w14:paraId="5C589BA8">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3.在此，我方宣布同意如下：</w:t>
      </w:r>
    </w:p>
    <w:p w14:paraId="1E6F7114">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（1）将按磋商文件的约定履行合同责任和义务；</w:t>
      </w:r>
    </w:p>
    <w:p w14:paraId="45E98714">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（2）已详细审查全部磋商文件，包括澄清或者更正公告（如有）；</w:t>
      </w:r>
    </w:p>
    <w:p w14:paraId="2E2B05E7">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（3）同意提供按照贵方可能要求的与磋商有关的一切数据或者资料；</w:t>
      </w:r>
    </w:p>
    <w:p w14:paraId="01D336F2">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（4）响应磋商文件规定的竞标有效期。</w:t>
      </w:r>
    </w:p>
    <w:p w14:paraId="3DB4D006">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4.我方承诺符合《中华人民共和国政府采购法》第二十二条规定：</w:t>
      </w:r>
    </w:p>
    <w:p w14:paraId="3217B76A">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（1）具有独立承担民事责任的能力；</w:t>
      </w:r>
    </w:p>
    <w:p w14:paraId="3B1A1ACE">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（2）具有良好的商业信誉和健全的财务会计制度；</w:t>
      </w:r>
    </w:p>
    <w:p w14:paraId="4AA3FE65">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（3）具有履行合同所必需的设备和专业技术能力；</w:t>
      </w:r>
    </w:p>
    <w:p w14:paraId="55198DCA">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（4）有依法缴纳税收和社会保障资金的良好记录；</w:t>
      </w:r>
    </w:p>
    <w:p w14:paraId="0F6D97FF">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（5）参加政府采购活动前三年内，在经营活动中没有重大违法记录；</w:t>
      </w:r>
    </w:p>
    <w:p w14:paraId="7C752732">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（6）法律、行政法规规定的其他条件。</w:t>
      </w:r>
    </w:p>
    <w:p w14:paraId="7C9B8FF8">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31CE0A80">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68784900">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□我方本次响应文件</w:t>
      </w:r>
      <w:r>
        <w:rPr>
          <w:rFonts w:hint="eastAsia" w:ascii="宋体" w:hAnsi="宋体" w:cs="宋体"/>
          <w:color w:val="auto"/>
          <w:kern w:val="0"/>
          <w:sz w:val="24"/>
          <w:highlight w:val="none"/>
        </w:rPr>
        <w:t>内容中</w:t>
      </w:r>
      <w:r>
        <w:rPr>
          <w:rFonts w:hint="eastAsia" w:ascii="宋体" w:hAnsi="宋体" w:cs="宋体"/>
          <w:color w:val="auto"/>
          <w:sz w:val="24"/>
          <w:highlight w:val="none"/>
        </w:rPr>
        <w:t>未</w:t>
      </w:r>
      <w:r>
        <w:rPr>
          <w:rFonts w:hint="eastAsia" w:ascii="宋体" w:hAnsi="宋体" w:cs="宋体"/>
          <w:color w:val="auto"/>
          <w:kern w:val="0"/>
          <w:sz w:val="24"/>
          <w:highlight w:val="none"/>
        </w:rPr>
        <w:t>涉及商业秘密；</w:t>
      </w:r>
    </w:p>
    <w:p w14:paraId="54C47AA6">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□我方本次响应文件</w:t>
      </w:r>
      <w:r>
        <w:rPr>
          <w:rFonts w:hint="eastAsia" w:ascii="宋体" w:hAnsi="宋体" w:cs="宋体"/>
          <w:color w:val="auto"/>
          <w:kern w:val="0"/>
          <w:sz w:val="24"/>
          <w:highlight w:val="none"/>
        </w:rPr>
        <w:t>涉及商业秘密的内容有：</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4C69082B">
      <w:pPr>
        <w:spacing w:line="360" w:lineRule="auto"/>
        <w:ind w:firstLine="480" w:firstLineChars="200"/>
        <w:contextualSpacing/>
        <w:rPr>
          <w:rFonts w:hint="eastAsia" w:ascii="宋体" w:hAnsi="宋体" w:cs="宋体"/>
          <w:color w:val="auto"/>
          <w:kern w:val="0"/>
          <w:sz w:val="24"/>
          <w:highlight w:val="none"/>
          <w:u w:val="single"/>
        </w:rPr>
      </w:pPr>
      <w:r>
        <w:rPr>
          <w:rFonts w:hint="eastAsia" w:ascii="宋体" w:hAnsi="宋体" w:cs="宋体"/>
          <w:color w:val="auto"/>
          <w:kern w:val="0"/>
          <w:sz w:val="24"/>
          <w:highlight w:val="none"/>
        </w:rPr>
        <w:t>7.与本磋商有关的一切正式往来信函请寄：</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邮政编号：</w:t>
      </w:r>
      <w:r>
        <w:rPr>
          <w:rFonts w:hint="eastAsia" w:ascii="宋体" w:hAnsi="宋体" w:cs="宋体"/>
          <w:color w:val="auto"/>
          <w:kern w:val="0"/>
          <w:sz w:val="24"/>
          <w:highlight w:val="none"/>
          <w:u w:val="single"/>
        </w:rPr>
        <w:t xml:space="preserve">        </w:t>
      </w:r>
    </w:p>
    <w:p w14:paraId="0F2EF3F1">
      <w:pPr>
        <w:spacing w:line="360" w:lineRule="auto"/>
        <w:ind w:firstLine="480" w:firstLineChars="200"/>
        <w:contextualSpacing/>
        <w:rPr>
          <w:rFonts w:hint="eastAsia" w:ascii="宋体" w:hAnsi="宋体" w:cs="宋体"/>
          <w:color w:val="auto"/>
          <w:kern w:val="0"/>
          <w:sz w:val="24"/>
          <w:highlight w:val="none"/>
        </w:rPr>
      </w:pPr>
      <w:r>
        <w:rPr>
          <w:rFonts w:hint="eastAsia" w:ascii="宋体" w:hAnsi="宋体" w:cs="宋体"/>
          <w:color w:val="auto"/>
          <w:kern w:val="0"/>
          <w:sz w:val="24"/>
          <w:highlight w:val="none"/>
        </w:rPr>
        <w:t>电话/传真：</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 xml:space="preserve"> 电子邮箱：</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 xml:space="preserve">    </w:t>
      </w:r>
    </w:p>
    <w:p w14:paraId="3F733734">
      <w:pPr>
        <w:pStyle w:val="13"/>
        <w:tabs>
          <w:tab w:val="left" w:pos="939"/>
        </w:tabs>
        <w:spacing w:line="360" w:lineRule="auto"/>
        <w:ind w:left="141" w:leftChars="67" w:firstLine="360" w:firstLineChars="150"/>
        <w:rPr>
          <w:rFonts w:hint="eastAsia" w:ascii="宋体" w:hAnsi="宋体" w:cs="宋体"/>
          <w:color w:val="auto"/>
          <w:sz w:val="24"/>
          <w:highlight w:val="none"/>
        </w:rPr>
      </w:pPr>
      <w:r>
        <w:rPr>
          <w:rFonts w:hint="eastAsia" w:ascii="宋体" w:hAnsi="宋体" w:cs="宋体"/>
          <w:color w:val="auto"/>
          <w:sz w:val="24"/>
          <w:highlight w:val="none"/>
        </w:rPr>
        <w:t>开户银行：</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r>
        <w:rPr>
          <w:rFonts w:hint="eastAsia" w:ascii="宋体" w:hAnsi="宋体" w:cs="宋体"/>
          <w:color w:val="auto"/>
          <w:sz w:val="24"/>
          <w:highlight w:val="none"/>
          <w:lang w:eastAsia="zh-CN"/>
        </w:rPr>
        <w:t>账号</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p>
    <w:p w14:paraId="13C51C79">
      <w:pPr>
        <w:pStyle w:val="13"/>
        <w:tabs>
          <w:tab w:val="left" w:pos="939"/>
        </w:tabs>
        <w:spacing w:line="360" w:lineRule="auto"/>
        <w:ind w:left="0" w:leftChars="0" w:firstLine="480" w:firstLineChars="200"/>
        <w:rPr>
          <w:rFonts w:hint="eastAsia" w:ascii="宋体" w:hAnsi="宋体" w:cs="宋体"/>
          <w:color w:val="auto"/>
          <w:sz w:val="24"/>
          <w:highlight w:val="none"/>
        </w:rPr>
      </w:pPr>
      <w:r>
        <w:rPr>
          <w:rFonts w:hint="eastAsia" w:ascii="宋体" w:hAnsi="宋体" w:cs="宋体"/>
          <w:color w:val="auto"/>
          <w:sz w:val="24"/>
          <w:highlight w:val="none"/>
        </w:rPr>
        <w:t>8.以上事项如有虚假或者隐瞒，我方愿意承担一切后果，并不再寻求任何旨在减轻或者免除法律责任的辩解。</w:t>
      </w:r>
    </w:p>
    <w:p w14:paraId="61FFB370">
      <w:pPr>
        <w:pStyle w:val="13"/>
        <w:tabs>
          <w:tab w:val="left" w:pos="939"/>
        </w:tabs>
        <w:spacing w:line="360" w:lineRule="auto"/>
        <w:ind w:left="141" w:leftChars="67" w:firstLine="360" w:firstLineChars="150"/>
        <w:rPr>
          <w:rFonts w:hint="eastAsia" w:ascii="宋体" w:hAnsi="宋体" w:cs="宋体"/>
          <w:color w:val="auto"/>
          <w:sz w:val="24"/>
          <w:highlight w:val="none"/>
        </w:rPr>
      </w:pPr>
      <w:r>
        <w:rPr>
          <w:rFonts w:hint="eastAsia" w:ascii="宋体" w:hAnsi="宋体" w:cs="宋体"/>
          <w:color w:val="auto"/>
          <w:sz w:val="24"/>
          <w:highlight w:val="none"/>
        </w:rPr>
        <w:t>特此承诺。</w:t>
      </w:r>
    </w:p>
    <w:p w14:paraId="712496F6">
      <w:pPr>
        <w:spacing w:line="360" w:lineRule="auto"/>
        <w:contextualSpacing/>
        <w:jc w:val="left"/>
        <w:rPr>
          <w:rFonts w:hint="eastAsia" w:ascii="宋体" w:hAnsi="宋体" w:cs="宋体"/>
          <w:color w:val="auto"/>
          <w:szCs w:val="21"/>
          <w:highlight w:val="none"/>
        </w:rPr>
      </w:pPr>
    </w:p>
    <w:p w14:paraId="6569E8BE">
      <w:pPr>
        <w:spacing w:line="360" w:lineRule="auto"/>
        <w:ind w:firstLine="1575" w:firstLineChars="750"/>
        <w:contextualSpacing/>
        <w:rPr>
          <w:color w:val="auto"/>
          <w:highlight w:val="none"/>
        </w:rPr>
      </w:pPr>
      <w:r>
        <w:rPr>
          <w:rFonts w:hint="eastAsia"/>
          <w:color w:val="auto"/>
          <w:highlight w:val="none"/>
        </w:rPr>
        <w:t>法定代表人（</w:t>
      </w:r>
      <w:r>
        <w:rPr>
          <w:rFonts w:hint="eastAsia" w:ascii="宋体" w:hAnsi="宋体"/>
          <w:color w:val="auto"/>
          <w:sz w:val="24"/>
          <w:highlight w:val="none"/>
        </w:rPr>
        <w:t>签字或者盖章或者电子签名</w:t>
      </w:r>
      <w:r>
        <w:rPr>
          <w:rFonts w:hint="eastAsia"/>
          <w:color w:val="auto"/>
          <w:highlight w:val="none"/>
        </w:rPr>
        <w:t>）：</w:t>
      </w:r>
      <w:r>
        <w:rPr>
          <w:rFonts w:hint="eastAsia"/>
          <w:color w:val="auto"/>
          <w:highlight w:val="none"/>
          <w:u w:val="single"/>
        </w:rPr>
        <w:t xml:space="preserve">           </w:t>
      </w:r>
      <w:r>
        <w:rPr>
          <w:rFonts w:hint="eastAsia"/>
          <w:color w:val="auto"/>
          <w:highlight w:val="none"/>
        </w:rPr>
        <w:t xml:space="preserve">                                     </w:t>
      </w:r>
    </w:p>
    <w:p w14:paraId="1FA46DB4">
      <w:pPr>
        <w:spacing w:line="360" w:lineRule="auto"/>
        <w:ind w:firstLine="3780" w:firstLineChars="1800"/>
        <w:contextualSpacing/>
        <w:rPr>
          <w:rFonts w:hint="eastAsia" w:ascii="宋体" w:hAnsi="宋体" w:cs="宋体"/>
          <w:color w:val="auto"/>
          <w:szCs w:val="21"/>
          <w:highlight w:val="none"/>
          <w:u w:val="single"/>
        </w:rPr>
      </w:pPr>
      <w:r>
        <w:rPr>
          <w:rFonts w:hint="eastAsia"/>
          <w:color w:val="auto"/>
          <w:highlight w:val="none"/>
        </w:rPr>
        <w:t>供应商（电子签章）：</w:t>
      </w:r>
      <w:r>
        <w:rPr>
          <w:rFonts w:hint="eastAsia"/>
          <w:color w:val="auto"/>
          <w:highlight w:val="none"/>
          <w:u w:val="single"/>
        </w:rPr>
        <w:t xml:space="preserve">                               </w:t>
      </w:r>
      <w:r>
        <w:rPr>
          <w:rFonts w:hint="eastAsia"/>
          <w:color w:val="auto"/>
          <w:highlight w:val="none"/>
        </w:rPr>
        <w:t xml:space="preserve">       </w:t>
      </w:r>
      <w:r>
        <w:rPr>
          <w:rFonts w:hint="eastAsia" w:ascii="宋体" w:hAnsi="宋体" w:cs="宋体"/>
          <w:color w:val="auto"/>
          <w:szCs w:val="21"/>
          <w:highlight w:val="none"/>
        </w:rPr>
        <w:t xml:space="preserve">    </w:t>
      </w:r>
    </w:p>
    <w:p w14:paraId="220EED6F">
      <w:pPr>
        <w:pStyle w:val="13"/>
        <w:tabs>
          <w:tab w:val="left" w:pos="939"/>
        </w:tabs>
        <w:spacing w:line="360" w:lineRule="auto"/>
        <w:ind w:left="0" w:leftChars="0" w:firstLine="420" w:firstLineChars="200"/>
        <w:rPr>
          <w:color w:val="auto"/>
          <w:sz w:val="24"/>
          <w:highlight w:val="none"/>
        </w:rPr>
      </w:pPr>
      <w:r>
        <w:rPr>
          <w:rFonts w:hint="eastAsia" w:ascii="宋体" w:hAnsi="宋体" w:cs="宋体"/>
          <w:color w:val="auto"/>
          <w:szCs w:val="21"/>
          <w:highlight w:val="none"/>
        </w:rPr>
        <w:t xml:space="preserve">                                                        </w:t>
      </w:r>
      <w:r>
        <w:rPr>
          <w:rFonts w:hint="eastAsia"/>
          <w:color w:val="auto"/>
          <w:highlight w:val="none"/>
        </w:rPr>
        <w:t xml:space="preserve"> 年    月    日</w:t>
      </w:r>
    </w:p>
    <w:p w14:paraId="714A095E">
      <w:pPr>
        <w:spacing w:line="360" w:lineRule="auto"/>
        <w:ind w:right="-817" w:rightChars="-389"/>
        <w:contextualSpacing/>
        <w:rPr>
          <w:rFonts w:hint="eastAsia" w:ascii="宋体" w:hAnsi="宋体"/>
          <w:b/>
          <w:color w:val="auto"/>
          <w:sz w:val="32"/>
          <w:szCs w:val="32"/>
          <w:highlight w:val="none"/>
        </w:rPr>
      </w:pPr>
      <w:r>
        <w:rPr>
          <w:rFonts w:hint="eastAsia"/>
          <w:color w:val="auto"/>
          <w:sz w:val="24"/>
          <w:highlight w:val="none"/>
        </w:rPr>
        <w:br w:type="page"/>
      </w:r>
      <w:r>
        <w:rPr>
          <w:rFonts w:hint="eastAsia" w:ascii="宋体" w:hAnsi="宋体"/>
          <w:b/>
          <w:bCs/>
          <w:color w:val="auto"/>
          <w:sz w:val="32"/>
          <w:szCs w:val="32"/>
          <w:highlight w:val="none"/>
        </w:rPr>
        <w:t>二、报价</w:t>
      </w:r>
      <w:r>
        <w:rPr>
          <w:rFonts w:hint="eastAsia" w:ascii="宋体" w:hAnsi="宋体"/>
          <w:b/>
          <w:color w:val="auto"/>
          <w:sz w:val="32"/>
          <w:szCs w:val="32"/>
          <w:highlight w:val="none"/>
        </w:rPr>
        <w:t xml:space="preserve">商务技术文件格式 </w:t>
      </w:r>
    </w:p>
    <w:p w14:paraId="59AF86F0">
      <w:pPr>
        <w:snapToGrid w:val="0"/>
        <w:spacing w:before="120" w:beforeLines="50" w:after="50" w:line="360" w:lineRule="auto"/>
        <w:jc w:val="left"/>
        <w:rPr>
          <w:rFonts w:hint="eastAsia" w:ascii="宋体" w:hAnsi="宋体"/>
          <w:b/>
          <w:color w:val="auto"/>
          <w:sz w:val="32"/>
          <w:szCs w:val="32"/>
          <w:highlight w:val="none"/>
        </w:rPr>
      </w:pPr>
      <w:r>
        <w:rPr>
          <w:rFonts w:hint="eastAsia" w:ascii="宋体" w:hAnsi="宋体"/>
          <w:b/>
          <w:color w:val="auto"/>
          <w:sz w:val="32"/>
          <w:szCs w:val="32"/>
          <w:highlight w:val="none"/>
        </w:rPr>
        <w:t>1.报价商务技术文件封面格式</w:t>
      </w:r>
    </w:p>
    <w:p w14:paraId="7B7289A5">
      <w:pPr>
        <w:snapToGrid w:val="0"/>
        <w:spacing w:before="120" w:beforeLines="50" w:after="50"/>
        <w:rPr>
          <w:rFonts w:hint="eastAsia" w:ascii="宋体" w:hAnsi="宋体"/>
          <w:bCs/>
          <w:color w:val="auto"/>
          <w:sz w:val="32"/>
          <w:szCs w:val="20"/>
          <w:highlight w:val="none"/>
        </w:rPr>
      </w:pPr>
      <w:r>
        <w:rPr>
          <w:rFonts w:hint="eastAsia" w:ascii="宋体" w:hAnsi="宋体"/>
          <w:color w:val="auto"/>
          <w:sz w:val="24"/>
          <w:highlight w:val="none"/>
        </w:rPr>
        <w:t xml:space="preserve">                                                    </w:t>
      </w:r>
    </w:p>
    <w:p w14:paraId="6A780399">
      <w:pPr>
        <w:snapToGrid w:val="0"/>
        <w:spacing w:before="120" w:beforeLines="50" w:after="50"/>
        <w:jc w:val="center"/>
        <w:rPr>
          <w:rFonts w:hint="eastAsia" w:ascii="宋体" w:hAnsi="宋体"/>
          <w:color w:val="auto"/>
          <w:sz w:val="24"/>
          <w:szCs w:val="20"/>
          <w:highlight w:val="none"/>
        </w:rPr>
      </w:pPr>
      <w:r>
        <w:rPr>
          <w:rFonts w:hint="eastAsia" w:ascii="宋体" w:hAnsi="宋体"/>
          <w:color w:val="auto"/>
          <w:sz w:val="44"/>
          <w:szCs w:val="44"/>
          <w:highlight w:val="none"/>
        </w:rPr>
        <w:t>电 子 响 应 文 件</w:t>
      </w:r>
    </w:p>
    <w:p w14:paraId="5D08D74E">
      <w:pPr>
        <w:snapToGrid w:val="0"/>
        <w:spacing w:before="120" w:beforeLines="50" w:after="50"/>
        <w:rPr>
          <w:rFonts w:hint="eastAsia" w:ascii="宋体" w:hAnsi="宋体"/>
          <w:color w:val="auto"/>
          <w:sz w:val="24"/>
          <w:szCs w:val="20"/>
          <w:highlight w:val="none"/>
        </w:rPr>
      </w:pPr>
    </w:p>
    <w:p w14:paraId="14C6E99C">
      <w:pPr>
        <w:snapToGrid w:val="0"/>
        <w:spacing w:before="120" w:beforeLines="50" w:after="50"/>
        <w:rPr>
          <w:rFonts w:hint="eastAsia" w:ascii="宋体" w:hAnsi="宋体"/>
          <w:color w:val="auto"/>
          <w:sz w:val="24"/>
          <w:szCs w:val="20"/>
          <w:highlight w:val="none"/>
        </w:rPr>
      </w:pPr>
    </w:p>
    <w:p w14:paraId="73D7B1CE">
      <w:pPr>
        <w:snapToGrid w:val="0"/>
        <w:spacing w:before="120" w:beforeLines="50" w:after="5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报  价  商  务  技  术  文  件</w:t>
      </w:r>
    </w:p>
    <w:p w14:paraId="7BFD6CFE">
      <w:pPr>
        <w:snapToGrid w:val="0"/>
        <w:spacing w:before="120" w:beforeLines="50" w:after="50"/>
        <w:rPr>
          <w:rFonts w:hint="eastAsia" w:ascii="宋体" w:hAnsi="宋体"/>
          <w:bCs/>
          <w:color w:val="auto"/>
          <w:sz w:val="24"/>
          <w:szCs w:val="20"/>
          <w:highlight w:val="none"/>
        </w:rPr>
      </w:pPr>
    </w:p>
    <w:p w14:paraId="3E70F9EB">
      <w:pPr>
        <w:snapToGrid w:val="0"/>
        <w:spacing w:before="120" w:beforeLines="50" w:after="50"/>
        <w:rPr>
          <w:rFonts w:hint="eastAsia" w:ascii="宋体" w:hAnsi="宋体"/>
          <w:bCs/>
          <w:color w:val="auto"/>
          <w:sz w:val="24"/>
          <w:szCs w:val="20"/>
          <w:highlight w:val="none"/>
        </w:rPr>
      </w:pPr>
    </w:p>
    <w:p w14:paraId="1D8437BC">
      <w:pPr>
        <w:snapToGrid w:val="0"/>
        <w:spacing w:before="120" w:beforeLines="50" w:after="50"/>
        <w:rPr>
          <w:rFonts w:hint="eastAsia" w:ascii="宋体" w:hAnsi="宋体"/>
          <w:bCs/>
          <w:color w:val="auto"/>
          <w:sz w:val="24"/>
          <w:szCs w:val="20"/>
          <w:highlight w:val="none"/>
        </w:rPr>
      </w:pPr>
    </w:p>
    <w:p w14:paraId="4902E848">
      <w:pPr>
        <w:snapToGrid w:val="0"/>
        <w:spacing w:before="120" w:beforeLines="50" w:after="50"/>
        <w:rPr>
          <w:rFonts w:hint="eastAsia" w:ascii="宋体" w:hAnsi="宋体"/>
          <w:bCs/>
          <w:color w:val="auto"/>
          <w:sz w:val="24"/>
          <w:szCs w:val="20"/>
          <w:highlight w:val="none"/>
        </w:rPr>
      </w:pPr>
    </w:p>
    <w:p w14:paraId="1A31A29C">
      <w:pPr>
        <w:snapToGrid w:val="0"/>
        <w:spacing w:before="120" w:beforeLines="50" w:after="50"/>
        <w:rPr>
          <w:rFonts w:hint="eastAsia" w:ascii="宋体" w:hAnsi="宋体"/>
          <w:bCs/>
          <w:color w:val="auto"/>
          <w:sz w:val="24"/>
          <w:szCs w:val="20"/>
          <w:highlight w:val="none"/>
        </w:rPr>
      </w:pPr>
    </w:p>
    <w:p w14:paraId="480ABE0C">
      <w:pPr>
        <w:snapToGrid w:val="0"/>
        <w:spacing w:before="120"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项目名称：</w:t>
      </w:r>
    </w:p>
    <w:p w14:paraId="7E237A1C">
      <w:pPr>
        <w:snapToGrid w:val="0"/>
        <w:spacing w:before="120" w:beforeLines="50" w:after="50"/>
        <w:ind w:firstLine="720" w:firstLineChars="225"/>
        <w:rPr>
          <w:rFonts w:hint="eastAsia" w:ascii="宋体" w:hAnsi="宋体" w:cs="仿宋_GB2312"/>
          <w:bCs/>
          <w:color w:val="auto"/>
          <w:sz w:val="32"/>
          <w:szCs w:val="32"/>
          <w:highlight w:val="none"/>
        </w:rPr>
      </w:pPr>
    </w:p>
    <w:p w14:paraId="2D0C987A">
      <w:pPr>
        <w:snapToGrid w:val="0"/>
        <w:spacing w:before="120"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p>
    <w:p w14:paraId="762983EF">
      <w:pPr>
        <w:snapToGrid w:val="0"/>
        <w:spacing w:before="120" w:beforeLines="50" w:after="50"/>
        <w:ind w:firstLine="720" w:firstLineChars="225"/>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 xml:space="preserve"> </w:t>
      </w:r>
    </w:p>
    <w:p w14:paraId="656B9D07">
      <w:pPr>
        <w:snapToGrid w:val="0"/>
        <w:spacing w:before="120"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所竞分标（如有则填写，无分标时填写“无”或者留空）：</w:t>
      </w:r>
    </w:p>
    <w:p w14:paraId="261BEBA8">
      <w:pPr>
        <w:snapToGrid w:val="0"/>
        <w:spacing w:before="120" w:beforeLines="50" w:after="50"/>
        <w:ind w:firstLine="720" w:firstLineChars="225"/>
        <w:rPr>
          <w:rFonts w:hint="eastAsia" w:ascii="宋体" w:hAnsi="宋体" w:cs="仿宋_GB2312"/>
          <w:bCs/>
          <w:color w:val="auto"/>
          <w:sz w:val="32"/>
          <w:szCs w:val="32"/>
          <w:highlight w:val="none"/>
        </w:rPr>
      </w:pPr>
    </w:p>
    <w:p w14:paraId="3952F606">
      <w:pPr>
        <w:pStyle w:val="8"/>
        <w:snapToGrid w:val="0"/>
        <w:spacing w:before="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14:paraId="20141854">
      <w:pPr>
        <w:pStyle w:val="8"/>
        <w:snapToGrid w:val="0"/>
        <w:spacing w:before="50" w:after="50"/>
        <w:ind w:firstLine="640" w:firstLineChars="200"/>
        <w:rPr>
          <w:rFonts w:hint="eastAsia" w:ascii="宋体" w:hAnsi="宋体" w:cs="仿宋_GB2312"/>
          <w:bCs/>
          <w:color w:val="auto"/>
          <w:sz w:val="32"/>
          <w:szCs w:val="32"/>
          <w:highlight w:val="none"/>
        </w:rPr>
      </w:pPr>
    </w:p>
    <w:p w14:paraId="1630A676">
      <w:pPr>
        <w:pStyle w:val="8"/>
        <w:snapToGrid w:val="0"/>
        <w:spacing w:before="50" w:after="50"/>
        <w:ind w:firstLine="720" w:firstLineChars="225"/>
        <w:rPr>
          <w:rFonts w:hint="eastAsia" w:ascii="宋体" w:hAnsi="宋体" w:cs="仿宋_GB2312"/>
          <w:bCs/>
          <w:color w:val="auto"/>
          <w:sz w:val="32"/>
          <w:szCs w:val="32"/>
          <w:highlight w:val="none"/>
        </w:rPr>
      </w:pPr>
    </w:p>
    <w:p w14:paraId="36D53AAC">
      <w:pPr>
        <w:pStyle w:val="8"/>
        <w:snapToGrid w:val="0"/>
        <w:spacing w:before="50" w:after="50"/>
        <w:ind w:firstLine="0"/>
        <w:rPr>
          <w:rFonts w:hint="eastAsia" w:ascii="宋体" w:hAnsi="宋体" w:cs="仿宋_GB2312"/>
          <w:bCs/>
          <w:color w:val="auto"/>
          <w:sz w:val="32"/>
          <w:szCs w:val="32"/>
          <w:highlight w:val="none"/>
        </w:rPr>
      </w:pPr>
    </w:p>
    <w:p w14:paraId="6DEFA4CD">
      <w:pPr>
        <w:pStyle w:val="8"/>
        <w:snapToGrid w:val="0"/>
        <w:spacing w:before="50" w:after="50"/>
        <w:ind w:firstLine="1280" w:firstLineChars="400"/>
        <w:rPr>
          <w:rFonts w:hint="eastAsia" w:ascii="宋体" w:hAnsi="宋体" w:cs="仿宋_GB2312"/>
          <w:bCs/>
          <w:color w:val="auto"/>
          <w:sz w:val="32"/>
          <w:szCs w:val="32"/>
          <w:highlight w:val="none"/>
        </w:rPr>
      </w:pPr>
    </w:p>
    <w:p w14:paraId="6CAF4B33">
      <w:pPr>
        <w:snapToGrid w:val="0"/>
        <w:spacing w:before="120" w:beforeLines="50" w:after="50"/>
        <w:jc w:val="center"/>
        <w:rPr>
          <w:rFonts w:hint="eastAsia" w:ascii="宋体" w:hAnsi="宋体" w:cs="仿宋_GB2312"/>
          <w:color w:val="auto"/>
          <w:sz w:val="32"/>
          <w:szCs w:val="32"/>
          <w:highlight w:val="none"/>
        </w:rPr>
      </w:pPr>
      <w:r>
        <w:rPr>
          <w:rFonts w:hint="eastAsia" w:ascii="宋体" w:hAnsi="宋体" w:cs="仿宋_GB2312"/>
          <w:color w:val="auto"/>
          <w:sz w:val="32"/>
          <w:szCs w:val="32"/>
          <w:highlight w:val="none"/>
        </w:rPr>
        <w:t>年    月    日</w:t>
      </w:r>
    </w:p>
    <w:p w14:paraId="44D01483">
      <w:pPr>
        <w:snapToGrid w:val="0"/>
        <w:spacing w:before="120" w:beforeLines="50" w:after="50" w:line="360" w:lineRule="auto"/>
        <w:ind w:right="480" w:firstLine="240" w:firstLineChars="100"/>
        <w:jc w:val="left"/>
        <w:rPr>
          <w:rFonts w:hint="eastAsia" w:ascii="宋体" w:hAnsi="宋体"/>
          <w:b/>
          <w:bCs/>
          <w:color w:val="auto"/>
          <w:sz w:val="24"/>
          <w:highlight w:val="none"/>
        </w:rPr>
      </w:pPr>
      <w:r>
        <w:rPr>
          <w:rFonts w:ascii="宋体" w:hAnsi="宋体"/>
          <w:color w:val="auto"/>
          <w:sz w:val="24"/>
          <w:highlight w:val="none"/>
        </w:rPr>
        <w:br w:type="page"/>
      </w:r>
      <w:r>
        <w:rPr>
          <w:rFonts w:hint="eastAsia" w:ascii="宋体" w:hAnsi="宋体"/>
          <w:b/>
          <w:bCs/>
          <w:color w:val="auto"/>
          <w:sz w:val="32"/>
          <w:szCs w:val="32"/>
          <w:highlight w:val="none"/>
        </w:rPr>
        <w:t>2.报价商务技术文件目录</w:t>
      </w:r>
    </w:p>
    <w:p w14:paraId="3F22119F">
      <w:pPr>
        <w:snapToGrid w:val="0"/>
        <w:spacing w:before="120" w:beforeLines="50" w:after="50" w:line="360" w:lineRule="auto"/>
        <w:ind w:firstLine="640" w:firstLineChars="200"/>
        <w:rPr>
          <w:rFonts w:hint="eastAsia" w:ascii="宋体" w:hAnsi="宋体"/>
          <w:color w:val="auto"/>
          <w:sz w:val="32"/>
          <w:szCs w:val="32"/>
          <w:highlight w:val="none"/>
        </w:rPr>
      </w:pPr>
      <w:r>
        <w:rPr>
          <w:rFonts w:hint="eastAsia" w:ascii="宋体" w:hAnsi="宋体"/>
          <w:color w:val="auto"/>
          <w:sz w:val="32"/>
          <w:szCs w:val="32"/>
          <w:highlight w:val="none"/>
        </w:rPr>
        <w:t>根据磋商文件规定及供应商提供的材料自行编写目录（部分格式后附）。</w:t>
      </w:r>
    </w:p>
    <w:p w14:paraId="5383721F">
      <w:pPr>
        <w:spacing w:line="400" w:lineRule="exact"/>
        <w:rPr>
          <w:rFonts w:hint="eastAsia" w:ascii="仿宋_GB2312" w:hAnsi="仿宋_GB2312" w:eastAsia="仿宋_GB2312" w:cs="仿宋_GB2312"/>
          <w:color w:val="auto"/>
          <w:sz w:val="32"/>
          <w:szCs w:val="32"/>
          <w:highlight w:val="none"/>
        </w:rPr>
      </w:pPr>
    </w:p>
    <w:p w14:paraId="19DEF4D8">
      <w:pPr>
        <w:spacing w:line="520" w:lineRule="exact"/>
        <w:jc w:val="center"/>
        <w:rPr>
          <w:rFonts w:hint="eastAsia" w:ascii="仿宋_GB2312" w:hAnsi="仿宋_GB2312" w:eastAsia="仿宋_GB2312" w:cs="仿宋_GB2312"/>
          <w:color w:val="auto"/>
          <w:sz w:val="32"/>
          <w:szCs w:val="32"/>
          <w:highlight w:val="none"/>
        </w:rPr>
      </w:pPr>
      <w:r>
        <w:rPr>
          <w:rFonts w:hint="eastAsia" w:ascii="方正小标宋简体" w:hAnsi="方正小标宋简体" w:eastAsia="方正小标宋简体" w:cs="方正小标宋简体"/>
          <w:color w:val="auto"/>
          <w:sz w:val="44"/>
          <w:szCs w:val="44"/>
          <w:highlight w:val="none"/>
        </w:rPr>
        <w:br w:type="page"/>
      </w:r>
      <w:r>
        <w:rPr>
          <w:rFonts w:hint="eastAsia" w:ascii="方正小标宋简体" w:hAnsi="方正小标宋简体" w:eastAsia="方正小标宋简体" w:cs="方正小标宋简体"/>
          <w:color w:val="auto"/>
          <w:sz w:val="44"/>
          <w:szCs w:val="44"/>
          <w:highlight w:val="none"/>
        </w:rPr>
        <w:t>无串通竞标行为的承诺函</w:t>
      </w:r>
    </w:p>
    <w:p w14:paraId="7E5879D2">
      <w:pPr>
        <w:spacing w:line="360" w:lineRule="auto"/>
        <w:ind w:firstLine="640" w:firstLineChars="200"/>
        <w:contextualSpacing/>
        <w:rPr>
          <w:rFonts w:hint="eastAsia" w:ascii="仿宋_GB2312" w:hAnsi="仿宋_GB2312" w:eastAsia="仿宋_GB2312" w:cs="仿宋_GB2312"/>
          <w:color w:val="auto"/>
          <w:sz w:val="32"/>
          <w:szCs w:val="32"/>
          <w:highlight w:val="none"/>
        </w:rPr>
      </w:pPr>
    </w:p>
    <w:p w14:paraId="22F63331">
      <w:pPr>
        <w:spacing w:line="360" w:lineRule="auto"/>
        <w:ind w:firstLine="482" w:firstLineChars="200"/>
        <w:contextualSpacing/>
        <w:rPr>
          <w:rFonts w:hint="eastAsia" w:ascii="宋体" w:hAnsi="宋体" w:cs="仿宋_GB2312"/>
          <w:b/>
          <w:bCs/>
          <w:color w:val="auto"/>
          <w:sz w:val="24"/>
          <w:highlight w:val="none"/>
        </w:rPr>
      </w:pPr>
      <w:r>
        <w:rPr>
          <w:rFonts w:hint="eastAsia" w:ascii="宋体" w:hAnsi="宋体" w:cs="仿宋_GB2312"/>
          <w:b/>
          <w:bCs/>
          <w:color w:val="auto"/>
          <w:sz w:val="24"/>
          <w:highlight w:val="none"/>
        </w:rPr>
        <w:t>一、我方承诺无下列相互串通竞标的情形：</w:t>
      </w:r>
    </w:p>
    <w:p w14:paraId="2A3D8DA0">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1.不同供应商的响应文件由同一单位或者个人编制或者不同供应商报名的IP地址一致的；或者编制标书硬件设备CPU编号、硬盘编号、网卡地址一致的情况； </w:t>
      </w:r>
    </w:p>
    <w:p w14:paraId="489C1F28">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2.不同供应商委托同一单位或者个人办理竞标事宜；</w:t>
      </w:r>
    </w:p>
    <w:p w14:paraId="77ECAA43">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3.不同供应商的响应文件载明的项目管理员为同一个人；</w:t>
      </w:r>
    </w:p>
    <w:p w14:paraId="63E81DEA">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4.不</w:t>
      </w:r>
      <w:r>
        <w:rPr>
          <w:rFonts w:hint="eastAsia" w:ascii="宋体" w:hAnsi="宋体" w:cs="仿宋_GB2312"/>
          <w:color w:val="auto"/>
          <w:spacing w:val="-6"/>
          <w:sz w:val="24"/>
          <w:highlight w:val="none"/>
        </w:rPr>
        <w:t>同供应商的响应文件异常一致或者竞标报价呈规律性差异；</w:t>
      </w:r>
    </w:p>
    <w:p w14:paraId="0B1170CB">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5.不同供应商的响应文件相互混装；</w:t>
      </w:r>
    </w:p>
    <w:p w14:paraId="26834AFE">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6.不同供应商的磋商保证金从同一单位或者个人账户转出。</w:t>
      </w:r>
    </w:p>
    <w:p w14:paraId="7AD70C07">
      <w:pPr>
        <w:spacing w:line="360" w:lineRule="auto"/>
        <w:ind w:firstLine="482" w:firstLineChars="200"/>
        <w:contextualSpacing/>
        <w:rPr>
          <w:rFonts w:hint="eastAsia" w:ascii="宋体" w:hAnsi="宋体" w:cs="仿宋_GB2312"/>
          <w:b/>
          <w:bCs/>
          <w:color w:val="auto"/>
          <w:sz w:val="24"/>
          <w:highlight w:val="none"/>
        </w:rPr>
      </w:pPr>
      <w:r>
        <w:rPr>
          <w:rFonts w:hint="eastAsia" w:ascii="宋体" w:hAnsi="宋体" w:cs="仿宋_GB2312"/>
          <w:b/>
          <w:bCs/>
          <w:color w:val="auto"/>
          <w:sz w:val="24"/>
          <w:highlight w:val="none"/>
        </w:rPr>
        <w:t>二、我方承诺无下列恶意串通的情形：</w:t>
      </w:r>
    </w:p>
    <w:p w14:paraId="34923A47">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1.供应商直接或者间接从采购人或者采购代理机构处获得其他供应商的相关信息并修改其响应文件；</w:t>
      </w:r>
    </w:p>
    <w:p w14:paraId="0F0EFC59">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2.供应商按照采购人或者采购代理机构的授意撤换、修改响应文件；</w:t>
      </w:r>
    </w:p>
    <w:p w14:paraId="2F47014D">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3.供</w:t>
      </w:r>
      <w:r>
        <w:rPr>
          <w:rFonts w:hint="eastAsia" w:ascii="宋体" w:hAnsi="宋体" w:cs="仿宋_GB2312"/>
          <w:color w:val="auto"/>
          <w:spacing w:val="-6"/>
          <w:sz w:val="24"/>
          <w:highlight w:val="none"/>
        </w:rPr>
        <w:t>应商之间协商报价、技术方案等响应文件的实质性内容；</w:t>
      </w:r>
    </w:p>
    <w:p w14:paraId="21BEFDB9">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4.属于同一集团、协会、商会等组织成员的供应商按照该组织要求协同参加政府采购活动；</w:t>
      </w:r>
    </w:p>
    <w:p w14:paraId="6556D656">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5.供应商之间事先约定一致抬高或者压低竞标报价，或者在竞争性磋商项目中事先约定轮流以高价位或者低价位成交，或者事先约定由某一特定供应商成交，然后再参加竞标；</w:t>
      </w:r>
    </w:p>
    <w:p w14:paraId="7C0ADF28">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6.供应商之间商定部分供应商放弃参加政府采购活动或者放弃成交；</w:t>
      </w:r>
    </w:p>
    <w:p w14:paraId="3A5324BC">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7.供应商与采购人或者采购代理机构之间、供应商相互之间，为</w:t>
      </w:r>
      <w:r>
        <w:rPr>
          <w:rFonts w:hint="eastAsia" w:ascii="宋体" w:hAnsi="宋体" w:cs="仿宋_GB2312"/>
          <w:color w:val="auto"/>
          <w:spacing w:val="-6"/>
          <w:sz w:val="24"/>
          <w:highlight w:val="none"/>
        </w:rPr>
        <w:t>谋求特定供应商成交或者排斥其他供应商的其他串通行为。</w:t>
      </w:r>
    </w:p>
    <w:p w14:paraId="18062943">
      <w:pPr>
        <w:spacing w:line="360" w:lineRule="auto"/>
        <w:ind w:firstLine="480" w:firstLineChars="200"/>
        <w:contextualSpacing/>
        <w:rPr>
          <w:rFonts w:hint="eastAsia" w:ascii="宋体" w:hAnsi="宋体" w:cs="仿宋_GB2312"/>
          <w:color w:val="auto"/>
          <w:sz w:val="24"/>
          <w:highlight w:val="none"/>
        </w:rPr>
      </w:pPr>
    </w:p>
    <w:p w14:paraId="25CDDE35">
      <w:pPr>
        <w:spacing w:line="360" w:lineRule="auto"/>
        <w:ind w:firstLine="482" w:firstLineChars="200"/>
        <w:contextualSpacing/>
        <w:rPr>
          <w:rFonts w:hint="eastAsia" w:ascii="宋体" w:hAnsi="宋体" w:cs="仿宋_GB2312"/>
          <w:b/>
          <w:bCs/>
          <w:color w:val="auto"/>
          <w:sz w:val="24"/>
          <w:highlight w:val="none"/>
        </w:rPr>
      </w:pPr>
      <w:r>
        <w:rPr>
          <w:rFonts w:hint="eastAsia" w:ascii="宋体" w:hAnsi="宋体" w:cs="仿宋_GB2312"/>
          <w:b/>
          <w:bCs/>
          <w:color w:val="auto"/>
          <w:sz w:val="24"/>
          <w:highlight w:val="none"/>
        </w:rPr>
        <w:t>以上情形一经核查属实，我方愿意承担一切后果，并不再寻求任何旨在减轻或者免除法律责任的辩解。</w:t>
      </w:r>
    </w:p>
    <w:p w14:paraId="2E7FAEFD">
      <w:pPr>
        <w:spacing w:line="360" w:lineRule="auto"/>
        <w:contextualSpacing/>
        <w:rPr>
          <w:rFonts w:hint="eastAsia" w:ascii="宋体" w:hAnsi="宋体" w:cs="仿宋_GB2312"/>
          <w:color w:val="auto"/>
          <w:sz w:val="24"/>
          <w:highlight w:val="none"/>
        </w:rPr>
      </w:pPr>
    </w:p>
    <w:p w14:paraId="571FCA07">
      <w:pPr>
        <w:spacing w:line="360" w:lineRule="auto"/>
        <w:ind w:firstLine="3600" w:firstLineChars="1500"/>
        <w:contextualSpacing/>
        <w:rPr>
          <w:rFonts w:hint="eastAsia" w:ascii="宋体" w:hAnsi="宋体" w:cs="仿宋_GB2312"/>
          <w:color w:val="auto"/>
          <w:sz w:val="24"/>
          <w:highlight w:val="none"/>
        </w:rPr>
      </w:pPr>
      <w:r>
        <w:rPr>
          <w:rFonts w:hint="eastAsia" w:ascii="宋体" w:hAnsi="宋体" w:cs="仿宋_GB2312"/>
          <w:color w:val="auto"/>
          <w:sz w:val="24"/>
          <w:highlight w:val="none"/>
        </w:rPr>
        <w:t>供应商（电子签章）：</w:t>
      </w:r>
    </w:p>
    <w:p w14:paraId="2A602000">
      <w:pPr>
        <w:spacing w:line="360" w:lineRule="auto"/>
        <w:ind w:firstLine="480" w:firstLineChars="200"/>
        <w:contextualSpacing/>
        <w:jc w:val="center"/>
        <w:rPr>
          <w:rFonts w:hint="eastAsia" w:ascii="仿宋_GB2312" w:hAnsi="仿宋_GB2312" w:eastAsia="仿宋_GB2312" w:cs="仿宋_GB2312"/>
          <w:color w:val="auto"/>
          <w:sz w:val="32"/>
          <w:szCs w:val="32"/>
          <w:highlight w:val="none"/>
        </w:rPr>
      </w:pPr>
      <w:r>
        <w:rPr>
          <w:rFonts w:hint="eastAsia" w:ascii="宋体" w:hAnsi="宋体" w:cs="仿宋_GB2312"/>
          <w:color w:val="auto"/>
          <w:sz w:val="24"/>
          <w:highlight w:val="none"/>
        </w:rPr>
        <w:t xml:space="preserve">                               年   月   日</w:t>
      </w:r>
    </w:p>
    <w:p w14:paraId="2B1232A4">
      <w:pPr>
        <w:spacing w:line="300" w:lineRule="auto"/>
        <w:jc w:val="center"/>
        <w:rPr>
          <w:rFonts w:hint="eastAsia" w:ascii="宋体" w:hAnsi="宋体"/>
          <w:b/>
          <w:color w:val="auto"/>
          <w:sz w:val="32"/>
          <w:szCs w:val="32"/>
          <w:highlight w:val="none"/>
        </w:rPr>
      </w:pPr>
      <w:r>
        <w:rPr>
          <w:rFonts w:hint="eastAsia" w:ascii="方正小标宋简体" w:hAnsi="方正小标宋简体" w:eastAsia="方正小标宋简体" w:cs="方正小标宋简体"/>
          <w:bCs/>
          <w:color w:val="auto"/>
          <w:sz w:val="44"/>
          <w:szCs w:val="44"/>
          <w:highlight w:val="none"/>
        </w:rPr>
        <w:br w:type="page"/>
      </w:r>
      <w:r>
        <w:rPr>
          <w:rFonts w:hint="eastAsia" w:ascii="宋体" w:hAnsi="宋体"/>
          <w:b/>
          <w:color w:val="auto"/>
          <w:sz w:val="32"/>
          <w:szCs w:val="32"/>
          <w:highlight w:val="none"/>
        </w:rPr>
        <w:t>磋商报价表</w:t>
      </w:r>
    </w:p>
    <w:p w14:paraId="05B5D080">
      <w:pPr>
        <w:spacing w:line="360" w:lineRule="exact"/>
        <w:rPr>
          <w:rFonts w:hint="eastAsia" w:ascii="宋体" w:hAnsi="宋体"/>
          <w:color w:val="auto"/>
          <w:szCs w:val="21"/>
          <w:highlight w:val="none"/>
        </w:rPr>
      </w:pPr>
    </w:p>
    <w:p w14:paraId="16598AED">
      <w:pPr>
        <w:spacing w:line="360" w:lineRule="exact"/>
        <w:rPr>
          <w:rFonts w:hint="eastAsia" w:ascii="宋体" w:hAnsi="宋体"/>
          <w:color w:val="auto"/>
          <w:szCs w:val="21"/>
          <w:highlight w:val="none"/>
          <w:u w:val="single"/>
        </w:rPr>
      </w:pPr>
      <w:r>
        <w:rPr>
          <w:rFonts w:hint="eastAsia" w:ascii="宋体" w:hAnsi="宋体"/>
          <w:color w:val="auto"/>
          <w:szCs w:val="21"/>
          <w:highlight w:val="none"/>
        </w:rPr>
        <w:t>采购项目编号:               采购项目名称:</w:t>
      </w:r>
    </w:p>
    <w:p w14:paraId="479E9B55">
      <w:pPr>
        <w:spacing w:line="360" w:lineRule="exact"/>
        <w:jc w:val="right"/>
        <w:rPr>
          <w:rFonts w:hint="eastAsia" w:ascii="宋体" w:hAnsi="宋体"/>
          <w:color w:val="auto"/>
          <w:szCs w:val="21"/>
          <w:highlight w:val="none"/>
        </w:rPr>
      </w:pPr>
      <w:r>
        <w:rPr>
          <w:rFonts w:hint="eastAsia" w:ascii="宋体" w:hAnsi="宋体"/>
          <w:color w:val="auto"/>
          <w:szCs w:val="21"/>
          <w:highlight w:val="none"/>
        </w:rPr>
        <w:t>单位：元</w:t>
      </w:r>
    </w:p>
    <w:tbl>
      <w:tblPr>
        <w:tblStyle w:val="20"/>
        <w:tblW w:w="5419" w:type="pct"/>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2"/>
        <w:gridCol w:w="3105"/>
        <w:gridCol w:w="2296"/>
        <w:gridCol w:w="2042"/>
        <w:gridCol w:w="1231"/>
      </w:tblGrid>
      <w:tr w14:paraId="3F19E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27" w:type="pct"/>
            <w:tcBorders>
              <w:top w:val="single" w:color="auto" w:sz="4" w:space="0"/>
              <w:left w:val="single" w:color="auto" w:sz="4" w:space="0"/>
              <w:bottom w:val="single" w:color="auto" w:sz="4" w:space="0"/>
              <w:right w:val="single" w:color="auto" w:sz="4" w:space="0"/>
            </w:tcBorders>
            <w:vAlign w:val="center"/>
          </w:tcPr>
          <w:p w14:paraId="3302EC5A">
            <w:pPr>
              <w:spacing w:line="360" w:lineRule="auto"/>
              <w:jc w:val="center"/>
              <w:rPr>
                <w:rFonts w:hint="eastAsia" w:ascii="宋体" w:hAnsi="宋体" w:cs="仿宋_GB2312"/>
                <w:color w:val="auto"/>
                <w:sz w:val="24"/>
                <w:highlight w:val="none"/>
              </w:rPr>
            </w:pPr>
            <w:r>
              <w:rPr>
                <w:rFonts w:ascii="宋体" w:hAnsi="宋体" w:cs="仿宋_GB2312"/>
                <w:color w:val="auto"/>
                <w:sz w:val="24"/>
                <w:highlight w:val="none"/>
              </w:rPr>
              <w:t>序号</w:t>
            </w:r>
          </w:p>
        </w:tc>
        <w:tc>
          <w:tcPr>
            <w:tcW w:w="1601" w:type="pct"/>
            <w:tcBorders>
              <w:top w:val="single" w:color="auto" w:sz="4" w:space="0"/>
              <w:left w:val="single" w:color="auto" w:sz="4" w:space="0"/>
              <w:bottom w:val="single" w:color="auto" w:sz="4" w:space="0"/>
              <w:right w:val="single" w:color="auto" w:sz="4" w:space="0"/>
            </w:tcBorders>
            <w:vAlign w:val="center"/>
          </w:tcPr>
          <w:p w14:paraId="2FD10C29">
            <w:pPr>
              <w:spacing w:line="360" w:lineRule="auto"/>
              <w:jc w:val="center"/>
              <w:rPr>
                <w:rFonts w:hint="eastAsia" w:ascii="宋体" w:hAnsi="宋体" w:cs="仿宋_GB2312"/>
                <w:color w:val="auto"/>
                <w:sz w:val="24"/>
                <w:highlight w:val="none"/>
              </w:rPr>
            </w:pPr>
            <w:r>
              <w:rPr>
                <w:rFonts w:hint="eastAsia" w:ascii="宋体" w:hAnsi="宋体"/>
                <w:b/>
                <w:color w:val="auto"/>
                <w:sz w:val="24"/>
                <w:highlight w:val="none"/>
              </w:rPr>
              <w:t>标的的名称</w:t>
            </w:r>
          </w:p>
        </w:tc>
        <w:tc>
          <w:tcPr>
            <w:tcW w:w="1184" w:type="pct"/>
            <w:tcBorders>
              <w:top w:val="single" w:color="auto" w:sz="4" w:space="0"/>
              <w:left w:val="single" w:color="auto" w:sz="4" w:space="0"/>
              <w:bottom w:val="single" w:color="auto" w:sz="4" w:space="0"/>
              <w:right w:val="single" w:color="auto" w:sz="4" w:space="0"/>
            </w:tcBorders>
            <w:vAlign w:val="center"/>
          </w:tcPr>
          <w:p w14:paraId="23147AEB">
            <w:pPr>
              <w:spacing w:line="360" w:lineRule="auto"/>
              <w:jc w:val="center"/>
              <w:rPr>
                <w:rFonts w:hint="eastAsia" w:ascii="宋体" w:hAnsi="宋体" w:cs="仿宋_GB2312"/>
                <w:color w:val="auto"/>
                <w:sz w:val="24"/>
                <w:highlight w:val="none"/>
              </w:rPr>
            </w:pPr>
            <w:r>
              <w:rPr>
                <w:rFonts w:hint="eastAsia" w:ascii="宋体" w:hAnsi="宋体" w:cs="仿宋_GB2312"/>
                <w:color w:val="auto"/>
                <w:sz w:val="24"/>
                <w:highlight w:val="none"/>
              </w:rPr>
              <w:t>数量及单位</w:t>
            </w:r>
          </w:p>
        </w:tc>
        <w:tc>
          <w:tcPr>
            <w:tcW w:w="1053" w:type="pct"/>
            <w:tcBorders>
              <w:top w:val="single" w:color="auto" w:sz="4" w:space="0"/>
              <w:left w:val="single" w:color="auto" w:sz="4" w:space="0"/>
              <w:bottom w:val="single" w:color="auto" w:sz="4" w:space="0"/>
              <w:right w:val="single" w:color="auto" w:sz="4" w:space="0"/>
            </w:tcBorders>
            <w:vAlign w:val="center"/>
          </w:tcPr>
          <w:p w14:paraId="6EF2B649">
            <w:pPr>
              <w:spacing w:line="360" w:lineRule="auto"/>
              <w:jc w:val="center"/>
              <w:rPr>
                <w:rFonts w:hint="eastAsia" w:ascii="宋体" w:hAnsi="宋体" w:cs="仿宋_GB2312"/>
                <w:color w:val="auto"/>
                <w:sz w:val="24"/>
                <w:highlight w:val="none"/>
              </w:rPr>
            </w:pPr>
            <w:r>
              <w:rPr>
                <w:rFonts w:hint="eastAsia" w:ascii="宋体" w:hAnsi="宋体" w:cs="仿宋_GB2312"/>
                <w:color w:val="auto"/>
                <w:sz w:val="24"/>
                <w:highlight w:val="none"/>
              </w:rPr>
              <w:t>总价</w:t>
            </w:r>
          </w:p>
        </w:tc>
        <w:tc>
          <w:tcPr>
            <w:tcW w:w="633" w:type="pct"/>
            <w:tcBorders>
              <w:top w:val="single" w:color="auto" w:sz="4" w:space="0"/>
              <w:left w:val="single" w:color="auto" w:sz="4" w:space="0"/>
              <w:bottom w:val="single" w:color="auto" w:sz="4" w:space="0"/>
              <w:right w:val="single" w:color="auto" w:sz="4" w:space="0"/>
            </w:tcBorders>
            <w:vAlign w:val="center"/>
          </w:tcPr>
          <w:p w14:paraId="26ECEE7A">
            <w:pPr>
              <w:spacing w:line="360" w:lineRule="auto"/>
              <w:jc w:val="center"/>
              <w:rPr>
                <w:rFonts w:hint="eastAsia" w:ascii="宋体" w:hAnsi="宋体" w:cs="仿宋_GB2312"/>
                <w:color w:val="auto"/>
                <w:sz w:val="24"/>
                <w:highlight w:val="none"/>
              </w:rPr>
            </w:pPr>
            <w:r>
              <w:rPr>
                <w:rFonts w:ascii="宋体" w:hAnsi="宋体" w:cs="仿宋_GB2312"/>
                <w:color w:val="auto"/>
                <w:sz w:val="24"/>
                <w:highlight w:val="none"/>
              </w:rPr>
              <w:t>备注</w:t>
            </w:r>
          </w:p>
        </w:tc>
      </w:tr>
      <w:tr w14:paraId="733CA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right"/>
        </w:trPr>
        <w:tc>
          <w:tcPr>
            <w:tcW w:w="527" w:type="pct"/>
            <w:tcBorders>
              <w:top w:val="single" w:color="auto" w:sz="4" w:space="0"/>
              <w:left w:val="single" w:color="auto" w:sz="4" w:space="0"/>
              <w:bottom w:val="single" w:color="auto" w:sz="4" w:space="0"/>
              <w:right w:val="single" w:color="auto" w:sz="4" w:space="0"/>
            </w:tcBorders>
            <w:vAlign w:val="center"/>
          </w:tcPr>
          <w:p w14:paraId="1F4131A8">
            <w:pPr>
              <w:spacing w:line="360" w:lineRule="auto"/>
              <w:jc w:val="center"/>
              <w:rPr>
                <w:rFonts w:hint="eastAsia" w:ascii="宋体" w:hAnsi="宋体" w:cs="仿宋_GB2312"/>
                <w:color w:val="auto"/>
                <w:sz w:val="24"/>
                <w:highlight w:val="none"/>
              </w:rPr>
            </w:pPr>
            <w:r>
              <w:rPr>
                <w:rFonts w:ascii="宋体" w:hAnsi="宋体" w:cs="仿宋_GB2312"/>
                <w:color w:val="auto"/>
                <w:sz w:val="24"/>
                <w:highlight w:val="none"/>
              </w:rPr>
              <w:t>1</w:t>
            </w:r>
          </w:p>
        </w:tc>
        <w:tc>
          <w:tcPr>
            <w:tcW w:w="1601" w:type="pct"/>
            <w:tcBorders>
              <w:top w:val="single" w:color="auto" w:sz="4" w:space="0"/>
              <w:left w:val="single" w:color="auto" w:sz="4" w:space="0"/>
              <w:bottom w:val="single" w:color="auto" w:sz="4" w:space="0"/>
              <w:right w:val="single" w:color="auto" w:sz="4" w:space="0"/>
            </w:tcBorders>
            <w:vAlign w:val="center"/>
          </w:tcPr>
          <w:p w14:paraId="2529BA65">
            <w:pPr>
              <w:spacing w:line="360" w:lineRule="auto"/>
              <w:jc w:val="center"/>
              <w:rPr>
                <w:rFonts w:hint="eastAsia" w:ascii="宋体" w:hAnsi="宋体" w:cs="仿宋_GB2312"/>
                <w:color w:val="auto"/>
                <w:sz w:val="24"/>
                <w:highlight w:val="none"/>
              </w:rPr>
            </w:pPr>
          </w:p>
        </w:tc>
        <w:tc>
          <w:tcPr>
            <w:tcW w:w="1184" w:type="pct"/>
            <w:tcBorders>
              <w:top w:val="single" w:color="auto" w:sz="4" w:space="0"/>
              <w:left w:val="single" w:color="auto" w:sz="4" w:space="0"/>
              <w:bottom w:val="single" w:color="auto" w:sz="4" w:space="0"/>
              <w:right w:val="single" w:color="auto" w:sz="4" w:space="0"/>
            </w:tcBorders>
            <w:vAlign w:val="center"/>
          </w:tcPr>
          <w:p w14:paraId="4D06C318">
            <w:pPr>
              <w:spacing w:line="360" w:lineRule="auto"/>
              <w:jc w:val="center"/>
              <w:rPr>
                <w:rFonts w:hint="eastAsia" w:ascii="宋体" w:hAnsi="宋体" w:cs="仿宋_GB2312"/>
                <w:color w:val="auto"/>
                <w:sz w:val="24"/>
                <w:highlight w:val="none"/>
              </w:rPr>
            </w:pPr>
          </w:p>
        </w:tc>
        <w:tc>
          <w:tcPr>
            <w:tcW w:w="1053" w:type="pct"/>
            <w:tcBorders>
              <w:top w:val="single" w:color="auto" w:sz="4" w:space="0"/>
              <w:left w:val="single" w:color="auto" w:sz="4" w:space="0"/>
              <w:bottom w:val="single" w:color="auto" w:sz="4" w:space="0"/>
              <w:right w:val="single" w:color="auto" w:sz="4" w:space="0"/>
            </w:tcBorders>
          </w:tcPr>
          <w:p w14:paraId="7D0796BF">
            <w:pPr>
              <w:spacing w:line="360" w:lineRule="auto"/>
              <w:rPr>
                <w:rFonts w:hint="eastAsia" w:ascii="宋体" w:hAnsi="宋体" w:cs="仿宋_GB2312"/>
                <w:color w:val="auto"/>
                <w:sz w:val="24"/>
                <w:highlight w:val="none"/>
              </w:rPr>
            </w:pPr>
          </w:p>
        </w:tc>
        <w:tc>
          <w:tcPr>
            <w:tcW w:w="633" w:type="pct"/>
            <w:tcBorders>
              <w:top w:val="single" w:color="auto" w:sz="4" w:space="0"/>
              <w:left w:val="single" w:color="auto" w:sz="4" w:space="0"/>
              <w:bottom w:val="single" w:color="auto" w:sz="4" w:space="0"/>
              <w:right w:val="single" w:color="auto" w:sz="4" w:space="0"/>
            </w:tcBorders>
            <w:vAlign w:val="center"/>
          </w:tcPr>
          <w:p w14:paraId="2AA38C69">
            <w:pPr>
              <w:spacing w:line="360" w:lineRule="auto"/>
              <w:rPr>
                <w:rFonts w:hint="eastAsia" w:ascii="宋体" w:hAnsi="宋体" w:cs="仿宋_GB2312"/>
                <w:color w:val="auto"/>
                <w:sz w:val="24"/>
                <w:highlight w:val="none"/>
              </w:rPr>
            </w:pPr>
          </w:p>
        </w:tc>
      </w:tr>
      <w:tr w14:paraId="324A6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7" w:hRule="atLeast"/>
          <w:jc w:val="right"/>
        </w:trPr>
        <w:tc>
          <w:tcPr>
            <w:tcW w:w="5000" w:type="pct"/>
            <w:gridSpan w:val="5"/>
            <w:tcBorders>
              <w:top w:val="single" w:color="auto" w:sz="4" w:space="0"/>
              <w:left w:val="single" w:color="auto" w:sz="4" w:space="0"/>
              <w:bottom w:val="single" w:color="auto" w:sz="4" w:space="0"/>
              <w:right w:val="single" w:color="auto" w:sz="4" w:space="0"/>
            </w:tcBorders>
            <w:vAlign w:val="center"/>
          </w:tcPr>
          <w:p w14:paraId="2500076C">
            <w:pPr>
              <w:snapToGrid w:val="0"/>
              <w:spacing w:before="50" w:after="50" w:line="360" w:lineRule="auto"/>
              <w:rPr>
                <w:rFonts w:hint="eastAsia" w:ascii="宋体" w:hAnsi="宋体" w:cs="仿宋_GB2312"/>
                <w:color w:val="auto"/>
                <w:sz w:val="24"/>
                <w:highlight w:val="none"/>
              </w:rPr>
            </w:pPr>
            <w:r>
              <w:rPr>
                <w:rFonts w:hint="eastAsia" w:ascii="宋体" w:hAnsi="宋体" w:cs="仿宋_GB2312"/>
                <w:color w:val="auto"/>
                <w:sz w:val="24"/>
                <w:highlight w:val="none"/>
              </w:rPr>
              <w:t>交付时间：</w:t>
            </w:r>
          </w:p>
        </w:tc>
      </w:tr>
    </w:tbl>
    <w:p w14:paraId="49C8BBA5">
      <w:pPr>
        <w:spacing w:line="360" w:lineRule="exact"/>
        <w:rPr>
          <w:rFonts w:hint="eastAsia" w:ascii="宋体" w:hAnsi="宋体"/>
          <w:color w:val="auto"/>
          <w:szCs w:val="21"/>
          <w:highlight w:val="none"/>
        </w:rPr>
      </w:pPr>
    </w:p>
    <w:p w14:paraId="70DE106A">
      <w:pPr>
        <w:spacing w:line="360" w:lineRule="exact"/>
        <w:rPr>
          <w:rFonts w:hint="eastAsia" w:ascii="宋体" w:hAnsi="宋体"/>
          <w:color w:val="auto"/>
          <w:szCs w:val="21"/>
          <w:highlight w:val="none"/>
        </w:rPr>
      </w:pPr>
      <w:r>
        <w:rPr>
          <w:rFonts w:hint="eastAsia" w:ascii="宋体" w:hAnsi="宋体"/>
          <w:color w:val="auto"/>
          <w:szCs w:val="21"/>
          <w:highlight w:val="none"/>
        </w:rPr>
        <w:t>注：1、所有价格均用人民币表示，单位为元，精确到小数点后两位数。</w:t>
      </w:r>
    </w:p>
    <w:p w14:paraId="16BA4F87">
      <w:pPr>
        <w:spacing w:line="360" w:lineRule="exact"/>
        <w:ind w:firstLine="420"/>
        <w:rPr>
          <w:rFonts w:hint="eastAsia" w:ascii="宋体" w:hAnsi="宋体"/>
          <w:color w:val="auto"/>
          <w:kern w:val="0"/>
          <w:szCs w:val="21"/>
          <w:highlight w:val="none"/>
        </w:rPr>
      </w:pPr>
      <w:r>
        <w:rPr>
          <w:rFonts w:ascii="宋体" w:hAnsi="宋体"/>
          <w:color w:val="auto"/>
          <w:kern w:val="0"/>
          <w:szCs w:val="21"/>
          <w:highlight w:val="none"/>
        </w:rPr>
        <w:t>2</w:t>
      </w:r>
      <w:r>
        <w:rPr>
          <w:rFonts w:hint="eastAsia" w:ascii="宋体" w:hAnsi="宋体"/>
          <w:color w:val="auto"/>
          <w:kern w:val="0"/>
          <w:szCs w:val="21"/>
          <w:highlight w:val="none"/>
        </w:rPr>
        <w:t>、供应商的报价表必须加盖供应商公章并由法定代表人或者委托代理人签字，</w:t>
      </w:r>
      <w:r>
        <w:rPr>
          <w:rFonts w:hint="eastAsia" w:ascii="宋体" w:hAnsi="宋体"/>
          <w:b/>
          <w:color w:val="auto"/>
          <w:kern w:val="0"/>
          <w:szCs w:val="21"/>
          <w:highlight w:val="none"/>
        </w:rPr>
        <w:t>否则其响应文件按无效响应处理。</w:t>
      </w:r>
    </w:p>
    <w:p w14:paraId="6680974A">
      <w:pPr>
        <w:spacing w:line="360" w:lineRule="exact"/>
        <w:ind w:firstLine="420"/>
        <w:rPr>
          <w:rFonts w:hint="eastAsia" w:ascii="宋体" w:hAnsi="宋体"/>
          <w:color w:val="auto"/>
          <w:kern w:val="0"/>
          <w:szCs w:val="21"/>
          <w:highlight w:val="none"/>
        </w:rPr>
      </w:pPr>
      <w:r>
        <w:rPr>
          <w:rFonts w:ascii="宋体" w:hAnsi="宋体"/>
          <w:color w:val="auto"/>
          <w:kern w:val="0"/>
          <w:szCs w:val="21"/>
          <w:highlight w:val="none"/>
        </w:rPr>
        <w:t>3</w:t>
      </w:r>
      <w:r>
        <w:rPr>
          <w:rFonts w:hint="eastAsia" w:ascii="宋体" w:hAnsi="宋体"/>
          <w:color w:val="auto"/>
          <w:kern w:val="0"/>
          <w:szCs w:val="21"/>
          <w:highlight w:val="none"/>
        </w:rPr>
        <w:t>、报价一经涂改，应在涂改处加盖供应商公章或者由法定代表人或者委托代理人签字或者盖章，</w:t>
      </w:r>
      <w:r>
        <w:rPr>
          <w:rFonts w:hint="eastAsia" w:ascii="宋体" w:hAnsi="宋体"/>
          <w:b/>
          <w:color w:val="auto"/>
          <w:kern w:val="0"/>
          <w:szCs w:val="21"/>
          <w:highlight w:val="none"/>
        </w:rPr>
        <w:t>否则其响应文件按无效响应处理。</w:t>
      </w:r>
    </w:p>
    <w:p w14:paraId="0A2F69C6">
      <w:pPr>
        <w:spacing w:line="360" w:lineRule="exact"/>
        <w:rPr>
          <w:rFonts w:hint="eastAsia" w:ascii="宋体" w:hAnsi="宋体"/>
          <w:color w:val="auto"/>
          <w:kern w:val="0"/>
          <w:sz w:val="20"/>
          <w:szCs w:val="21"/>
          <w:highlight w:val="none"/>
        </w:rPr>
      </w:pPr>
    </w:p>
    <w:p w14:paraId="37639A57">
      <w:pPr>
        <w:spacing w:line="360" w:lineRule="exact"/>
        <w:rPr>
          <w:rFonts w:hint="eastAsia" w:ascii="宋体" w:hAnsi="宋体"/>
          <w:color w:val="auto"/>
          <w:kern w:val="0"/>
          <w:sz w:val="20"/>
          <w:szCs w:val="21"/>
          <w:highlight w:val="none"/>
        </w:rPr>
      </w:pPr>
    </w:p>
    <w:p w14:paraId="2D106731">
      <w:pPr>
        <w:spacing w:line="360" w:lineRule="exact"/>
        <w:rPr>
          <w:rFonts w:hint="eastAsia" w:ascii="宋体" w:hAnsi="宋体"/>
          <w:color w:val="auto"/>
          <w:kern w:val="0"/>
          <w:szCs w:val="21"/>
          <w:highlight w:val="none"/>
        </w:rPr>
      </w:pPr>
      <w:r>
        <w:rPr>
          <w:rFonts w:hint="eastAsia"/>
          <w:color w:val="auto"/>
          <w:szCs w:val="21"/>
          <w:highlight w:val="none"/>
        </w:rPr>
        <w:t>供应商名称（盖公章）：</w:t>
      </w:r>
    </w:p>
    <w:p w14:paraId="3C3E8B93">
      <w:pPr>
        <w:spacing w:line="360" w:lineRule="exact"/>
        <w:rPr>
          <w:rFonts w:hint="eastAsia" w:ascii="宋体" w:hAnsi="宋体"/>
          <w:color w:val="auto"/>
          <w:kern w:val="0"/>
          <w:szCs w:val="21"/>
          <w:highlight w:val="none"/>
        </w:rPr>
      </w:pPr>
    </w:p>
    <w:p w14:paraId="0797346D">
      <w:pPr>
        <w:spacing w:line="360" w:lineRule="exact"/>
        <w:rPr>
          <w:rFonts w:hint="eastAsia" w:ascii="宋体" w:hAnsi="宋体"/>
          <w:color w:val="auto"/>
          <w:kern w:val="0"/>
          <w:szCs w:val="21"/>
          <w:highlight w:val="none"/>
          <w:u w:val="single"/>
        </w:rPr>
      </w:pPr>
      <w:r>
        <w:rPr>
          <w:rFonts w:hint="eastAsia" w:ascii="宋体" w:hAnsi="宋体"/>
          <w:color w:val="auto"/>
          <w:kern w:val="0"/>
          <w:szCs w:val="21"/>
          <w:highlight w:val="none"/>
        </w:rPr>
        <w:t>法定代表人或委托代理人（签字或者电子签名）：</w:t>
      </w:r>
    </w:p>
    <w:p w14:paraId="1D8EC244">
      <w:pPr>
        <w:spacing w:line="360" w:lineRule="exact"/>
        <w:rPr>
          <w:rFonts w:hint="eastAsia" w:ascii="宋体" w:hAnsi="宋体"/>
          <w:color w:val="auto"/>
          <w:kern w:val="0"/>
          <w:szCs w:val="21"/>
          <w:highlight w:val="none"/>
        </w:rPr>
      </w:pPr>
    </w:p>
    <w:p w14:paraId="5F96FB77">
      <w:pPr>
        <w:spacing w:line="360" w:lineRule="exact"/>
        <w:rPr>
          <w:rFonts w:hint="eastAsia" w:ascii="宋体" w:hAnsi="宋体"/>
          <w:color w:val="auto"/>
          <w:kern w:val="0"/>
          <w:szCs w:val="21"/>
          <w:highlight w:val="none"/>
        </w:rPr>
      </w:pPr>
      <w:r>
        <w:rPr>
          <w:rFonts w:hint="eastAsia" w:ascii="宋体" w:hAnsi="宋体"/>
          <w:color w:val="auto"/>
          <w:kern w:val="0"/>
          <w:szCs w:val="21"/>
          <w:highlight w:val="none"/>
        </w:rPr>
        <w:t>日期</w:t>
      </w:r>
    </w:p>
    <w:p w14:paraId="11381CD5">
      <w:pPr>
        <w:spacing w:line="520" w:lineRule="exact"/>
        <w:jc w:val="center"/>
        <w:rPr>
          <w:rFonts w:hint="eastAsia" w:ascii="仿宋_GB2312" w:hAnsi="仿宋_GB2312" w:eastAsia="仿宋_GB2312" w:cs="仿宋_GB2312"/>
          <w:color w:val="auto"/>
          <w:sz w:val="32"/>
          <w:szCs w:val="32"/>
          <w:highlight w:val="none"/>
        </w:rPr>
      </w:pPr>
      <w:r>
        <w:rPr>
          <w:rFonts w:hint="eastAsia" w:ascii="方正小标宋简体" w:hAnsi="方正小标宋简体" w:eastAsia="方正小标宋简体" w:cs="方正小标宋简体"/>
          <w:bCs/>
          <w:color w:val="auto"/>
          <w:sz w:val="44"/>
          <w:szCs w:val="44"/>
          <w:highlight w:val="none"/>
        </w:rPr>
        <w:br w:type="page"/>
      </w:r>
      <w:r>
        <w:rPr>
          <w:rFonts w:hint="eastAsia" w:ascii="方正小标宋简体" w:hAnsi="方正小标宋简体" w:eastAsia="方正小标宋简体" w:cs="方正小标宋简体"/>
          <w:bCs/>
          <w:color w:val="auto"/>
          <w:sz w:val="44"/>
          <w:szCs w:val="44"/>
          <w:highlight w:val="none"/>
        </w:rPr>
        <w:t>法定代表人证明书</w:t>
      </w:r>
    </w:p>
    <w:p w14:paraId="7043F3AE">
      <w:pPr>
        <w:spacing w:line="360" w:lineRule="auto"/>
        <w:ind w:left="540"/>
        <w:contextualSpacing/>
        <w:rPr>
          <w:rFonts w:hint="eastAsia" w:ascii="仿宋_GB2312" w:hAnsi="仿宋_GB2312" w:eastAsia="仿宋_GB2312" w:cs="仿宋_GB2312"/>
          <w:color w:val="auto"/>
          <w:sz w:val="32"/>
          <w:szCs w:val="32"/>
          <w:highlight w:val="none"/>
        </w:rPr>
      </w:pPr>
    </w:p>
    <w:p w14:paraId="4766FA69">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供应商名称：</w:t>
      </w:r>
      <w:r>
        <w:rPr>
          <w:rFonts w:hint="eastAsia" w:ascii="宋体" w:hAnsi="宋体" w:cs="仿宋_GB2312"/>
          <w:color w:val="auto"/>
          <w:sz w:val="24"/>
          <w:highlight w:val="none"/>
          <w:u w:val="single"/>
        </w:rPr>
        <w:t xml:space="preserve">                                                        </w:t>
      </w:r>
    </w:p>
    <w:p w14:paraId="7FC130C9">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地    址：</w:t>
      </w:r>
      <w:r>
        <w:rPr>
          <w:rFonts w:hint="eastAsia" w:ascii="宋体" w:hAnsi="宋体" w:cs="仿宋_GB2312"/>
          <w:color w:val="auto"/>
          <w:sz w:val="24"/>
          <w:highlight w:val="none"/>
          <w:u w:val="single"/>
        </w:rPr>
        <w:t xml:space="preserve">                                                        </w:t>
      </w:r>
    </w:p>
    <w:p w14:paraId="507F5E64">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姓    名：</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性     别：</w:t>
      </w:r>
      <w:r>
        <w:rPr>
          <w:rFonts w:hint="eastAsia" w:ascii="宋体" w:hAnsi="宋体" w:cs="仿宋_GB2312"/>
          <w:color w:val="auto"/>
          <w:sz w:val="24"/>
          <w:highlight w:val="none"/>
          <w:u w:val="single"/>
        </w:rPr>
        <w:t xml:space="preserve">                </w:t>
      </w:r>
    </w:p>
    <w:p w14:paraId="1BBDDFB0">
      <w:pPr>
        <w:spacing w:line="360" w:lineRule="auto"/>
        <w:ind w:left="540"/>
        <w:contextualSpacing/>
        <w:rPr>
          <w:rFonts w:hint="eastAsia" w:ascii="宋体" w:hAnsi="宋体" w:cs="仿宋_GB2312"/>
          <w:color w:val="auto"/>
          <w:sz w:val="24"/>
          <w:highlight w:val="none"/>
          <w:u w:val="single"/>
        </w:rPr>
      </w:pPr>
      <w:r>
        <w:rPr>
          <w:rFonts w:hint="eastAsia" w:ascii="宋体" w:hAnsi="宋体" w:cs="仿宋_GB2312"/>
          <w:color w:val="auto"/>
          <w:sz w:val="24"/>
          <w:highlight w:val="none"/>
        </w:rPr>
        <w:t>年    龄：</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职     务：</w:t>
      </w:r>
      <w:r>
        <w:rPr>
          <w:rFonts w:hint="eastAsia" w:ascii="宋体" w:hAnsi="宋体" w:cs="仿宋_GB2312"/>
          <w:color w:val="auto"/>
          <w:sz w:val="24"/>
          <w:highlight w:val="none"/>
          <w:u w:val="single"/>
        </w:rPr>
        <w:t xml:space="preserve">                </w:t>
      </w:r>
    </w:p>
    <w:p w14:paraId="0E7B68A1">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身份证号码：</w:t>
      </w:r>
      <w:r>
        <w:rPr>
          <w:rFonts w:hint="eastAsia" w:ascii="宋体" w:hAnsi="宋体" w:cs="仿宋_GB2312"/>
          <w:color w:val="auto"/>
          <w:sz w:val="24"/>
          <w:highlight w:val="none"/>
          <w:u w:val="single"/>
        </w:rPr>
        <w:t xml:space="preserve">                                        </w:t>
      </w:r>
    </w:p>
    <w:p w14:paraId="0BDF2FCC">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系</w:t>
      </w:r>
      <w:r>
        <w:rPr>
          <w:rFonts w:hint="eastAsia" w:ascii="宋体" w:hAnsi="宋体" w:cs="仿宋_GB2312"/>
          <w:color w:val="auto"/>
          <w:sz w:val="24"/>
          <w:highlight w:val="none"/>
          <w:u w:val="single"/>
        </w:rPr>
        <w:t>（供应商名称）</w:t>
      </w:r>
      <w:r>
        <w:rPr>
          <w:rFonts w:hint="eastAsia" w:ascii="宋体" w:hAnsi="宋体" w:cs="仿宋_GB2312"/>
          <w:color w:val="auto"/>
          <w:sz w:val="24"/>
          <w:highlight w:val="none"/>
        </w:rPr>
        <w:t>的法定代表人。</w:t>
      </w:r>
    </w:p>
    <w:p w14:paraId="5BB94DBF">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特此证明。</w:t>
      </w:r>
    </w:p>
    <w:p w14:paraId="087418F6">
      <w:pPr>
        <w:spacing w:line="360" w:lineRule="auto"/>
        <w:ind w:left="540"/>
        <w:contextualSpacing/>
        <w:rPr>
          <w:rFonts w:hint="eastAsia" w:ascii="宋体" w:hAnsi="宋体" w:cs="仿宋_GB2312"/>
          <w:color w:val="auto"/>
          <w:sz w:val="24"/>
          <w:highlight w:val="none"/>
        </w:rPr>
      </w:pPr>
    </w:p>
    <w:p w14:paraId="502A5CBE">
      <w:pPr>
        <w:spacing w:line="360" w:lineRule="auto"/>
        <w:ind w:left="540"/>
        <w:contextualSpacing/>
        <w:rPr>
          <w:rFonts w:hint="eastAsia" w:ascii="宋体" w:hAnsi="宋体" w:cs="仿宋_GB2312"/>
          <w:color w:val="auto"/>
          <w:sz w:val="24"/>
          <w:highlight w:val="none"/>
        </w:rPr>
      </w:pPr>
    </w:p>
    <w:p w14:paraId="19312C1E">
      <w:pPr>
        <w:spacing w:line="360" w:lineRule="auto"/>
        <w:ind w:left="540"/>
        <w:contextualSpacing/>
        <w:rPr>
          <w:rFonts w:hint="eastAsia" w:ascii="宋体" w:hAnsi="宋体" w:cs="仿宋_GB2312"/>
          <w:color w:val="auto"/>
          <w:sz w:val="24"/>
          <w:highlight w:val="none"/>
        </w:rPr>
      </w:pPr>
    </w:p>
    <w:p w14:paraId="1514FDA9">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附件：法定代表人有效身份证正反面复印件</w:t>
      </w:r>
    </w:p>
    <w:p w14:paraId="45BEB71E">
      <w:pPr>
        <w:spacing w:line="360" w:lineRule="auto"/>
        <w:ind w:left="540"/>
        <w:contextualSpacing/>
        <w:rPr>
          <w:rFonts w:hint="eastAsia" w:ascii="宋体" w:hAnsi="宋体" w:cs="仿宋_GB2312"/>
          <w:color w:val="auto"/>
          <w:sz w:val="24"/>
          <w:highlight w:val="none"/>
        </w:rPr>
      </w:pPr>
    </w:p>
    <w:p w14:paraId="4C8124D5">
      <w:pPr>
        <w:spacing w:line="360" w:lineRule="auto"/>
        <w:ind w:left="540"/>
        <w:contextualSpacing/>
        <w:jc w:val="right"/>
        <w:rPr>
          <w:rFonts w:hint="eastAsia" w:ascii="宋体" w:hAnsi="宋体" w:cs="仿宋_GB2312"/>
          <w:color w:val="auto"/>
          <w:sz w:val="24"/>
          <w:highlight w:val="none"/>
        </w:rPr>
      </w:pPr>
      <w:r>
        <w:rPr>
          <w:rFonts w:hint="eastAsia" w:ascii="宋体" w:hAnsi="宋体" w:cs="仿宋_GB2312"/>
          <w:color w:val="auto"/>
          <w:sz w:val="24"/>
          <w:highlight w:val="none"/>
        </w:rPr>
        <w:t>供应商（电子签章）：</w:t>
      </w:r>
      <w:r>
        <w:rPr>
          <w:rFonts w:hint="eastAsia" w:ascii="宋体" w:hAnsi="宋体" w:cs="仿宋_GB2312"/>
          <w:color w:val="auto"/>
          <w:sz w:val="24"/>
          <w:highlight w:val="none"/>
          <w:u w:val="single"/>
        </w:rPr>
        <w:t xml:space="preserve">               </w:t>
      </w:r>
    </w:p>
    <w:p w14:paraId="2B971664">
      <w:pPr>
        <w:spacing w:line="360" w:lineRule="auto"/>
        <w:ind w:firstLine="4080" w:firstLineChars="1700"/>
        <w:contextualSpacing/>
        <w:rPr>
          <w:rFonts w:hint="eastAsia" w:ascii="宋体" w:hAnsi="宋体" w:cs="仿宋_GB2312"/>
          <w:color w:val="auto"/>
          <w:sz w:val="24"/>
          <w:highlight w:val="none"/>
        </w:rPr>
      </w:pP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年</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月</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日</w:t>
      </w:r>
    </w:p>
    <w:p w14:paraId="02ED66AB">
      <w:pPr>
        <w:spacing w:line="360" w:lineRule="auto"/>
        <w:contextualSpacing/>
        <w:jc w:val="center"/>
        <w:rPr>
          <w:rFonts w:hint="eastAsia" w:ascii="宋体" w:hAnsi="宋体" w:cs="仿宋_GB2312"/>
          <w:b/>
          <w:color w:val="auto"/>
          <w:sz w:val="24"/>
          <w:highlight w:val="none"/>
        </w:rPr>
      </w:pPr>
    </w:p>
    <w:p w14:paraId="7FBFB20E">
      <w:pPr>
        <w:spacing w:line="360" w:lineRule="auto"/>
        <w:contextualSpacing/>
        <w:jc w:val="left"/>
        <w:rPr>
          <w:rFonts w:hint="eastAsia" w:ascii="宋体" w:hAnsi="宋体" w:cs="仿宋_GB2312"/>
          <w:color w:val="auto"/>
          <w:sz w:val="24"/>
          <w:highlight w:val="none"/>
        </w:rPr>
      </w:pPr>
    </w:p>
    <w:p w14:paraId="11ECF25A">
      <w:pPr>
        <w:spacing w:line="360" w:lineRule="auto"/>
        <w:contextualSpacing/>
        <w:jc w:val="left"/>
        <w:rPr>
          <w:rFonts w:hint="eastAsia" w:ascii="宋体" w:hAnsi="宋体" w:cs="仿宋_GB2312"/>
          <w:color w:val="auto"/>
          <w:sz w:val="24"/>
          <w:highlight w:val="none"/>
        </w:rPr>
      </w:pPr>
      <w:r>
        <w:rPr>
          <w:rFonts w:hint="eastAsia" w:ascii="宋体" w:hAnsi="宋体" w:cs="仿宋_GB2312"/>
          <w:color w:val="auto"/>
          <w:sz w:val="24"/>
          <w:highlight w:val="none"/>
        </w:rPr>
        <w:t>注：自然人竞标的无需提供，联合体竞标的只需牵头人出具。</w:t>
      </w:r>
    </w:p>
    <w:p w14:paraId="44B33C64">
      <w:pPr>
        <w:adjustRightInd w:val="0"/>
        <w:snapToGrid w:val="0"/>
        <w:spacing w:line="300" w:lineRule="auto"/>
        <w:jc w:val="left"/>
        <w:rPr>
          <w:rFonts w:hint="eastAsia" w:ascii="宋体" w:hAnsi="宋体"/>
          <w:b/>
          <w:color w:val="auto"/>
          <w:szCs w:val="21"/>
          <w:highlight w:val="none"/>
        </w:rPr>
      </w:pPr>
    </w:p>
    <w:p w14:paraId="69576F09">
      <w:pPr>
        <w:spacing w:line="500" w:lineRule="exact"/>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br w:type="page"/>
      </w:r>
      <w:r>
        <w:rPr>
          <w:rFonts w:ascii="方正小标宋简体" w:hAnsi="方正小标宋简体" w:eastAsia="方正小标宋简体" w:cs="方正小标宋简体"/>
          <w:color w:val="auto"/>
          <w:sz w:val="44"/>
          <w:szCs w:val="44"/>
          <w:highlight w:val="none"/>
        </w:rPr>
        <w:t xml:space="preserve"> </w:t>
      </w:r>
    </w:p>
    <w:p w14:paraId="73DFD5FB">
      <w:pPr>
        <w:spacing w:line="520" w:lineRule="exact"/>
        <w:jc w:val="center"/>
        <w:rPr>
          <w:rFonts w:hint="eastAsia" w:ascii="方正小标宋简体" w:hAnsi="方正小标宋简体" w:eastAsia="方正小标宋简体" w:cs="方正小标宋简体"/>
          <w:color w:val="auto"/>
          <w:sz w:val="44"/>
          <w:szCs w:val="44"/>
          <w:highlight w:val="none"/>
        </w:rPr>
      </w:pPr>
      <w:bookmarkStart w:id="89" w:name="_Hlk65853643"/>
      <w:r>
        <w:rPr>
          <w:rFonts w:hint="eastAsia" w:ascii="方正小标宋简体" w:hAnsi="方正小标宋简体" w:eastAsia="方正小标宋简体" w:cs="方正小标宋简体"/>
          <w:color w:val="auto"/>
          <w:sz w:val="44"/>
          <w:szCs w:val="44"/>
          <w:highlight w:val="none"/>
        </w:rPr>
        <w:t>授权委托书</w:t>
      </w:r>
    </w:p>
    <w:p w14:paraId="675FCEB0">
      <w:pPr>
        <w:spacing w:line="520" w:lineRule="exact"/>
        <w:jc w:val="center"/>
        <w:rPr>
          <w:rFonts w:hint="eastAsia" w:ascii="方正小标宋简体" w:hAnsi="方正小标宋简体" w:eastAsia="方正小标宋简体" w:cs="方正小标宋简体"/>
          <w:color w:val="auto"/>
          <w:sz w:val="32"/>
          <w:szCs w:val="32"/>
          <w:highlight w:val="none"/>
        </w:rPr>
      </w:pPr>
      <w:r>
        <w:rPr>
          <w:rFonts w:hint="eastAsia" w:ascii="方正小标宋简体" w:hAnsi="方正小标宋简体" w:eastAsia="方正小标宋简体" w:cs="方正小标宋简体"/>
          <w:color w:val="auto"/>
          <w:sz w:val="32"/>
          <w:szCs w:val="32"/>
          <w:highlight w:val="none"/>
        </w:rPr>
        <w:t>（非联合体竞标格式）</w:t>
      </w:r>
    </w:p>
    <w:p w14:paraId="11C3FB34">
      <w:pPr>
        <w:spacing w:line="520" w:lineRule="exact"/>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32"/>
          <w:szCs w:val="32"/>
          <w:highlight w:val="none"/>
        </w:rPr>
        <w:t>（如有委托时）</w:t>
      </w:r>
    </w:p>
    <w:p w14:paraId="5C49A2D6">
      <w:pPr>
        <w:spacing w:line="520" w:lineRule="exact"/>
        <w:rPr>
          <w:rFonts w:hint="eastAsia" w:ascii="仿宋_GB2312" w:hAnsi="仿宋_GB2312" w:eastAsia="仿宋_GB2312" w:cs="仿宋_GB2312"/>
          <w:color w:val="auto"/>
          <w:sz w:val="32"/>
          <w:szCs w:val="32"/>
          <w:highlight w:val="none"/>
        </w:rPr>
      </w:pPr>
    </w:p>
    <w:p w14:paraId="208C4351">
      <w:pP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致：</w:t>
      </w:r>
      <w:r>
        <w:rPr>
          <w:rFonts w:hint="eastAsia" w:ascii="宋体" w:hAnsi="宋体" w:cs="仿宋_GB2312"/>
          <w:color w:val="auto"/>
          <w:sz w:val="24"/>
          <w:highlight w:val="none"/>
          <w:u w:val="single"/>
        </w:rPr>
        <w:t>（采购人名称）</w:t>
      </w:r>
      <w:r>
        <w:rPr>
          <w:rFonts w:hint="eastAsia" w:ascii="宋体" w:hAnsi="宋体" w:cs="仿宋_GB2312"/>
          <w:color w:val="auto"/>
          <w:sz w:val="24"/>
          <w:highlight w:val="none"/>
        </w:rPr>
        <w:t>：</w:t>
      </w:r>
    </w:p>
    <w:p w14:paraId="07ED4925">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我</w:t>
      </w:r>
      <w:r>
        <w:rPr>
          <w:rFonts w:hint="eastAsia" w:ascii="宋体" w:hAnsi="宋体" w:cs="仿宋_GB2312"/>
          <w:color w:val="auto"/>
          <w:sz w:val="24"/>
          <w:highlight w:val="none"/>
          <w:u w:val="single"/>
        </w:rPr>
        <w:t xml:space="preserve">  （姓名）  </w:t>
      </w:r>
      <w:r>
        <w:rPr>
          <w:rFonts w:hint="eastAsia" w:ascii="宋体" w:hAnsi="宋体" w:cs="仿宋_GB2312"/>
          <w:color w:val="auto"/>
          <w:sz w:val="24"/>
          <w:highlight w:val="none"/>
        </w:rPr>
        <w:t>系</w:t>
      </w:r>
      <w:r>
        <w:rPr>
          <w:rFonts w:hint="eastAsia" w:ascii="宋体" w:hAnsi="宋体" w:cs="仿宋_GB2312"/>
          <w:color w:val="auto"/>
          <w:sz w:val="24"/>
          <w:highlight w:val="none"/>
          <w:u w:val="single"/>
        </w:rPr>
        <w:t xml:space="preserve">  （供应商名称）  </w:t>
      </w:r>
      <w:r>
        <w:rPr>
          <w:rFonts w:hint="eastAsia" w:ascii="宋体" w:hAnsi="宋体" w:cs="仿宋_GB2312"/>
          <w:color w:val="auto"/>
          <w:sz w:val="24"/>
          <w:highlight w:val="none"/>
        </w:rPr>
        <w:t>的（</w:t>
      </w:r>
      <w:r>
        <w:rPr>
          <w:rFonts w:hint="eastAsia" w:ascii="宋体" w:hAnsi="宋体" w:cs="仿宋_GB2312"/>
          <w:color w:val="auto"/>
          <w:sz w:val="24"/>
          <w:highlight w:val="none"/>
          <w:u w:val="single"/>
        </w:rPr>
        <w:sym w:font="Wingdings 2" w:char="00A3"/>
      </w:r>
      <w:r>
        <w:rPr>
          <w:rFonts w:hint="eastAsia" w:ascii="宋体" w:hAnsi="宋体" w:cs="仿宋_GB2312"/>
          <w:color w:val="auto"/>
          <w:sz w:val="24"/>
          <w:highlight w:val="none"/>
          <w:u w:val="single"/>
        </w:rPr>
        <w:t>法定代表人/□负责人/□自然人本人</w:t>
      </w:r>
      <w:r>
        <w:rPr>
          <w:rFonts w:hint="eastAsia" w:ascii="宋体" w:hAnsi="宋体" w:cs="仿宋_GB2312"/>
          <w:color w:val="auto"/>
          <w:sz w:val="24"/>
          <w:highlight w:val="none"/>
        </w:rPr>
        <w:t>），现授权</w:t>
      </w:r>
      <w:r>
        <w:rPr>
          <w:rFonts w:hint="eastAsia" w:ascii="宋体" w:hAnsi="宋体" w:cs="仿宋_GB2312"/>
          <w:color w:val="auto"/>
          <w:sz w:val="24"/>
          <w:highlight w:val="none"/>
          <w:u w:val="single"/>
        </w:rPr>
        <w:t xml:space="preserve"> （姓名） </w:t>
      </w:r>
      <w:r>
        <w:rPr>
          <w:rFonts w:hint="eastAsia" w:ascii="宋体" w:hAnsi="宋体" w:cs="仿宋_GB2312"/>
          <w:color w:val="auto"/>
          <w:sz w:val="24"/>
          <w:highlight w:val="none"/>
        </w:rPr>
        <w:t>以我方的名义参加</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项目的竞标活动，并代表我方全权办理针对上述项目的所有采购程序和环节的具体事务和签署相关文件。</w:t>
      </w:r>
    </w:p>
    <w:p w14:paraId="58B2C195">
      <w:pP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 xml:space="preserve">    我方对委托代理人的签字</w:t>
      </w:r>
      <w:r>
        <w:rPr>
          <w:rFonts w:hint="eastAsia" w:ascii="宋体" w:hAnsi="宋体"/>
          <w:color w:val="auto"/>
          <w:sz w:val="24"/>
          <w:highlight w:val="none"/>
        </w:rPr>
        <w:t>或者电子签名</w:t>
      </w:r>
      <w:r>
        <w:rPr>
          <w:rFonts w:hint="eastAsia" w:ascii="宋体" w:hAnsi="宋体" w:cs="仿宋_GB2312"/>
          <w:color w:val="auto"/>
          <w:sz w:val="24"/>
          <w:highlight w:val="none"/>
        </w:rPr>
        <w:t>事项负全部责任。</w:t>
      </w:r>
    </w:p>
    <w:p w14:paraId="391C67F3">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本授权书自签署之日起生效，在撤销授权的书面通知以前，本授权书一直有效。委托代理人在授权书有效期内签署的所有文件不因授权的撤销而失效。</w:t>
      </w:r>
    </w:p>
    <w:p w14:paraId="3A4586C3">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委托代理人无转委托权，特此委托。</w:t>
      </w:r>
    </w:p>
    <w:p w14:paraId="6FF14DD9">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附：法定代表人身份证明书及委托代理人有效身份证正反面复印件</w:t>
      </w:r>
    </w:p>
    <w:p w14:paraId="11DE68E2">
      <w:pPr>
        <w:spacing w:line="360" w:lineRule="auto"/>
        <w:rPr>
          <w:rFonts w:hint="eastAsia" w:ascii="宋体" w:hAnsi="宋体" w:cs="仿宋_GB2312"/>
          <w:color w:val="auto"/>
          <w:sz w:val="24"/>
          <w:highlight w:val="none"/>
        </w:rPr>
      </w:pPr>
    </w:p>
    <w:p w14:paraId="0FB5F1E7">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委托代理人（</w:t>
      </w:r>
      <w:r>
        <w:rPr>
          <w:rFonts w:hint="eastAsia" w:ascii="宋体" w:hAnsi="宋体"/>
          <w:color w:val="auto"/>
          <w:sz w:val="24"/>
          <w:highlight w:val="none"/>
        </w:rPr>
        <w:t>签字或者电子签名</w:t>
      </w:r>
      <w:r>
        <w:rPr>
          <w:rFonts w:hint="eastAsia" w:ascii="宋体" w:hAnsi="宋体" w:cs="仿宋_GB2312"/>
          <w:color w:val="auto"/>
          <w:sz w:val="24"/>
          <w:highlight w:val="none"/>
        </w:rPr>
        <w:t xml:space="preserve">）：     法定代表人（签字或者盖章或者电子签名）：                    </w:t>
      </w:r>
    </w:p>
    <w:p w14:paraId="34CF7D85">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委托代理人身份证号码：                              </w:t>
      </w:r>
    </w:p>
    <w:p w14:paraId="129D8F04">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                                </w:t>
      </w:r>
    </w:p>
    <w:p w14:paraId="19926357">
      <w:pP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 xml:space="preserve">                         供应商（电子签章）：                      </w:t>
      </w:r>
    </w:p>
    <w:p w14:paraId="6B04B077">
      <w:pP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 xml:space="preserve">                                         年    月    日</w:t>
      </w:r>
    </w:p>
    <w:p w14:paraId="0BD7D5DF">
      <w:pPr>
        <w:spacing w:line="360" w:lineRule="auto"/>
        <w:rPr>
          <w:rFonts w:hint="eastAsia" w:ascii="宋体" w:hAnsi="宋体" w:cs="仿宋_GB2312"/>
          <w:color w:val="auto"/>
          <w:sz w:val="24"/>
          <w:highlight w:val="none"/>
        </w:rPr>
      </w:pPr>
    </w:p>
    <w:p w14:paraId="55B93A39">
      <w:pP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注：1. 法定代表人必须在授权委托书上签字或者盖章</w:t>
      </w:r>
      <w:r>
        <w:rPr>
          <w:rFonts w:hint="eastAsia" w:ascii="宋体" w:hAnsi="宋体"/>
          <w:color w:val="auto"/>
          <w:sz w:val="24"/>
          <w:highlight w:val="none"/>
        </w:rPr>
        <w:t>或者电子签名</w:t>
      </w:r>
      <w:r>
        <w:rPr>
          <w:rFonts w:hint="eastAsia" w:ascii="宋体" w:hAnsi="宋体" w:cs="仿宋_GB2312"/>
          <w:color w:val="auto"/>
          <w:sz w:val="24"/>
          <w:highlight w:val="none"/>
        </w:rPr>
        <w:t>，委托代理人必须在授权委托书上签字或者电子签名，</w:t>
      </w:r>
      <w:r>
        <w:rPr>
          <w:rFonts w:hint="eastAsia" w:ascii="宋体" w:hAnsi="宋体" w:cs="仿宋_GB2312"/>
          <w:b/>
          <w:color w:val="auto"/>
          <w:sz w:val="24"/>
          <w:highlight w:val="none"/>
        </w:rPr>
        <w:t>否则其响应文件按无效响应处理。</w:t>
      </w:r>
    </w:p>
    <w:p w14:paraId="2E49181A">
      <w:pPr>
        <w:spacing w:line="360" w:lineRule="auto"/>
        <w:ind w:firstLine="480" w:firstLineChars="200"/>
        <w:jc w:val="left"/>
        <w:rPr>
          <w:rFonts w:hint="eastAsia" w:ascii="宋体" w:hAnsi="宋体" w:cs="仿宋_GB2312"/>
          <w:color w:val="auto"/>
          <w:sz w:val="24"/>
          <w:highlight w:val="none"/>
        </w:rPr>
      </w:pPr>
      <w:r>
        <w:rPr>
          <w:rFonts w:ascii="宋体" w:hAnsi="宋体" w:cs="仿宋_GB2312"/>
          <w:color w:val="auto"/>
          <w:sz w:val="24"/>
          <w:highlight w:val="none"/>
        </w:rPr>
        <w:t>2.</w:t>
      </w:r>
      <w:bookmarkStart w:id="90" w:name="_Hlk65853109"/>
      <w:bookmarkStart w:id="91" w:name="_Hlk65853542"/>
      <w:r>
        <w:rPr>
          <w:rFonts w:hint="eastAsia" w:ascii="宋体" w:hAnsi="宋体" w:cs="仿宋_GB2312"/>
          <w:color w:val="auto"/>
          <w:sz w:val="24"/>
          <w:highlight w:val="none"/>
        </w:rPr>
        <w:t>法人、其他组织竞标时“我方”是指“我单位”，自然人竞标时“我方”是指“本人”。</w:t>
      </w:r>
      <w:bookmarkEnd w:id="90"/>
    </w:p>
    <w:bookmarkEnd w:id="91"/>
    <w:p w14:paraId="3852C926">
      <w:pPr>
        <w:spacing w:line="360" w:lineRule="auto"/>
        <w:ind w:firstLine="420" w:firstLineChars="200"/>
        <w:jc w:val="left"/>
        <w:rPr>
          <w:rFonts w:hint="eastAsia" w:ascii="仿宋_GB2312" w:hAnsi="仿宋_GB2312" w:eastAsia="仿宋_GB2312" w:cs="仿宋_GB2312"/>
          <w:color w:val="auto"/>
          <w:szCs w:val="21"/>
          <w:highlight w:val="none"/>
        </w:rPr>
      </w:pPr>
    </w:p>
    <w:p w14:paraId="2F2588D3">
      <w:pPr>
        <w:spacing w:line="500" w:lineRule="exact"/>
        <w:jc w:val="center"/>
        <w:rPr>
          <w:rFonts w:hint="eastAsia" w:ascii="方正小标宋简体" w:hAnsi="方正小标宋简体" w:eastAsia="方正小标宋简体" w:cs="方正小标宋简体"/>
          <w:color w:val="auto"/>
          <w:sz w:val="44"/>
          <w:szCs w:val="44"/>
          <w:highlight w:val="none"/>
        </w:rPr>
      </w:pPr>
      <w:r>
        <w:rPr>
          <w:rFonts w:ascii="仿宋_GB2312" w:hAnsi="仿宋_GB2312" w:eastAsia="仿宋_GB2312" w:cs="仿宋_GB2312"/>
          <w:color w:val="auto"/>
          <w:szCs w:val="21"/>
          <w:highlight w:val="none"/>
        </w:rPr>
        <w:br w:type="page"/>
      </w:r>
      <w:r>
        <w:rPr>
          <w:rFonts w:hint="eastAsia" w:ascii="方正小标宋简体" w:hAnsi="方正小标宋简体" w:eastAsia="方正小标宋简体" w:cs="方正小标宋简体"/>
          <w:color w:val="auto"/>
          <w:sz w:val="44"/>
          <w:szCs w:val="44"/>
          <w:highlight w:val="none"/>
        </w:rPr>
        <w:t>授权委托书</w:t>
      </w:r>
    </w:p>
    <w:p w14:paraId="6BB92800">
      <w:pPr>
        <w:spacing w:line="500" w:lineRule="exact"/>
        <w:jc w:val="center"/>
        <w:rPr>
          <w:rFonts w:hint="eastAsia" w:ascii="方正小标宋简体" w:hAnsi="方正小标宋简体" w:eastAsia="方正小标宋简体" w:cs="方正小标宋简体"/>
          <w:color w:val="auto"/>
          <w:sz w:val="32"/>
          <w:szCs w:val="32"/>
          <w:highlight w:val="none"/>
        </w:rPr>
      </w:pPr>
      <w:r>
        <w:rPr>
          <w:rFonts w:hint="eastAsia" w:ascii="方正小标宋简体" w:hAnsi="方正小标宋简体" w:eastAsia="方正小标宋简体" w:cs="方正小标宋简体"/>
          <w:color w:val="auto"/>
          <w:sz w:val="32"/>
          <w:szCs w:val="32"/>
          <w:highlight w:val="none"/>
        </w:rPr>
        <w:t>（联合体竞标格式）</w:t>
      </w:r>
    </w:p>
    <w:p w14:paraId="4245E057">
      <w:pPr>
        <w:spacing w:line="500" w:lineRule="exact"/>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32"/>
          <w:szCs w:val="32"/>
          <w:highlight w:val="none"/>
        </w:rPr>
        <w:t>（如有委托时）</w:t>
      </w:r>
    </w:p>
    <w:p w14:paraId="4300E033">
      <w:pPr>
        <w:spacing w:line="500" w:lineRule="exact"/>
        <w:jc w:val="center"/>
        <w:rPr>
          <w:rFonts w:hint="eastAsia" w:ascii="方正小标宋简体" w:hAnsi="方正小标宋简体" w:eastAsia="方正小标宋简体" w:cs="方正小标宋简体"/>
          <w:color w:val="auto"/>
          <w:sz w:val="44"/>
          <w:szCs w:val="44"/>
          <w:highlight w:val="none"/>
        </w:rPr>
      </w:pPr>
    </w:p>
    <w:p w14:paraId="09B52340">
      <w:pPr>
        <w:spacing w:line="500" w:lineRule="exact"/>
        <w:jc w:val="center"/>
        <w:rPr>
          <w:rFonts w:hint="eastAsia" w:ascii="仿宋_GB2312" w:hAnsi="仿宋_GB2312" w:eastAsia="仿宋_GB2312" w:cs="仿宋_GB2312"/>
          <w:color w:val="auto"/>
          <w:sz w:val="32"/>
          <w:szCs w:val="32"/>
          <w:highlight w:val="none"/>
        </w:rPr>
      </w:pPr>
    </w:p>
    <w:p w14:paraId="53A6B858">
      <w:pPr>
        <w:spacing w:line="360" w:lineRule="auto"/>
        <w:ind w:firstLine="480" w:firstLineChars="200"/>
        <w:jc w:val="left"/>
        <w:rPr>
          <w:rFonts w:hint="eastAsia" w:ascii="宋体" w:hAnsi="宋体" w:cs="仿宋_GB2312"/>
          <w:color w:val="auto"/>
          <w:sz w:val="24"/>
          <w:highlight w:val="none"/>
        </w:rPr>
      </w:pPr>
      <w:r>
        <w:rPr>
          <w:rFonts w:hint="eastAsia" w:ascii="宋体" w:hAnsi="宋体" w:cs="仿宋_GB2312"/>
          <w:color w:val="auto"/>
          <w:sz w:val="24"/>
          <w:highlight w:val="none"/>
        </w:rPr>
        <w:t>本授权委托书声明：根据</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（牵头人名称）与</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（联合体其他成员名称）签订的《联合体竞标协议书》的内容，</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（牵头人名称）的法定代表人</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（姓名）现授权</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（姓名）为联合委托代理人，并代表我方全权办理针对上述项目的所有采购程序和环节的具体事务和签署相关文件。</w:t>
      </w:r>
    </w:p>
    <w:p w14:paraId="3C3EF6D9">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我方对委托代理人的</w:t>
      </w:r>
      <w:r>
        <w:rPr>
          <w:rFonts w:hint="eastAsia" w:ascii="宋体" w:hAnsi="宋体"/>
          <w:color w:val="auto"/>
          <w:sz w:val="24"/>
          <w:highlight w:val="none"/>
        </w:rPr>
        <w:t>签字或者电子签名</w:t>
      </w:r>
      <w:r>
        <w:rPr>
          <w:rFonts w:hint="eastAsia" w:ascii="宋体" w:hAnsi="宋体" w:cs="仿宋_GB2312"/>
          <w:color w:val="auto"/>
          <w:sz w:val="24"/>
          <w:highlight w:val="none"/>
        </w:rPr>
        <w:t>事项负全部责任。</w:t>
      </w:r>
    </w:p>
    <w:p w14:paraId="019E9777">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本授权书自签署之日起生效，在撤销授权的书面通知以前，本授权书一直有效。委托代理人在授权书有效期内签署的所有文件不因授权的撤销而失效。</w:t>
      </w:r>
    </w:p>
    <w:p w14:paraId="5395AB14">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委托代理人无转委托权，特此委托。</w:t>
      </w:r>
    </w:p>
    <w:p w14:paraId="07D675F8">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    附：法定代表人身份证明书及委托代理人有效身份证正反面复印件</w:t>
      </w:r>
    </w:p>
    <w:p w14:paraId="4EB90A28">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牵头人法定代表人（签字或者盖章或者电子签名）：</w:t>
      </w:r>
    </w:p>
    <w:p w14:paraId="07A5A0AA">
      <w:pPr>
        <w:spacing w:line="360" w:lineRule="auto"/>
        <w:ind w:firstLine="3120" w:firstLineChars="1300"/>
        <w:contextualSpacing/>
        <w:rPr>
          <w:rFonts w:hint="eastAsia" w:ascii="宋体" w:hAnsi="宋体" w:cs="仿宋_GB2312"/>
          <w:color w:val="auto"/>
          <w:sz w:val="24"/>
          <w:highlight w:val="none"/>
        </w:rPr>
      </w:pPr>
      <w:r>
        <w:rPr>
          <w:rFonts w:hint="eastAsia" w:ascii="宋体" w:hAnsi="宋体" w:cs="仿宋_GB2312"/>
          <w:color w:val="auto"/>
          <w:sz w:val="24"/>
          <w:highlight w:val="none"/>
        </w:rPr>
        <w:t>牵头人（电子签章）：</w:t>
      </w:r>
    </w:p>
    <w:p w14:paraId="498CC0FB">
      <w:pPr>
        <w:spacing w:line="360" w:lineRule="auto"/>
        <w:ind w:firstLine="3840" w:firstLineChars="1600"/>
        <w:contextualSpacing/>
        <w:rPr>
          <w:rFonts w:hint="eastAsia" w:ascii="宋体" w:hAnsi="宋体" w:cs="仿宋_GB2312"/>
          <w:color w:val="auto"/>
          <w:sz w:val="24"/>
          <w:highlight w:val="none"/>
        </w:rPr>
      </w:pPr>
      <w:r>
        <w:rPr>
          <w:rFonts w:hint="eastAsia" w:ascii="宋体" w:hAnsi="宋体" w:cs="仿宋_GB2312"/>
          <w:color w:val="auto"/>
          <w:sz w:val="24"/>
          <w:highlight w:val="none"/>
        </w:rPr>
        <w:t>日期：    年   月   日</w:t>
      </w:r>
    </w:p>
    <w:p w14:paraId="1F54452E">
      <w:pPr>
        <w:spacing w:line="360" w:lineRule="auto"/>
        <w:contextualSpacing/>
        <w:rPr>
          <w:rFonts w:hint="eastAsia" w:ascii="宋体" w:hAnsi="宋体" w:cs="仿宋_GB2312"/>
          <w:color w:val="auto"/>
          <w:sz w:val="24"/>
          <w:highlight w:val="none"/>
        </w:rPr>
      </w:pPr>
    </w:p>
    <w:p w14:paraId="5E1B8E58">
      <w:pPr>
        <w:spacing w:line="360" w:lineRule="auto"/>
        <w:ind w:firstLine="3120" w:firstLineChars="1300"/>
        <w:contextualSpacing/>
        <w:rPr>
          <w:rFonts w:hint="eastAsia" w:ascii="宋体" w:hAnsi="宋体" w:cs="仿宋_GB2312"/>
          <w:color w:val="auto"/>
          <w:sz w:val="24"/>
          <w:highlight w:val="none"/>
        </w:rPr>
      </w:pPr>
      <w:r>
        <w:rPr>
          <w:rFonts w:hint="eastAsia" w:ascii="宋体" w:hAnsi="宋体" w:cs="仿宋_GB2312"/>
          <w:color w:val="auto"/>
          <w:sz w:val="24"/>
          <w:highlight w:val="none"/>
        </w:rPr>
        <w:t>被授权人（签字或者电子签名）：</w:t>
      </w:r>
    </w:p>
    <w:p w14:paraId="41567DCD">
      <w:pPr>
        <w:spacing w:line="360" w:lineRule="auto"/>
        <w:ind w:firstLine="3840" w:firstLineChars="1600"/>
        <w:contextualSpacing/>
        <w:rPr>
          <w:rFonts w:hint="eastAsia" w:ascii="宋体" w:hAnsi="宋体" w:cs="仿宋_GB2312"/>
          <w:color w:val="auto"/>
          <w:sz w:val="24"/>
          <w:highlight w:val="none"/>
        </w:rPr>
      </w:pPr>
      <w:r>
        <w:rPr>
          <w:rFonts w:hint="eastAsia" w:ascii="宋体" w:hAnsi="宋体" w:cs="仿宋_GB2312"/>
          <w:color w:val="auto"/>
          <w:sz w:val="24"/>
          <w:highlight w:val="none"/>
        </w:rPr>
        <w:t>日期：    年   月   日</w:t>
      </w:r>
    </w:p>
    <w:p w14:paraId="14F78A37">
      <w:pPr>
        <w:spacing w:line="360" w:lineRule="auto"/>
        <w:contextualSpacing/>
        <w:rPr>
          <w:rFonts w:hint="eastAsia" w:ascii="宋体" w:hAnsi="宋体" w:cs="仿宋_GB2312"/>
          <w:color w:val="auto"/>
          <w:sz w:val="24"/>
          <w:highlight w:val="none"/>
        </w:rPr>
      </w:pPr>
    </w:p>
    <w:p w14:paraId="09FD48AF">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注：1. 法定代表人必须在授权委托书上签字或者盖章</w:t>
      </w:r>
      <w:r>
        <w:rPr>
          <w:rFonts w:hint="eastAsia" w:ascii="宋体" w:hAnsi="宋体"/>
          <w:color w:val="auto"/>
          <w:sz w:val="24"/>
          <w:highlight w:val="none"/>
        </w:rPr>
        <w:t>或者电子签名</w:t>
      </w:r>
      <w:r>
        <w:rPr>
          <w:rFonts w:hint="eastAsia" w:ascii="宋体" w:hAnsi="宋体" w:cs="仿宋_GB2312"/>
          <w:color w:val="auto"/>
          <w:sz w:val="24"/>
          <w:highlight w:val="none"/>
        </w:rPr>
        <w:t>，委托代理人必须在授权委托书上签字或者电子签名，</w:t>
      </w:r>
      <w:r>
        <w:rPr>
          <w:rFonts w:hint="eastAsia" w:ascii="宋体" w:hAnsi="宋体" w:cs="仿宋_GB2312"/>
          <w:b/>
          <w:color w:val="auto"/>
          <w:sz w:val="24"/>
          <w:highlight w:val="none"/>
        </w:rPr>
        <w:t>否则其响应文件按无效响应处理。</w:t>
      </w:r>
    </w:p>
    <w:p w14:paraId="140E15DB">
      <w:pPr>
        <w:spacing w:line="360" w:lineRule="auto"/>
        <w:ind w:firstLine="480" w:firstLineChars="200"/>
        <w:jc w:val="left"/>
        <w:rPr>
          <w:rFonts w:hint="eastAsia" w:ascii="宋体" w:hAnsi="宋体" w:cs="仿宋_GB2312"/>
          <w:color w:val="auto"/>
          <w:spacing w:val="-11"/>
          <w:sz w:val="24"/>
          <w:highlight w:val="none"/>
        </w:rPr>
      </w:pPr>
      <w:r>
        <w:rPr>
          <w:rFonts w:ascii="宋体" w:hAnsi="宋体" w:cs="仿宋_GB2312"/>
          <w:color w:val="auto"/>
          <w:sz w:val="24"/>
          <w:highlight w:val="none"/>
        </w:rPr>
        <w:t>2.</w:t>
      </w:r>
      <w:r>
        <w:rPr>
          <w:rFonts w:hint="eastAsia" w:ascii="宋体" w:hAnsi="宋体" w:cs="仿宋_GB2312"/>
          <w:color w:val="auto"/>
          <w:sz w:val="24"/>
          <w:highlight w:val="none"/>
        </w:rPr>
        <w:t>法人、其他组织竞标时“我方”是指“我单位”，自然人竞标时“我方”是指“本人”。</w:t>
      </w:r>
    </w:p>
    <w:bookmarkEnd w:id="89"/>
    <w:p w14:paraId="73D7F656">
      <w:pPr>
        <w:jc w:val="center"/>
        <w:rPr>
          <w:rFonts w:hint="eastAsia" w:ascii="方正小标宋简体" w:hAnsi="方正小标宋简体" w:eastAsia="方正小标宋简体" w:cs="方正小标宋简体"/>
          <w:bCs/>
          <w:color w:val="auto"/>
          <w:sz w:val="44"/>
          <w:szCs w:val="44"/>
          <w:highlight w:val="none"/>
        </w:rPr>
      </w:pPr>
      <w:r>
        <w:rPr>
          <w:rFonts w:ascii="仿宋_GB2312" w:hAnsi="仿宋_GB2312" w:eastAsia="仿宋_GB2312" w:cs="仿宋_GB2312"/>
          <w:color w:val="auto"/>
          <w:sz w:val="32"/>
          <w:szCs w:val="32"/>
          <w:highlight w:val="none"/>
        </w:rPr>
        <w:br w:type="page"/>
      </w:r>
    </w:p>
    <w:p w14:paraId="11ABADBD">
      <w:pPr>
        <w:spacing w:line="500" w:lineRule="exact"/>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商务要求偏离表格式</w:t>
      </w:r>
    </w:p>
    <w:p w14:paraId="17860CFE">
      <w:pPr>
        <w:spacing w:line="360" w:lineRule="auto"/>
        <w:contextualSpacing/>
        <w:jc w:val="left"/>
        <w:rPr>
          <w:rFonts w:hint="eastAsia" w:ascii="宋体" w:hAnsi="宋体"/>
          <w:color w:val="auto"/>
          <w:sz w:val="24"/>
          <w:highlight w:val="none"/>
        </w:rPr>
      </w:pPr>
    </w:p>
    <w:p w14:paraId="36079703">
      <w:pPr>
        <w:spacing w:line="360" w:lineRule="auto"/>
        <w:contextualSpacing/>
        <w:rPr>
          <w:rFonts w:hint="eastAsia" w:ascii="宋体" w:hAnsi="宋体" w:cs="仿宋_GB2312"/>
          <w:color w:val="auto"/>
          <w:kern w:val="0"/>
          <w:sz w:val="24"/>
          <w:highlight w:val="none"/>
        </w:rPr>
      </w:pPr>
      <w:r>
        <w:rPr>
          <w:rFonts w:hint="eastAsia" w:ascii="宋体" w:hAnsi="宋体" w:cs="仿宋_GB2312"/>
          <w:color w:val="auto"/>
          <w:kern w:val="0"/>
          <w:sz w:val="24"/>
          <w:highlight w:val="none"/>
        </w:rPr>
        <w:t>所竞分标：</w:t>
      </w:r>
      <w:r>
        <w:rPr>
          <w:rFonts w:hint="eastAsia" w:ascii="宋体" w:hAnsi="宋体" w:cs="仿宋_GB2312"/>
          <w:color w:val="auto"/>
          <w:kern w:val="0"/>
          <w:sz w:val="24"/>
          <w:highlight w:val="none"/>
          <w:u w:val="single"/>
        </w:rPr>
        <w:t xml:space="preserve">              </w:t>
      </w:r>
    </w:p>
    <w:p w14:paraId="03AFE528">
      <w:pPr>
        <w:spacing w:line="360" w:lineRule="auto"/>
        <w:contextualSpacing/>
        <w:jc w:val="left"/>
        <w:rPr>
          <w:rFonts w:hint="eastAsia" w:ascii="宋体" w:hAnsi="宋体" w:cs="仿宋_GB2312"/>
          <w:color w:val="auto"/>
          <w:sz w:val="24"/>
          <w:highlight w:val="none"/>
          <w:u w:val="single"/>
        </w:rPr>
      </w:pPr>
    </w:p>
    <w:tbl>
      <w:tblPr>
        <w:tblStyle w:val="20"/>
        <w:tblpPr w:leftFromText="180" w:rightFromText="180" w:vertAnchor="text" w:horzAnchor="margin" w:tblpY="-9"/>
        <w:tblOverlap w:val="never"/>
        <w:tblW w:w="930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78"/>
        <w:gridCol w:w="2668"/>
        <w:gridCol w:w="2350"/>
        <w:gridCol w:w="2112"/>
      </w:tblGrid>
      <w:tr w14:paraId="5BA9FE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2178" w:type="dxa"/>
            <w:tcBorders>
              <w:top w:val="single" w:color="auto" w:sz="4" w:space="0"/>
              <w:left w:val="single" w:color="auto" w:sz="4" w:space="0"/>
              <w:bottom w:val="single" w:color="auto" w:sz="4" w:space="0"/>
              <w:right w:val="single" w:color="auto" w:sz="4" w:space="0"/>
            </w:tcBorders>
            <w:vAlign w:val="center"/>
          </w:tcPr>
          <w:p w14:paraId="579CA6F4">
            <w:pPr>
              <w:spacing w:line="360" w:lineRule="auto"/>
              <w:contextualSpacing/>
              <w:jc w:val="center"/>
              <w:rPr>
                <w:rFonts w:hint="eastAsia" w:ascii="宋体" w:hAnsi="宋体" w:cs="仿宋_GB2312"/>
                <w:color w:val="auto"/>
                <w:sz w:val="24"/>
                <w:highlight w:val="none"/>
              </w:rPr>
            </w:pPr>
            <w:r>
              <w:rPr>
                <w:rFonts w:hint="eastAsia" w:ascii="宋体" w:hAnsi="宋体" w:cs="仿宋_GB2312"/>
                <w:color w:val="auto"/>
                <w:sz w:val="24"/>
                <w:highlight w:val="none"/>
              </w:rPr>
              <w:t>项目</w:t>
            </w:r>
          </w:p>
        </w:tc>
        <w:tc>
          <w:tcPr>
            <w:tcW w:w="2668" w:type="dxa"/>
            <w:tcBorders>
              <w:top w:val="single" w:color="auto" w:sz="4" w:space="0"/>
              <w:left w:val="single" w:color="auto" w:sz="4" w:space="0"/>
              <w:bottom w:val="single" w:color="auto" w:sz="4" w:space="0"/>
              <w:right w:val="single" w:color="auto" w:sz="4" w:space="0"/>
            </w:tcBorders>
            <w:vAlign w:val="center"/>
          </w:tcPr>
          <w:p w14:paraId="23243A6B">
            <w:pPr>
              <w:spacing w:line="360" w:lineRule="auto"/>
              <w:contextualSpacing/>
              <w:jc w:val="center"/>
              <w:rPr>
                <w:rFonts w:hint="eastAsia" w:ascii="宋体" w:hAnsi="宋体" w:cs="仿宋_GB2312"/>
                <w:color w:val="auto"/>
                <w:sz w:val="24"/>
                <w:highlight w:val="none"/>
              </w:rPr>
            </w:pPr>
            <w:r>
              <w:rPr>
                <w:rFonts w:hint="eastAsia" w:ascii="宋体" w:hAnsi="宋体" w:cs="仿宋_GB2312"/>
                <w:color w:val="auto"/>
                <w:sz w:val="24"/>
                <w:highlight w:val="none"/>
              </w:rPr>
              <w:t>磋商文件商务要求</w:t>
            </w:r>
          </w:p>
        </w:tc>
        <w:tc>
          <w:tcPr>
            <w:tcW w:w="2350" w:type="dxa"/>
            <w:tcBorders>
              <w:top w:val="single" w:color="auto" w:sz="4" w:space="0"/>
              <w:left w:val="single" w:color="auto" w:sz="4" w:space="0"/>
              <w:bottom w:val="single" w:color="auto" w:sz="4" w:space="0"/>
              <w:right w:val="single" w:color="auto" w:sz="4" w:space="0"/>
            </w:tcBorders>
            <w:vAlign w:val="center"/>
          </w:tcPr>
          <w:p w14:paraId="6D81B8B0">
            <w:pPr>
              <w:spacing w:line="360" w:lineRule="auto"/>
              <w:contextualSpacing/>
              <w:jc w:val="center"/>
              <w:rPr>
                <w:rFonts w:hint="eastAsia" w:ascii="宋体" w:hAnsi="宋体" w:cs="仿宋_GB2312"/>
                <w:color w:val="auto"/>
                <w:sz w:val="24"/>
                <w:highlight w:val="none"/>
              </w:rPr>
            </w:pPr>
            <w:r>
              <w:rPr>
                <w:rFonts w:hint="eastAsia" w:ascii="宋体" w:hAnsi="宋体" w:cs="仿宋_GB2312"/>
                <w:color w:val="auto"/>
                <w:sz w:val="24"/>
                <w:highlight w:val="none"/>
              </w:rPr>
              <w:t>供应商的响应</w:t>
            </w:r>
          </w:p>
        </w:tc>
        <w:tc>
          <w:tcPr>
            <w:tcW w:w="2112" w:type="dxa"/>
            <w:tcBorders>
              <w:top w:val="single" w:color="auto" w:sz="4" w:space="0"/>
              <w:left w:val="single" w:color="auto" w:sz="4" w:space="0"/>
              <w:bottom w:val="single" w:color="auto" w:sz="4" w:space="0"/>
              <w:right w:val="single" w:color="auto" w:sz="4" w:space="0"/>
            </w:tcBorders>
            <w:vAlign w:val="center"/>
          </w:tcPr>
          <w:p w14:paraId="7E8AA2DD">
            <w:pPr>
              <w:spacing w:line="360" w:lineRule="auto"/>
              <w:contextualSpacing/>
              <w:jc w:val="center"/>
              <w:rPr>
                <w:rFonts w:hint="eastAsia" w:ascii="宋体" w:hAnsi="宋体" w:cs="仿宋_GB2312"/>
                <w:color w:val="auto"/>
                <w:sz w:val="24"/>
                <w:highlight w:val="none"/>
              </w:rPr>
            </w:pPr>
            <w:r>
              <w:rPr>
                <w:rFonts w:hint="eastAsia" w:ascii="宋体" w:hAnsi="宋体" w:cs="仿宋_GB2312"/>
                <w:color w:val="auto"/>
                <w:sz w:val="24"/>
                <w:highlight w:val="none"/>
              </w:rPr>
              <w:t>偏离说明</w:t>
            </w:r>
          </w:p>
        </w:tc>
      </w:tr>
      <w:tr w14:paraId="519A60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2178" w:type="dxa"/>
            <w:tcBorders>
              <w:top w:val="single" w:color="auto" w:sz="4" w:space="0"/>
              <w:left w:val="single" w:color="auto" w:sz="4" w:space="0"/>
              <w:bottom w:val="single" w:color="auto" w:sz="4" w:space="0"/>
              <w:right w:val="single" w:color="auto" w:sz="4" w:space="0"/>
            </w:tcBorders>
            <w:vAlign w:val="center"/>
          </w:tcPr>
          <w:p w14:paraId="1E97D001">
            <w:pPr>
              <w:jc w:val="center"/>
              <w:rPr>
                <w:rFonts w:hint="eastAsia" w:ascii="宋体" w:hAnsi="宋体"/>
                <w:color w:val="auto"/>
                <w:sz w:val="24"/>
                <w:highlight w:val="none"/>
              </w:rPr>
            </w:pPr>
          </w:p>
        </w:tc>
        <w:tc>
          <w:tcPr>
            <w:tcW w:w="2668" w:type="dxa"/>
            <w:tcBorders>
              <w:top w:val="single" w:color="auto" w:sz="4" w:space="0"/>
              <w:left w:val="single" w:color="auto" w:sz="4" w:space="0"/>
              <w:bottom w:val="single" w:color="auto" w:sz="4" w:space="0"/>
              <w:right w:val="single" w:color="auto" w:sz="4" w:space="0"/>
            </w:tcBorders>
            <w:vAlign w:val="center"/>
          </w:tcPr>
          <w:p w14:paraId="44E660E2">
            <w:pPr>
              <w:spacing w:line="360" w:lineRule="auto"/>
              <w:contextualSpacing/>
              <w:jc w:val="center"/>
              <w:rPr>
                <w:rFonts w:hint="eastAsia" w:ascii="宋体" w:hAnsi="宋体" w:cs="仿宋_GB2312"/>
                <w:color w:val="auto"/>
                <w:sz w:val="24"/>
                <w:highlight w:val="none"/>
              </w:rPr>
            </w:pPr>
          </w:p>
        </w:tc>
        <w:tc>
          <w:tcPr>
            <w:tcW w:w="2350" w:type="dxa"/>
            <w:tcBorders>
              <w:top w:val="single" w:color="auto" w:sz="4" w:space="0"/>
              <w:left w:val="single" w:color="auto" w:sz="4" w:space="0"/>
              <w:bottom w:val="single" w:color="auto" w:sz="4" w:space="0"/>
              <w:right w:val="single" w:color="auto" w:sz="4" w:space="0"/>
            </w:tcBorders>
            <w:vAlign w:val="center"/>
          </w:tcPr>
          <w:p w14:paraId="5AD6DEFE">
            <w:pPr>
              <w:spacing w:line="360" w:lineRule="auto"/>
              <w:contextualSpacing/>
              <w:jc w:val="center"/>
              <w:rPr>
                <w:rFonts w:hint="eastAsia" w:ascii="宋体" w:hAnsi="宋体" w:cs="仿宋_GB2312"/>
                <w:color w:val="auto"/>
                <w:sz w:val="24"/>
                <w:highlight w:val="none"/>
              </w:rPr>
            </w:pPr>
          </w:p>
        </w:tc>
        <w:tc>
          <w:tcPr>
            <w:tcW w:w="2112" w:type="dxa"/>
            <w:tcBorders>
              <w:top w:val="single" w:color="auto" w:sz="4" w:space="0"/>
              <w:left w:val="single" w:color="auto" w:sz="4" w:space="0"/>
              <w:bottom w:val="single" w:color="auto" w:sz="4" w:space="0"/>
              <w:right w:val="single" w:color="auto" w:sz="4" w:space="0"/>
            </w:tcBorders>
            <w:vAlign w:val="center"/>
          </w:tcPr>
          <w:p w14:paraId="497EB004">
            <w:pPr>
              <w:spacing w:line="360" w:lineRule="auto"/>
              <w:contextualSpacing/>
              <w:jc w:val="center"/>
              <w:rPr>
                <w:rFonts w:hint="eastAsia" w:ascii="宋体" w:hAnsi="宋体" w:cs="仿宋_GB2312"/>
                <w:color w:val="auto"/>
                <w:sz w:val="24"/>
                <w:highlight w:val="none"/>
              </w:rPr>
            </w:pPr>
          </w:p>
        </w:tc>
      </w:tr>
      <w:tr w14:paraId="707008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2178" w:type="dxa"/>
            <w:tcBorders>
              <w:top w:val="single" w:color="auto" w:sz="4" w:space="0"/>
              <w:left w:val="single" w:color="auto" w:sz="4" w:space="0"/>
              <w:bottom w:val="single" w:color="auto" w:sz="4" w:space="0"/>
              <w:right w:val="single" w:color="auto" w:sz="4" w:space="0"/>
            </w:tcBorders>
            <w:vAlign w:val="center"/>
          </w:tcPr>
          <w:p w14:paraId="02BBDFBE">
            <w:pPr>
              <w:jc w:val="center"/>
              <w:rPr>
                <w:rFonts w:hint="eastAsia" w:ascii="宋体" w:hAnsi="宋体"/>
                <w:color w:val="auto"/>
                <w:sz w:val="24"/>
                <w:highlight w:val="none"/>
              </w:rPr>
            </w:pPr>
          </w:p>
        </w:tc>
        <w:tc>
          <w:tcPr>
            <w:tcW w:w="2668" w:type="dxa"/>
            <w:tcBorders>
              <w:top w:val="single" w:color="auto" w:sz="4" w:space="0"/>
              <w:left w:val="single" w:color="auto" w:sz="4" w:space="0"/>
              <w:bottom w:val="single" w:color="auto" w:sz="4" w:space="0"/>
              <w:right w:val="single" w:color="auto" w:sz="4" w:space="0"/>
            </w:tcBorders>
            <w:vAlign w:val="center"/>
          </w:tcPr>
          <w:p w14:paraId="611586F9">
            <w:pPr>
              <w:spacing w:line="360" w:lineRule="auto"/>
              <w:contextualSpacing/>
              <w:jc w:val="center"/>
              <w:rPr>
                <w:rFonts w:hint="eastAsia" w:ascii="宋体" w:hAnsi="宋体" w:cs="仿宋_GB2312"/>
                <w:color w:val="auto"/>
                <w:sz w:val="24"/>
                <w:highlight w:val="none"/>
              </w:rPr>
            </w:pPr>
          </w:p>
        </w:tc>
        <w:tc>
          <w:tcPr>
            <w:tcW w:w="2350" w:type="dxa"/>
            <w:tcBorders>
              <w:top w:val="single" w:color="auto" w:sz="4" w:space="0"/>
              <w:left w:val="single" w:color="auto" w:sz="4" w:space="0"/>
              <w:bottom w:val="single" w:color="auto" w:sz="4" w:space="0"/>
              <w:right w:val="single" w:color="auto" w:sz="4" w:space="0"/>
            </w:tcBorders>
            <w:vAlign w:val="center"/>
          </w:tcPr>
          <w:p w14:paraId="3BA75D98">
            <w:pPr>
              <w:spacing w:line="360" w:lineRule="auto"/>
              <w:ind w:left="43"/>
              <w:contextualSpacing/>
              <w:jc w:val="center"/>
              <w:rPr>
                <w:rFonts w:hint="eastAsia" w:ascii="宋体" w:hAnsi="宋体" w:cs="仿宋_GB2312"/>
                <w:color w:val="auto"/>
                <w:sz w:val="24"/>
                <w:highlight w:val="none"/>
              </w:rPr>
            </w:pPr>
          </w:p>
        </w:tc>
        <w:tc>
          <w:tcPr>
            <w:tcW w:w="2112" w:type="dxa"/>
            <w:tcBorders>
              <w:top w:val="single" w:color="auto" w:sz="4" w:space="0"/>
              <w:left w:val="single" w:color="auto" w:sz="4" w:space="0"/>
              <w:bottom w:val="single" w:color="auto" w:sz="4" w:space="0"/>
              <w:right w:val="single" w:color="auto" w:sz="4" w:space="0"/>
            </w:tcBorders>
            <w:vAlign w:val="center"/>
          </w:tcPr>
          <w:p w14:paraId="15EA362D">
            <w:pPr>
              <w:spacing w:line="360" w:lineRule="auto"/>
              <w:ind w:left="43"/>
              <w:contextualSpacing/>
              <w:jc w:val="center"/>
              <w:rPr>
                <w:rFonts w:hint="eastAsia" w:ascii="宋体" w:hAnsi="宋体" w:cs="仿宋_GB2312"/>
                <w:color w:val="auto"/>
                <w:sz w:val="24"/>
                <w:highlight w:val="none"/>
              </w:rPr>
            </w:pPr>
          </w:p>
        </w:tc>
      </w:tr>
      <w:tr w14:paraId="568DE1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78" w:type="dxa"/>
            <w:tcBorders>
              <w:top w:val="single" w:color="auto" w:sz="4" w:space="0"/>
              <w:left w:val="single" w:color="auto" w:sz="4" w:space="0"/>
              <w:bottom w:val="single" w:color="auto" w:sz="4" w:space="0"/>
              <w:right w:val="single" w:color="auto" w:sz="4" w:space="0"/>
            </w:tcBorders>
            <w:vAlign w:val="center"/>
          </w:tcPr>
          <w:p w14:paraId="68D91E99">
            <w:pPr>
              <w:spacing w:line="360" w:lineRule="auto"/>
              <w:contextualSpacing/>
              <w:jc w:val="center"/>
              <w:rPr>
                <w:rFonts w:hint="eastAsia" w:ascii="宋体" w:hAnsi="宋体" w:cs="仿宋_GB2312"/>
                <w:color w:val="auto"/>
                <w:sz w:val="24"/>
                <w:highlight w:val="none"/>
              </w:rPr>
            </w:pPr>
            <w:r>
              <w:rPr>
                <w:rFonts w:hint="eastAsia" w:ascii="宋体" w:hAnsi="宋体" w:cs="仿宋_GB2312"/>
                <w:color w:val="auto"/>
                <w:sz w:val="24"/>
                <w:highlight w:val="none"/>
              </w:rPr>
              <w:t>…</w:t>
            </w:r>
          </w:p>
        </w:tc>
        <w:tc>
          <w:tcPr>
            <w:tcW w:w="2668" w:type="dxa"/>
            <w:tcBorders>
              <w:top w:val="single" w:color="auto" w:sz="4" w:space="0"/>
              <w:left w:val="single" w:color="auto" w:sz="4" w:space="0"/>
              <w:bottom w:val="single" w:color="auto" w:sz="4" w:space="0"/>
              <w:right w:val="single" w:color="auto" w:sz="4" w:space="0"/>
            </w:tcBorders>
            <w:vAlign w:val="center"/>
          </w:tcPr>
          <w:p w14:paraId="12D10254">
            <w:pPr>
              <w:spacing w:line="360" w:lineRule="auto"/>
              <w:contextualSpacing/>
              <w:jc w:val="center"/>
              <w:rPr>
                <w:rFonts w:hint="eastAsia" w:ascii="宋体" w:hAnsi="宋体" w:cs="仿宋_GB2312"/>
                <w:color w:val="auto"/>
                <w:sz w:val="24"/>
                <w:highlight w:val="none"/>
              </w:rPr>
            </w:pPr>
          </w:p>
        </w:tc>
        <w:tc>
          <w:tcPr>
            <w:tcW w:w="2350" w:type="dxa"/>
            <w:tcBorders>
              <w:top w:val="single" w:color="auto" w:sz="4" w:space="0"/>
              <w:left w:val="single" w:color="auto" w:sz="4" w:space="0"/>
              <w:bottom w:val="single" w:color="auto" w:sz="4" w:space="0"/>
              <w:right w:val="single" w:color="auto" w:sz="4" w:space="0"/>
            </w:tcBorders>
            <w:vAlign w:val="center"/>
          </w:tcPr>
          <w:p w14:paraId="745F37D7">
            <w:pPr>
              <w:spacing w:line="360" w:lineRule="auto"/>
              <w:contextualSpacing/>
              <w:jc w:val="center"/>
              <w:rPr>
                <w:rFonts w:hint="eastAsia" w:ascii="宋体" w:hAnsi="宋体" w:cs="仿宋_GB2312"/>
                <w:color w:val="auto"/>
                <w:sz w:val="24"/>
                <w:highlight w:val="none"/>
              </w:rPr>
            </w:pPr>
          </w:p>
        </w:tc>
        <w:tc>
          <w:tcPr>
            <w:tcW w:w="2112" w:type="dxa"/>
            <w:tcBorders>
              <w:top w:val="single" w:color="auto" w:sz="4" w:space="0"/>
              <w:left w:val="single" w:color="auto" w:sz="4" w:space="0"/>
              <w:bottom w:val="single" w:color="auto" w:sz="4" w:space="0"/>
              <w:right w:val="single" w:color="auto" w:sz="4" w:space="0"/>
            </w:tcBorders>
            <w:vAlign w:val="center"/>
          </w:tcPr>
          <w:p w14:paraId="60ADEFB5">
            <w:pPr>
              <w:spacing w:line="360" w:lineRule="auto"/>
              <w:contextualSpacing/>
              <w:jc w:val="center"/>
              <w:rPr>
                <w:rFonts w:hint="eastAsia" w:ascii="宋体" w:hAnsi="宋体" w:cs="仿宋_GB2312"/>
                <w:color w:val="auto"/>
                <w:sz w:val="24"/>
                <w:highlight w:val="none"/>
              </w:rPr>
            </w:pPr>
          </w:p>
        </w:tc>
      </w:tr>
    </w:tbl>
    <w:p w14:paraId="5B3F159D">
      <w:pPr>
        <w:pStyle w:val="11"/>
        <w:spacing w:after="0" w:line="360" w:lineRule="auto"/>
        <w:contextualSpacing/>
        <w:rPr>
          <w:rFonts w:hint="eastAsia" w:ascii="宋体" w:hAnsi="宋体"/>
          <w:color w:val="auto"/>
          <w:kern w:val="0"/>
          <w:sz w:val="24"/>
          <w:szCs w:val="24"/>
          <w:highlight w:val="none"/>
        </w:rPr>
      </w:pPr>
      <w:r>
        <w:rPr>
          <w:rFonts w:hint="eastAsia" w:ascii="宋体" w:hAnsi="宋体"/>
          <w:color w:val="auto"/>
          <w:kern w:val="0"/>
          <w:sz w:val="24"/>
          <w:szCs w:val="24"/>
          <w:highlight w:val="none"/>
        </w:rPr>
        <w:t>注：</w:t>
      </w:r>
    </w:p>
    <w:p w14:paraId="263E0A7A">
      <w:pPr>
        <w:pStyle w:val="11"/>
        <w:spacing w:line="360" w:lineRule="auto"/>
        <w:contextualSpacing/>
        <w:rPr>
          <w:rFonts w:hint="eastAsia" w:ascii="宋体" w:hAnsi="宋体"/>
          <w:color w:val="auto"/>
          <w:kern w:val="0"/>
          <w:sz w:val="24"/>
          <w:szCs w:val="24"/>
          <w:highlight w:val="none"/>
        </w:rPr>
      </w:pPr>
      <w:r>
        <w:rPr>
          <w:rFonts w:hint="eastAsia" w:ascii="宋体" w:hAnsi="宋体"/>
          <w:color w:val="auto"/>
          <w:kern w:val="0"/>
          <w:sz w:val="24"/>
          <w:szCs w:val="24"/>
          <w:highlight w:val="none"/>
        </w:rPr>
        <w:t>1. 说明：应对照磋商文件“第三章 采购需求”中的“一、商务要求”、“二、与实现项目目标相关的其他要求”逐条作出明确响应，并作出偏离说明。</w:t>
      </w:r>
    </w:p>
    <w:p w14:paraId="6FEF266D">
      <w:pPr>
        <w:spacing w:line="360" w:lineRule="auto"/>
        <w:contextualSpacing/>
        <w:jc w:val="left"/>
        <w:rPr>
          <w:rFonts w:hint="eastAsia" w:ascii="宋体" w:hAnsi="宋体" w:cs="仿宋_GB2312"/>
          <w:color w:val="auto"/>
          <w:sz w:val="24"/>
          <w:highlight w:val="none"/>
          <w:u w:val="single"/>
        </w:rPr>
      </w:pPr>
      <w:r>
        <w:rPr>
          <w:rFonts w:hint="eastAsia" w:ascii="宋体" w:hAnsi="宋体"/>
          <w:color w:val="auto"/>
          <w:kern w:val="0"/>
          <w:sz w:val="24"/>
          <w:highlight w:val="none"/>
        </w:rPr>
        <w:t>2.供应商应根据自身的承诺，对照磋商文件要求在“偏离说明”中注明“正偏离”、“负偏离”或者“无偏离”。既不属于“正偏离”也不属于“负偏离”即为“无偏离”。</w:t>
      </w:r>
    </w:p>
    <w:p w14:paraId="7E5DB9AC">
      <w:pPr>
        <w:spacing w:line="360" w:lineRule="auto"/>
        <w:ind w:right="-817" w:rightChars="-389"/>
        <w:contextualSpacing/>
        <w:rPr>
          <w:rFonts w:hint="eastAsia" w:ascii="宋体" w:hAnsi="宋体" w:cs="仿宋_GB2312"/>
          <w:color w:val="auto"/>
          <w:sz w:val="24"/>
          <w:highlight w:val="none"/>
        </w:rPr>
      </w:pPr>
    </w:p>
    <w:p w14:paraId="609E4D7C">
      <w:pPr>
        <w:spacing w:line="360" w:lineRule="auto"/>
        <w:ind w:right="-817" w:rightChars="-389"/>
        <w:contextualSpacing/>
        <w:jc w:val="center"/>
        <w:rPr>
          <w:rFonts w:hint="eastAsia" w:ascii="宋体" w:hAnsi="宋体" w:cs="仿宋_GB2312"/>
          <w:color w:val="auto"/>
          <w:sz w:val="24"/>
          <w:highlight w:val="none"/>
        </w:rPr>
      </w:pPr>
      <w:r>
        <w:rPr>
          <w:rFonts w:hint="eastAsia" w:ascii="宋体" w:hAnsi="宋体" w:cs="仿宋_GB2312"/>
          <w:color w:val="auto"/>
          <w:sz w:val="24"/>
          <w:highlight w:val="none"/>
        </w:rPr>
        <w:t>法定代表人或者委托代理人（签字或者电子签名）：</w:t>
      </w:r>
    </w:p>
    <w:p w14:paraId="11C8BE0B">
      <w:pPr>
        <w:spacing w:line="360" w:lineRule="auto"/>
        <w:ind w:right="-817" w:rightChars="-389" w:firstLine="2640" w:firstLineChars="1100"/>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供应商（电子签章）：      </w:t>
      </w:r>
    </w:p>
    <w:p w14:paraId="44CEACDB">
      <w:pPr>
        <w:spacing w:line="360" w:lineRule="auto"/>
        <w:ind w:right="-817" w:rightChars="-389" w:firstLine="4080" w:firstLineChars="1700"/>
        <w:contextualSpacing/>
        <w:rPr>
          <w:rFonts w:hint="eastAsia" w:ascii="仿宋_GB2312" w:hAnsi="仿宋_GB2312" w:eastAsia="仿宋_GB2312" w:cs="仿宋_GB2312"/>
          <w:b/>
          <w:color w:val="auto"/>
          <w:sz w:val="32"/>
          <w:szCs w:val="32"/>
          <w:highlight w:val="none"/>
        </w:rPr>
      </w:pPr>
      <w:r>
        <w:rPr>
          <w:rFonts w:hint="eastAsia" w:ascii="宋体" w:hAnsi="宋体" w:cs="仿宋_GB2312"/>
          <w:color w:val="auto"/>
          <w:sz w:val="24"/>
          <w:highlight w:val="none"/>
        </w:rPr>
        <w:t>日期：   年   月   日</w:t>
      </w:r>
    </w:p>
    <w:p w14:paraId="14FFC929">
      <w:pPr>
        <w:adjustRightInd w:val="0"/>
        <w:snapToGrid w:val="0"/>
        <w:spacing w:line="520" w:lineRule="exact"/>
        <w:ind w:firstLine="7040" w:firstLineChars="1600"/>
        <w:jc w:val="center"/>
        <w:rPr>
          <w:rFonts w:hint="eastAsia" w:ascii="方正小标宋简体" w:hAnsi="方正小标宋简体" w:eastAsia="方正小标宋简体" w:cs="方正小标宋简体"/>
          <w:bCs/>
          <w:color w:val="auto"/>
          <w:sz w:val="44"/>
          <w:szCs w:val="44"/>
          <w:highlight w:val="none"/>
        </w:rPr>
      </w:pPr>
    </w:p>
    <w:p w14:paraId="4E761BFC">
      <w:pPr>
        <w:adjustRightInd w:val="0"/>
        <w:snapToGrid w:val="0"/>
        <w:spacing w:line="520" w:lineRule="exact"/>
        <w:ind w:firstLine="7040" w:firstLineChars="1600"/>
        <w:jc w:val="center"/>
        <w:rPr>
          <w:rFonts w:hint="eastAsia" w:ascii="方正小标宋简体" w:hAnsi="方正小标宋简体" w:eastAsia="方正小标宋简体" w:cs="方正小标宋简体"/>
          <w:bCs/>
          <w:color w:val="auto"/>
          <w:sz w:val="44"/>
          <w:szCs w:val="44"/>
          <w:highlight w:val="none"/>
        </w:rPr>
      </w:pPr>
    </w:p>
    <w:p w14:paraId="645782BA">
      <w:pPr>
        <w:adjustRightInd w:val="0"/>
        <w:snapToGrid w:val="0"/>
        <w:spacing w:line="520" w:lineRule="exact"/>
        <w:ind w:firstLine="7040" w:firstLineChars="1600"/>
        <w:jc w:val="center"/>
        <w:rPr>
          <w:rFonts w:hint="eastAsia" w:ascii="方正小标宋简体" w:hAnsi="方正小标宋简体" w:eastAsia="方正小标宋简体" w:cs="方正小标宋简体"/>
          <w:bCs/>
          <w:color w:val="auto"/>
          <w:sz w:val="44"/>
          <w:szCs w:val="44"/>
          <w:highlight w:val="none"/>
        </w:rPr>
      </w:pPr>
    </w:p>
    <w:p w14:paraId="5D7BDBCC">
      <w:pPr>
        <w:adjustRightInd w:val="0"/>
        <w:snapToGrid w:val="0"/>
        <w:spacing w:line="520" w:lineRule="exact"/>
        <w:ind w:firstLine="7040" w:firstLineChars="1600"/>
        <w:jc w:val="center"/>
        <w:rPr>
          <w:rFonts w:hint="eastAsia" w:ascii="方正小标宋简体" w:hAnsi="方正小标宋简体" w:eastAsia="方正小标宋简体" w:cs="方正小标宋简体"/>
          <w:bCs/>
          <w:color w:val="auto"/>
          <w:sz w:val="44"/>
          <w:szCs w:val="44"/>
          <w:highlight w:val="none"/>
        </w:rPr>
      </w:pPr>
    </w:p>
    <w:p w14:paraId="1589BA83">
      <w:pPr>
        <w:adjustRightInd w:val="0"/>
        <w:snapToGrid w:val="0"/>
        <w:spacing w:line="520" w:lineRule="exact"/>
        <w:rPr>
          <w:rFonts w:hint="eastAsia" w:ascii="宋体" w:hAnsi="宋体"/>
          <w:color w:val="auto"/>
          <w:szCs w:val="21"/>
          <w:highlight w:val="none"/>
          <w:u w:val="single"/>
        </w:rPr>
      </w:pPr>
    </w:p>
    <w:p w14:paraId="14798FE6">
      <w:pPr>
        <w:adjustRightInd w:val="0"/>
        <w:snapToGrid w:val="0"/>
        <w:spacing w:line="300" w:lineRule="auto"/>
        <w:jc w:val="center"/>
        <w:rPr>
          <w:rFonts w:hint="eastAsia" w:ascii="方正小标宋简体" w:hAnsi="方正小标宋简体" w:eastAsia="方正小标宋简体" w:cs="方正小标宋简体"/>
          <w:bCs/>
          <w:color w:val="auto"/>
          <w:sz w:val="44"/>
          <w:szCs w:val="44"/>
          <w:highlight w:val="none"/>
        </w:rPr>
      </w:pPr>
      <w:r>
        <w:rPr>
          <w:rFonts w:ascii="方正小标宋简体" w:hAnsi="方正小标宋简体" w:eastAsia="方正小标宋简体" w:cs="方正小标宋简体"/>
          <w:bCs/>
          <w:color w:val="auto"/>
          <w:sz w:val="44"/>
          <w:szCs w:val="44"/>
          <w:highlight w:val="none"/>
        </w:rPr>
        <w:br w:type="page"/>
      </w:r>
      <w:r>
        <w:rPr>
          <w:rFonts w:hint="eastAsia" w:ascii="方正小标宋简体" w:hAnsi="方正小标宋简体" w:eastAsia="方正小标宋简体" w:cs="方正小标宋简体"/>
          <w:bCs/>
          <w:color w:val="auto"/>
          <w:sz w:val="44"/>
          <w:szCs w:val="44"/>
          <w:highlight w:val="none"/>
        </w:rPr>
        <w:t>技术要求偏离表</w:t>
      </w:r>
    </w:p>
    <w:p w14:paraId="3D87162E">
      <w:pPr>
        <w:spacing w:line="520" w:lineRule="exact"/>
        <w:rPr>
          <w:rFonts w:hint="eastAsia" w:ascii="仿宋_GB2312" w:hAnsi="仿宋_GB2312" w:eastAsia="仿宋_GB2312" w:cs="仿宋_GB2312"/>
          <w:color w:val="auto"/>
          <w:sz w:val="32"/>
          <w:szCs w:val="32"/>
          <w:highlight w:val="none"/>
        </w:rPr>
      </w:pPr>
    </w:p>
    <w:p w14:paraId="4859BB13">
      <w:pPr>
        <w:spacing w:line="360" w:lineRule="auto"/>
        <w:contextualSpacing/>
        <w:rPr>
          <w:rFonts w:hint="eastAsia" w:ascii="宋体" w:hAnsi="宋体" w:cs="仿宋_GB2312"/>
          <w:color w:val="auto"/>
          <w:sz w:val="24"/>
          <w:highlight w:val="none"/>
          <w:u w:val="single"/>
        </w:rPr>
      </w:pPr>
      <w:r>
        <w:rPr>
          <w:rFonts w:hint="eastAsia" w:ascii="宋体" w:hAnsi="宋体" w:cs="仿宋_GB2312"/>
          <w:color w:val="auto"/>
          <w:sz w:val="24"/>
          <w:highlight w:val="none"/>
        </w:rPr>
        <w:t>采购项目编号：</w:t>
      </w:r>
      <w:r>
        <w:rPr>
          <w:rFonts w:hint="eastAsia" w:ascii="宋体" w:hAnsi="宋体" w:cs="仿宋_GB2312"/>
          <w:color w:val="auto"/>
          <w:sz w:val="24"/>
          <w:highlight w:val="none"/>
          <w:u w:val="single"/>
        </w:rPr>
        <w:t xml:space="preserve">                 </w:t>
      </w:r>
    </w:p>
    <w:p w14:paraId="22946B4A">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采购项目名称：</w:t>
      </w:r>
      <w:r>
        <w:rPr>
          <w:rFonts w:hint="eastAsia" w:ascii="宋体" w:hAnsi="宋体" w:cs="仿宋_GB2312"/>
          <w:color w:val="auto"/>
          <w:sz w:val="24"/>
          <w:highlight w:val="none"/>
          <w:u w:val="single"/>
        </w:rPr>
        <w:t xml:space="preserve">                 </w:t>
      </w:r>
    </w:p>
    <w:p w14:paraId="3131BFF9">
      <w:pPr>
        <w:spacing w:line="360" w:lineRule="auto"/>
        <w:contextualSpacing/>
        <w:rPr>
          <w:rFonts w:hint="eastAsia" w:ascii="宋体" w:hAnsi="宋体" w:cs="仿宋_GB2312"/>
          <w:color w:val="auto"/>
          <w:sz w:val="24"/>
          <w:highlight w:val="none"/>
          <w:u w:val="single"/>
        </w:rPr>
      </w:pPr>
      <w:r>
        <w:rPr>
          <w:rFonts w:hint="eastAsia" w:ascii="宋体" w:hAnsi="宋体" w:cs="仿宋_GB2312"/>
          <w:color w:val="auto"/>
          <w:sz w:val="24"/>
          <w:highlight w:val="none"/>
        </w:rPr>
        <w:t>分标号：</w:t>
      </w:r>
      <w:r>
        <w:rPr>
          <w:rFonts w:hint="eastAsia" w:ascii="宋体" w:hAnsi="宋体" w:cs="仿宋_GB2312"/>
          <w:color w:val="auto"/>
          <w:sz w:val="24"/>
          <w:highlight w:val="none"/>
          <w:u w:val="single"/>
        </w:rPr>
        <w:t xml:space="preserve">                       </w:t>
      </w:r>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900"/>
        <w:gridCol w:w="900"/>
        <w:gridCol w:w="2989"/>
        <w:gridCol w:w="2690"/>
        <w:gridCol w:w="1467"/>
      </w:tblGrid>
      <w:tr w14:paraId="33C9533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3" w:type="pct"/>
            <w:vAlign w:val="center"/>
          </w:tcPr>
          <w:p w14:paraId="0E9CF361">
            <w:pPr>
              <w:pStyle w:val="12"/>
              <w:spacing w:line="360" w:lineRule="auto"/>
              <w:ind w:firstLine="0" w:firstLineChars="0"/>
              <w:contextualSpacing/>
              <w:jc w:val="center"/>
              <w:rPr>
                <w:rFonts w:hint="eastAsia" w:ascii="宋体" w:hAnsi="宋体" w:eastAsia="宋体" w:cs="仿宋_GB2312"/>
                <w:color w:val="auto"/>
                <w:kern w:val="2"/>
                <w:sz w:val="24"/>
                <w:szCs w:val="24"/>
                <w:highlight w:val="none"/>
              </w:rPr>
            </w:pPr>
            <w:bookmarkStart w:id="92" w:name="_Toc301781611"/>
            <w:bookmarkStart w:id="93" w:name="_Toc295404981"/>
            <w:bookmarkStart w:id="94" w:name="_Toc297193185"/>
            <w:bookmarkStart w:id="95" w:name="_Toc373333689"/>
            <w:bookmarkStart w:id="96" w:name="_Toc173211900"/>
            <w:bookmarkStart w:id="97" w:name="_Toc254970729"/>
            <w:bookmarkStart w:id="98" w:name="_Toc254970588"/>
            <w:bookmarkStart w:id="99" w:name="_Toc383699906"/>
            <w:bookmarkStart w:id="100" w:name="_Toc173066401"/>
            <w:r>
              <w:rPr>
                <w:rFonts w:hint="eastAsia" w:ascii="宋体" w:hAnsi="宋体" w:eastAsia="宋体" w:cs="仿宋_GB2312"/>
                <w:color w:val="auto"/>
                <w:kern w:val="2"/>
                <w:sz w:val="24"/>
                <w:szCs w:val="24"/>
                <w:highlight w:val="none"/>
              </w:rPr>
              <w:t>序号</w:t>
            </w:r>
            <w:bookmarkEnd w:id="92"/>
            <w:bookmarkEnd w:id="93"/>
            <w:bookmarkEnd w:id="94"/>
            <w:bookmarkEnd w:id="95"/>
            <w:bookmarkEnd w:id="96"/>
            <w:bookmarkEnd w:id="97"/>
            <w:bookmarkEnd w:id="98"/>
            <w:bookmarkEnd w:id="99"/>
            <w:bookmarkEnd w:id="100"/>
          </w:p>
        </w:tc>
        <w:tc>
          <w:tcPr>
            <w:tcW w:w="503" w:type="pct"/>
            <w:tcBorders>
              <w:right w:val="single" w:color="auto" w:sz="4" w:space="0"/>
            </w:tcBorders>
            <w:vAlign w:val="center"/>
          </w:tcPr>
          <w:p w14:paraId="1BEB8A64">
            <w:pPr>
              <w:pStyle w:val="12"/>
              <w:spacing w:line="360" w:lineRule="auto"/>
              <w:ind w:firstLine="0" w:firstLineChars="0"/>
              <w:contextualSpacing/>
              <w:jc w:val="center"/>
              <w:rPr>
                <w:rFonts w:hint="eastAsia"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rPr>
              <w:t>名称</w:t>
            </w:r>
          </w:p>
        </w:tc>
        <w:tc>
          <w:tcPr>
            <w:tcW w:w="1670" w:type="pct"/>
            <w:tcBorders>
              <w:left w:val="single" w:color="auto" w:sz="4" w:space="0"/>
            </w:tcBorders>
            <w:vAlign w:val="center"/>
          </w:tcPr>
          <w:p w14:paraId="6B912066">
            <w:pPr>
              <w:pStyle w:val="12"/>
              <w:spacing w:line="360" w:lineRule="auto"/>
              <w:ind w:firstLine="0" w:firstLineChars="0"/>
              <w:contextualSpacing/>
              <w:jc w:val="center"/>
              <w:rPr>
                <w:rFonts w:hint="eastAsia"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rPr>
              <w:t>磋商文件技术要求</w:t>
            </w:r>
          </w:p>
        </w:tc>
        <w:tc>
          <w:tcPr>
            <w:tcW w:w="1503" w:type="pct"/>
            <w:vAlign w:val="center"/>
          </w:tcPr>
          <w:p w14:paraId="7769DB14">
            <w:pPr>
              <w:pStyle w:val="12"/>
              <w:spacing w:line="360" w:lineRule="auto"/>
              <w:ind w:firstLine="0" w:firstLineChars="0"/>
              <w:contextualSpacing/>
              <w:jc w:val="center"/>
              <w:rPr>
                <w:rFonts w:hint="eastAsia" w:ascii="宋体" w:hAnsi="宋体" w:eastAsia="宋体" w:cs="仿宋_GB2312"/>
                <w:color w:val="auto"/>
                <w:kern w:val="2"/>
                <w:sz w:val="24"/>
                <w:szCs w:val="24"/>
                <w:highlight w:val="none"/>
              </w:rPr>
            </w:pPr>
            <w:bookmarkStart w:id="101" w:name="_Toc295404983"/>
            <w:bookmarkStart w:id="102" w:name="_Toc383699908"/>
            <w:bookmarkStart w:id="103" w:name="_Toc173066403"/>
            <w:bookmarkStart w:id="104" w:name="_Toc254970731"/>
            <w:bookmarkStart w:id="105" w:name="_Toc301781613"/>
            <w:bookmarkStart w:id="106" w:name="_Toc297193187"/>
            <w:bookmarkStart w:id="107" w:name="_Toc254970590"/>
            <w:bookmarkStart w:id="108" w:name="_Toc173211902"/>
            <w:bookmarkStart w:id="109" w:name="_Toc373333691"/>
            <w:r>
              <w:rPr>
                <w:rFonts w:hint="eastAsia" w:ascii="宋体" w:hAnsi="宋体" w:eastAsia="宋体" w:cs="仿宋_GB2312"/>
                <w:color w:val="auto"/>
                <w:kern w:val="2"/>
                <w:sz w:val="24"/>
                <w:szCs w:val="24"/>
                <w:highlight w:val="none"/>
              </w:rPr>
              <w:t>竞标响应</w:t>
            </w:r>
            <w:bookmarkEnd w:id="101"/>
            <w:bookmarkEnd w:id="102"/>
            <w:bookmarkEnd w:id="103"/>
            <w:bookmarkEnd w:id="104"/>
            <w:bookmarkEnd w:id="105"/>
            <w:bookmarkEnd w:id="106"/>
            <w:bookmarkEnd w:id="107"/>
            <w:bookmarkEnd w:id="108"/>
            <w:bookmarkEnd w:id="109"/>
          </w:p>
        </w:tc>
        <w:tc>
          <w:tcPr>
            <w:tcW w:w="820" w:type="pct"/>
            <w:vAlign w:val="center"/>
          </w:tcPr>
          <w:p w14:paraId="48E991A0">
            <w:pPr>
              <w:pStyle w:val="12"/>
              <w:spacing w:line="360" w:lineRule="auto"/>
              <w:ind w:firstLine="0" w:firstLineChars="0"/>
              <w:contextualSpacing/>
              <w:jc w:val="center"/>
              <w:rPr>
                <w:rFonts w:hint="eastAsia" w:ascii="宋体" w:hAnsi="宋体" w:eastAsia="宋体" w:cs="仿宋_GB2312"/>
                <w:color w:val="auto"/>
                <w:kern w:val="2"/>
                <w:sz w:val="24"/>
                <w:szCs w:val="24"/>
                <w:highlight w:val="none"/>
              </w:rPr>
            </w:pPr>
            <w:bookmarkStart w:id="110" w:name="_Toc173066404"/>
            <w:bookmarkStart w:id="111" w:name="_Toc295404984"/>
            <w:bookmarkStart w:id="112" w:name="_Toc254970732"/>
            <w:bookmarkStart w:id="113" w:name="_Toc173211903"/>
            <w:bookmarkStart w:id="114" w:name="_Toc373333692"/>
            <w:bookmarkStart w:id="115" w:name="_Toc297193188"/>
            <w:bookmarkStart w:id="116" w:name="_Toc383699909"/>
            <w:bookmarkStart w:id="117" w:name="_Toc301781614"/>
            <w:bookmarkStart w:id="118" w:name="_Toc254970591"/>
            <w:r>
              <w:rPr>
                <w:rFonts w:hint="eastAsia" w:ascii="宋体" w:hAnsi="宋体" w:eastAsia="宋体" w:cs="仿宋_GB2312"/>
                <w:color w:val="auto"/>
                <w:kern w:val="2"/>
                <w:sz w:val="24"/>
                <w:szCs w:val="24"/>
                <w:highlight w:val="none"/>
              </w:rPr>
              <w:t>偏离</w:t>
            </w:r>
            <w:bookmarkEnd w:id="110"/>
            <w:bookmarkEnd w:id="111"/>
            <w:bookmarkEnd w:id="112"/>
            <w:bookmarkEnd w:id="113"/>
            <w:bookmarkEnd w:id="114"/>
            <w:bookmarkEnd w:id="115"/>
            <w:bookmarkEnd w:id="116"/>
            <w:bookmarkEnd w:id="117"/>
            <w:bookmarkEnd w:id="118"/>
            <w:bookmarkStart w:id="119" w:name="_Toc173211904"/>
            <w:bookmarkStart w:id="120" w:name="_Toc173066405"/>
            <w:bookmarkStart w:id="121" w:name="_Toc301781615"/>
            <w:bookmarkStart w:id="122" w:name="_Toc295404985"/>
            <w:bookmarkStart w:id="123" w:name="_Toc254970592"/>
            <w:bookmarkStart w:id="124" w:name="_Toc254970733"/>
            <w:bookmarkStart w:id="125" w:name="_Toc373333693"/>
            <w:bookmarkStart w:id="126" w:name="_Toc297193189"/>
            <w:bookmarkStart w:id="127" w:name="_Toc383699910"/>
            <w:r>
              <w:rPr>
                <w:rFonts w:hint="eastAsia" w:ascii="宋体" w:hAnsi="宋体" w:eastAsia="宋体" w:cs="仿宋_GB2312"/>
                <w:color w:val="auto"/>
                <w:kern w:val="2"/>
                <w:sz w:val="24"/>
                <w:szCs w:val="24"/>
                <w:highlight w:val="none"/>
              </w:rPr>
              <w:t>说明</w:t>
            </w:r>
            <w:bookmarkEnd w:id="119"/>
            <w:bookmarkEnd w:id="120"/>
            <w:bookmarkEnd w:id="121"/>
            <w:bookmarkEnd w:id="122"/>
            <w:bookmarkEnd w:id="123"/>
            <w:bookmarkEnd w:id="124"/>
            <w:bookmarkEnd w:id="125"/>
            <w:bookmarkEnd w:id="126"/>
            <w:bookmarkEnd w:id="127"/>
          </w:p>
        </w:tc>
      </w:tr>
      <w:tr w14:paraId="39766EC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3" w:type="pct"/>
            <w:vAlign w:val="center"/>
          </w:tcPr>
          <w:p w14:paraId="43D8AC61">
            <w:pPr>
              <w:pStyle w:val="12"/>
              <w:spacing w:line="360" w:lineRule="auto"/>
              <w:ind w:firstLine="0" w:firstLineChars="0"/>
              <w:contextualSpacing/>
              <w:jc w:val="center"/>
              <w:rPr>
                <w:rFonts w:hint="eastAsia" w:ascii="宋体" w:hAnsi="宋体" w:eastAsia="宋体" w:cs="仿宋_GB2312"/>
                <w:color w:val="auto"/>
                <w:kern w:val="2"/>
                <w:sz w:val="24"/>
                <w:szCs w:val="24"/>
                <w:highlight w:val="none"/>
              </w:rPr>
            </w:pPr>
            <w:bookmarkStart w:id="128" w:name="_Toc383699911"/>
            <w:bookmarkStart w:id="129" w:name="_Toc373333694"/>
            <w:bookmarkStart w:id="130" w:name="_Toc173211905"/>
            <w:bookmarkStart w:id="131" w:name="_Toc254970734"/>
            <w:bookmarkStart w:id="132" w:name="_Toc301781616"/>
            <w:bookmarkStart w:id="133" w:name="_Toc297193190"/>
            <w:bookmarkStart w:id="134" w:name="_Toc254970593"/>
            <w:bookmarkStart w:id="135" w:name="_Toc295404986"/>
            <w:bookmarkStart w:id="136" w:name="_Toc173066406"/>
            <w:r>
              <w:rPr>
                <w:rFonts w:hint="eastAsia" w:ascii="宋体" w:hAnsi="宋体" w:eastAsia="宋体" w:cs="仿宋_GB2312"/>
                <w:color w:val="auto"/>
                <w:kern w:val="2"/>
                <w:sz w:val="24"/>
                <w:szCs w:val="24"/>
                <w:highlight w:val="none"/>
              </w:rPr>
              <w:t>1</w:t>
            </w:r>
            <w:bookmarkEnd w:id="128"/>
            <w:bookmarkEnd w:id="129"/>
            <w:bookmarkEnd w:id="130"/>
            <w:bookmarkEnd w:id="131"/>
            <w:bookmarkEnd w:id="132"/>
            <w:bookmarkEnd w:id="133"/>
            <w:bookmarkEnd w:id="134"/>
            <w:bookmarkEnd w:id="135"/>
            <w:bookmarkEnd w:id="136"/>
          </w:p>
        </w:tc>
        <w:tc>
          <w:tcPr>
            <w:tcW w:w="503" w:type="pct"/>
            <w:tcBorders>
              <w:right w:val="single" w:color="auto" w:sz="4" w:space="0"/>
            </w:tcBorders>
            <w:vAlign w:val="center"/>
          </w:tcPr>
          <w:p w14:paraId="5604CC0C">
            <w:pPr>
              <w:pStyle w:val="12"/>
              <w:spacing w:line="360" w:lineRule="auto"/>
              <w:ind w:firstLine="0" w:firstLineChars="0"/>
              <w:contextualSpacing/>
              <w:jc w:val="center"/>
              <w:rPr>
                <w:rFonts w:hint="eastAsia" w:ascii="宋体" w:hAnsi="宋体" w:eastAsia="宋体" w:cs="仿宋_GB2312"/>
                <w:color w:val="auto"/>
                <w:kern w:val="2"/>
                <w:sz w:val="24"/>
                <w:szCs w:val="24"/>
                <w:highlight w:val="none"/>
              </w:rPr>
            </w:pPr>
          </w:p>
        </w:tc>
        <w:tc>
          <w:tcPr>
            <w:tcW w:w="1670" w:type="pct"/>
            <w:tcBorders>
              <w:left w:val="single" w:color="auto" w:sz="4" w:space="0"/>
            </w:tcBorders>
            <w:vAlign w:val="center"/>
          </w:tcPr>
          <w:p w14:paraId="4E14183C">
            <w:pPr>
              <w:pStyle w:val="12"/>
              <w:spacing w:line="360" w:lineRule="auto"/>
              <w:ind w:firstLine="0" w:firstLineChars="0"/>
              <w:contextualSpacing/>
              <w:jc w:val="center"/>
              <w:rPr>
                <w:rFonts w:hint="eastAsia" w:ascii="宋体" w:hAnsi="宋体" w:eastAsia="宋体" w:cs="仿宋_GB2312"/>
                <w:color w:val="auto"/>
                <w:kern w:val="2"/>
                <w:sz w:val="24"/>
                <w:szCs w:val="24"/>
                <w:highlight w:val="none"/>
              </w:rPr>
            </w:pPr>
          </w:p>
        </w:tc>
        <w:tc>
          <w:tcPr>
            <w:tcW w:w="1503" w:type="pct"/>
            <w:vAlign w:val="center"/>
          </w:tcPr>
          <w:p w14:paraId="078844DF">
            <w:pPr>
              <w:pStyle w:val="12"/>
              <w:spacing w:line="360" w:lineRule="auto"/>
              <w:ind w:firstLine="0" w:firstLineChars="0"/>
              <w:contextualSpacing/>
              <w:jc w:val="center"/>
              <w:rPr>
                <w:rFonts w:hint="eastAsia" w:ascii="宋体" w:hAnsi="宋体" w:eastAsia="宋体" w:cs="仿宋_GB2312"/>
                <w:color w:val="auto"/>
                <w:kern w:val="2"/>
                <w:sz w:val="24"/>
                <w:szCs w:val="24"/>
                <w:highlight w:val="none"/>
              </w:rPr>
            </w:pPr>
          </w:p>
        </w:tc>
        <w:tc>
          <w:tcPr>
            <w:tcW w:w="820" w:type="pct"/>
            <w:vAlign w:val="center"/>
          </w:tcPr>
          <w:p w14:paraId="03249948">
            <w:pPr>
              <w:pStyle w:val="12"/>
              <w:spacing w:line="360" w:lineRule="auto"/>
              <w:ind w:firstLine="0" w:firstLineChars="0"/>
              <w:contextualSpacing/>
              <w:jc w:val="center"/>
              <w:rPr>
                <w:rFonts w:hint="eastAsia" w:ascii="宋体" w:hAnsi="宋体" w:eastAsia="宋体" w:cs="仿宋_GB2312"/>
                <w:color w:val="auto"/>
                <w:kern w:val="2"/>
                <w:sz w:val="24"/>
                <w:szCs w:val="24"/>
                <w:highlight w:val="none"/>
              </w:rPr>
            </w:pPr>
          </w:p>
        </w:tc>
      </w:tr>
      <w:tr w14:paraId="5D62F3B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3" w:type="pct"/>
            <w:vAlign w:val="center"/>
          </w:tcPr>
          <w:p w14:paraId="3C571661">
            <w:pPr>
              <w:pStyle w:val="12"/>
              <w:spacing w:line="360" w:lineRule="auto"/>
              <w:ind w:firstLine="0" w:firstLineChars="0"/>
              <w:contextualSpacing/>
              <w:jc w:val="center"/>
              <w:rPr>
                <w:rFonts w:hint="eastAsia" w:ascii="宋体" w:hAnsi="宋体" w:eastAsia="宋体" w:cs="仿宋_GB2312"/>
                <w:color w:val="auto"/>
                <w:kern w:val="2"/>
                <w:sz w:val="24"/>
                <w:szCs w:val="24"/>
                <w:highlight w:val="none"/>
              </w:rPr>
            </w:pPr>
            <w:bookmarkStart w:id="137" w:name="_Toc173211906"/>
            <w:bookmarkStart w:id="138" w:name="_Toc373333695"/>
            <w:bookmarkStart w:id="139" w:name="_Toc301781617"/>
            <w:bookmarkStart w:id="140" w:name="_Toc254970594"/>
            <w:bookmarkStart w:id="141" w:name="_Toc383699912"/>
            <w:bookmarkStart w:id="142" w:name="_Toc173066407"/>
            <w:bookmarkStart w:id="143" w:name="_Toc297193191"/>
            <w:bookmarkStart w:id="144" w:name="_Toc295404987"/>
            <w:bookmarkStart w:id="145" w:name="_Toc254970735"/>
            <w:r>
              <w:rPr>
                <w:rFonts w:hint="eastAsia" w:ascii="宋体" w:hAnsi="宋体" w:eastAsia="宋体" w:cs="仿宋_GB2312"/>
                <w:color w:val="auto"/>
                <w:kern w:val="2"/>
                <w:sz w:val="24"/>
                <w:szCs w:val="24"/>
                <w:highlight w:val="none"/>
              </w:rPr>
              <w:t>2</w:t>
            </w:r>
            <w:bookmarkEnd w:id="137"/>
            <w:bookmarkEnd w:id="138"/>
            <w:bookmarkEnd w:id="139"/>
            <w:bookmarkEnd w:id="140"/>
            <w:bookmarkEnd w:id="141"/>
            <w:bookmarkEnd w:id="142"/>
            <w:bookmarkEnd w:id="143"/>
            <w:bookmarkEnd w:id="144"/>
            <w:bookmarkEnd w:id="145"/>
          </w:p>
        </w:tc>
        <w:tc>
          <w:tcPr>
            <w:tcW w:w="503" w:type="pct"/>
            <w:tcBorders>
              <w:right w:val="single" w:color="auto" w:sz="4" w:space="0"/>
            </w:tcBorders>
            <w:vAlign w:val="center"/>
          </w:tcPr>
          <w:p w14:paraId="47A4D964">
            <w:pPr>
              <w:pStyle w:val="12"/>
              <w:spacing w:line="360" w:lineRule="auto"/>
              <w:ind w:firstLine="0" w:firstLineChars="0"/>
              <w:contextualSpacing/>
              <w:jc w:val="center"/>
              <w:rPr>
                <w:rFonts w:hint="eastAsia" w:ascii="宋体" w:hAnsi="宋体" w:eastAsia="宋体" w:cs="仿宋_GB2312"/>
                <w:color w:val="auto"/>
                <w:kern w:val="2"/>
                <w:sz w:val="24"/>
                <w:szCs w:val="24"/>
                <w:highlight w:val="none"/>
              </w:rPr>
            </w:pPr>
          </w:p>
        </w:tc>
        <w:tc>
          <w:tcPr>
            <w:tcW w:w="1670" w:type="pct"/>
            <w:tcBorders>
              <w:left w:val="single" w:color="auto" w:sz="4" w:space="0"/>
            </w:tcBorders>
            <w:vAlign w:val="center"/>
          </w:tcPr>
          <w:p w14:paraId="335A3B11">
            <w:pPr>
              <w:pStyle w:val="12"/>
              <w:spacing w:line="360" w:lineRule="auto"/>
              <w:ind w:firstLine="0" w:firstLineChars="0"/>
              <w:contextualSpacing/>
              <w:jc w:val="center"/>
              <w:rPr>
                <w:rFonts w:hint="eastAsia" w:ascii="宋体" w:hAnsi="宋体" w:eastAsia="宋体" w:cs="仿宋_GB2312"/>
                <w:color w:val="auto"/>
                <w:kern w:val="2"/>
                <w:sz w:val="24"/>
                <w:szCs w:val="24"/>
                <w:highlight w:val="none"/>
              </w:rPr>
            </w:pPr>
          </w:p>
        </w:tc>
        <w:tc>
          <w:tcPr>
            <w:tcW w:w="1503" w:type="pct"/>
            <w:vAlign w:val="center"/>
          </w:tcPr>
          <w:p w14:paraId="3741BA50">
            <w:pPr>
              <w:pStyle w:val="12"/>
              <w:spacing w:line="360" w:lineRule="auto"/>
              <w:ind w:firstLine="0" w:firstLineChars="0"/>
              <w:contextualSpacing/>
              <w:jc w:val="center"/>
              <w:rPr>
                <w:rFonts w:hint="eastAsia" w:ascii="宋体" w:hAnsi="宋体" w:eastAsia="宋体" w:cs="仿宋_GB2312"/>
                <w:color w:val="auto"/>
                <w:kern w:val="2"/>
                <w:sz w:val="24"/>
                <w:szCs w:val="24"/>
                <w:highlight w:val="none"/>
              </w:rPr>
            </w:pPr>
          </w:p>
        </w:tc>
        <w:tc>
          <w:tcPr>
            <w:tcW w:w="820" w:type="pct"/>
            <w:vAlign w:val="center"/>
          </w:tcPr>
          <w:p w14:paraId="79D65491">
            <w:pPr>
              <w:pStyle w:val="12"/>
              <w:spacing w:line="360" w:lineRule="auto"/>
              <w:ind w:firstLine="0" w:firstLineChars="0"/>
              <w:contextualSpacing/>
              <w:jc w:val="center"/>
              <w:rPr>
                <w:rFonts w:hint="eastAsia" w:ascii="宋体" w:hAnsi="宋体" w:eastAsia="宋体" w:cs="仿宋_GB2312"/>
                <w:color w:val="auto"/>
                <w:kern w:val="2"/>
                <w:sz w:val="24"/>
                <w:szCs w:val="24"/>
                <w:highlight w:val="none"/>
              </w:rPr>
            </w:pPr>
          </w:p>
        </w:tc>
      </w:tr>
      <w:tr w14:paraId="6985F8D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3" w:type="pct"/>
            <w:vAlign w:val="center"/>
          </w:tcPr>
          <w:p w14:paraId="5AC10C88">
            <w:pPr>
              <w:pStyle w:val="12"/>
              <w:spacing w:line="360" w:lineRule="auto"/>
              <w:ind w:firstLine="0" w:firstLineChars="0"/>
              <w:contextualSpacing/>
              <w:jc w:val="center"/>
              <w:rPr>
                <w:rFonts w:hint="eastAsia" w:ascii="宋体" w:hAnsi="宋体" w:eastAsia="宋体" w:cs="仿宋_GB2312"/>
                <w:color w:val="auto"/>
                <w:kern w:val="2"/>
                <w:sz w:val="24"/>
                <w:szCs w:val="24"/>
                <w:highlight w:val="none"/>
              </w:rPr>
            </w:pPr>
            <w:bookmarkStart w:id="146" w:name="_Toc254970595"/>
            <w:bookmarkStart w:id="147" w:name="_Toc297193192"/>
            <w:bookmarkStart w:id="148" w:name="_Toc373333696"/>
            <w:bookmarkStart w:id="149" w:name="_Toc173066408"/>
            <w:bookmarkStart w:id="150" w:name="_Toc254970736"/>
            <w:bookmarkStart w:id="151" w:name="_Toc301781618"/>
            <w:bookmarkStart w:id="152" w:name="_Toc383699913"/>
            <w:bookmarkStart w:id="153" w:name="_Toc173211907"/>
            <w:bookmarkStart w:id="154" w:name="_Toc295404988"/>
            <w:r>
              <w:rPr>
                <w:rFonts w:hint="eastAsia" w:ascii="宋体" w:hAnsi="宋体" w:eastAsia="宋体" w:cs="仿宋_GB2312"/>
                <w:color w:val="auto"/>
                <w:kern w:val="2"/>
                <w:sz w:val="24"/>
                <w:szCs w:val="24"/>
                <w:highlight w:val="none"/>
              </w:rPr>
              <w:t>3</w:t>
            </w:r>
            <w:bookmarkEnd w:id="146"/>
            <w:bookmarkEnd w:id="147"/>
            <w:bookmarkEnd w:id="148"/>
            <w:bookmarkEnd w:id="149"/>
            <w:bookmarkEnd w:id="150"/>
            <w:bookmarkEnd w:id="151"/>
            <w:bookmarkEnd w:id="152"/>
            <w:bookmarkEnd w:id="153"/>
            <w:bookmarkEnd w:id="154"/>
          </w:p>
        </w:tc>
        <w:tc>
          <w:tcPr>
            <w:tcW w:w="503" w:type="pct"/>
            <w:tcBorders>
              <w:right w:val="single" w:color="auto" w:sz="4" w:space="0"/>
            </w:tcBorders>
            <w:vAlign w:val="center"/>
          </w:tcPr>
          <w:p w14:paraId="03A073D7">
            <w:pPr>
              <w:pStyle w:val="12"/>
              <w:spacing w:line="360" w:lineRule="auto"/>
              <w:ind w:firstLine="0" w:firstLineChars="0"/>
              <w:contextualSpacing/>
              <w:jc w:val="center"/>
              <w:rPr>
                <w:rFonts w:hint="eastAsia" w:ascii="宋体" w:hAnsi="宋体" w:eastAsia="宋体" w:cs="仿宋_GB2312"/>
                <w:color w:val="auto"/>
                <w:kern w:val="2"/>
                <w:sz w:val="24"/>
                <w:szCs w:val="24"/>
                <w:highlight w:val="none"/>
              </w:rPr>
            </w:pPr>
          </w:p>
        </w:tc>
        <w:tc>
          <w:tcPr>
            <w:tcW w:w="1670" w:type="pct"/>
            <w:tcBorders>
              <w:left w:val="single" w:color="auto" w:sz="4" w:space="0"/>
            </w:tcBorders>
            <w:vAlign w:val="center"/>
          </w:tcPr>
          <w:p w14:paraId="1E34640F">
            <w:pPr>
              <w:pStyle w:val="12"/>
              <w:spacing w:line="360" w:lineRule="auto"/>
              <w:ind w:firstLine="0" w:firstLineChars="0"/>
              <w:contextualSpacing/>
              <w:jc w:val="center"/>
              <w:rPr>
                <w:rFonts w:hint="eastAsia" w:ascii="宋体" w:hAnsi="宋体" w:eastAsia="宋体" w:cs="仿宋_GB2312"/>
                <w:color w:val="auto"/>
                <w:kern w:val="2"/>
                <w:sz w:val="24"/>
                <w:szCs w:val="24"/>
                <w:highlight w:val="none"/>
              </w:rPr>
            </w:pPr>
          </w:p>
        </w:tc>
        <w:tc>
          <w:tcPr>
            <w:tcW w:w="1503" w:type="pct"/>
            <w:vAlign w:val="center"/>
          </w:tcPr>
          <w:p w14:paraId="3634FD4F">
            <w:pPr>
              <w:pStyle w:val="12"/>
              <w:spacing w:line="360" w:lineRule="auto"/>
              <w:ind w:firstLine="0" w:firstLineChars="0"/>
              <w:contextualSpacing/>
              <w:jc w:val="center"/>
              <w:rPr>
                <w:rFonts w:hint="eastAsia" w:ascii="宋体" w:hAnsi="宋体" w:eastAsia="宋体" w:cs="仿宋_GB2312"/>
                <w:color w:val="auto"/>
                <w:kern w:val="2"/>
                <w:sz w:val="24"/>
                <w:szCs w:val="24"/>
                <w:highlight w:val="none"/>
              </w:rPr>
            </w:pPr>
          </w:p>
        </w:tc>
        <w:tc>
          <w:tcPr>
            <w:tcW w:w="820" w:type="pct"/>
            <w:vAlign w:val="center"/>
          </w:tcPr>
          <w:p w14:paraId="5E6A4F04">
            <w:pPr>
              <w:pStyle w:val="12"/>
              <w:spacing w:line="360" w:lineRule="auto"/>
              <w:ind w:firstLine="0" w:firstLineChars="0"/>
              <w:contextualSpacing/>
              <w:jc w:val="center"/>
              <w:rPr>
                <w:rFonts w:hint="eastAsia" w:ascii="宋体" w:hAnsi="宋体" w:eastAsia="宋体" w:cs="仿宋_GB2312"/>
                <w:color w:val="auto"/>
                <w:kern w:val="2"/>
                <w:sz w:val="24"/>
                <w:szCs w:val="24"/>
                <w:highlight w:val="none"/>
              </w:rPr>
            </w:pPr>
          </w:p>
        </w:tc>
      </w:tr>
      <w:tr w14:paraId="2A6D0D3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3" w:type="pct"/>
            <w:vAlign w:val="center"/>
          </w:tcPr>
          <w:p w14:paraId="5742AB1D">
            <w:pPr>
              <w:pStyle w:val="12"/>
              <w:spacing w:line="360" w:lineRule="auto"/>
              <w:ind w:firstLine="0" w:firstLineChars="0"/>
              <w:contextualSpacing/>
              <w:jc w:val="center"/>
              <w:rPr>
                <w:rFonts w:hint="eastAsia" w:ascii="宋体" w:hAnsi="宋体" w:eastAsia="宋体" w:cs="仿宋_GB2312"/>
                <w:color w:val="auto"/>
                <w:kern w:val="2"/>
                <w:sz w:val="24"/>
                <w:szCs w:val="24"/>
                <w:highlight w:val="none"/>
              </w:rPr>
            </w:pPr>
            <w:bookmarkStart w:id="155" w:name="_Toc254970596"/>
            <w:bookmarkStart w:id="156" w:name="_Toc173211908"/>
            <w:bookmarkStart w:id="157" w:name="_Toc383699914"/>
            <w:bookmarkStart w:id="158" w:name="_Toc297193193"/>
            <w:bookmarkStart w:id="159" w:name="_Toc301781619"/>
            <w:bookmarkStart w:id="160" w:name="_Toc254970737"/>
            <w:bookmarkStart w:id="161" w:name="_Toc295404989"/>
            <w:bookmarkStart w:id="162" w:name="_Toc173066409"/>
            <w:bookmarkStart w:id="163" w:name="_Toc373333697"/>
            <w:r>
              <w:rPr>
                <w:rFonts w:hint="eastAsia" w:ascii="宋体" w:hAnsi="宋体" w:eastAsia="宋体" w:cs="仿宋_GB2312"/>
                <w:color w:val="auto"/>
                <w:kern w:val="2"/>
                <w:sz w:val="24"/>
                <w:szCs w:val="24"/>
                <w:highlight w:val="none"/>
              </w:rPr>
              <w:t>4</w:t>
            </w:r>
            <w:bookmarkEnd w:id="155"/>
            <w:bookmarkEnd w:id="156"/>
            <w:bookmarkEnd w:id="157"/>
            <w:bookmarkEnd w:id="158"/>
            <w:bookmarkEnd w:id="159"/>
            <w:bookmarkEnd w:id="160"/>
            <w:bookmarkEnd w:id="161"/>
            <w:bookmarkEnd w:id="162"/>
            <w:bookmarkEnd w:id="163"/>
          </w:p>
        </w:tc>
        <w:tc>
          <w:tcPr>
            <w:tcW w:w="503" w:type="pct"/>
            <w:tcBorders>
              <w:right w:val="single" w:color="auto" w:sz="4" w:space="0"/>
            </w:tcBorders>
            <w:vAlign w:val="center"/>
          </w:tcPr>
          <w:p w14:paraId="5DE7B8CF">
            <w:pPr>
              <w:pStyle w:val="12"/>
              <w:spacing w:line="360" w:lineRule="auto"/>
              <w:ind w:firstLine="0" w:firstLineChars="0"/>
              <w:contextualSpacing/>
              <w:jc w:val="center"/>
              <w:rPr>
                <w:rFonts w:hint="eastAsia" w:ascii="宋体" w:hAnsi="宋体" w:eastAsia="宋体" w:cs="仿宋_GB2312"/>
                <w:color w:val="auto"/>
                <w:kern w:val="2"/>
                <w:sz w:val="24"/>
                <w:szCs w:val="24"/>
                <w:highlight w:val="none"/>
              </w:rPr>
            </w:pPr>
          </w:p>
        </w:tc>
        <w:tc>
          <w:tcPr>
            <w:tcW w:w="1670" w:type="pct"/>
            <w:tcBorders>
              <w:left w:val="single" w:color="auto" w:sz="4" w:space="0"/>
            </w:tcBorders>
            <w:vAlign w:val="center"/>
          </w:tcPr>
          <w:p w14:paraId="726D3175">
            <w:pPr>
              <w:pStyle w:val="12"/>
              <w:spacing w:line="360" w:lineRule="auto"/>
              <w:ind w:firstLine="0" w:firstLineChars="0"/>
              <w:contextualSpacing/>
              <w:jc w:val="center"/>
              <w:rPr>
                <w:rFonts w:hint="eastAsia" w:ascii="宋体" w:hAnsi="宋体" w:eastAsia="宋体" w:cs="仿宋_GB2312"/>
                <w:color w:val="auto"/>
                <w:kern w:val="2"/>
                <w:sz w:val="24"/>
                <w:szCs w:val="24"/>
                <w:highlight w:val="none"/>
              </w:rPr>
            </w:pPr>
          </w:p>
        </w:tc>
        <w:tc>
          <w:tcPr>
            <w:tcW w:w="1503" w:type="pct"/>
            <w:vAlign w:val="center"/>
          </w:tcPr>
          <w:p w14:paraId="7098E8EC">
            <w:pPr>
              <w:pStyle w:val="12"/>
              <w:spacing w:line="360" w:lineRule="auto"/>
              <w:ind w:firstLine="0" w:firstLineChars="0"/>
              <w:contextualSpacing/>
              <w:jc w:val="center"/>
              <w:rPr>
                <w:rFonts w:hint="eastAsia" w:ascii="宋体" w:hAnsi="宋体" w:eastAsia="宋体" w:cs="仿宋_GB2312"/>
                <w:color w:val="auto"/>
                <w:kern w:val="2"/>
                <w:sz w:val="24"/>
                <w:szCs w:val="24"/>
                <w:highlight w:val="none"/>
              </w:rPr>
            </w:pPr>
          </w:p>
        </w:tc>
        <w:tc>
          <w:tcPr>
            <w:tcW w:w="820" w:type="pct"/>
            <w:vAlign w:val="center"/>
          </w:tcPr>
          <w:p w14:paraId="3109D02F">
            <w:pPr>
              <w:pStyle w:val="12"/>
              <w:spacing w:line="360" w:lineRule="auto"/>
              <w:ind w:firstLine="0" w:firstLineChars="0"/>
              <w:contextualSpacing/>
              <w:jc w:val="center"/>
              <w:rPr>
                <w:rFonts w:hint="eastAsia" w:ascii="宋体" w:hAnsi="宋体" w:eastAsia="宋体" w:cs="仿宋_GB2312"/>
                <w:color w:val="auto"/>
                <w:kern w:val="2"/>
                <w:sz w:val="24"/>
                <w:szCs w:val="24"/>
                <w:highlight w:val="none"/>
              </w:rPr>
            </w:pPr>
          </w:p>
        </w:tc>
      </w:tr>
      <w:tr w14:paraId="0F80C20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3" w:type="pct"/>
            <w:vAlign w:val="center"/>
          </w:tcPr>
          <w:p w14:paraId="51DCE786">
            <w:pPr>
              <w:pStyle w:val="12"/>
              <w:spacing w:line="360" w:lineRule="auto"/>
              <w:ind w:firstLine="0" w:firstLineChars="0"/>
              <w:contextualSpacing/>
              <w:jc w:val="center"/>
              <w:rPr>
                <w:rFonts w:hint="eastAsia" w:ascii="宋体" w:hAnsi="宋体" w:eastAsia="宋体" w:cs="仿宋_GB2312"/>
                <w:color w:val="auto"/>
                <w:kern w:val="2"/>
                <w:sz w:val="24"/>
                <w:szCs w:val="24"/>
                <w:highlight w:val="none"/>
              </w:rPr>
            </w:pPr>
            <w:bookmarkStart w:id="164" w:name="_Toc297193194"/>
            <w:bookmarkStart w:id="165" w:name="_Toc254970738"/>
            <w:bookmarkStart w:id="166" w:name="_Toc295404990"/>
            <w:bookmarkStart w:id="167" w:name="_Toc254970597"/>
            <w:bookmarkStart w:id="168" w:name="_Toc373333698"/>
            <w:bookmarkStart w:id="169" w:name="_Toc173066410"/>
            <w:bookmarkStart w:id="170" w:name="_Toc383699915"/>
            <w:bookmarkStart w:id="171" w:name="_Toc301781620"/>
            <w:bookmarkStart w:id="172" w:name="_Toc173211909"/>
            <w:r>
              <w:rPr>
                <w:rFonts w:hint="eastAsia" w:ascii="宋体" w:hAnsi="宋体" w:eastAsia="宋体" w:cs="仿宋_GB2312"/>
                <w:color w:val="auto"/>
                <w:kern w:val="2"/>
                <w:sz w:val="24"/>
                <w:szCs w:val="24"/>
                <w:highlight w:val="none"/>
              </w:rPr>
              <w:t>5</w:t>
            </w:r>
            <w:bookmarkEnd w:id="164"/>
            <w:bookmarkEnd w:id="165"/>
            <w:bookmarkEnd w:id="166"/>
            <w:bookmarkEnd w:id="167"/>
            <w:bookmarkEnd w:id="168"/>
            <w:bookmarkEnd w:id="169"/>
            <w:bookmarkEnd w:id="170"/>
            <w:bookmarkEnd w:id="171"/>
            <w:bookmarkEnd w:id="172"/>
          </w:p>
        </w:tc>
        <w:tc>
          <w:tcPr>
            <w:tcW w:w="503" w:type="pct"/>
            <w:tcBorders>
              <w:right w:val="single" w:color="auto" w:sz="4" w:space="0"/>
            </w:tcBorders>
            <w:vAlign w:val="center"/>
          </w:tcPr>
          <w:p w14:paraId="6436A126">
            <w:pPr>
              <w:pStyle w:val="12"/>
              <w:spacing w:line="360" w:lineRule="auto"/>
              <w:ind w:firstLine="0" w:firstLineChars="0"/>
              <w:contextualSpacing/>
              <w:jc w:val="center"/>
              <w:rPr>
                <w:rFonts w:hint="eastAsia" w:ascii="宋体" w:hAnsi="宋体" w:eastAsia="宋体" w:cs="仿宋_GB2312"/>
                <w:color w:val="auto"/>
                <w:kern w:val="2"/>
                <w:sz w:val="24"/>
                <w:szCs w:val="24"/>
                <w:highlight w:val="none"/>
              </w:rPr>
            </w:pPr>
          </w:p>
        </w:tc>
        <w:tc>
          <w:tcPr>
            <w:tcW w:w="1670" w:type="pct"/>
            <w:tcBorders>
              <w:left w:val="single" w:color="auto" w:sz="4" w:space="0"/>
            </w:tcBorders>
            <w:vAlign w:val="center"/>
          </w:tcPr>
          <w:p w14:paraId="2BC0BF71">
            <w:pPr>
              <w:pStyle w:val="12"/>
              <w:spacing w:line="360" w:lineRule="auto"/>
              <w:ind w:firstLine="0" w:firstLineChars="0"/>
              <w:contextualSpacing/>
              <w:jc w:val="center"/>
              <w:rPr>
                <w:rFonts w:hint="eastAsia" w:ascii="宋体" w:hAnsi="宋体" w:eastAsia="宋体" w:cs="仿宋_GB2312"/>
                <w:color w:val="auto"/>
                <w:kern w:val="2"/>
                <w:sz w:val="24"/>
                <w:szCs w:val="24"/>
                <w:highlight w:val="none"/>
              </w:rPr>
            </w:pPr>
          </w:p>
        </w:tc>
        <w:tc>
          <w:tcPr>
            <w:tcW w:w="1503" w:type="pct"/>
            <w:vAlign w:val="center"/>
          </w:tcPr>
          <w:p w14:paraId="5F701134">
            <w:pPr>
              <w:pStyle w:val="12"/>
              <w:spacing w:line="360" w:lineRule="auto"/>
              <w:ind w:firstLine="0" w:firstLineChars="0"/>
              <w:contextualSpacing/>
              <w:jc w:val="center"/>
              <w:rPr>
                <w:rFonts w:hint="eastAsia" w:ascii="宋体" w:hAnsi="宋体" w:eastAsia="宋体" w:cs="仿宋_GB2312"/>
                <w:color w:val="auto"/>
                <w:kern w:val="2"/>
                <w:sz w:val="24"/>
                <w:szCs w:val="24"/>
                <w:highlight w:val="none"/>
              </w:rPr>
            </w:pPr>
          </w:p>
        </w:tc>
        <w:tc>
          <w:tcPr>
            <w:tcW w:w="820" w:type="pct"/>
            <w:vAlign w:val="center"/>
          </w:tcPr>
          <w:p w14:paraId="1AC30E81">
            <w:pPr>
              <w:pStyle w:val="12"/>
              <w:spacing w:line="360" w:lineRule="auto"/>
              <w:ind w:firstLine="0" w:firstLineChars="0"/>
              <w:contextualSpacing/>
              <w:jc w:val="center"/>
              <w:rPr>
                <w:rFonts w:hint="eastAsia" w:ascii="宋体" w:hAnsi="宋体" w:eastAsia="宋体" w:cs="仿宋_GB2312"/>
                <w:color w:val="auto"/>
                <w:kern w:val="2"/>
                <w:sz w:val="24"/>
                <w:szCs w:val="24"/>
                <w:highlight w:val="none"/>
              </w:rPr>
            </w:pPr>
          </w:p>
        </w:tc>
      </w:tr>
      <w:tr w14:paraId="566E979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503" w:type="pct"/>
            <w:vAlign w:val="center"/>
          </w:tcPr>
          <w:p w14:paraId="03C9CAE4">
            <w:pPr>
              <w:pStyle w:val="12"/>
              <w:spacing w:line="360" w:lineRule="auto"/>
              <w:ind w:firstLine="0" w:firstLineChars="0"/>
              <w:contextualSpacing/>
              <w:jc w:val="center"/>
              <w:rPr>
                <w:rFonts w:hint="eastAsia" w:ascii="宋体" w:hAnsi="宋体" w:eastAsia="宋体" w:cs="仿宋_GB2312"/>
                <w:color w:val="auto"/>
                <w:kern w:val="2"/>
                <w:sz w:val="24"/>
                <w:szCs w:val="24"/>
                <w:highlight w:val="none"/>
              </w:rPr>
            </w:pPr>
            <w:bookmarkStart w:id="173" w:name="_Toc173211914"/>
            <w:bookmarkStart w:id="174" w:name="_Toc173066415"/>
            <w:bookmarkStart w:id="175" w:name="_Toc254970743"/>
            <w:bookmarkStart w:id="176" w:name="_Toc254970602"/>
            <w:bookmarkStart w:id="177" w:name="_Toc383699916"/>
            <w:bookmarkStart w:id="178" w:name="_Toc295404991"/>
            <w:bookmarkStart w:id="179" w:name="_Toc297193195"/>
            <w:bookmarkStart w:id="180" w:name="_Toc373333699"/>
            <w:bookmarkStart w:id="181" w:name="_Toc301781621"/>
            <w:r>
              <w:rPr>
                <w:rFonts w:hint="eastAsia" w:ascii="宋体" w:hAnsi="宋体" w:eastAsia="宋体" w:cs="仿宋_GB2312"/>
                <w:color w:val="auto"/>
                <w:kern w:val="2"/>
                <w:sz w:val="24"/>
                <w:szCs w:val="24"/>
                <w:highlight w:val="none"/>
              </w:rPr>
              <w:t>…</w:t>
            </w:r>
            <w:bookmarkEnd w:id="173"/>
            <w:bookmarkEnd w:id="174"/>
            <w:bookmarkEnd w:id="175"/>
            <w:bookmarkEnd w:id="176"/>
            <w:bookmarkEnd w:id="177"/>
            <w:bookmarkEnd w:id="178"/>
            <w:bookmarkEnd w:id="179"/>
            <w:bookmarkEnd w:id="180"/>
            <w:bookmarkEnd w:id="181"/>
          </w:p>
        </w:tc>
        <w:tc>
          <w:tcPr>
            <w:tcW w:w="503" w:type="pct"/>
            <w:tcBorders>
              <w:right w:val="single" w:color="auto" w:sz="4" w:space="0"/>
            </w:tcBorders>
            <w:vAlign w:val="center"/>
          </w:tcPr>
          <w:p w14:paraId="7438D5BA">
            <w:pPr>
              <w:pStyle w:val="12"/>
              <w:spacing w:line="360" w:lineRule="auto"/>
              <w:ind w:firstLine="0" w:firstLineChars="0"/>
              <w:contextualSpacing/>
              <w:jc w:val="center"/>
              <w:rPr>
                <w:rFonts w:hint="eastAsia" w:ascii="宋体" w:hAnsi="宋体" w:eastAsia="宋体" w:cs="仿宋_GB2312"/>
                <w:color w:val="auto"/>
                <w:kern w:val="2"/>
                <w:sz w:val="24"/>
                <w:szCs w:val="24"/>
                <w:highlight w:val="none"/>
              </w:rPr>
            </w:pPr>
          </w:p>
        </w:tc>
        <w:tc>
          <w:tcPr>
            <w:tcW w:w="1670" w:type="pct"/>
            <w:tcBorders>
              <w:left w:val="single" w:color="auto" w:sz="4" w:space="0"/>
            </w:tcBorders>
            <w:vAlign w:val="center"/>
          </w:tcPr>
          <w:p w14:paraId="37010386">
            <w:pPr>
              <w:pStyle w:val="12"/>
              <w:spacing w:line="360" w:lineRule="auto"/>
              <w:ind w:firstLine="0" w:firstLineChars="0"/>
              <w:contextualSpacing/>
              <w:jc w:val="center"/>
              <w:rPr>
                <w:rFonts w:hint="eastAsia" w:ascii="宋体" w:hAnsi="宋体" w:eastAsia="宋体" w:cs="仿宋_GB2312"/>
                <w:color w:val="auto"/>
                <w:kern w:val="2"/>
                <w:sz w:val="24"/>
                <w:szCs w:val="24"/>
                <w:highlight w:val="none"/>
              </w:rPr>
            </w:pPr>
          </w:p>
        </w:tc>
        <w:tc>
          <w:tcPr>
            <w:tcW w:w="1503" w:type="pct"/>
            <w:vAlign w:val="center"/>
          </w:tcPr>
          <w:p w14:paraId="2F5DA433">
            <w:pPr>
              <w:pStyle w:val="12"/>
              <w:spacing w:line="360" w:lineRule="auto"/>
              <w:ind w:firstLine="0" w:firstLineChars="0"/>
              <w:contextualSpacing/>
              <w:jc w:val="center"/>
              <w:rPr>
                <w:rFonts w:hint="eastAsia" w:ascii="宋体" w:hAnsi="宋体" w:eastAsia="宋体" w:cs="仿宋_GB2312"/>
                <w:color w:val="auto"/>
                <w:kern w:val="2"/>
                <w:sz w:val="24"/>
                <w:szCs w:val="24"/>
                <w:highlight w:val="none"/>
              </w:rPr>
            </w:pPr>
          </w:p>
        </w:tc>
        <w:tc>
          <w:tcPr>
            <w:tcW w:w="820" w:type="pct"/>
            <w:tcBorders>
              <w:right w:val="single" w:color="auto" w:sz="4" w:space="0"/>
            </w:tcBorders>
            <w:vAlign w:val="center"/>
          </w:tcPr>
          <w:p w14:paraId="2B6910C6">
            <w:pPr>
              <w:pStyle w:val="12"/>
              <w:spacing w:line="360" w:lineRule="auto"/>
              <w:ind w:firstLine="0" w:firstLineChars="0"/>
              <w:contextualSpacing/>
              <w:jc w:val="center"/>
              <w:rPr>
                <w:rFonts w:hint="eastAsia" w:ascii="宋体" w:hAnsi="宋体" w:eastAsia="宋体" w:cs="仿宋_GB2312"/>
                <w:color w:val="auto"/>
                <w:kern w:val="2"/>
                <w:sz w:val="24"/>
                <w:szCs w:val="24"/>
                <w:highlight w:val="none"/>
              </w:rPr>
            </w:pPr>
          </w:p>
        </w:tc>
      </w:tr>
    </w:tbl>
    <w:p w14:paraId="2889E043">
      <w:pPr>
        <w:adjustRightInd w:val="0"/>
        <w:spacing w:line="360" w:lineRule="auto"/>
        <w:contextualSpacing/>
        <w:rPr>
          <w:rFonts w:hint="eastAsia" w:ascii="宋体" w:hAnsi="宋体" w:cs="仿宋_GB2312"/>
          <w:color w:val="auto"/>
          <w:sz w:val="24"/>
          <w:highlight w:val="none"/>
        </w:rPr>
      </w:pPr>
    </w:p>
    <w:p w14:paraId="7B5AD3D5">
      <w:pPr>
        <w:pStyle w:val="12"/>
        <w:spacing w:line="360" w:lineRule="auto"/>
        <w:ind w:firstLine="0" w:firstLineChars="0"/>
        <w:contextualSpacing/>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注：</w:t>
      </w:r>
    </w:p>
    <w:p w14:paraId="7B384486">
      <w:pPr>
        <w:pStyle w:val="12"/>
        <w:spacing w:line="360" w:lineRule="auto"/>
        <w:ind w:firstLine="0" w:firstLineChars="0"/>
        <w:contextualSpacing/>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1. 说明：应对照磋商文件“第三章 采购需求”中的“服务内容及要求”逐条作出明确响应，并作出偏离说明。</w:t>
      </w:r>
    </w:p>
    <w:p w14:paraId="4878629A">
      <w:pPr>
        <w:pStyle w:val="12"/>
        <w:spacing w:line="360" w:lineRule="auto"/>
        <w:ind w:firstLine="0" w:firstLineChars="0"/>
        <w:contextualSpacing/>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2.供应商应根据自身的承诺，对照磋商文件要求，在“偏离说明”中注明“正偏离”、“负偏离”或者“无偏离”。既不属于“正偏离”也不属于“负偏离”即为“无偏离”。</w:t>
      </w:r>
    </w:p>
    <w:p w14:paraId="5CD525F6">
      <w:pPr>
        <w:spacing w:line="360" w:lineRule="auto"/>
        <w:ind w:right="-817" w:rightChars="-389"/>
        <w:contextualSpacing/>
        <w:rPr>
          <w:rFonts w:hint="eastAsia" w:ascii="宋体" w:hAnsi="宋体" w:cs="仿宋_GB2312"/>
          <w:color w:val="auto"/>
          <w:sz w:val="24"/>
          <w:highlight w:val="none"/>
        </w:rPr>
      </w:pPr>
    </w:p>
    <w:p w14:paraId="3F74C77C">
      <w:pPr>
        <w:spacing w:line="360" w:lineRule="auto"/>
        <w:ind w:right="-817" w:rightChars="-389"/>
        <w:contextualSpacing/>
        <w:jc w:val="center"/>
        <w:rPr>
          <w:rFonts w:hint="eastAsia" w:ascii="宋体" w:hAnsi="宋体" w:cs="仿宋_GB2312"/>
          <w:color w:val="auto"/>
          <w:sz w:val="24"/>
          <w:highlight w:val="none"/>
        </w:rPr>
      </w:pPr>
      <w:r>
        <w:rPr>
          <w:rFonts w:hint="eastAsia" w:ascii="宋体" w:hAnsi="宋体" w:cs="仿宋_GB2312"/>
          <w:color w:val="auto"/>
          <w:sz w:val="24"/>
          <w:highlight w:val="none"/>
        </w:rPr>
        <w:t>法定代表人或者委托代理人（签字或者电子签名）：</w:t>
      </w:r>
    </w:p>
    <w:p w14:paraId="76C939E2">
      <w:pPr>
        <w:spacing w:line="360" w:lineRule="auto"/>
        <w:ind w:right="-817" w:rightChars="-389" w:firstLine="2640" w:firstLineChars="1100"/>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供应商（电子签章）：      </w:t>
      </w:r>
    </w:p>
    <w:p w14:paraId="19CE40FE">
      <w:pPr>
        <w:spacing w:line="360" w:lineRule="auto"/>
        <w:ind w:right="-817" w:rightChars="-389" w:firstLine="4080" w:firstLineChars="1700"/>
        <w:contextualSpacing/>
        <w:rPr>
          <w:rFonts w:hint="eastAsia" w:ascii="宋体" w:hAnsi="宋体" w:cs="仿宋_GB2312"/>
          <w:color w:val="auto"/>
          <w:sz w:val="24"/>
          <w:highlight w:val="none"/>
        </w:rPr>
      </w:pPr>
      <w:r>
        <w:rPr>
          <w:rFonts w:hint="eastAsia" w:ascii="宋体" w:hAnsi="宋体" w:cs="仿宋_GB2312"/>
          <w:color w:val="auto"/>
          <w:sz w:val="24"/>
          <w:highlight w:val="none"/>
        </w:rPr>
        <w:t>日期：   年   月   日</w:t>
      </w:r>
    </w:p>
    <w:p w14:paraId="6B06107C">
      <w:pPr>
        <w:snapToGrid w:val="0"/>
        <w:spacing w:before="120" w:beforeLines="50" w:after="50"/>
        <w:ind w:left="142"/>
        <w:jc w:val="left"/>
        <w:rPr>
          <w:rFonts w:hint="eastAsia" w:ascii="宋体" w:hAnsi="宋体"/>
          <w:b/>
          <w:color w:val="auto"/>
          <w:sz w:val="24"/>
          <w:highlight w:val="none"/>
        </w:rPr>
      </w:pPr>
      <w:r>
        <w:rPr>
          <w:rFonts w:ascii="宋体" w:hAnsi="宋体" w:cs="仿宋_GB2312"/>
          <w:color w:val="auto"/>
          <w:sz w:val="24"/>
          <w:highlight w:val="none"/>
        </w:rPr>
        <w:br w:type="page"/>
      </w:r>
      <w:r>
        <w:rPr>
          <w:rFonts w:hint="eastAsia" w:ascii="宋体" w:hAnsi="宋体"/>
          <w:b/>
          <w:color w:val="auto"/>
          <w:sz w:val="24"/>
          <w:highlight w:val="none"/>
        </w:rPr>
        <w:t>项目实施人员一览表格式</w:t>
      </w:r>
    </w:p>
    <w:p w14:paraId="09288FD4">
      <w:pPr>
        <w:snapToGrid w:val="0"/>
        <w:spacing w:before="120" w:beforeLines="50" w:after="50"/>
        <w:ind w:left="142"/>
        <w:jc w:val="left"/>
        <w:rPr>
          <w:rFonts w:hint="eastAsia" w:ascii="宋体" w:hAnsi="宋体"/>
          <w:b/>
          <w:color w:val="auto"/>
          <w:sz w:val="24"/>
          <w:highlight w:val="none"/>
        </w:rPr>
      </w:pPr>
    </w:p>
    <w:p w14:paraId="350FBBE9">
      <w:pPr>
        <w:spacing w:line="360" w:lineRule="auto"/>
        <w:ind w:left="142"/>
        <w:contextualSpacing/>
        <w:jc w:val="center"/>
        <w:rPr>
          <w:rFonts w:hint="eastAsia" w:ascii="宋体" w:hAnsi="宋体"/>
          <w:b/>
          <w:color w:val="auto"/>
          <w:sz w:val="32"/>
          <w:szCs w:val="32"/>
          <w:highlight w:val="none"/>
        </w:rPr>
      </w:pPr>
      <w:r>
        <w:rPr>
          <w:rFonts w:hint="eastAsia" w:ascii="宋体" w:hAnsi="宋体"/>
          <w:b/>
          <w:color w:val="auto"/>
          <w:sz w:val="32"/>
          <w:szCs w:val="32"/>
          <w:highlight w:val="none"/>
        </w:rPr>
        <w:t>项目实施人员一览表</w:t>
      </w:r>
    </w:p>
    <w:p w14:paraId="45394ABF">
      <w:pPr>
        <w:spacing w:line="360" w:lineRule="auto"/>
        <w:contextualSpacing/>
        <w:rPr>
          <w:rFonts w:ascii="宋体" w:hAnsi="Courier New"/>
          <w:color w:val="auto"/>
          <w:kern w:val="0"/>
          <w:sz w:val="24"/>
          <w:highlight w:val="none"/>
        </w:rPr>
      </w:pPr>
      <w:r>
        <w:rPr>
          <w:rFonts w:hint="eastAsia" w:ascii="宋体" w:hAnsi="Courier New"/>
          <w:color w:val="auto"/>
          <w:kern w:val="0"/>
          <w:sz w:val="24"/>
          <w:highlight w:val="none"/>
        </w:rPr>
        <w:t>所竞分标：</w:t>
      </w:r>
      <w:r>
        <w:rPr>
          <w:rFonts w:hint="eastAsia" w:ascii="宋体" w:hAnsi="Courier New"/>
          <w:color w:val="auto"/>
          <w:kern w:val="0"/>
          <w:sz w:val="24"/>
          <w:highlight w:val="none"/>
          <w:u w:val="single"/>
        </w:rPr>
        <w:t xml:space="preserve">     </w:t>
      </w:r>
      <w:r>
        <w:rPr>
          <w:rFonts w:hint="eastAsia" w:ascii="宋体" w:hAnsi="Courier New"/>
          <w:color w:val="auto"/>
          <w:kern w:val="0"/>
          <w:sz w:val="24"/>
          <w:highlight w:val="none"/>
        </w:rPr>
        <w:t>分标</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2789"/>
        <w:gridCol w:w="1371"/>
        <w:gridCol w:w="1479"/>
        <w:gridCol w:w="1775"/>
      </w:tblGrid>
      <w:tr w14:paraId="094A7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505C1E5D">
            <w:pPr>
              <w:spacing w:line="360" w:lineRule="auto"/>
              <w:contextualSpacing/>
              <w:jc w:val="center"/>
              <w:rPr>
                <w:rFonts w:hint="eastAsia" w:ascii="宋体" w:hAnsi="宋体"/>
                <w:color w:val="auto"/>
                <w:sz w:val="24"/>
                <w:szCs w:val="20"/>
                <w:highlight w:val="none"/>
              </w:rPr>
            </w:pPr>
            <w:r>
              <w:rPr>
                <w:rFonts w:hint="eastAsia" w:ascii="宋体" w:hAnsi="宋体"/>
                <w:color w:val="auto"/>
                <w:sz w:val="24"/>
                <w:szCs w:val="20"/>
                <w:highlight w:val="none"/>
              </w:rPr>
              <w:t>姓名</w:t>
            </w:r>
          </w:p>
        </w:tc>
        <w:tc>
          <w:tcPr>
            <w:tcW w:w="709" w:type="dxa"/>
            <w:vAlign w:val="center"/>
          </w:tcPr>
          <w:p w14:paraId="634A7DE3">
            <w:pPr>
              <w:spacing w:line="360" w:lineRule="auto"/>
              <w:contextualSpacing/>
              <w:jc w:val="center"/>
              <w:rPr>
                <w:rFonts w:hint="eastAsia" w:ascii="宋体" w:hAnsi="宋体"/>
                <w:color w:val="auto"/>
                <w:sz w:val="24"/>
                <w:szCs w:val="20"/>
                <w:highlight w:val="none"/>
              </w:rPr>
            </w:pPr>
            <w:r>
              <w:rPr>
                <w:rFonts w:hint="eastAsia" w:ascii="宋体" w:hAnsi="宋体"/>
                <w:color w:val="auto"/>
                <w:sz w:val="24"/>
                <w:szCs w:val="20"/>
                <w:highlight w:val="none"/>
              </w:rPr>
              <w:t>职务</w:t>
            </w:r>
          </w:p>
        </w:tc>
        <w:tc>
          <w:tcPr>
            <w:tcW w:w="2789" w:type="dxa"/>
            <w:vAlign w:val="center"/>
          </w:tcPr>
          <w:p w14:paraId="7EF7C190">
            <w:pPr>
              <w:spacing w:line="360" w:lineRule="auto"/>
              <w:contextualSpacing/>
              <w:jc w:val="center"/>
              <w:rPr>
                <w:rFonts w:hint="eastAsia" w:ascii="宋体" w:hAnsi="宋体"/>
                <w:color w:val="auto"/>
                <w:sz w:val="24"/>
                <w:szCs w:val="20"/>
                <w:highlight w:val="none"/>
              </w:rPr>
            </w:pPr>
            <w:r>
              <w:rPr>
                <w:rFonts w:hint="eastAsia" w:ascii="宋体" w:hAnsi="宋体"/>
                <w:color w:val="auto"/>
                <w:sz w:val="24"/>
                <w:szCs w:val="20"/>
                <w:highlight w:val="none"/>
              </w:rPr>
              <w:t>专业技术资格（职称）或者职业资格或者执业资格证或者其他证书</w:t>
            </w:r>
          </w:p>
        </w:tc>
        <w:tc>
          <w:tcPr>
            <w:tcW w:w="1371" w:type="dxa"/>
            <w:vAlign w:val="center"/>
          </w:tcPr>
          <w:p w14:paraId="0D142772">
            <w:pPr>
              <w:spacing w:line="360" w:lineRule="auto"/>
              <w:contextualSpacing/>
              <w:jc w:val="center"/>
              <w:rPr>
                <w:rFonts w:hint="eastAsia" w:ascii="宋体" w:hAnsi="宋体"/>
                <w:color w:val="auto"/>
                <w:sz w:val="24"/>
                <w:szCs w:val="20"/>
                <w:highlight w:val="none"/>
              </w:rPr>
            </w:pPr>
            <w:r>
              <w:rPr>
                <w:rFonts w:hint="eastAsia" w:ascii="宋体" w:hAnsi="宋体"/>
                <w:color w:val="auto"/>
                <w:sz w:val="24"/>
                <w:szCs w:val="20"/>
                <w:highlight w:val="none"/>
              </w:rPr>
              <w:t>证书编号</w:t>
            </w:r>
          </w:p>
        </w:tc>
        <w:tc>
          <w:tcPr>
            <w:tcW w:w="1479" w:type="dxa"/>
            <w:vAlign w:val="center"/>
          </w:tcPr>
          <w:p w14:paraId="064FB1C3">
            <w:pPr>
              <w:spacing w:line="360" w:lineRule="auto"/>
              <w:contextualSpacing/>
              <w:jc w:val="center"/>
              <w:rPr>
                <w:rFonts w:hint="eastAsia" w:ascii="宋体" w:hAnsi="宋体"/>
                <w:color w:val="auto"/>
                <w:sz w:val="24"/>
                <w:szCs w:val="20"/>
                <w:highlight w:val="none"/>
              </w:rPr>
            </w:pPr>
            <w:r>
              <w:rPr>
                <w:rFonts w:hint="eastAsia" w:ascii="宋体" w:hAnsi="宋体"/>
                <w:color w:val="auto"/>
                <w:sz w:val="24"/>
                <w:szCs w:val="20"/>
                <w:highlight w:val="none"/>
              </w:rPr>
              <w:t>参加本单位</w:t>
            </w:r>
          </w:p>
          <w:p w14:paraId="267FBBC9">
            <w:pPr>
              <w:spacing w:line="360" w:lineRule="auto"/>
              <w:contextualSpacing/>
              <w:jc w:val="center"/>
              <w:rPr>
                <w:rFonts w:hint="eastAsia" w:ascii="宋体" w:hAnsi="宋体"/>
                <w:color w:val="auto"/>
                <w:sz w:val="24"/>
                <w:szCs w:val="20"/>
                <w:highlight w:val="none"/>
              </w:rPr>
            </w:pPr>
            <w:r>
              <w:rPr>
                <w:rFonts w:hint="eastAsia" w:ascii="宋体" w:hAnsi="宋体"/>
                <w:color w:val="auto"/>
                <w:sz w:val="24"/>
                <w:szCs w:val="20"/>
                <w:highlight w:val="none"/>
              </w:rPr>
              <w:t>工作时间</w:t>
            </w:r>
          </w:p>
        </w:tc>
        <w:tc>
          <w:tcPr>
            <w:tcW w:w="1775" w:type="dxa"/>
            <w:vAlign w:val="center"/>
          </w:tcPr>
          <w:p w14:paraId="6B486B6C">
            <w:pPr>
              <w:spacing w:line="360" w:lineRule="auto"/>
              <w:contextualSpacing/>
              <w:jc w:val="center"/>
              <w:rPr>
                <w:rFonts w:hint="eastAsia" w:ascii="宋体" w:hAnsi="宋体"/>
                <w:color w:val="auto"/>
                <w:sz w:val="24"/>
                <w:szCs w:val="20"/>
                <w:highlight w:val="none"/>
              </w:rPr>
            </w:pPr>
            <w:r>
              <w:rPr>
                <w:rFonts w:hint="eastAsia" w:ascii="宋体" w:hAnsi="宋体"/>
                <w:color w:val="auto"/>
                <w:sz w:val="24"/>
                <w:szCs w:val="20"/>
                <w:highlight w:val="none"/>
              </w:rPr>
              <w:t>劳动合同编号</w:t>
            </w:r>
          </w:p>
        </w:tc>
      </w:tr>
      <w:tr w14:paraId="6AF44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20FFA6D6">
            <w:pPr>
              <w:spacing w:line="360" w:lineRule="auto"/>
              <w:contextualSpacing/>
              <w:jc w:val="center"/>
              <w:rPr>
                <w:rFonts w:hint="eastAsia" w:ascii="宋体" w:hAnsi="宋体"/>
                <w:color w:val="auto"/>
                <w:sz w:val="24"/>
                <w:szCs w:val="20"/>
                <w:highlight w:val="none"/>
              </w:rPr>
            </w:pPr>
          </w:p>
        </w:tc>
        <w:tc>
          <w:tcPr>
            <w:tcW w:w="709" w:type="dxa"/>
            <w:vAlign w:val="center"/>
          </w:tcPr>
          <w:p w14:paraId="16B59BD5">
            <w:pPr>
              <w:spacing w:line="360" w:lineRule="auto"/>
              <w:contextualSpacing/>
              <w:jc w:val="center"/>
              <w:rPr>
                <w:rFonts w:hint="eastAsia" w:ascii="宋体" w:hAnsi="宋体"/>
                <w:color w:val="auto"/>
                <w:sz w:val="24"/>
                <w:szCs w:val="20"/>
                <w:highlight w:val="none"/>
              </w:rPr>
            </w:pPr>
          </w:p>
        </w:tc>
        <w:tc>
          <w:tcPr>
            <w:tcW w:w="2789" w:type="dxa"/>
            <w:vAlign w:val="center"/>
          </w:tcPr>
          <w:p w14:paraId="268C6365">
            <w:pPr>
              <w:spacing w:line="360" w:lineRule="auto"/>
              <w:contextualSpacing/>
              <w:jc w:val="center"/>
              <w:rPr>
                <w:rFonts w:hint="eastAsia" w:ascii="宋体" w:hAnsi="宋体"/>
                <w:color w:val="auto"/>
                <w:sz w:val="24"/>
                <w:szCs w:val="20"/>
                <w:highlight w:val="none"/>
              </w:rPr>
            </w:pPr>
          </w:p>
        </w:tc>
        <w:tc>
          <w:tcPr>
            <w:tcW w:w="1371" w:type="dxa"/>
            <w:vAlign w:val="center"/>
          </w:tcPr>
          <w:p w14:paraId="0A6D661C">
            <w:pPr>
              <w:spacing w:line="360" w:lineRule="auto"/>
              <w:contextualSpacing/>
              <w:jc w:val="center"/>
              <w:rPr>
                <w:rFonts w:hint="eastAsia" w:ascii="宋体" w:hAnsi="宋体"/>
                <w:color w:val="auto"/>
                <w:sz w:val="24"/>
                <w:szCs w:val="20"/>
                <w:highlight w:val="none"/>
              </w:rPr>
            </w:pPr>
          </w:p>
        </w:tc>
        <w:tc>
          <w:tcPr>
            <w:tcW w:w="1479" w:type="dxa"/>
            <w:vAlign w:val="center"/>
          </w:tcPr>
          <w:p w14:paraId="3FC453E3">
            <w:pPr>
              <w:spacing w:line="360" w:lineRule="auto"/>
              <w:contextualSpacing/>
              <w:jc w:val="center"/>
              <w:rPr>
                <w:rFonts w:hint="eastAsia" w:ascii="宋体" w:hAnsi="宋体"/>
                <w:color w:val="auto"/>
                <w:sz w:val="24"/>
                <w:szCs w:val="20"/>
                <w:highlight w:val="none"/>
              </w:rPr>
            </w:pPr>
          </w:p>
        </w:tc>
        <w:tc>
          <w:tcPr>
            <w:tcW w:w="1775" w:type="dxa"/>
            <w:vAlign w:val="center"/>
          </w:tcPr>
          <w:p w14:paraId="7ADB68BF">
            <w:pPr>
              <w:spacing w:line="360" w:lineRule="auto"/>
              <w:contextualSpacing/>
              <w:jc w:val="center"/>
              <w:rPr>
                <w:rFonts w:hint="eastAsia" w:ascii="宋体" w:hAnsi="宋体"/>
                <w:color w:val="auto"/>
                <w:sz w:val="24"/>
                <w:szCs w:val="20"/>
                <w:highlight w:val="none"/>
              </w:rPr>
            </w:pPr>
          </w:p>
        </w:tc>
      </w:tr>
      <w:tr w14:paraId="4AE62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24C49437">
            <w:pPr>
              <w:spacing w:line="360" w:lineRule="auto"/>
              <w:contextualSpacing/>
              <w:jc w:val="center"/>
              <w:rPr>
                <w:rFonts w:hint="eastAsia" w:ascii="宋体" w:hAnsi="宋体"/>
                <w:color w:val="auto"/>
                <w:sz w:val="24"/>
                <w:szCs w:val="20"/>
                <w:highlight w:val="none"/>
              </w:rPr>
            </w:pPr>
          </w:p>
        </w:tc>
        <w:tc>
          <w:tcPr>
            <w:tcW w:w="709" w:type="dxa"/>
            <w:vAlign w:val="center"/>
          </w:tcPr>
          <w:p w14:paraId="382D613D">
            <w:pPr>
              <w:spacing w:line="360" w:lineRule="auto"/>
              <w:contextualSpacing/>
              <w:jc w:val="center"/>
              <w:rPr>
                <w:rFonts w:hint="eastAsia" w:ascii="宋体" w:hAnsi="宋体"/>
                <w:color w:val="auto"/>
                <w:sz w:val="24"/>
                <w:szCs w:val="20"/>
                <w:highlight w:val="none"/>
              </w:rPr>
            </w:pPr>
          </w:p>
        </w:tc>
        <w:tc>
          <w:tcPr>
            <w:tcW w:w="2789" w:type="dxa"/>
            <w:vAlign w:val="center"/>
          </w:tcPr>
          <w:p w14:paraId="7AB22669">
            <w:pPr>
              <w:spacing w:line="360" w:lineRule="auto"/>
              <w:contextualSpacing/>
              <w:jc w:val="center"/>
              <w:rPr>
                <w:rFonts w:hint="eastAsia" w:ascii="宋体" w:hAnsi="宋体"/>
                <w:color w:val="auto"/>
                <w:sz w:val="24"/>
                <w:szCs w:val="20"/>
                <w:highlight w:val="none"/>
              </w:rPr>
            </w:pPr>
          </w:p>
        </w:tc>
        <w:tc>
          <w:tcPr>
            <w:tcW w:w="1371" w:type="dxa"/>
            <w:vAlign w:val="center"/>
          </w:tcPr>
          <w:p w14:paraId="4248FB56">
            <w:pPr>
              <w:spacing w:line="360" w:lineRule="auto"/>
              <w:contextualSpacing/>
              <w:jc w:val="center"/>
              <w:rPr>
                <w:rFonts w:hint="eastAsia" w:ascii="宋体" w:hAnsi="宋体"/>
                <w:color w:val="auto"/>
                <w:sz w:val="24"/>
                <w:szCs w:val="20"/>
                <w:highlight w:val="none"/>
              </w:rPr>
            </w:pPr>
          </w:p>
        </w:tc>
        <w:tc>
          <w:tcPr>
            <w:tcW w:w="1479" w:type="dxa"/>
            <w:vAlign w:val="center"/>
          </w:tcPr>
          <w:p w14:paraId="427768AE">
            <w:pPr>
              <w:spacing w:line="360" w:lineRule="auto"/>
              <w:contextualSpacing/>
              <w:jc w:val="center"/>
              <w:rPr>
                <w:rFonts w:hint="eastAsia" w:ascii="宋体" w:hAnsi="宋体"/>
                <w:color w:val="auto"/>
                <w:sz w:val="24"/>
                <w:szCs w:val="20"/>
                <w:highlight w:val="none"/>
              </w:rPr>
            </w:pPr>
          </w:p>
        </w:tc>
        <w:tc>
          <w:tcPr>
            <w:tcW w:w="1775" w:type="dxa"/>
            <w:vAlign w:val="center"/>
          </w:tcPr>
          <w:p w14:paraId="663CF9C8">
            <w:pPr>
              <w:spacing w:line="360" w:lineRule="auto"/>
              <w:contextualSpacing/>
              <w:jc w:val="center"/>
              <w:rPr>
                <w:rFonts w:hint="eastAsia" w:ascii="宋体" w:hAnsi="宋体"/>
                <w:color w:val="auto"/>
                <w:sz w:val="24"/>
                <w:szCs w:val="20"/>
                <w:highlight w:val="none"/>
              </w:rPr>
            </w:pPr>
          </w:p>
        </w:tc>
      </w:tr>
      <w:tr w14:paraId="1F49D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275CC781">
            <w:pPr>
              <w:spacing w:line="360" w:lineRule="auto"/>
              <w:contextualSpacing/>
              <w:jc w:val="center"/>
              <w:rPr>
                <w:rFonts w:hint="eastAsia" w:ascii="宋体" w:hAnsi="宋体"/>
                <w:color w:val="auto"/>
                <w:sz w:val="24"/>
                <w:szCs w:val="20"/>
                <w:highlight w:val="none"/>
              </w:rPr>
            </w:pPr>
          </w:p>
        </w:tc>
        <w:tc>
          <w:tcPr>
            <w:tcW w:w="709" w:type="dxa"/>
            <w:vAlign w:val="center"/>
          </w:tcPr>
          <w:p w14:paraId="4E7E2609">
            <w:pPr>
              <w:spacing w:line="360" w:lineRule="auto"/>
              <w:contextualSpacing/>
              <w:jc w:val="center"/>
              <w:rPr>
                <w:rFonts w:hint="eastAsia" w:ascii="宋体" w:hAnsi="宋体"/>
                <w:color w:val="auto"/>
                <w:sz w:val="24"/>
                <w:szCs w:val="20"/>
                <w:highlight w:val="none"/>
              </w:rPr>
            </w:pPr>
          </w:p>
        </w:tc>
        <w:tc>
          <w:tcPr>
            <w:tcW w:w="2789" w:type="dxa"/>
            <w:vAlign w:val="center"/>
          </w:tcPr>
          <w:p w14:paraId="319E2321">
            <w:pPr>
              <w:spacing w:line="360" w:lineRule="auto"/>
              <w:contextualSpacing/>
              <w:jc w:val="center"/>
              <w:rPr>
                <w:rFonts w:hint="eastAsia" w:ascii="宋体" w:hAnsi="宋体"/>
                <w:color w:val="auto"/>
                <w:sz w:val="24"/>
                <w:szCs w:val="20"/>
                <w:highlight w:val="none"/>
              </w:rPr>
            </w:pPr>
          </w:p>
        </w:tc>
        <w:tc>
          <w:tcPr>
            <w:tcW w:w="1371" w:type="dxa"/>
            <w:vAlign w:val="center"/>
          </w:tcPr>
          <w:p w14:paraId="30BC2282">
            <w:pPr>
              <w:spacing w:line="360" w:lineRule="auto"/>
              <w:contextualSpacing/>
              <w:jc w:val="center"/>
              <w:rPr>
                <w:rFonts w:hint="eastAsia" w:ascii="宋体" w:hAnsi="宋体"/>
                <w:color w:val="auto"/>
                <w:sz w:val="24"/>
                <w:szCs w:val="20"/>
                <w:highlight w:val="none"/>
              </w:rPr>
            </w:pPr>
          </w:p>
        </w:tc>
        <w:tc>
          <w:tcPr>
            <w:tcW w:w="1479" w:type="dxa"/>
            <w:vAlign w:val="center"/>
          </w:tcPr>
          <w:p w14:paraId="009B8D37">
            <w:pPr>
              <w:spacing w:line="360" w:lineRule="auto"/>
              <w:contextualSpacing/>
              <w:jc w:val="center"/>
              <w:rPr>
                <w:rFonts w:hint="eastAsia" w:ascii="宋体" w:hAnsi="宋体"/>
                <w:color w:val="auto"/>
                <w:sz w:val="24"/>
                <w:szCs w:val="20"/>
                <w:highlight w:val="none"/>
              </w:rPr>
            </w:pPr>
          </w:p>
        </w:tc>
        <w:tc>
          <w:tcPr>
            <w:tcW w:w="1775" w:type="dxa"/>
            <w:vAlign w:val="center"/>
          </w:tcPr>
          <w:p w14:paraId="4720D102">
            <w:pPr>
              <w:spacing w:line="360" w:lineRule="auto"/>
              <w:contextualSpacing/>
              <w:jc w:val="center"/>
              <w:rPr>
                <w:rFonts w:hint="eastAsia" w:ascii="宋体" w:hAnsi="宋体"/>
                <w:color w:val="auto"/>
                <w:sz w:val="24"/>
                <w:szCs w:val="20"/>
                <w:highlight w:val="none"/>
              </w:rPr>
            </w:pPr>
          </w:p>
        </w:tc>
      </w:tr>
    </w:tbl>
    <w:p w14:paraId="1060B552">
      <w:pPr>
        <w:spacing w:line="360" w:lineRule="auto"/>
        <w:contextualSpacing/>
        <w:jc w:val="left"/>
        <w:rPr>
          <w:rFonts w:hint="eastAsia" w:ascii="宋体" w:hAnsi="宋体"/>
          <w:color w:val="auto"/>
          <w:sz w:val="24"/>
          <w:szCs w:val="20"/>
          <w:highlight w:val="none"/>
        </w:rPr>
      </w:pPr>
      <w:r>
        <w:rPr>
          <w:rFonts w:hint="eastAsia" w:ascii="宋体" w:hAnsi="宋体"/>
          <w:color w:val="auto"/>
          <w:sz w:val="24"/>
          <w:szCs w:val="20"/>
          <w:highlight w:val="none"/>
        </w:rPr>
        <w:t>服务期内安排2人驻点提供专业技术服务，跟踪整改情况协助采购人督促完成相关工作，为：</w:t>
      </w:r>
      <w:r>
        <w:rPr>
          <w:rFonts w:hint="eastAsia" w:ascii="宋体" w:hAnsi="宋体"/>
          <w:color w:val="auto"/>
          <w:sz w:val="24"/>
          <w:szCs w:val="20"/>
          <w:highlight w:val="none"/>
          <w:u w:val="single"/>
        </w:rPr>
        <w:t xml:space="preserve">        、         </w:t>
      </w:r>
      <w:r>
        <w:rPr>
          <w:rFonts w:hint="eastAsia" w:ascii="宋体" w:hAnsi="宋体"/>
          <w:color w:val="auto"/>
          <w:sz w:val="24"/>
          <w:szCs w:val="20"/>
          <w:highlight w:val="none"/>
        </w:rPr>
        <w:t>。</w:t>
      </w:r>
    </w:p>
    <w:p w14:paraId="49BA17A9">
      <w:pPr>
        <w:spacing w:line="360" w:lineRule="auto"/>
        <w:contextualSpacing/>
        <w:jc w:val="left"/>
        <w:rPr>
          <w:rFonts w:hint="eastAsia" w:ascii="宋体" w:hAnsi="宋体"/>
          <w:color w:val="auto"/>
          <w:sz w:val="24"/>
          <w:szCs w:val="20"/>
          <w:highlight w:val="none"/>
        </w:rPr>
      </w:pPr>
    </w:p>
    <w:p w14:paraId="0FAEEE19">
      <w:pPr>
        <w:spacing w:line="360" w:lineRule="auto"/>
        <w:contextualSpacing/>
        <w:jc w:val="left"/>
        <w:rPr>
          <w:rFonts w:hint="eastAsia" w:ascii="宋体" w:hAnsi="宋体"/>
          <w:color w:val="auto"/>
          <w:sz w:val="24"/>
          <w:szCs w:val="20"/>
          <w:highlight w:val="none"/>
        </w:rPr>
      </w:pPr>
      <w:r>
        <w:rPr>
          <w:rFonts w:hint="eastAsia" w:ascii="宋体" w:hAnsi="宋体"/>
          <w:color w:val="auto"/>
          <w:sz w:val="24"/>
          <w:szCs w:val="20"/>
          <w:highlight w:val="none"/>
        </w:rPr>
        <w:t>注：</w:t>
      </w:r>
    </w:p>
    <w:p w14:paraId="280F346E">
      <w:pPr>
        <w:spacing w:line="360" w:lineRule="auto"/>
        <w:contextualSpacing/>
        <w:jc w:val="left"/>
        <w:rPr>
          <w:rFonts w:hint="eastAsia" w:ascii="宋体" w:hAnsi="宋体"/>
          <w:color w:val="auto"/>
          <w:sz w:val="24"/>
          <w:szCs w:val="20"/>
          <w:highlight w:val="none"/>
        </w:rPr>
      </w:pPr>
      <w:r>
        <w:rPr>
          <w:rFonts w:hint="eastAsia" w:ascii="宋体" w:hAnsi="宋体"/>
          <w:color w:val="auto"/>
          <w:sz w:val="24"/>
          <w:szCs w:val="20"/>
          <w:highlight w:val="none"/>
        </w:rPr>
        <w:t>1</w:t>
      </w:r>
      <w:r>
        <w:rPr>
          <w:rFonts w:ascii="宋体" w:hAnsi="宋体"/>
          <w:color w:val="auto"/>
          <w:sz w:val="24"/>
          <w:szCs w:val="20"/>
          <w:highlight w:val="none"/>
        </w:rPr>
        <w:t>.</w:t>
      </w:r>
      <w:r>
        <w:rPr>
          <w:rFonts w:hint="eastAsia" w:ascii="宋体" w:hAnsi="宋体"/>
          <w:color w:val="auto"/>
          <w:sz w:val="24"/>
          <w:szCs w:val="20"/>
          <w:highlight w:val="none"/>
        </w:rPr>
        <w:t>在填写时，如本表格不适合供应商的实际情况，可根据本表格式自行制表填写。具体要求详见第四章评审程序、评审方法和评审标准。</w:t>
      </w:r>
    </w:p>
    <w:p w14:paraId="0C7B0FB7">
      <w:pPr>
        <w:spacing w:line="360" w:lineRule="auto"/>
        <w:contextualSpacing/>
        <w:jc w:val="left"/>
        <w:rPr>
          <w:rFonts w:hint="eastAsia" w:ascii="宋体" w:hAnsi="宋体"/>
          <w:color w:val="auto"/>
          <w:sz w:val="24"/>
          <w:szCs w:val="20"/>
          <w:highlight w:val="none"/>
        </w:rPr>
      </w:pPr>
      <w:r>
        <w:rPr>
          <w:rFonts w:ascii="宋体" w:hAnsi="宋体"/>
          <w:color w:val="auto"/>
          <w:sz w:val="24"/>
          <w:szCs w:val="20"/>
          <w:highlight w:val="none"/>
        </w:rPr>
        <w:t>2.</w:t>
      </w:r>
      <w:r>
        <w:rPr>
          <w:rFonts w:hint="eastAsia" w:ascii="宋体" w:hAnsi="宋体"/>
          <w:color w:val="auto"/>
          <w:sz w:val="24"/>
          <w:szCs w:val="20"/>
          <w:highlight w:val="none"/>
        </w:rPr>
        <w:t>供应商应当附本表所列证书的复印件并加盖供应商电子签章。</w:t>
      </w:r>
    </w:p>
    <w:p w14:paraId="10D0BF8D">
      <w:pPr>
        <w:spacing w:line="360" w:lineRule="auto"/>
        <w:contextualSpacing/>
        <w:rPr>
          <w:rFonts w:hint="eastAsia" w:ascii="宋体" w:hAnsi="宋体"/>
          <w:color w:val="auto"/>
          <w:spacing w:val="20"/>
          <w:sz w:val="24"/>
          <w:szCs w:val="20"/>
          <w:highlight w:val="none"/>
          <w:u w:val="single"/>
        </w:rPr>
      </w:pPr>
      <w:r>
        <w:rPr>
          <w:rFonts w:hint="eastAsia" w:ascii="宋体" w:hAnsi="宋体"/>
          <w:color w:val="auto"/>
          <w:sz w:val="24"/>
          <w:highlight w:val="none"/>
        </w:rPr>
        <w:t>法定代表人或者委托代理人</w:t>
      </w:r>
      <w:r>
        <w:rPr>
          <w:rFonts w:hint="eastAsia" w:ascii="宋体" w:hAnsi="宋体"/>
          <w:color w:val="auto"/>
          <w:spacing w:val="20"/>
          <w:sz w:val="24"/>
          <w:highlight w:val="none"/>
        </w:rPr>
        <w:t>签字或者电子签名：</w:t>
      </w:r>
      <w:r>
        <w:rPr>
          <w:rFonts w:hint="eastAsia" w:ascii="宋体" w:hAnsi="宋体"/>
          <w:color w:val="auto"/>
          <w:spacing w:val="20"/>
          <w:sz w:val="24"/>
          <w:highlight w:val="none"/>
          <w:u w:val="single"/>
        </w:rPr>
        <w:t xml:space="preserve">        </w:t>
      </w:r>
    </w:p>
    <w:p w14:paraId="27D92AAA">
      <w:pPr>
        <w:spacing w:line="360" w:lineRule="auto"/>
        <w:contextualSpacing/>
        <w:jc w:val="left"/>
        <w:rPr>
          <w:rFonts w:hint="eastAsia" w:ascii="宋体" w:hAnsi="宋体"/>
          <w:color w:val="auto"/>
          <w:sz w:val="24"/>
          <w:szCs w:val="20"/>
          <w:highlight w:val="none"/>
        </w:rPr>
      </w:pPr>
      <w:r>
        <w:rPr>
          <w:rFonts w:hint="eastAsia" w:ascii="宋体" w:hAnsi="宋体"/>
          <w:color w:val="auto"/>
          <w:spacing w:val="20"/>
          <w:sz w:val="24"/>
          <w:highlight w:val="none"/>
        </w:rPr>
        <w:t>供应商（电子签章）：</w:t>
      </w:r>
      <w:r>
        <w:rPr>
          <w:rFonts w:hint="eastAsia" w:ascii="宋体" w:hAnsi="宋体"/>
          <w:color w:val="auto"/>
          <w:spacing w:val="20"/>
          <w:sz w:val="24"/>
          <w:highlight w:val="none"/>
          <w:u w:val="single"/>
        </w:rPr>
        <w:t xml:space="preserve">            </w:t>
      </w:r>
      <w:r>
        <w:rPr>
          <w:rFonts w:hint="eastAsia" w:ascii="宋体" w:hAnsi="宋体"/>
          <w:color w:val="auto"/>
          <w:spacing w:val="20"/>
          <w:sz w:val="24"/>
          <w:highlight w:val="none"/>
        </w:rPr>
        <w:t xml:space="preserve">              日 期：</w:t>
      </w:r>
      <w:r>
        <w:rPr>
          <w:rFonts w:hint="eastAsia" w:ascii="宋体" w:hAnsi="宋体"/>
          <w:color w:val="auto"/>
          <w:spacing w:val="20"/>
          <w:sz w:val="24"/>
          <w:highlight w:val="none"/>
          <w:u w:val="single"/>
        </w:rPr>
        <w:t xml:space="preserve">         </w:t>
      </w:r>
    </w:p>
    <w:p w14:paraId="6F69D59D">
      <w:pPr>
        <w:snapToGrid w:val="0"/>
        <w:spacing w:before="50" w:after="120" w:afterLines="50"/>
        <w:jc w:val="left"/>
        <w:rPr>
          <w:rFonts w:hint="eastAsia" w:ascii="宋体" w:hAnsi="宋体"/>
          <w:color w:val="auto"/>
          <w:sz w:val="24"/>
          <w:szCs w:val="20"/>
          <w:highlight w:val="none"/>
        </w:rPr>
      </w:pPr>
    </w:p>
    <w:p w14:paraId="72D23260">
      <w:pPr>
        <w:snapToGrid w:val="0"/>
        <w:spacing w:before="50" w:after="50" w:line="360" w:lineRule="auto"/>
        <w:ind w:right="-817" w:rightChars="-389" w:firstLine="5461" w:firstLineChars="1700"/>
        <w:rPr>
          <w:rFonts w:hint="eastAsia" w:ascii="仿宋_GB2312" w:hAnsi="仿宋_GB2312" w:eastAsia="仿宋_GB2312" w:cs="仿宋_GB2312"/>
          <w:b/>
          <w:color w:val="auto"/>
          <w:sz w:val="32"/>
          <w:szCs w:val="32"/>
          <w:highlight w:val="none"/>
        </w:rPr>
      </w:pPr>
    </w:p>
    <w:p w14:paraId="29B8EC5D">
      <w:pPr>
        <w:adjustRightInd w:val="0"/>
        <w:snapToGrid w:val="0"/>
        <w:spacing w:line="300" w:lineRule="auto"/>
        <w:jc w:val="center"/>
        <w:rPr>
          <w:rFonts w:hint="eastAsia" w:ascii="方正小标宋简体" w:hAnsi="方正小标宋简体" w:eastAsia="方正小标宋简体" w:cs="方正小标宋简体"/>
          <w:bCs/>
          <w:color w:val="auto"/>
          <w:sz w:val="44"/>
          <w:szCs w:val="44"/>
          <w:highlight w:val="none"/>
        </w:rPr>
      </w:pPr>
      <w:r>
        <w:rPr>
          <w:rFonts w:ascii="宋体" w:hAnsi="宋体"/>
          <w:b/>
          <w:bCs/>
          <w:color w:val="auto"/>
          <w:sz w:val="24"/>
          <w:highlight w:val="none"/>
        </w:rPr>
        <w:br w:type="page"/>
      </w:r>
      <w:r>
        <w:rPr>
          <w:rFonts w:hint="eastAsia" w:ascii="方正小标宋简体" w:hAnsi="方正小标宋简体" w:eastAsia="方正小标宋简体" w:cs="方正小标宋简体"/>
          <w:bCs/>
          <w:color w:val="auto"/>
          <w:sz w:val="44"/>
          <w:szCs w:val="44"/>
          <w:highlight w:val="none"/>
        </w:rPr>
        <w:t>类 似 业 绩（参考）</w:t>
      </w:r>
    </w:p>
    <w:p w14:paraId="6A566778">
      <w:pPr>
        <w:snapToGrid w:val="0"/>
        <w:spacing w:before="120" w:beforeLines="50" w:after="50"/>
        <w:jc w:val="center"/>
        <w:rPr>
          <w:rFonts w:hint="eastAsia" w:ascii="仿宋" w:hAnsi="仿宋" w:eastAsia="仿宋"/>
          <w:b/>
          <w:color w:val="auto"/>
          <w:sz w:val="24"/>
          <w:highlight w:val="none"/>
        </w:rPr>
      </w:pPr>
      <w:r>
        <w:rPr>
          <w:rFonts w:hint="eastAsia" w:ascii="仿宋" w:hAnsi="仿宋" w:eastAsia="仿宋"/>
          <w:b/>
          <w:color w:val="auto"/>
          <w:szCs w:val="21"/>
          <w:highlight w:val="none"/>
        </w:rPr>
        <w:t>与竞争性磋商文件服务需求类似的项目业绩和合同履行情况</w:t>
      </w:r>
    </w:p>
    <w:tbl>
      <w:tblPr>
        <w:tblStyle w:val="20"/>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733"/>
        <w:gridCol w:w="1811"/>
        <w:gridCol w:w="1829"/>
        <w:gridCol w:w="1794"/>
        <w:gridCol w:w="1779"/>
      </w:tblGrid>
      <w:tr w14:paraId="442BE1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17" w:hRule="atLeast"/>
        </w:trPr>
        <w:tc>
          <w:tcPr>
            <w:tcW w:w="968" w:type="pct"/>
            <w:vMerge w:val="restart"/>
            <w:tcBorders>
              <w:top w:val="single" w:color="auto" w:sz="4" w:space="0"/>
              <w:left w:val="single" w:color="auto" w:sz="4" w:space="0"/>
              <w:bottom w:val="single" w:color="auto" w:sz="4" w:space="0"/>
              <w:right w:val="single" w:color="auto" w:sz="4" w:space="0"/>
            </w:tcBorders>
            <w:vAlign w:val="center"/>
          </w:tcPr>
          <w:p w14:paraId="28870C20">
            <w:pPr>
              <w:snapToGrid w:val="0"/>
              <w:spacing w:line="360" w:lineRule="exact"/>
              <w:jc w:val="center"/>
              <w:rPr>
                <w:rFonts w:hint="eastAsia" w:ascii="仿宋" w:hAnsi="仿宋" w:eastAsia="仿宋"/>
                <w:color w:val="auto"/>
                <w:szCs w:val="21"/>
                <w:highlight w:val="none"/>
              </w:rPr>
            </w:pPr>
            <w:r>
              <w:rPr>
                <w:rFonts w:hint="eastAsia" w:ascii="仿宋" w:hAnsi="仿宋" w:eastAsia="仿宋"/>
                <w:color w:val="auto"/>
                <w:szCs w:val="21"/>
                <w:highlight w:val="none"/>
              </w:rPr>
              <w:t>采购单位</w:t>
            </w:r>
          </w:p>
          <w:p w14:paraId="4D863DF7">
            <w:pPr>
              <w:snapToGrid w:val="0"/>
              <w:spacing w:line="360" w:lineRule="exact"/>
              <w:jc w:val="center"/>
              <w:rPr>
                <w:rFonts w:hint="eastAsia" w:ascii="仿宋" w:hAnsi="仿宋" w:eastAsia="仿宋"/>
                <w:color w:val="auto"/>
                <w:szCs w:val="21"/>
                <w:highlight w:val="none"/>
              </w:rPr>
            </w:pPr>
            <w:r>
              <w:rPr>
                <w:rFonts w:hint="eastAsia" w:ascii="仿宋" w:hAnsi="仿宋" w:eastAsia="仿宋"/>
                <w:color w:val="auto"/>
                <w:szCs w:val="21"/>
                <w:highlight w:val="none"/>
              </w:rPr>
              <w:t>名称</w:t>
            </w:r>
          </w:p>
        </w:tc>
        <w:tc>
          <w:tcPr>
            <w:tcW w:w="1012" w:type="pct"/>
            <w:vMerge w:val="restart"/>
            <w:tcBorders>
              <w:top w:val="single" w:color="auto" w:sz="4" w:space="0"/>
              <w:left w:val="single" w:color="auto" w:sz="4" w:space="0"/>
              <w:bottom w:val="single" w:color="auto" w:sz="4" w:space="0"/>
              <w:right w:val="single" w:color="auto" w:sz="4" w:space="0"/>
            </w:tcBorders>
            <w:vAlign w:val="center"/>
          </w:tcPr>
          <w:p w14:paraId="0E92C369">
            <w:pPr>
              <w:snapToGrid w:val="0"/>
              <w:spacing w:line="360" w:lineRule="exact"/>
              <w:jc w:val="center"/>
              <w:rPr>
                <w:rFonts w:hint="eastAsia" w:ascii="仿宋" w:hAnsi="仿宋" w:eastAsia="仿宋"/>
                <w:color w:val="auto"/>
                <w:szCs w:val="21"/>
                <w:highlight w:val="none"/>
              </w:rPr>
            </w:pPr>
            <w:r>
              <w:rPr>
                <w:rFonts w:hint="eastAsia" w:ascii="仿宋" w:hAnsi="仿宋" w:eastAsia="仿宋"/>
                <w:color w:val="auto"/>
                <w:szCs w:val="21"/>
                <w:highlight w:val="none"/>
              </w:rPr>
              <w:t>项目名称</w:t>
            </w:r>
          </w:p>
        </w:tc>
        <w:tc>
          <w:tcPr>
            <w:tcW w:w="1022" w:type="pct"/>
            <w:vMerge w:val="restart"/>
            <w:tcBorders>
              <w:top w:val="single" w:color="auto" w:sz="4" w:space="0"/>
              <w:left w:val="single" w:color="auto" w:sz="4" w:space="0"/>
              <w:bottom w:val="single" w:color="auto" w:sz="4" w:space="0"/>
              <w:right w:val="single" w:color="auto" w:sz="4" w:space="0"/>
            </w:tcBorders>
            <w:vAlign w:val="center"/>
          </w:tcPr>
          <w:p w14:paraId="4CE55EF9">
            <w:pPr>
              <w:snapToGrid w:val="0"/>
              <w:spacing w:line="360" w:lineRule="exact"/>
              <w:jc w:val="center"/>
              <w:rPr>
                <w:rFonts w:hint="eastAsia" w:ascii="仿宋" w:hAnsi="仿宋" w:eastAsia="仿宋"/>
                <w:color w:val="auto"/>
                <w:szCs w:val="21"/>
                <w:highlight w:val="none"/>
              </w:rPr>
            </w:pPr>
            <w:r>
              <w:rPr>
                <w:rFonts w:hint="eastAsia" w:ascii="仿宋" w:hAnsi="仿宋" w:eastAsia="仿宋"/>
                <w:color w:val="auto"/>
                <w:szCs w:val="21"/>
                <w:highlight w:val="none"/>
              </w:rPr>
              <w:t>服务内容</w:t>
            </w:r>
          </w:p>
        </w:tc>
        <w:tc>
          <w:tcPr>
            <w:tcW w:w="1002" w:type="pct"/>
            <w:tcBorders>
              <w:top w:val="single" w:color="auto" w:sz="4" w:space="0"/>
              <w:left w:val="single" w:color="auto" w:sz="4" w:space="0"/>
              <w:bottom w:val="single" w:color="auto" w:sz="4" w:space="0"/>
              <w:right w:val="single" w:color="auto" w:sz="4" w:space="0"/>
            </w:tcBorders>
            <w:vAlign w:val="center"/>
          </w:tcPr>
          <w:p w14:paraId="08E75CCA">
            <w:pPr>
              <w:widowControl/>
              <w:spacing w:line="360" w:lineRule="exact"/>
              <w:jc w:val="center"/>
              <w:rPr>
                <w:rFonts w:hint="eastAsia" w:ascii="仿宋" w:hAnsi="仿宋" w:eastAsia="仿宋"/>
                <w:color w:val="auto"/>
                <w:kern w:val="0"/>
                <w:szCs w:val="21"/>
                <w:highlight w:val="none"/>
              </w:rPr>
            </w:pPr>
            <w:r>
              <w:rPr>
                <w:rFonts w:hint="eastAsia" w:ascii="仿宋" w:hAnsi="仿宋" w:eastAsia="仿宋"/>
                <w:color w:val="auto"/>
                <w:szCs w:val="21"/>
                <w:highlight w:val="none"/>
              </w:rPr>
              <w:t>附件页码</w:t>
            </w:r>
          </w:p>
        </w:tc>
        <w:tc>
          <w:tcPr>
            <w:tcW w:w="994" w:type="pct"/>
            <w:vMerge w:val="restart"/>
            <w:tcBorders>
              <w:top w:val="single" w:color="auto" w:sz="4" w:space="0"/>
              <w:left w:val="single" w:color="auto" w:sz="4" w:space="0"/>
              <w:right w:val="single" w:color="auto" w:sz="4" w:space="0"/>
            </w:tcBorders>
            <w:vAlign w:val="center"/>
          </w:tcPr>
          <w:p w14:paraId="1E2FE674">
            <w:pPr>
              <w:snapToGrid w:val="0"/>
              <w:spacing w:line="360" w:lineRule="exact"/>
              <w:jc w:val="center"/>
              <w:rPr>
                <w:rFonts w:hint="eastAsia" w:ascii="仿宋" w:hAnsi="仿宋" w:eastAsia="仿宋"/>
                <w:color w:val="auto"/>
                <w:kern w:val="0"/>
                <w:szCs w:val="21"/>
                <w:highlight w:val="none"/>
              </w:rPr>
            </w:pPr>
            <w:r>
              <w:rPr>
                <w:rFonts w:hint="eastAsia" w:ascii="仿宋" w:hAnsi="仿宋" w:eastAsia="仿宋"/>
                <w:color w:val="auto"/>
                <w:szCs w:val="21"/>
                <w:highlight w:val="none"/>
              </w:rPr>
              <w:t>采购单位联系人及联系电话</w:t>
            </w:r>
          </w:p>
        </w:tc>
      </w:tr>
      <w:tr w14:paraId="751C73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95"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147084F9">
            <w:pPr>
              <w:widowControl/>
              <w:jc w:val="left"/>
              <w:rPr>
                <w:rFonts w:hint="eastAsia" w:ascii="仿宋" w:hAnsi="仿宋" w:eastAsia="仿宋"/>
                <w:color w:val="auto"/>
                <w:szCs w:val="21"/>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3D615064">
            <w:pPr>
              <w:widowControl/>
              <w:jc w:val="left"/>
              <w:rPr>
                <w:rFonts w:hint="eastAsia" w:ascii="仿宋" w:hAnsi="仿宋" w:eastAsia="仿宋"/>
                <w:color w:val="auto"/>
                <w:szCs w:val="21"/>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3F5B58DE">
            <w:pPr>
              <w:widowControl/>
              <w:jc w:val="left"/>
              <w:rPr>
                <w:rFonts w:hint="eastAsia" w:ascii="仿宋" w:hAnsi="仿宋" w:eastAsia="仿宋"/>
                <w:color w:val="auto"/>
                <w:szCs w:val="21"/>
                <w:highlight w:val="none"/>
              </w:rPr>
            </w:pPr>
          </w:p>
        </w:tc>
        <w:tc>
          <w:tcPr>
            <w:tcW w:w="1002" w:type="pct"/>
            <w:tcBorders>
              <w:top w:val="single" w:color="auto" w:sz="4" w:space="0"/>
              <w:left w:val="single" w:color="auto" w:sz="4" w:space="0"/>
              <w:bottom w:val="single" w:color="auto" w:sz="4" w:space="0"/>
              <w:right w:val="single" w:color="auto" w:sz="4" w:space="0"/>
            </w:tcBorders>
            <w:vAlign w:val="center"/>
          </w:tcPr>
          <w:p w14:paraId="09132948">
            <w:pPr>
              <w:snapToGrid w:val="0"/>
              <w:spacing w:line="360" w:lineRule="exact"/>
              <w:jc w:val="center"/>
              <w:rPr>
                <w:rFonts w:hint="eastAsia" w:ascii="仿宋" w:hAnsi="仿宋" w:eastAsia="仿宋"/>
                <w:color w:val="auto"/>
                <w:szCs w:val="21"/>
                <w:highlight w:val="none"/>
              </w:rPr>
            </w:pPr>
            <w:r>
              <w:rPr>
                <w:rFonts w:hint="eastAsia" w:ascii="仿宋" w:hAnsi="仿宋" w:eastAsia="仿宋"/>
                <w:color w:val="auto"/>
                <w:szCs w:val="21"/>
                <w:highlight w:val="none"/>
              </w:rPr>
              <w:t>合同</w:t>
            </w:r>
          </w:p>
        </w:tc>
        <w:tc>
          <w:tcPr>
            <w:tcW w:w="994" w:type="pct"/>
            <w:vMerge w:val="continue"/>
            <w:tcBorders>
              <w:left w:val="single" w:color="auto" w:sz="4" w:space="0"/>
              <w:bottom w:val="single" w:color="auto" w:sz="4" w:space="0"/>
              <w:right w:val="single" w:color="auto" w:sz="4" w:space="0"/>
            </w:tcBorders>
            <w:vAlign w:val="center"/>
          </w:tcPr>
          <w:p w14:paraId="0EC17D46">
            <w:pPr>
              <w:widowControl/>
              <w:spacing w:line="360" w:lineRule="exact"/>
              <w:jc w:val="left"/>
              <w:rPr>
                <w:rFonts w:hint="eastAsia" w:ascii="仿宋" w:hAnsi="仿宋" w:eastAsia="仿宋"/>
                <w:color w:val="auto"/>
                <w:szCs w:val="21"/>
                <w:highlight w:val="none"/>
              </w:rPr>
            </w:pPr>
          </w:p>
        </w:tc>
      </w:tr>
      <w:tr w14:paraId="59E858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8" w:hRule="atLeast"/>
        </w:trPr>
        <w:tc>
          <w:tcPr>
            <w:tcW w:w="968" w:type="pct"/>
            <w:tcBorders>
              <w:top w:val="single" w:color="auto" w:sz="4" w:space="0"/>
              <w:left w:val="single" w:color="auto" w:sz="4" w:space="0"/>
              <w:bottom w:val="single" w:color="auto" w:sz="4" w:space="0"/>
              <w:right w:val="single" w:color="auto" w:sz="4" w:space="0"/>
            </w:tcBorders>
          </w:tcPr>
          <w:p w14:paraId="2F151EBE">
            <w:pPr>
              <w:snapToGrid w:val="0"/>
              <w:spacing w:line="360" w:lineRule="exact"/>
              <w:jc w:val="left"/>
              <w:rPr>
                <w:rFonts w:hint="eastAsia" w:ascii="仿宋" w:hAnsi="仿宋" w:eastAsia="仿宋"/>
                <w:color w:val="auto"/>
                <w:szCs w:val="21"/>
                <w:highlight w:val="none"/>
              </w:rPr>
            </w:pPr>
          </w:p>
        </w:tc>
        <w:tc>
          <w:tcPr>
            <w:tcW w:w="1012" w:type="pct"/>
            <w:tcBorders>
              <w:top w:val="single" w:color="auto" w:sz="4" w:space="0"/>
              <w:left w:val="single" w:color="auto" w:sz="4" w:space="0"/>
              <w:bottom w:val="single" w:color="auto" w:sz="4" w:space="0"/>
              <w:right w:val="single" w:color="auto" w:sz="4" w:space="0"/>
            </w:tcBorders>
          </w:tcPr>
          <w:p w14:paraId="09F526D9">
            <w:pPr>
              <w:snapToGrid w:val="0"/>
              <w:spacing w:line="360" w:lineRule="exact"/>
              <w:jc w:val="left"/>
              <w:rPr>
                <w:rFonts w:hint="eastAsia" w:ascii="仿宋" w:hAnsi="仿宋" w:eastAsia="仿宋"/>
                <w:color w:val="auto"/>
                <w:szCs w:val="21"/>
                <w:highlight w:val="none"/>
              </w:rPr>
            </w:pPr>
          </w:p>
        </w:tc>
        <w:tc>
          <w:tcPr>
            <w:tcW w:w="1022" w:type="pct"/>
            <w:tcBorders>
              <w:top w:val="single" w:color="auto" w:sz="4" w:space="0"/>
              <w:left w:val="single" w:color="auto" w:sz="4" w:space="0"/>
              <w:bottom w:val="single" w:color="auto" w:sz="4" w:space="0"/>
              <w:right w:val="single" w:color="auto" w:sz="4" w:space="0"/>
            </w:tcBorders>
          </w:tcPr>
          <w:p w14:paraId="635AFABB">
            <w:pPr>
              <w:snapToGrid w:val="0"/>
              <w:spacing w:line="360" w:lineRule="exact"/>
              <w:jc w:val="left"/>
              <w:rPr>
                <w:rFonts w:hint="eastAsia" w:ascii="仿宋" w:hAnsi="仿宋" w:eastAsia="仿宋"/>
                <w:color w:val="auto"/>
                <w:szCs w:val="21"/>
                <w:highlight w:val="none"/>
              </w:rPr>
            </w:pPr>
          </w:p>
        </w:tc>
        <w:tc>
          <w:tcPr>
            <w:tcW w:w="1002" w:type="pct"/>
            <w:tcBorders>
              <w:top w:val="single" w:color="auto" w:sz="4" w:space="0"/>
              <w:left w:val="single" w:color="auto" w:sz="4" w:space="0"/>
              <w:bottom w:val="single" w:color="auto" w:sz="4" w:space="0"/>
              <w:right w:val="single" w:color="auto" w:sz="4" w:space="0"/>
            </w:tcBorders>
          </w:tcPr>
          <w:p w14:paraId="45092364">
            <w:pPr>
              <w:snapToGrid w:val="0"/>
              <w:spacing w:line="360" w:lineRule="exact"/>
              <w:jc w:val="left"/>
              <w:rPr>
                <w:rFonts w:hint="eastAsia" w:ascii="仿宋" w:hAnsi="仿宋" w:eastAsia="仿宋"/>
                <w:color w:val="auto"/>
                <w:szCs w:val="21"/>
                <w:highlight w:val="none"/>
              </w:rPr>
            </w:pPr>
          </w:p>
        </w:tc>
        <w:tc>
          <w:tcPr>
            <w:tcW w:w="994" w:type="pct"/>
            <w:tcBorders>
              <w:top w:val="single" w:color="auto" w:sz="4" w:space="0"/>
              <w:left w:val="single" w:color="auto" w:sz="4" w:space="0"/>
              <w:bottom w:val="single" w:color="auto" w:sz="4" w:space="0"/>
              <w:right w:val="single" w:color="auto" w:sz="4" w:space="0"/>
            </w:tcBorders>
          </w:tcPr>
          <w:p w14:paraId="2C802440">
            <w:pPr>
              <w:snapToGrid w:val="0"/>
              <w:spacing w:line="360" w:lineRule="exact"/>
              <w:jc w:val="left"/>
              <w:rPr>
                <w:rFonts w:hint="eastAsia" w:ascii="仿宋" w:hAnsi="仿宋" w:eastAsia="仿宋"/>
                <w:color w:val="auto"/>
                <w:szCs w:val="21"/>
                <w:highlight w:val="none"/>
              </w:rPr>
            </w:pPr>
          </w:p>
        </w:tc>
      </w:tr>
      <w:tr w14:paraId="5B8276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968" w:type="pct"/>
            <w:tcBorders>
              <w:top w:val="single" w:color="auto" w:sz="4" w:space="0"/>
              <w:left w:val="single" w:color="auto" w:sz="4" w:space="0"/>
              <w:bottom w:val="single" w:color="auto" w:sz="4" w:space="0"/>
              <w:right w:val="single" w:color="auto" w:sz="4" w:space="0"/>
            </w:tcBorders>
          </w:tcPr>
          <w:p w14:paraId="7A27D5C5">
            <w:pPr>
              <w:snapToGrid w:val="0"/>
              <w:spacing w:before="50" w:after="120" w:afterLines="50" w:line="360" w:lineRule="exact"/>
              <w:jc w:val="left"/>
              <w:rPr>
                <w:rFonts w:hint="eastAsia" w:ascii="仿宋" w:hAnsi="仿宋" w:eastAsia="仿宋"/>
                <w:color w:val="auto"/>
                <w:szCs w:val="21"/>
                <w:highlight w:val="none"/>
              </w:rPr>
            </w:pPr>
          </w:p>
        </w:tc>
        <w:tc>
          <w:tcPr>
            <w:tcW w:w="1012" w:type="pct"/>
            <w:tcBorders>
              <w:top w:val="single" w:color="auto" w:sz="4" w:space="0"/>
              <w:left w:val="single" w:color="auto" w:sz="4" w:space="0"/>
              <w:bottom w:val="single" w:color="auto" w:sz="4" w:space="0"/>
              <w:right w:val="single" w:color="auto" w:sz="4" w:space="0"/>
            </w:tcBorders>
          </w:tcPr>
          <w:p w14:paraId="7C786E57">
            <w:pPr>
              <w:snapToGrid w:val="0"/>
              <w:spacing w:before="50" w:after="120" w:afterLines="50" w:line="360" w:lineRule="exact"/>
              <w:jc w:val="left"/>
              <w:rPr>
                <w:rFonts w:hint="eastAsia" w:ascii="仿宋" w:hAnsi="仿宋" w:eastAsia="仿宋"/>
                <w:color w:val="auto"/>
                <w:szCs w:val="21"/>
                <w:highlight w:val="none"/>
              </w:rPr>
            </w:pPr>
          </w:p>
        </w:tc>
        <w:tc>
          <w:tcPr>
            <w:tcW w:w="1022" w:type="pct"/>
            <w:tcBorders>
              <w:top w:val="single" w:color="auto" w:sz="4" w:space="0"/>
              <w:left w:val="single" w:color="auto" w:sz="4" w:space="0"/>
              <w:bottom w:val="single" w:color="auto" w:sz="4" w:space="0"/>
              <w:right w:val="single" w:color="auto" w:sz="4" w:space="0"/>
            </w:tcBorders>
          </w:tcPr>
          <w:p w14:paraId="7056534C">
            <w:pPr>
              <w:snapToGrid w:val="0"/>
              <w:spacing w:before="50" w:after="120" w:afterLines="50" w:line="360" w:lineRule="exact"/>
              <w:jc w:val="left"/>
              <w:rPr>
                <w:rFonts w:hint="eastAsia" w:ascii="仿宋" w:hAnsi="仿宋" w:eastAsia="仿宋"/>
                <w:color w:val="auto"/>
                <w:szCs w:val="21"/>
                <w:highlight w:val="none"/>
              </w:rPr>
            </w:pPr>
          </w:p>
        </w:tc>
        <w:tc>
          <w:tcPr>
            <w:tcW w:w="1002" w:type="pct"/>
            <w:tcBorders>
              <w:top w:val="single" w:color="auto" w:sz="4" w:space="0"/>
              <w:left w:val="single" w:color="auto" w:sz="4" w:space="0"/>
              <w:bottom w:val="single" w:color="auto" w:sz="4" w:space="0"/>
              <w:right w:val="single" w:color="auto" w:sz="4" w:space="0"/>
            </w:tcBorders>
          </w:tcPr>
          <w:p w14:paraId="3B43B908">
            <w:pPr>
              <w:snapToGrid w:val="0"/>
              <w:spacing w:before="50" w:after="120" w:afterLines="50" w:line="360" w:lineRule="exact"/>
              <w:jc w:val="left"/>
              <w:rPr>
                <w:rFonts w:hint="eastAsia" w:ascii="仿宋" w:hAnsi="仿宋" w:eastAsia="仿宋"/>
                <w:color w:val="auto"/>
                <w:szCs w:val="21"/>
                <w:highlight w:val="none"/>
              </w:rPr>
            </w:pPr>
          </w:p>
        </w:tc>
        <w:tc>
          <w:tcPr>
            <w:tcW w:w="994" w:type="pct"/>
            <w:tcBorders>
              <w:top w:val="single" w:color="auto" w:sz="4" w:space="0"/>
              <w:left w:val="single" w:color="auto" w:sz="4" w:space="0"/>
              <w:bottom w:val="single" w:color="auto" w:sz="4" w:space="0"/>
              <w:right w:val="single" w:color="auto" w:sz="4" w:space="0"/>
            </w:tcBorders>
          </w:tcPr>
          <w:p w14:paraId="5471FF02">
            <w:pPr>
              <w:snapToGrid w:val="0"/>
              <w:spacing w:before="50" w:after="120" w:afterLines="50" w:line="360" w:lineRule="exact"/>
              <w:jc w:val="left"/>
              <w:rPr>
                <w:rFonts w:hint="eastAsia" w:ascii="仿宋" w:hAnsi="仿宋" w:eastAsia="仿宋"/>
                <w:color w:val="auto"/>
                <w:szCs w:val="21"/>
                <w:highlight w:val="none"/>
              </w:rPr>
            </w:pPr>
          </w:p>
        </w:tc>
      </w:tr>
      <w:tr w14:paraId="5FFF85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968" w:type="pct"/>
            <w:tcBorders>
              <w:top w:val="single" w:color="auto" w:sz="4" w:space="0"/>
              <w:left w:val="single" w:color="auto" w:sz="4" w:space="0"/>
              <w:bottom w:val="single" w:color="auto" w:sz="4" w:space="0"/>
              <w:right w:val="single" w:color="auto" w:sz="4" w:space="0"/>
            </w:tcBorders>
          </w:tcPr>
          <w:p w14:paraId="06D9AD90">
            <w:pPr>
              <w:snapToGrid w:val="0"/>
              <w:spacing w:before="50" w:after="120" w:afterLines="50" w:line="360" w:lineRule="exact"/>
              <w:jc w:val="left"/>
              <w:rPr>
                <w:rFonts w:hint="eastAsia" w:ascii="仿宋" w:hAnsi="仿宋" w:eastAsia="仿宋"/>
                <w:color w:val="auto"/>
                <w:szCs w:val="21"/>
                <w:highlight w:val="none"/>
              </w:rPr>
            </w:pPr>
          </w:p>
        </w:tc>
        <w:tc>
          <w:tcPr>
            <w:tcW w:w="1012" w:type="pct"/>
            <w:tcBorders>
              <w:top w:val="single" w:color="auto" w:sz="4" w:space="0"/>
              <w:left w:val="single" w:color="auto" w:sz="4" w:space="0"/>
              <w:bottom w:val="single" w:color="auto" w:sz="4" w:space="0"/>
              <w:right w:val="single" w:color="auto" w:sz="4" w:space="0"/>
            </w:tcBorders>
          </w:tcPr>
          <w:p w14:paraId="5791312C">
            <w:pPr>
              <w:snapToGrid w:val="0"/>
              <w:spacing w:before="50" w:after="120" w:afterLines="50" w:line="360" w:lineRule="exact"/>
              <w:jc w:val="left"/>
              <w:rPr>
                <w:rFonts w:hint="eastAsia" w:ascii="仿宋" w:hAnsi="仿宋" w:eastAsia="仿宋"/>
                <w:color w:val="auto"/>
                <w:szCs w:val="21"/>
                <w:highlight w:val="none"/>
              </w:rPr>
            </w:pPr>
          </w:p>
        </w:tc>
        <w:tc>
          <w:tcPr>
            <w:tcW w:w="1022" w:type="pct"/>
            <w:tcBorders>
              <w:top w:val="single" w:color="auto" w:sz="4" w:space="0"/>
              <w:left w:val="single" w:color="auto" w:sz="4" w:space="0"/>
              <w:bottom w:val="single" w:color="auto" w:sz="4" w:space="0"/>
              <w:right w:val="single" w:color="auto" w:sz="4" w:space="0"/>
            </w:tcBorders>
          </w:tcPr>
          <w:p w14:paraId="5CE27E59">
            <w:pPr>
              <w:snapToGrid w:val="0"/>
              <w:spacing w:before="50" w:after="120" w:afterLines="50" w:line="360" w:lineRule="exact"/>
              <w:jc w:val="left"/>
              <w:rPr>
                <w:rFonts w:hint="eastAsia" w:ascii="仿宋" w:hAnsi="仿宋" w:eastAsia="仿宋"/>
                <w:color w:val="auto"/>
                <w:szCs w:val="21"/>
                <w:highlight w:val="none"/>
              </w:rPr>
            </w:pPr>
          </w:p>
        </w:tc>
        <w:tc>
          <w:tcPr>
            <w:tcW w:w="1002" w:type="pct"/>
            <w:tcBorders>
              <w:top w:val="single" w:color="auto" w:sz="4" w:space="0"/>
              <w:left w:val="single" w:color="auto" w:sz="4" w:space="0"/>
              <w:bottom w:val="single" w:color="auto" w:sz="4" w:space="0"/>
              <w:right w:val="single" w:color="auto" w:sz="4" w:space="0"/>
            </w:tcBorders>
          </w:tcPr>
          <w:p w14:paraId="0D877EA2">
            <w:pPr>
              <w:snapToGrid w:val="0"/>
              <w:spacing w:before="50" w:after="120" w:afterLines="50" w:line="360" w:lineRule="exact"/>
              <w:jc w:val="left"/>
              <w:rPr>
                <w:rFonts w:hint="eastAsia" w:ascii="仿宋" w:hAnsi="仿宋" w:eastAsia="仿宋"/>
                <w:color w:val="auto"/>
                <w:szCs w:val="21"/>
                <w:highlight w:val="none"/>
              </w:rPr>
            </w:pPr>
          </w:p>
        </w:tc>
        <w:tc>
          <w:tcPr>
            <w:tcW w:w="994" w:type="pct"/>
            <w:tcBorders>
              <w:top w:val="single" w:color="auto" w:sz="4" w:space="0"/>
              <w:left w:val="single" w:color="auto" w:sz="4" w:space="0"/>
              <w:bottom w:val="single" w:color="auto" w:sz="4" w:space="0"/>
              <w:right w:val="single" w:color="auto" w:sz="4" w:space="0"/>
            </w:tcBorders>
          </w:tcPr>
          <w:p w14:paraId="4C69DCE2">
            <w:pPr>
              <w:snapToGrid w:val="0"/>
              <w:spacing w:before="50" w:after="120" w:afterLines="50" w:line="360" w:lineRule="exact"/>
              <w:jc w:val="left"/>
              <w:rPr>
                <w:rFonts w:hint="eastAsia" w:ascii="仿宋" w:hAnsi="仿宋" w:eastAsia="仿宋"/>
                <w:color w:val="auto"/>
                <w:szCs w:val="21"/>
                <w:highlight w:val="none"/>
              </w:rPr>
            </w:pPr>
          </w:p>
        </w:tc>
      </w:tr>
      <w:tr w14:paraId="0294B0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8" w:hRule="atLeast"/>
        </w:trPr>
        <w:tc>
          <w:tcPr>
            <w:tcW w:w="968" w:type="pct"/>
            <w:tcBorders>
              <w:top w:val="single" w:color="auto" w:sz="4" w:space="0"/>
              <w:left w:val="single" w:color="auto" w:sz="4" w:space="0"/>
              <w:bottom w:val="single" w:color="auto" w:sz="4" w:space="0"/>
              <w:right w:val="single" w:color="auto" w:sz="4" w:space="0"/>
            </w:tcBorders>
          </w:tcPr>
          <w:p w14:paraId="1DFE8FF2">
            <w:pPr>
              <w:snapToGrid w:val="0"/>
              <w:spacing w:before="50" w:after="120" w:afterLines="50" w:line="360" w:lineRule="exact"/>
              <w:jc w:val="left"/>
              <w:rPr>
                <w:rFonts w:hint="eastAsia" w:ascii="仿宋" w:hAnsi="仿宋" w:eastAsia="仿宋"/>
                <w:color w:val="auto"/>
                <w:szCs w:val="21"/>
                <w:highlight w:val="none"/>
              </w:rPr>
            </w:pPr>
          </w:p>
        </w:tc>
        <w:tc>
          <w:tcPr>
            <w:tcW w:w="1012" w:type="pct"/>
            <w:tcBorders>
              <w:top w:val="single" w:color="auto" w:sz="4" w:space="0"/>
              <w:left w:val="single" w:color="auto" w:sz="4" w:space="0"/>
              <w:bottom w:val="single" w:color="auto" w:sz="4" w:space="0"/>
              <w:right w:val="single" w:color="auto" w:sz="4" w:space="0"/>
            </w:tcBorders>
          </w:tcPr>
          <w:p w14:paraId="42B47BF7">
            <w:pPr>
              <w:snapToGrid w:val="0"/>
              <w:spacing w:before="50" w:after="120" w:afterLines="50" w:line="360" w:lineRule="exact"/>
              <w:jc w:val="left"/>
              <w:rPr>
                <w:rFonts w:hint="eastAsia" w:ascii="仿宋" w:hAnsi="仿宋" w:eastAsia="仿宋"/>
                <w:color w:val="auto"/>
                <w:szCs w:val="21"/>
                <w:highlight w:val="none"/>
              </w:rPr>
            </w:pPr>
          </w:p>
        </w:tc>
        <w:tc>
          <w:tcPr>
            <w:tcW w:w="1022" w:type="pct"/>
            <w:tcBorders>
              <w:top w:val="single" w:color="auto" w:sz="4" w:space="0"/>
              <w:left w:val="single" w:color="auto" w:sz="4" w:space="0"/>
              <w:bottom w:val="single" w:color="auto" w:sz="4" w:space="0"/>
              <w:right w:val="single" w:color="auto" w:sz="4" w:space="0"/>
            </w:tcBorders>
          </w:tcPr>
          <w:p w14:paraId="313239ED">
            <w:pPr>
              <w:snapToGrid w:val="0"/>
              <w:spacing w:before="50" w:after="120" w:afterLines="50" w:line="360" w:lineRule="exact"/>
              <w:jc w:val="left"/>
              <w:rPr>
                <w:rFonts w:hint="eastAsia" w:ascii="仿宋" w:hAnsi="仿宋" w:eastAsia="仿宋"/>
                <w:color w:val="auto"/>
                <w:szCs w:val="21"/>
                <w:highlight w:val="none"/>
              </w:rPr>
            </w:pPr>
          </w:p>
        </w:tc>
        <w:tc>
          <w:tcPr>
            <w:tcW w:w="1002" w:type="pct"/>
            <w:tcBorders>
              <w:top w:val="single" w:color="auto" w:sz="4" w:space="0"/>
              <w:left w:val="single" w:color="auto" w:sz="4" w:space="0"/>
              <w:bottom w:val="single" w:color="auto" w:sz="4" w:space="0"/>
              <w:right w:val="single" w:color="auto" w:sz="4" w:space="0"/>
            </w:tcBorders>
          </w:tcPr>
          <w:p w14:paraId="671E6AE0">
            <w:pPr>
              <w:snapToGrid w:val="0"/>
              <w:spacing w:before="50" w:after="120" w:afterLines="50" w:line="360" w:lineRule="exact"/>
              <w:jc w:val="left"/>
              <w:rPr>
                <w:rFonts w:hint="eastAsia" w:ascii="仿宋" w:hAnsi="仿宋" w:eastAsia="仿宋"/>
                <w:color w:val="auto"/>
                <w:szCs w:val="21"/>
                <w:highlight w:val="none"/>
              </w:rPr>
            </w:pPr>
          </w:p>
        </w:tc>
        <w:tc>
          <w:tcPr>
            <w:tcW w:w="994" w:type="pct"/>
            <w:tcBorders>
              <w:top w:val="single" w:color="auto" w:sz="4" w:space="0"/>
              <w:left w:val="single" w:color="auto" w:sz="4" w:space="0"/>
              <w:bottom w:val="single" w:color="auto" w:sz="4" w:space="0"/>
              <w:right w:val="single" w:color="auto" w:sz="4" w:space="0"/>
            </w:tcBorders>
          </w:tcPr>
          <w:p w14:paraId="6F832722">
            <w:pPr>
              <w:snapToGrid w:val="0"/>
              <w:spacing w:before="50" w:after="120" w:afterLines="50" w:line="360" w:lineRule="exact"/>
              <w:jc w:val="left"/>
              <w:rPr>
                <w:rFonts w:hint="eastAsia" w:ascii="仿宋" w:hAnsi="仿宋" w:eastAsia="仿宋"/>
                <w:color w:val="auto"/>
                <w:szCs w:val="21"/>
                <w:highlight w:val="none"/>
              </w:rPr>
            </w:pPr>
          </w:p>
        </w:tc>
      </w:tr>
      <w:tr w14:paraId="5EE9F9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8" w:hRule="atLeast"/>
        </w:trPr>
        <w:tc>
          <w:tcPr>
            <w:tcW w:w="968" w:type="pct"/>
            <w:tcBorders>
              <w:top w:val="single" w:color="auto" w:sz="4" w:space="0"/>
              <w:left w:val="single" w:color="auto" w:sz="4" w:space="0"/>
              <w:bottom w:val="single" w:color="auto" w:sz="4" w:space="0"/>
              <w:right w:val="single" w:color="auto" w:sz="4" w:space="0"/>
            </w:tcBorders>
          </w:tcPr>
          <w:p w14:paraId="03A2445C">
            <w:pPr>
              <w:snapToGrid w:val="0"/>
              <w:spacing w:before="50" w:after="120" w:afterLines="50" w:line="360" w:lineRule="exact"/>
              <w:jc w:val="left"/>
              <w:rPr>
                <w:rFonts w:hint="eastAsia" w:ascii="仿宋" w:hAnsi="仿宋" w:eastAsia="仿宋"/>
                <w:color w:val="auto"/>
                <w:szCs w:val="21"/>
                <w:highlight w:val="none"/>
              </w:rPr>
            </w:pPr>
          </w:p>
        </w:tc>
        <w:tc>
          <w:tcPr>
            <w:tcW w:w="1012" w:type="pct"/>
            <w:tcBorders>
              <w:top w:val="single" w:color="auto" w:sz="4" w:space="0"/>
              <w:left w:val="single" w:color="auto" w:sz="4" w:space="0"/>
              <w:bottom w:val="single" w:color="auto" w:sz="4" w:space="0"/>
              <w:right w:val="single" w:color="auto" w:sz="4" w:space="0"/>
            </w:tcBorders>
          </w:tcPr>
          <w:p w14:paraId="240ECF70">
            <w:pPr>
              <w:snapToGrid w:val="0"/>
              <w:spacing w:before="50" w:after="120" w:afterLines="50" w:line="360" w:lineRule="exact"/>
              <w:jc w:val="left"/>
              <w:rPr>
                <w:rFonts w:hint="eastAsia" w:ascii="仿宋" w:hAnsi="仿宋" w:eastAsia="仿宋"/>
                <w:color w:val="auto"/>
                <w:szCs w:val="21"/>
                <w:highlight w:val="none"/>
              </w:rPr>
            </w:pPr>
          </w:p>
        </w:tc>
        <w:tc>
          <w:tcPr>
            <w:tcW w:w="1022" w:type="pct"/>
            <w:tcBorders>
              <w:top w:val="single" w:color="auto" w:sz="4" w:space="0"/>
              <w:left w:val="single" w:color="auto" w:sz="4" w:space="0"/>
              <w:bottom w:val="single" w:color="auto" w:sz="4" w:space="0"/>
              <w:right w:val="single" w:color="auto" w:sz="4" w:space="0"/>
            </w:tcBorders>
          </w:tcPr>
          <w:p w14:paraId="62690E90">
            <w:pPr>
              <w:snapToGrid w:val="0"/>
              <w:spacing w:before="50" w:after="120" w:afterLines="50" w:line="360" w:lineRule="exact"/>
              <w:jc w:val="left"/>
              <w:rPr>
                <w:rFonts w:hint="eastAsia" w:ascii="仿宋" w:hAnsi="仿宋" w:eastAsia="仿宋"/>
                <w:color w:val="auto"/>
                <w:szCs w:val="21"/>
                <w:highlight w:val="none"/>
              </w:rPr>
            </w:pPr>
          </w:p>
        </w:tc>
        <w:tc>
          <w:tcPr>
            <w:tcW w:w="1002" w:type="pct"/>
            <w:tcBorders>
              <w:top w:val="single" w:color="auto" w:sz="4" w:space="0"/>
              <w:left w:val="single" w:color="auto" w:sz="4" w:space="0"/>
              <w:bottom w:val="single" w:color="auto" w:sz="4" w:space="0"/>
              <w:right w:val="single" w:color="auto" w:sz="4" w:space="0"/>
            </w:tcBorders>
          </w:tcPr>
          <w:p w14:paraId="247D33D1">
            <w:pPr>
              <w:snapToGrid w:val="0"/>
              <w:spacing w:before="50" w:after="120" w:afterLines="50" w:line="360" w:lineRule="exact"/>
              <w:jc w:val="left"/>
              <w:rPr>
                <w:rFonts w:hint="eastAsia" w:ascii="仿宋" w:hAnsi="仿宋" w:eastAsia="仿宋"/>
                <w:color w:val="auto"/>
                <w:szCs w:val="21"/>
                <w:highlight w:val="none"/>
              </w:rPr>
            </w:pPr>
          </w:p>
        </w:tc>
        <w:tc>
          <w:tcPr>
            <w:tcW w:w="994" w:type="pct"/>
            <w:tcBorders>
              <w:top w:val="single" w:color="auto" w:sz="4" w:space="0"/>
              <w:left w:val="single" w:color="auto" w:sz="4" w:space="0"/>
              <w:bottom w:val="single" w:color="auto" w:sz="4" w:space="0"/>
              <w:right w:val="single" w:color="auto" w:sz="4" w:space="0"/>
            </w:tcBorders>
          </w:tcPr>
          <w:p w14:paraId="0C571E83">
            <w:pPr>
              <w:snapToGrid w:val="0"/>
              <w:spacing w:before="50" w:after="120" w:afterLines="50" w:line="360" w:lineRule="exact"/>
              <w:jc w:val="left"/>
              <w:rPr>
                <w:rFonts w:hint="eastAsia" w:ascii="仿宋" w:hAnsi="仿宋" w:eastAsia="仿宋"/>
                <w:color w:val="auto"/>
                <w:szCs w:val="21"/>
                <w:highlight w:val="none"/>
              </w:rPr>
            </w:pPr>
          </w:p>
        </w:tc>
      </w:tr>
    </w:tbl>
    <w:p w14:paraId="203DC70A">
      <w:pPr>
        <w:spacing w:line="360" w:lineRule="auto"/>
        <w:rPr>
          <w:rFonts w:hint="eastAsia" w:ascii="仿宋" w:hAnsi="仿宋" w:eastAsia="仿宋"/>
          <w:color w:val="auto"/>
          <w:szCs w:val="21"/>
          <w:highlight w:val="none"/>
        </w:rPr>
      </w:pPr>
      <w:r>
        <w:rPr>
          <w:rFonts w:hint="eastAsia" w:ascii="仿宋" w:hAnsi="仿宋" w:eastAsia="仿宋"/>
          <w:color w:val="auto"/>
          <w:szCs w:val="21"/>
          <w:highlight w:val="none"/>
        </w:rPr>
        <w:t>注：在填写时，如本表格不适合供应商的实际情况，可根据本表格式自行制表填写。（如有，请同时附证明材料，具体要求参见第四章评审方法及定标标准）</w:t>
      </w:r>
    </w:p>
    <w:p w14:paraId="6564689B">
      <w:pPr>
        <w:autoSpaceDE w:val="0"/>
        <w:autoSpaceDN w:val="0"/>
        <w:spacing w:line="300" w:lineRule="auto"/>
        <w:ind w:left="480" w:hanging="480"/>
        <w:rPr>
          <w:rFonts w:hint="eastAsia" w:ascii="仿宋" w:hAnsi="仿宋" w:eastAsia="仿宋"/>
          <w:color w:val="auto"/>
          <w:szCs w:val="21"/>
          <w:highlight w:val="none"/>
        </w:rPr>
      </w:pPr>
    </w:p>
    <w:p w14:paraId="52CA8BD5">
      <w:pPr>
        <w:snapToGrid w:val="0"/>
        <w:spacing w:before="50" w:after="50"/>
        <w:rPr>
          <w:rFonts w:hint="eastAsia" w:ascii="仿宋" w:hAnsi="仿宋" w:eastAsia="仿宋"/>
          <w:color w:val="auto"/>
          <w:sz w:val="24"/>
          <w:highlight w:val="none"/>
        </w:rPr>
      </w:pPr>
    </w:p>
    <w:p w14:paraId="48C0360C">
      <w:pPr>
        <w:snapToGrid w:val="0"/>
        <w:spacing w:before="50" w:after="50" w:line="520" w:lineRule="exact"/>
        <w:ind w:right="-817" w:rightChars="-389" w:firstLine="840" w:firstLineChars="400"/>
        <w:rPr>
          <w:rFonts w:hint="eastAsia" w:ascii="仿宋" w:hAnsi="仿宋" w:eastAsia="仿宋" w:cs="仿宋_GB2312"/>
          <w:color w:val="auto"/>
          <w:szCs w:val="21"/>
          <w:highlight w:val="none"/>
        </w:rPr>
      </w:pPr>
      <w:r>
        <w:rPr>
          <w:rFonts w:hint="eastAsia" w:ascii="仿宋" w:hAnsi="仿宋" w:eastAsia="仿宋" w:cs="仿宋_GB2312"/>
          <w:color w:val="auto"/>
          <w:szCs w:val="21"/>
          <w:highlight w:val="none"/>
        </w:rPr>
        <w:t xml:space="preserve">法定代表人或委托代理人（签字或者电子签名）：                    </w:t>
      </w:r>
    </w:p>
    <w:p w14:paraId="1A9CF52F">
      <w:pPr>
        <w:snapToGrid w:val="0"/>
        <w:spacing w:before="50" w:after="50" w:line="520" w:lineRule="exact"/>
        <w:ind w:right="-817" w:rightChars="-389" w:firstLine="2310" w:firstLineChars="1100"/>
        <w:rPr>
          <w:rFonts w:hint="eastAsia" w:ascii="仿宋" w:hAnsi="仿宋" w:eastAsia="仿宋" w:cs="仿宋_GB2312"/>
          <w:color w:val="auto"/>
          <w:szCs w:val="21"/>
          <w:highlight w:val="none"/>
        </w:rPr>
      </w:pPr>
      <w:r>
        <w:rPr>
          <w:rFonts w:hint="eastAsia" w:ascii="仿宋" w:hAnsi="仿宋" w:eastAsia="仿宋" w:cs="仿宋_GB2312"/>
          <w:color w:val="auto"/>
          <w:szCs w:val="21"/>
          <w:highlight w:val="none"/>
        </w:rPr>
        <w:t xml:space="preserve">供应商名称（盖公章）：      </w:t>
      </w:r>
    </w:p>
    <w:p w14:paraId="0F783C0F">
      <w:pPr>
        <w:snapToGrid w:val="0"/>
        <w:spacing w:before="50" w:after="50" w:line="520" w:lineRule="exact"/>
        <w:ind w:right="-817" w:rightChars="-389" w:firstLine="3465" w:firstLineChars="1650"/>
        <w:rPr>
          <w:rFonts w:hint="eastAsia" w:ascii="仿宋" w:hAnsi="仿宋" w:eastAsia="仿宋" w:cs="仿宋_GB2312"/>
          <w:color w:val="auto"/>
          <w:szCs w:val="21"/>
          <w:highlight w:val="none"/>
        </w:rPr>
      </w:pPr>
      <w:r>
        <w:rPr>
          <w:rFonts w:hint="eastAsia" w:ascii="仿宋" w:hAnsi="仿宋" w:eastAsia="仿宋" w:cs="仿宋_GB2312"/>
          <w:color w:val="auto"/>
          <w:szCs w:val="21"/>
          <w:highlight w:val="none"/>
        </w:rPr>
        <w:t>日期：   年   月   日</w:t>
      </w:r>
    </w:p>
    <w:p w14:paraId="3B70993F">
      <w:pPr>
        <w:pStyle w:val="2"/>
        <w:rPr>
          <w:rFonts w:hint="eastAsia" w:ascii="仿宋" w:hAnsi="仿宋" w:eastAsia="仿宋" w:cs="仿宋_GB2312"/>
          <w:color w:val="auto"/>
          <w:szCs w:val="21"/>
          <w:highlight w:val="none"/>
        </w:rPr>
      </w:pPr>
    </w:p>
    <w:p w14:paraId="4B0091D7">
      <w:pPr>
        <w:jc w:val="center"/>
        <w:rPr>
          <w:rFonts w:hint="eastAsia" w:ascii="方正小标宋简体" w:hAnsi="方正小标宋简体" w:eastAsia="方正小标宋简体" w:cs="方正小标宋简体"/>
          <w:color w:val="auto"/>
          <w:sz w:val="44"/>
          <w:szCs w:val="44"/>
          <w:highlight w:val="none"/>
        </w:rPr>
      </w:pPr>
    </w:p>
    <w:p w14:paraId="75CAE3F7">
      <w:pPr>
        <w:jc w:val="center"/>
        <w:rPr>
          <w:rFonts w:hint="eastAsia" w:ascii="方正小标宋简体" w:hAnsi="方正小标宋简体" w:eastAsia="方正小标宋简体" w:cs="方正小标宋简体"/>
          <w:color w:val="auto"/>
          <w:sz w:val="44"/>
          <w:szCs w:val="44"/>
          <w:highlight w:val="none"/>
        </w:rPr>
      </w:pPr>
    </w:p>
    <w:p w14:paraId="01F6873F">
      <w:pPr>
        <w:jc w:val="center"/>
        <w:rPr>
          <w:rFonts w:hint="eastAsia" w:ascii="方正小标宋简体" w:hAnsi="方正小标宋简体" w:eastAsia="方正小标宋简体" w:cs="方正小标宋简体"/>
          <w:color w:val="auto"/>
          <w:sz w:val="44"/>
          <w:szCs w:val="44"/>
          <w:highlight w:val="none"/>
        </w:rPr>
      </w:pPr>
    </w:p>
    <w:p w14:paraId="7BB83B24">
      <w:pPr>
        <w:jc w:val="center"/>
        <w:rPr>
          <w:rFonts w:hint="eastAsia" w:ascii="方正小标宋简体" w:hAnsi="方正小标宋简体" w:eastAsia="方正小标宋简体" w:cs="方正小标宋简体"/>
          <w:color w:val="auto"/>
          <w:sz w:val="44"/>
          <w:szCs w:val="44"/>
          <w:highlight w:val="none"/>
        </w:rPr>
      </w:pPr>
    </w:p>
    <w:p w14:paraId="51EBF027">
      <w:pPr>
        <w:jc w:val="center"/>
        <w:rPr>
          <w:rFonts w:hint="eastAsia" w:ascii="方正小标宋简体" w:hAnsi="方正小标宋简体" w:eastAsia="方正小标宋简体" w:cs="方正小标宋简体"/>
          <w:color w:val="auto"/>
          <w:sz w:val="44"/>
          <w:szCs w:val="44"/>
          <w:highlight w:val="none"/>
        </w:rPr>
      </w:pPr>
    </w:p>
    <w:p w14:paraId="53310F42">
      <w:pPr>
        <w:jc w:val="center"/>
        <w:rPr>
          <w:rFonts w:hint="eastAsia" w:ascii="方正小标宋简体" w:hAnsi="方正小标宋简体" w:eastAsia="方正小标宋简体" w:cs="方正小标宋简体"/>
          <w:color w:val="auto"/>
          <w:sz w:val="44"/>
          <w:szCs w:val="44"/>
          <w:highlight w:val="none"/>
        </w:rPr>
      </w:pPr>
    </w:p>
    <w:p w14:paraId="0694ECE5">
      <w:pPr>
        <w:jc w:val="center"/>
        <w:rPr>
          <w:rFonts w:hint="eastAsia" w:ascii="方正小标宋简体" w:hAnsi="方正小标宋简体" w:eastAsia="方正小标宋简体" w:cs="方正小标宋简体"/>
          <w:color w:val="auto"/>
          <w:sz w:val="44"/>
          <w:szCs w:val="44"/>
          <w:highlight w:val="none"/>
        </w:rPr>
      </w:pPr>
    </w:p>
    <w:p w14:paraId="2F4BD8C9">
      <w:pPr>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中小企业声明函（服务）</w:t>
      </w:r>
    </w:p>
    <w:p w14:paraId="42511B72">
      <w:pPr>
        <w:spacing w:before="2" w:line="500" w:lineRule="exact"/>
        <w:ind w:firstLine="708" w:firstLineChars="294"/>
        <w:rPr>
          <w:rFonts w:hint="eastAsia" w:ascii="宋体" w:hAnsi="宋体" w:cs="宋体"/>
          <w:b/>
          <w:bCs/>
          <w:color w:val="auto"/>
          <w:sz w:val="24"/>
          <w:highlight w:val="none"/>
        </w:rPr>
      </w:pPr>
    </w:p>
    <w:p w14:paraId="5A43675C">
      <w:pPr>
        <w:pStyle w:val="2"/>
        <w:spacing w:line="500" w:lineRule="exact"/>
        <w:ind w:right="142" w:firstLine="705" w:firstLineChars="294"/>
        <w:rPr>
          <w:rFonts w:hint="eastAsia" w:ascii="宋体" w:hAnsi="宋体"/>
          <w:color w:val="auto"/>
          <w:sz w:val="24"/>
          <w:highlight w:val="none"/>
        </w:rPr>
      </w:pPr>
      <w:r>
        <w:rPr>
          <w:rFonts w:ascii="宋体" w:hAnsi="宋体"/>
          <w:color w:val="auto"/>
          <w:sz w:val="24"/>
          <w:highlight w:val="none"/>
        </w:rPr>
        <w:t>本公司（联合体）郑重声明，根据《政府采购促进中小企业发展管理办法》（财库﹝2020﹞46号）的规定，本公司（联合体）参加</w:t>
      </w:r>
      <w:r>
        <w:rPr>
          <w:rFonts w:ascii="宋体" w:hAnsi="宋体"/>
          <w:color w:val="auto"/>
          <w:sz w:val="24"/>
          <w:highlight w:val="none"/>
          <w:u w:val="single"/>
        </w:rPr>
        <w:t>（单位名称）</w:t>
      </w:r>
      <w:r>
        <w:rPr>
          <w:rFonts w:ascii="宋体" w:hAnsi="宋体"/>
          <w:color w:val="auto"/>
          <w:sz w:val="24"/>
          <w:highlight w:val="none"/>
        </w:rPr>
        <w:t>的</w:t>
      </w:r>
      <w:r>
        <w:rPr>
          <w:rFonts w:ascii="宋体" w:hAnsi="宋体"/>
          <w:color w:val="auto"/>
          <w:sz w:val="24"/>
          <w:highlight w:val="none"/>
          <w:u w:val="single"/>
        </w:rPr>
        <w:t>（项目名称）</w:t>
      </w:r>
      <w:r>
        <w:rPr>
          <w:rFonts w:ascii="宋体" w:hAnsi="宋体"/>
          <w:color w:val="auto"/>
          <w:sz w:val="24"/>
          <w:highlight w:val="none"/>
        </w:rPr>
        <w:t>采购活动，</w:t>
      </w:r>
      <w:r>
        <w:rPr>
          <w:rFonts w:hint="eastAsia" w:ascii="宋体" w:hAnsi="宋体"/>
          <w:color w:val="auto"/>
          <w:sz w:val="24"/>
          <w:highlight w:val="none"/>
        </w:rPr>
        <w:t>服务全部由符合政策要求的中小企业承接。相关企业（含联合体中的中小企业、签订分包意向协议的中小企业）的具体情况如下：</w:t>
      </w:r>
    </w:p>
    <w:p w14:paraId="2C0AF00C">
      <w:pPr>
        <w:tabs>
          <w:tab w:val="left" w:pos="1384"/>
          <w:tab w:val="left" w:pos="4562"/>
          <w:tab w:val="left" w:pos="6803"/>
        </w:tabs>
        <w:spacing w:before="13" w:line="500" w:lineRule="exact"/>
        <w:ind w:right="142" w:firstLine="772" w:firstLineChars="322"/>
        <w:rPr>
          <w:rFonts w:hint="eastAsia" w:ascii="宋体" w:hAnsi="宋体"/>
          <w:color w:val="auto"/>
          <w:sz w:val="24"/>
          <w:highlight w:val="none"/>
        </w:rPr>
      </w:pPr>
      <w:r>
        <w:rPr>
          <w:rFonts w:ascii="宋体" w:hAnsi="宋体"/>
          <w:color w:val="auto"/>
          <w:sz w:val="24"/>
          <w:highlight w:val="none"/>
        </w:rPr>
        <w:t>1.</w:t>
      </w:r>
      <w:r>
        <w:rPr>
          <w:rFonts w:ascii="宋体" w:hAnsi="宋体"/>
          <w:color w:val="auto"/>
          <w:sz w:val="24"/>
          <w:highlight w:val="none"/>
          <w:u w:val="single"/>
        </w:rPr>
        <w:t>（标的名称）</w:t>
      </w:r>
      <w:r>
        <w:rPr>
          <w:rFonts w:ascii="宋体" w:hAnsi="宋体"/>
          <w:color w:val="auto"/>
          <w:sz w:val="24"/>
          <w:highlight w:val="none"/>
        </w:rPr>
        <w:t>，属于</w:t>
      </w:r>
      <w:r>
        <w:rPr>
          <w:rFonts w:ascii="宋体" w:hAnsi="宋体"/>
          <w:color w:val="auto"/>
          <w:sz w:val="24"/>
          <w:highlight w:val="none"/>
          <w:u w:val="single"/>
        </w:rPr>
        <w:t>（采购文件中明确的所属</w:t>
      </w:r>
      <w:r>
        <w:rPr>
          <w:rFonts w:hint="eastAsia" w:ascii="宋体" w:hAnsi="宋体"/>
          <w:color w:val="auto"/>
          <w:sz w:val="24"/>
          <w:highlight w:val="none"/>
          <w:u w:val="single"/>
        </w:rPr>
        <w:t>行</w:t>
      </w:r>
      <w:r>
        <w:rPr>
          <w:rFonts w:ascii="宋体" w:hAnsi="宋体"/>
          <w:color w:val="auto"/>
          <w:sz w:val="24"/>
          <w:highlight w:val="none"/>
          <w:u w:val="single"/>
        </w:rPr>
        <w:t>业）</w:t>
      </w:r>
      <w:r>
        <w:rPr>
          <w:rFonts w:ascii="宋体" w:hAnsi="宋体"/>
          <w:color w:val="auto"/>
          <w:sz w:val="24"/>
          <w:highlight w:val="none"/>
        </w:rPr>
        <w:t>；</w:t>
      </w:r>
      <w:r>
        <w:rPr>
          <w:rFonts w:hint="eastAsia" w:ascii="宋体" w:hAnsi="宋体"/>
          <w:color w:val="auto"/>
          <w:sz w:val="24"/>
          <w:highlight w:val="none"/>
        </w:rPr>
        <w:t>承接企业为</w:t>
      </w:r>
      <w:r>
        <w:rPr>
          <w:rFonts w:hint="eastAsia" w:ascii="宋体" w:hAnsi="宋体"/>
          <w:color w:val="auto"/>
          <w:sz w:val="24"/>
          <w:highlight w:val="none"/>
          <w:u w:val="single"/>
        </w:rPr>
        <w:t>（企业名称）</w:t>
      </w:r>
      <w:r>
        <w:rPr>
          <w:rFonts w:hint="eastAsia" w:ascii="宋体" w:hAnsi="宋体"/>
          <w:color w:val="auto"/>
          <w:sz w:val="24"/>
          <w:highlight w:val="none"/>
        </w:rPr>
        <w:t>，从业人员</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人，营业收入为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万元，资产总额为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w:t>
      </w:r>
      <w:r>
        <w:rPr>
          <w:rFonts w:ascii="宋体" w:hAnsi="宋体"/>
          <w:color w:val="auto"/>
          <w:sz w:val="24"/>
          <w:highlight w:val="none"/>
        </w:rPr>
        <w:t>，属于</w:t>
      </w:r>
      <w:r>
        <w:rPr>
          <w:rFonts w:ascii="宋体" w:hAnsi="宋体"/>
          <w:color w:val="auto"/>
          <w:sz w:val="24"/>
          <w:highlight w:val="none"/>
          <w:u w:val="single"/>
        </w:rPr>
        <w:t>（中型企业、</w:t>
      </w:r>
      <w:r>
        <w:rPr>
          <w:rFonts w:hint="eastAsia" w:ascii="宋体" w:hAnsi="宋体"/>
          <w:color w:val="auto"/>
          <w:sz w:val="24"/>
          <w:highlight w:val="none"/>
          <w:u w:val="single"/>
        </w:rPr>
        <w:t>小型企业、微型企业）</w:t>
      </w:r>
      <w:r>
        <w:rPr>
          <w:rFonts w:hint="eastAsia" w:ascii="宋体" w:hAnsi="宋体"/>
          <w:color w:val="auto"/>
          <w:sz w:val="24"/>
          <w:highlight w:val="none"/>
        </w:rPr>
        <w:t>；</w:t>
      </w:r>
    </w:p>
    <w:p w14:paraId="00269B2C">
      <w:pPr>
        <w:tabs>
          <w:tab w:val="left" w:pos="1065"/>
          <w:tab w:val="left" w:pos="4262"/>
          <w:tab w:val="left" w:pos="6477"/>
        </w:tabs>
        <w:spacing w:before="20" w:line="500" w:lineRule="exact"/>
        <w:ind w:right="84" w:firstLine="772" w:firstLineChars="322"/>
        <w:rPr>
          <w:rFonts w:hint="eastAsia" w:ascii="宋体" w:hAnsi="宋体"/>
          <w:color w:val="auto"/>
          <w:sz w:val="24"/>
          <w:highlight w:val="none"/>
          <w:u w:val="single"/>
        </w:rPr>
      </w:pPr>
      <w:r>
        <w:rPr>
          <w:rFonts w:ascii="宋体" w:hAnsi="宋体"/>
          <w:color w:val="auto"/>
          <w:sz w:val="24"/>
          <w:highlight w:val="none"/>
        </w:rPr>
        <w:t>2.</w:t>
      </w:r>
      <w:r>
        <w:rPr>
          <w:rFonts w:ascii="宋体" w:hAnsi="宋体"/>
          <w:color w:val="auto"/>
          <w:sz w:val="24"/>
          <w:highlight w:val="none"/>
          <w:u w:val="single"/>
        </w:rPr>
        <w:t>（标的名称）</w:t>
      </w:r>
      <w:r>
        <w:rPr>
          <w:rFonts w:ascii="宋体" w:hAnsi="宋体"/>
          <w:color w:val="auto"/>
          <w:sz w:val="24"/>
          <w:highlight w:val="none"/>
        </w:rPr>
        <w:t>，属于</w:t>
      </w:r>
      <w:r>
        <w:rPr>
          <w:rFonts w:ascii="宋体" w:hAnsi="宋体"/>
          <w:color w:val="auto"/>
          <w:sz w:val="24"/>
          <w:highlight w:val="none"/>
          <w:u w:val="single"/>
        </w:rPr>
        <w:t>（采购文件中明确的所属</w:t>
      </w:r>
      <w:r>
        <w:rPr>
          <w:rFonts w:hint="eastAsia" w:ascii="宋体" w:hAnsi="宋体"/>
          <w:color w:val="auto"/>
          <w:sz w:val="24"/>
          <w:highlight w:val="none"/>
          <w:u w:val="single"/>
        </w:rPr>
        <w:t>行业</w:t>
      </w:r>
      <w:r>
        <w:rPr>
          <w:rFonts w:ascii="宋体" w:hAnsi="宋体"/>
          <w:color w:val="auto"/>
          <w:sz w:val="24"/>
          <w:highlight w:val="none"/>
          <w:u w:val="single"/>
        </w:rPr>
        <w:t>）</w:t>
      </w:r>
      <w:r>
        <w:rPr>
          <w:rFonts w:ascii="宋体" w:hAnsi="宋体"/>
          <w:color w:val="auto"/>
          <w:sz w:val="24"/>
          <w:highlight w:val="none"/>
        </w:rPr>
        <w:t>；</w:t>
      </w:r>
      <w:r>
        <w:rPr>
          <w:rFonts w:hint="eastAsia" w:ascii="宋体" w:hAnsi="宋体"/>
          <w:color w:val="auto"/>
          <w:sz w:val="24"/>
          <w:highlight w:val="none"/>
        </w:rPr>
        <w:t>承接企业为</w:t>
      </w:r>
      <w:r>
        <w:rPr>
          <w:rFonts w:hint="eastAsia" w:ascii="宋体" w:hAnsi="宋体"/>
          <w:color w:val="auto"/>
          <w:sz w:val="24"/>
          <w:highlight w:val="none"/>
          <w:u w:val="single"/>
        </w:rPr>
        <w:t>（企业名称）</w:t>
      </w:r>
      <w:r>
        <w:rPr>
          <w:rFonts w:hint="eastAsia" w:ascii="宋体" w:hAnsi="宋体"/>
          <w:color w:val="auto"/>
          <w:sz w:val="24"/>
          <w:highlight w:val="none"/>
        </w:rPr>
        <w:t>，从业人员</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人，营业收入为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万元，资产总额为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w:t>
      </w:r>
      <w:r>
        <w:rPr>
          <w:rFonts w:ascii="宋体" w:hAnsi="宋体"/>
          <w:color w:val="auto"/>
          <w:sz w:val="24"/>
          <w:highlight w:val="none"/>
        </w:rPr>
        <w:t>，属于</w:t>
      </w:r>
      <w:r>
        <w:rPr>
          <w:rFonts w:ascii="宋体" w:hAnsi="宋体"/>
          <w:color w:val="auto"/>
          <w:sz w:val="24"/>
          <w:highlight w:val="none"/>
          <w:u w:val="single"/>
        </w:rPr>
        <w:t>（中型企业、</w:t>
      </w:r>
      <w:r>
        <w:rPr>
          <w:rFonts w:hint="eastAsia" w:ascii="宋体" w:hAnsi="宋体"/>
          <w:color w:val="auto"/>
          <w:sz w:val="24"/>
          <w:highlight w:val="none"/>
          <w:u w:val="single"/>
        </w:rPr>
        <w:t>小型企业、微型企业）</w:t>
      </w:r>
      <w:r>
        <w:rPr>
          <w:rFonts w:hint="eastAsia" w:ascii="宋体" w:hAnsi="宋体"/>
          <w:color w:val="auto"/>
          <w:sz w:val="24"/>
          <w:highlight w:val="none"/>
        </w:rPr>
        <w:t>；</w:t>
      </w:r>
    </w:p>
    <w:p w14:paraId="49898E83">
      <w:pPr>
        <w:pStyle w:val="2"/>
        <w:spacing w:before="34" w:line="500" w:lineRule="exact"/>
        <w:ind w:right="142" w:firstLine="705" w:firstLineChars="294"/>
        <w:rPr>
          <w:rFonts w:hint="eastAsia" w:ascii="宋体" w:hAnsi="宋体"/>
          <w:color w:val="auto"/>
          <w:sz w:val="24"/>
          <w:highlight w:val="none"/>
        </w:rPr>
      </w:pPr>
      <w:r>
        <w:rPr>
          <w:rFonts w:ascii="宋体" w:hAnsi="宋体"/>
          <w:color w:val="auto"/>
          <w:sz w:val="24"/>
          <w:highlight w:val="none"/>
        </w:rPr>
        <w:t xml:space="preserve">…… </w:t>
      </w:r>
    </w:p>
    <w:p w14:paraId="3FCDE2DB">
      <w:pPr>
        <w:pStyle w:val="2"/>
        <w:spacing w:before="34" w:line="500" w:lineRule="exact"/>
        <w:ind w:right="142" w:firstLine="705" w:firstLineChars="294"/>
        <w:rPr>
          <w:rFonts w:hint="eastAsia" w:ascii="宋体" w:hAnsi="宋体"/>
          <w:color w:val="auto"/>
          <w:sz w:val="24"/>
          <w:highlight w:val="none"/>
        </w:rPr>
      </w:pPr>
      <w:r>
        <w:rPr>
          <w:rFonts w:ascii="宋体" w:hAnsi="宋体"/>
          <w:color w:val="auto"/>
          <w:sz w:val="24"/>
          <w:highlight w:val="none"/>
        </w:rPr>
        <w:t>以上企业，不属于大企业的分支机构，不存在控股股东为大企业的情形，也不存在与大企业的负责人为同一人的情形。</w:t>
      </w:r>
    </w:p>
    <w:p w14:paraId="5A943F8E">
      <w:pPr>
        <w:pStyle w:val="2"/>
        <w:spacing w:before="25" w:line="500" w:lineRule="exact"/>
        <w:ind w:right="142" w:firstLine="705" w:firstLineChars="294"/>
        <w:rPr>
          <w:rFonts w:hint="eastAsia" w:ascii="宋体" w:hAnsi="宋体"/>
          <w:color w:val="auto"/>
          <w:sz w:val="24"/>
          <w:highlight w:val="none"/>
        </w:rPr>
      </w:pPr>
      <w:r>
        <w:rPr>
          <w:rFonts w:ascii="宋体" w:hAnsi="宋体"/>
          <w:color w:val="auto"/>
          <w:sz w:val="24"/>
          <w:highlight w:val="none"/>
        </w:rPr>
        <w:t>本企业对上述声明内容的真实性负责。如有虚假，将依法承担相应责任。</w:t>
      </w:r>
    </w:p>
    <w:p w14:paraId="216F6DE1">
      <w:pPr>
        <w:pStyle w:val="2"/>
        <w:spacing w:before="56" w:line="500" w:lineRule="exact"/>
        <w:ind w:right="1808" w:firstLine="705" w:firstLineChars="294"/>
        <w:rPr>
          <w:rFonts w:hint="eastAsia" w:ascii="宋体" w:hAnsi="宋体"/>
          <w:color w:val="auto"/>
          <w:sz w:val="24"/>
          <w:highlight w:val="none"/>
        </w:rPr>
      </w:pPr>
    </w:p>
    <w:p w14:paraId="6EFC3561">
      <w:pPr>
        <w:pStyle w:val="2"/>
        <w:spacing w:before="56" w:line="500" w:lineRule="exact"/>
        <w:ind w:right="650" w:firstLine="5625" w:firstLineChars="2344"/>
        <w:rPr>
          <w:rFonts w:hint="eastAsia" w:ascii="宋体" w:hAnsi="宋体"/>
          <w:color w:val="auto"/>
          <w:sz w:val="24"/>
          <w:highlight w:val="none"/>
        </w:rPr>
      </w:pPr>
      <w:r>
        <w:rPr>
          <w:rFonts w:ascii="宋体" w:hAnsi="宋体"/>
          <w:color w:val="auto"/>
          <w:sz w:val="24"/>
          <w:highlight w:val="none"/>
        </w:rPr>
        <w:t xml:space="preserve">企业名称（章）： </w:t>
      </w:r>
    </w:p>
    <w:p w14:paraId="6318C146">
      <w:pPr>
        <w:pStyle w:val="2"/>
        <w:spacing w:before="56" w:line="500" w:lineRule="exact"/>
        <w:ind w:right="1808" w:firstLine="5625" w:firstLineChars="2344"/>
        <w:rPr>
          <w:rFonts w:hint="eastAsia" w:ascii="宋体" w:hAnsi="宋体"/>
          <w:color w:val="auto"/>
          <w:sz w:val="24"/>
          <w:highlight w:val="none"/>
        </w:rPr>
      </w:pPr>
      <w:r>
        <w:rPr>
          <w:rFonts w:ascii="宋体" w:hAnsi="宋体"/>
          <w:color w:val="auto"/>
          <w:sz w:val="24"/>
          <w:highlight w:val="none"/>
        </w:rPr>
        <w:t>日 期：</w:t>
      </w:r>
    </w:p>
    <w:p w14:paraId="0EE2C25C">
      <w:pPr>
        <w:spacing w:line="520" w:lineRule="exact"/>
        <w:jc w:val="left"/>
        <w:rPr>
          <w:rFonts w:hint="eastAsia" w:ascii="宋体" w:hAnsi="宋体" w:cs="仿宋_GB2312"/>
          <w:color w:val="auto"/>
          <w:sz w:val="24"/>
          <w:highlight w:val="none"/>
        </w:rPr>
      </w:pPr>
      <w:r>
        <w:rPr>
          <w:rFonts w:hint="eastAsia" w:ascii="宋体" w:hAnsi="宋体" w:cs="仿宋_GB2312"/>
          <w:color w:val="auto"/>
          <w:sz w:val="24"/>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3E6F4B55">
      <w:pPr>
        <w:spacing w:line="520" w:lineRule="exact"/>
        <w:jc w:val="center"/>
        <w:rPr>
          <w:rFonts w:hint="eastAsia" w:ascii="仿宋_GB2312" w:hAnsi="仿宋_GB2312" w:eastAsia="仿宋_GB2312" w:cs="仿宋_GB2312"/>
          <w:color w:val="auto"/>
          <w:sz w:val="32"/>
          <w:szCs w:val="32"/>
          <w:highlight w:val="none"/>
        </w:rPr>
      </w:pPr>
      <w:r>
        <w:rPr>
          <w:rFonts w:ascii="宋体" w:hAnsi="宋体"/>
          <w:color w:val="auto"/>
          <w:sz w:val="24"/>
          <w:highlight w:val="none"/>
        </w:rPr>
        <w:br w:type="page"/>
      </w:r>
      <w:r>
        <w:rPr>
          <w:rFonts w:hint="eastAsia" w:ascii="方正小标宋简体" w:hAnsi="方正小标宋简体" w:eastAsia="方正小标宋简体" w:cs="方正小标宋简体"/>
          <w:color w:val="auto"/>
          <w:sz w:val="44"/>
          <w:szCs w:val="44"/>
          <w:highlight w:val="none"/>
        </w:rPr>
        <w:t>残疾人福利性单位声明函</w:t>
      </w:r>
    </w:p>
    <w:p w14:paraId="0E3861F4">
      <w:pPr>
        <w:spacing w:line="360" w:lineRule="auto"/>
        <w:contextualSpacing/>
        <w:rPr>
          <w:rFonts w:hint="eastAsia" w:ascii="仿宋_GB2312" w:hAnsi="仿宋_GB2312" w:eastAsia="仿宋_GB2312" w:cs="仿宋_GB2312"/>
          <w:color w:val="auto"/>
          <w:sz w:val="32"/>
          <w:szCs w:val="32"/>
          <w:highlight w:val="none"/>
        </w:rPr>
      </w:pPr>
    </w:p>
    <w:p w14:paraId="51EAE105">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单位的</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项目采购活动提供本单位制造的货物（由本单位承担工程/提供服务），或者提供其他残疾人福利性单位制造的货物（不包括使用非残疾人福利性单位注册商标的货物）。</w:t>
      </w:r>
    </w:p>
    <w:p w14:paraId="09B4035A">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本单位对上述声明的真实性负责。如有虚假，将依法承担相应责任。</w:t>
      </w:r>
    </w:p>
    <w:p w14:paraId="49BCEE13">
      <w:pPr>
        <w:spacing w:line="360" w:lineRule="auto"/>
        <w:contextualSpacing/>
        <w:rPr>
          <w:rFonts w:hint="eastAsia" w:ascii="宋体" w:hAnsi="宋体" w:cs="仿宋_GB2312"/>
          <w:color w:val="auto"/>
          <w:sz w:val="24"/>
          <w:highlight w:val="none"/>
        </w:rPr>
      </w:pPr>
    </w:p>
    <w:p w14:paraId="28B1D943">
      <w:pPr>
        <w:spacing w:line="360" w:lineRule="auto"/>
        <w:contextualSpacing/>
        <w:rPr>
          <w:rFonts w:hint="eastAsia" w:ascii="宋体" w:hAnsi="宋体" w:cs="仿宋_GB2312"/>
          <w:color w:val="auto"/>
          <w:sz w:val="24"/>
          <w:highlight w:val="none"/>
        </w:rPr>
      </w:pPr>
    </w:p>
    <w:p w14:paraId="19DB37F0">
      <w:pPr>
        <w:spacing w:line="360" w:lineRule="auto"/>
        <w:contextualSpacing/>
        <w:rPr>
          <w:rFonts w:hint="eastAsia" w:ascii="宋体" w:hAnsi="宋体" w:cs="仿宋_GB2312"/>
          <w:color w:val="auto"/>
          <w:sz w:val="24"/>
          <w:highlight w:val="none"/>
        </w:rPr>
      </w:pPr>
    </w:p>
    <w:p w14:paraId="7E546DC6">
      <w:pPr>
        <w:spacing w:line="360" w:lineRule="auto"/>
        <w:ind w:firstLine="2400" w:firstLineChars="1000"/>
        <w:contextualSpacing/>
        <w:rPr>
          <w:rFonts w:hint="eastAsia" w:ascii="宋体" w:hAnsi="宋体" w:cs="仿宋_GB2312"/>
          <w:color w:val="auto"/>
          <w:sz w:val="24"/>
          <w:highlight w:val="none"/>
        </w:rPr>
      </w:pPr>
      <w:r>
        <w:rPr>
          <w:rFonts w:hint="eastAsia" w:ascii="宋体" w:hAnsi="宋体" w:cs="仿宋_GB2312"/>
          <w:color w:val="auto"/>
          <w:sz w:val="24"/>
          <w:highlight w:val="none"/>
        </w:rPr>
        <w:t>单位名称（盖章）：</w:t>
      </w:r>
    </w:p>
    <w:p w14:paraId="4F4DCD48">
      <w:pPr>
        <w:spacing w:line="360" w:lineRule="auto"/>
        <w:ind w:firstLine="3600" w:firstLineChars="1500"/>
        <w:contextualSpacing/>
        <w:rPr>
          <w:rFonts w:hint="eastAsia" w:ascii="宋体" w:hAnsi="宋体" w:cs="仿宋_GB2312"/>
          <w:color w:val="auto"/>
          <w:sz w:val="24"/>
          <w:highlight w:val="none"/>
        </w:rPr>
      </w:pPr>
      <w:r>
        <w:rPr>
          <w:rFonts w:hint="eastAsia" w:ascii="宋体" w:hAnsi="宋体" w:cs="仿宋_GB2312"/>
          <w:color w:val="auto"/>
          <w:sz w:val="24"/>
          <w:highlight w:val="none"/>
        </w:rPr>
        <w:t>日  期：</w:t>
      </w:r>
    </w:p>
    <w:p w14:paraId="595F2F72">
      <w:pPr>
        <w:spacing w:line="360" w:lineRule="auto"/>
        <w:contextualSpacing/>
        <w:rPr>
          <w:rFonts w:hint="eastAsia" w:ascii="宋体" w:hAnsi="宋体" w:cs="仿宋_GB2312"/>
          <w:color w:val="auto"/>
          <w:sz w:val="24"/>
          <w:highlight w:val="none"/>
        </w:rPr>
      </w:pPr>
    </w:p>
    <w:p w14:paraId="5838E10F">
      <w:pPr>
        <w:spacing w:line="360" w:lineRule="auto"/>
        <w:contextualSpacing/>
        <w:rPr>
          <w:rFonts w:hint="eastAsia" w:ascii="宋体" w:hAnsi="宋体" w:cs="仿宋_GB2312"/>
          <w:color w:val="auto"/>
          <w:sz w:val="24"/>
          <w:highlight w:val="none"/>
        </w:rPr>
      </w:pPr>
    </w:p>
    <w:p w14:paraId="10B36946">
      <w:pPr>
        <w:spacing w:line="360" w:lineRule="auto"/>
        <w:contextualSpacing/>
        <w:rPr>
          <w:rFonts w:hint="eastAsia" w:ascii="宋体" w:hAnsi="宋体" w:cs="仿宋_GB2312"/>
          <w:color w:val="auto"/>
          <w:sz w:val="24"/>
          <w:highlight w:val="none"/>
        </w:rPr>
      </w:pPr>
    </w:p>
    <w:p w14:paraId="1DD8A882">
      <w:pPr>
        <w:pStyle w:val="8"/>
        <w:overflowPunct w:val="0"/>
        <w:spacing w:line="360" w:lineRule="auto"/>
        <w:ind w:firstLine="0"/>
        <w:contextualSpacing/>
        <w:rPr>
          <w:rFonts w:hint="eastAsia" w:ascii="宋体" w:hAnsi="宋体" w:cs="仿宋_GB2312"/>
          <w:color w:val="auto"/>
          <w:sz w:val="24"/>
          <w:szCs w:val="24"/>
          <w:highlight w:val="none"/>
        </w:rPr>
      </w:pPr>
      <w:r>
        <w:rPr>
          <w:rFonts w:hint="eastAsia" w:ascii="宋体" w:hAnsi="宋体" w:cs="仿宋_GB2312"/>
          <w:color w:val="auto"/>
          <w:sz w:val="24"/>
          <w:highlight w:val="none"/>
        </w:rPr>
        <w:t>注：请根据自己的真实情况出具《残疾人福利性单位声明函》。依法享受中小企业优惠政策的，采购人或者采购代理机构在公告中标结果时，同时公告其《残疾人福利性单位声明函》，接受社会监督。</w:t>
      </w:r>
    </w:p>
    <w:p w14:paraId="413C08F6">
      <w:pPr>
        <w:spacing w:line="360" w:lineRule="auto"/>
        <w:ind w:right="480" w:firstLine="240" w:firstLineChars="100"/>
        <w:contextualSpacing/>
        <w:jc w:val="center"/>
        <w:rPr>
          <w:rFonts w:hint="eastAsia" w:ascii="宋体" w:hAnsi="宋体" w:cs="仿宋_GB2312"/>
          <w:color w:val="auto"/>
          <w:sz w:val="24"/>
          <w:highlight w:val="none"/>
        </w:rPr>
      </w:pPr>
      <w:r>
        <w:rPr>
          <w:rFonts w:hint="eastAsia" w:ascii="宋体" w:hAnsi="宋体" w:cs="仿宋_GB2312"/>
          <w:color w:val="auto"/>
          <w:sz w:val="24"/>
          <w:highlight w:val="none"/>
        </w:rPr>
        <w:t xml:space="preserve"> </w:t>
      </w:r>
    </w:p>
    <w:p w14:paraId="42040EF5">
      <w:pPr>
        <w:spacing w:line="360" w:lineRule="auto"/>
        <w:ind w:right="480" w:firstLine="240" w:firstLineChars="100"/>
        <w:contextualSpacing/>
        <w:jc w:val="center"/>
        <w:rPr>
          <w:rFonts w:hint="eastAsia" w:ascii="宋体" w:hAnsi="宋体"/>
          <w:b/>
          <w:bCs/>
          <w:color w:val="auto"/>
          <w:sz w:val="32"/>
          <w:szCs w:val="32"/>
          <w:highlight w:val="none"/>
        </w:rPr>
      </w:pPr>
      <w:r>
        <w:rPr>
          <w:rFonts w:hint="eastAsia" w:ascii="宋体" w:hAnsi="宋体" w:cs="仿宋_GB2312"/>
          <w:color w:val="auto"/>
          <w:sz w:val="24"/>
          <w:highlight w:val="none"/>
        </w:rPr>
        <w:t xml:space="preserve">                                                年  </w:t>
      </w:r>
      <w:r>
        <w:rPr>
          <w:rFonts w:hint="eastAsia" w:ascii="宋体" w:hAnsi="宋体" w:cs="仿宋_GB2312"/>
          <w:color w:val="auto"/>
          <w:sz w:val="24"/>
          <w:highlight w:val="none"/>
        </w:rPr>
        <w:tab/>
      </w:r>
      <w:r>
        <w:rPr>
          <w:rFonts w:hint="eastAsia" w:ascii="宋体" w:hAnsi="宋体" w:cs="仿宋_GB2312"/>
          <w:color w:val="auto"/>
          <w:sz w:val="24"/>
          <w:highlight w:val="none"/>
        </w:rPr>
        <w:t xml:space="preserve">月  </w:t>
      </w:r>
      <w:r>
        <w:rPr>
          <w:rFonts w:hint="eastAsia" w:ascii="宋体" w:hAnsi="宋体" w:cs="仿宋_GB2312"/>
          <w:color w:val="auto"/>
          <w:sz w:val="24"/>
          <w:highlight w:val="none"/>
        </w:rPr>
        <w:tab/>
      </w:r>
      <w:r>
        <w:rPr>
          <w:rFonts w:hint="eastAsia" w:ascii="宋体" w:hAnsi="宋体" w:cs="仿宋_GB2312"/>
          <w:color w:val="auto"/>
          <w:sz w:val="24"/>
          <w:highlight w:val="none"/>
        </w:rPr>
        <w:t>日</w:t>
      </w:r>
    </w:p>
    <w:p w14:paraId="7DEF5818">
      <w:pPr>
        <w:rPr>
          <w:color w:val="auto"/>
          <w:highlight w:val="none"/>
        </w:rPr>
      </w:pPr>
      <w:r>
        <w:rPr>
          <w:rFonts w:ascii="宋体" w:hAnsi="宋体"/>
          <w:b/>
          <w:bCs/>
          <w:color w:val="auto"/>
          <w:sz w:val="32"/>
          <w:szCs w:val="32"/>
          <w:highlight w:val="none"/>
        </w:rPr>
        <w:br w:type="page"/>
      </w:r>
    </w:p>
    <w:p w14:paraId="3C916E09">
      <w:pPr>
        <w:spacing w:line="300" w:lineRule="auto"/>
        <w:rPr>
          <w:rFonts w:hint="eastAsia" w:ascii="宋体" w:hAnsi="宋体"/>
          <w:b/>
          <w:bCs/>
          <w:color w:val="auto"/>
          <w:sz w:val="24"/>
          <w:highlight w:val="none"/>
        </w:rPr>
      </w:pPr>
      <w:r>
        <w:rPr>
          <w:rFonts w:hint="eastAsia" w:ascii="宋体" w:hAnsi="宋体"/>
          <w:b/>
          <w:bCs/>
          <w:color w:val="auto"/>
          <w:sz w:val="24"/>
          <w:highlight w:val="none"/>
        </w:rPr>
        <w:t>其他文书、文件格式</w:t>
      </w:r>
    </w:p>
    <w:p w14:paraId="7B8B4BC8">
      <w:pPr>
        <w:spacing w:line="300" w:lineRule="auto"/>
        <w:rPr>
          <w:rFonts w:hint="eastAsia" w:ascii="宋体" w:hAnsi="宋体"/>
          <w:b/>
          <w:bCs/>
          <w:color w:val="auto"/>
          <w:sz w:val="24"/>
          <w:highlight w:val="none"/>
        </w:rPr>
      </w:pPr>
    </w:p>
    <w:p w14:paraId="779C3816">
      <w:pPr>
        <w:spacing w:line="300" w:lineRule="auto"/>
        <w:jc w:val="center"/>
        <w:rPr>
          <w:rFonts w:hint="eastAsia" w:ascii="宋体" w:hAnsi="宋体"/>
          <w:color w:val="auto"/>
          <w:szCs w:val="21"/>
          <w:highlight w:val="none"/>
        </w:rPr>
      </w:pPr>
      <w:r>
        <w:rPr>
          <w:rFonts w:hint="eastAsia" w:ascii="方正小标宋简体" w:hAnsi="方正小标宋简体" w:eastAsia="方正小标宋简体" w:cs="方正小标宋简体"/>
          <w:color w:val="auto"/>
          <w:sz w:val="44"/>
          <w:szCs w:val="44"/>
          <w:highlight w:val="none"/>
        </w:rPr>
        <w:t>“格式自拟”</w:t>
      </w:r>
    </w:p>
    <w:p w14:paraId="094AB817">
      <w:pPr>
        <w:spacing w:line="360" w:lineRule="auto"/>
        <w:jc w:val="center"/>
        <w:rPr>
          <w:rFonts w:hint="eastAsia" w:ascii="宋体" w:hAnsi="宋体" w:cs="仿宋_GB2312"/>
          <w:color w:val="auto"/>
          <w:sz w:val="24"/>
          <w:highlight w:val="none"/>
        </w:rPr>
      </w:pPr>
    </w:p>
    <w:p w14:paraId="79DCF8FD">
      <w:pPr>
        <w:spacing w:line="360" w:lineRule="auto"/>
        <w:jc w:val="center"/>
        <w:rPr>
          <w:rFonts w:hint="eastAsia" w:ascii="宋体" w:hAnsi="宋体"/>
          <w:b/>
          <w:bCs/>
          <w:color w:val="auto"/>
          <w:sz w:val="32"/>
          <w:szCs w:val="32"/>
          <w:highlight w:val="none"/>
        </w:rPr>
      </w:pPr>
      <w:r>
        <w:rPr>
          <w:rFonts w:hint="eastAsia" w:ascii="方正小标宋简体" w:hAnsi="方正小标宋简体" w:eastAsia="方正小标宋简体" w:cs="方正小标宋简体"/>
          <w:color w:val="auto"/>
          <w:sz w:val="44"/>
          <w:szCs w:val="44"/>
          <w:highlight w:val="none"/>
        </w:rPr>
        <w:br w:type="page"/>
      </w:r>
      <w:r>
        <w:rPr>
          <w:rFonts w:hint="eastAsia" w:ascii="方正小标宋简体" w:hAnsi="方正小标宋简体" w:eastAsia="方正小标宋简体" w:cs="方正小标宋简体"/>
          <w:color w:val="auto"/>
          <w:sz w:val="44"/>
          <w:szCs w:val="44"/>
          <w:highlight w:val="none"/>
        </w:rPr>
        <w:t>质疑函（格式）</w:t>
      </w:r>
    </w:p>
    <w:p w14:paraId="0B8ECB50">
      <w:pPr>
        <w:spacing w:line="360" w:lineRule="auto"/>
        <w:ind w:firstLine="482" w:firstLineChars="200"/>
        <w:contextualSpacing/>
        <w:rPr>
          <w:rFonts w:hint="eastAsia" w:ascii="宋体" w:hAnsi="宋体"/>
          <w:b/>
          <w:bCs/>
          <w:color w:val="auto"/>
          <w:kern w:val="0"/>
          <w:sz w:val="24"/>
          <w:highlight w:val="none"/>
        </w:rPr>
      </w:pPr>
      <w:r>
        <w:rPr>
          <w:rFonts w:hint="eastAsia" w:ascii="宋体" w:hAnsi="宋体"/>
          <w:b/>
          <w:bCs/>
          <w:color w:val="auto"/>
          <w:kern w:val="0"/>
          <w:sz w:val="24"/>
          <w:highlight w:val="none"/>
        </w:rPr>
        <w:t>一、质疑供应商基本信息：</w:t>
      </w:r>
    </w:p>
    <w:p w14:paraId="3B375E70">
      <w:pPr>
        <w:spacing w:line="360" w:lineRule="auto"/>
        <w:ind w:firstLine="480" w:firstLineChars="200"/>
        <w:contextualSpacing/>
        <w:rPr>
          <w:rFonts w:hint="eastAsia" w:ascii="宋体" w:hAnsi="宋体"/>
          <w:bCs/>
          <w:color w:val="auto"/>
          <w:kern w:val="0"/>
          <w:sz w:val="24"/>
          <w:highlight w:val="none"/>
          <w:u w:val="single"/>
        </w:rPr>
      </w:pPr>
      <w:r>
        <w:rPr>
          <w:rFonts w:hint="eastAsia" w:ascii="宋体" w:hAnsi="宋体"/>
          <w:bCs/>
          <w:color w:val="auto"/>
          <w:kern w:val="0"/>
          <w:sz w:val="24"/>
          <w:highlight w:val="none"/>
        </w:rPr>
        <w:t>质疑供应商：</w:t>
      </w:r>
      <w:r>
        <w:rPr>
          <w:rFonts w:hint="eastAsia" w:ascii="宋体" w:hAnsi="宋体"/>
          <w:bCs/>
          <w:color w:val="auto"/>
          <w:kern w:val="0"/>
          <w:sz w:val="24"/>
          <w:highlight w:val="none"/>
          <w:u w:val="single"/>
        </w:rPr>
        <w:t xml:space="preserve">                                       </w:t>
      </w:r>
      <w:r>
        <w:rPr>
          <w:rFonts w:hint="eastAsia" w:ascii="宋体" w:hAnsi="宋体"/>
          <w:bCs/>
          <w:color w:val="auto"/>
          <w:kern w:val="0"/>
          <w:sz w:val="24"/>
          <w:highlight w:val="none"/>
        </w:rPr>
        <w:t xml:space="preserve">                 </w:t>
      </w:r>
    </w:p>
    <w:p w14:paraId="04F3ED26">
      <w:pPr>
        <w:spacing w:line="360" w:lineRule="auto"/>
        <w:ind w:firstLine="480" w:firstLineChars="200"/>
        <w:contextualSpacing/>
        <w:rPr>
          <w:rFonts w:hint="eastAsia" w:ascii="宋体" w:hAnsi="宋体"/>
          <w:bCs/>
          <w:color w:val="auto"/>
          <w:kern w:val="0"/>
          <w:sz w:val="24"/>
          <w:highlight w:val="none"/>
        </w:rPr>
      </w:pPr>
      <w:r>
        <w:rPr>
          <w:rFonts w:ascii="宋体" w:hAnsi="宋体"/>
          <w:bCs/>
          <w:color w:val="auto"/>
          <w:kern w:val="0"/>
          <w:sz w:val="24"/>
          <w:highlight w:val="none"/>
        </w:rPr>
        <w:t>地址</w:t>
      </w:r>
      <w:r>
        <w:rPr>
          <w:rFonts w:hint="eastAsia" w:ascii="宋体" w:hAnsi="宋体"/>
          <w:bCs/>
          <w:color w:val="auto"/>
          <w:kern w:val="0"/>
          <w:sz w:val="24"/>
          <w:highlight w:val="none"/>
        </w:rPr>
        <w:t>：</w:t>
      </w:r>
      <w:r>
        <w:rPr>
          <w:rFonts w:hint="eastAsia" w:ascii="宋体" w:hAnsi="宋体"/>
          <w:bCs/>
          <w:color w:val="auto"/>
          <w:kern w:val="0"/>
          <w:sz w:val="24"/>
          <w:highlight w:val="none"/>
          <w:u w:val="single"/>
        </w:rPr>
        <w:t xml:space="preserve">                                          </w:t>
      </w:r>
      <w:r>
        <w:rPr>
          <w:rFonts w:ascii="宋体" w:hAnsi="宋体"/>
          <w:bCs/>
          <w:color w:val="auto"/>
          <w:kern w:val="0"/>
          <w:sz w:val="24"/>
          <w:highlight w:val="none"/>
        </w:rPr>
        <w:t>邮编</w:t>
      </w:r>
      <w:r>
        <w:rPr>
          <w:rFonts w:hint="eastAsia" w:ascii="宋体" w:hAnsi="宋体"/>
          <w:bCs/>
          <w:color w:val="auto"/>
          <w:kern w:val="0"/>
          <w:sz w:val="24"/>
          <w:highlight w:val="none"/>
        </w:rPr>
        <w:t>：</w:t>
      </w:r>
      <w:r>
        <w:rPr>
          <w:rFonts w:hint="eastAsia" w:ascii="宋体" w:hAnsi="宋体"/>
          <w:bCs/>
          <w:color w:val="auto"/>
          <w:kern w:val="0"/>
          <w:sz w:val="24"/>
          <w:highlight w:val="none"/>
          <w:u w:val="single"/>
        </w:rPr>
        <w:t xml:space="preserve">                  </w:t>
      </w:r>
      <w:r>
        <w:rPr>
          <w:rFonts w:hint="eastAsia" w:ascii="宋体" w:hAnsi="宋体"/>
          <w:bCs/>
          <w:color w:val="auto"/>
          <w:kern w:val="0"/>
          <w:sz w:val="24"/>
          <w:highlight w:val="none"/>
        </w:rPr>
        <w:t xml:space="preserve">                 </w:t>
      </w:r>
    </w:p>
    <w:p w14:paraId="55DFB76A">
      <w:pPr>
        <w:spacing w:line="360" w:lineRule="auto"/>
        <w:ind w:firstLine="480" w:firstLineChars="200"/>
        <w:contextualSpacing/>
        <w:rPr>
          <w:rFonts w:hint="eastAsia" w:ascii="宋体" w:hAnsi="宋体"/>
          <w:bCs/>
          <w:color w:val="auto"/>
          <w:kern w:val="0"/>
          <w:sz w:val="24"/>
          <w:highlight w:val="none"/>
        </w:rPr>
      </w:pPr>
      <w:r>
        <w:rPr>
          <w:rFonts w:ascii="宋体" w:hAnsi="宋体"/>
          <w:bCs/>
          <w:color w:val="auto"/>
          <w:kern w:val="0"/>
          <w:sz w:val="24"/>
          <w:highlight w:val="none"/>
        </w:rPr>
        <w:t>联系人</w:t>
      </w:r>
      <w:r>
        <w:rPr>
          <w:rFonts w:hint="eastAsia" w:ascii="宋体" w:hAnsi="宋体"/>
          <w:bCs/>
          <w:color w:val="auto"/>
          <w:kern w:val="0"/>
          <w:sz w:val="24"/>
          <w:highlight w:val="none"/>
        </w:rPr>
        <w:t>：</w:t>
      </w:r>
      <w:r>
        <w:rPr>
          <w:rFonts w:hint="eastAsia" w:ascii="宋体" w:hAnsi="宋体"/>
          <w:bCs/>
          <w:color w:val="auto"/>
          <w:kern w:val="0"/>
          <w:sz w:val="24"/>
          <w:highlight w:val="none"/>
          <w:u w:val="single"/>
        </w:rPr>
        <w:t xml:space="preserve">                     </w:t>
      </w:r>
      <w:r>
        <w:rPr>
          <w:rFonts w:ascii="宋体" w:hAnsi="宋体"/>
          <w:bCs/>
          <w:color w:val="auto"/>
          <w:kern w:val="0"/>
          <w:sz w:val="24"/>
          <w:highlight w:val="none"/>
        </w:rPr>
        <w:t>联系电话</w:t>
      </w:r>
      <w:r>
        <w:rPr>
          <w:rFonts w:hint="eastAsia" w:ascii="宋体" w:hAnsi="宋体"/>
          <w:bCs/>
          <w:color w:val="auto"/>
          <w:kern w:val="0"/>
          <w:sz w:val="24"/>
          <w:highlight w:val="none"/>
        </w:rPr>
        <w:t>：</w:t>
      </w:r>
      <w:r>
        <w:rPr>
          <w:rFonts w:hint="eastAsia" w:ascii="宋体" w:hAnsi="宋体"/>
          <w:bCs/>
          <w:color w:val="auto"/>
          <w:kern w:val="0"/>
          <w:sz w:val="24"/>
          <w:highlight w:val="none"/>
          <w:u w:val="single"/>
        </w:rPr>
        <w:t xml:space="preserve">                 </w:t>
      </w:r>
    </w:p>
    <w:p w14:paraId="7E38DFCA">
      <w:pPr>
        <w:spacing w:line="360" w:lineRule="auto"/>
        <w:ind w:firstLine="480" w:firstLineChars="200"/>
        <w:contextualSpacing/>
        <w:rPr>
          <w:rFonts w:hint="eastAsia" w:ascii="宋体" w:hAnsi="宋体"/>
          <w:bCs/>
          <w:color w:val="auto"/>
          <w:kern w:val="0"/>
          <w:sz w:val="24"/>
          <w:highlight w:val="none"/>
        </w:rPr>
      </w:pPr>
      <w:r>
        <w:rPr>
          <w:rFonts w:hint="eastAsia" w:ascii="宋体" w:hAnsi="宋体"/>
          <w:bCs/>
          <w:color w:val="auto"/>
          <w:kern w:val="0"/>
          <w:sz w:val="24"/>
          <w:highlight w:val="none"/>
        </w:rPr>
        <w:t>授权代表：</w:t>
      </w:r>
      <w:r>
        <w:rPr>
          <w:rFonts w:hint="eastAsia" w:ascii="宋体" w:hAnsi="宋体"/>
          <w:bCs/>
          <w:color w:val="auto"/>
          <w:kern w:val="0"/>
          <w:sz w:val="24"/>
          <w:highlight w:val="none"/>
          <w:u w:val="single"/>
        </w:rPr>
        <w:t xml:space="preserve">                      </w:t>
      </w:r>
    </w:p>
    <w:p w14:paraId="2A5CD608">
      <w:pPr>
        <w:spacing w:line="360" w:lineRule="auto"/>
        <w:ind w:firstLine="480" w:firstLineChars="200"/>
        <w:contextualSpacing/>
        <w:rPr>
          <w:rFonts w:hint="eastAsia" w:ascii="宋体" w:hAnsi="宋体"/>
          <w:bCs/>
          <w:color w:val="auto"/>
          <w:kern w:val="0"/>
          <w:sz w:val="24"/>
          <w:highlight w:val="none"/>
          <w:u w:val="single"/>
        </w:rPr>
      </w:pPr>
      <w:r>
        <w:rPr>
          <w:rFonts w:ascii="宋体" w:hAnsi="宋体"/>
          <w:bCs/>
          <w:color w:val="auto"/>
          <w:kern w:val="0"/>
          <w:sz w:val="24"/>
          <w:highlight w:val="none"/>
        </w:rPr>
        <w:t>联系</w:t>
      </w:r>
      <w:r>
        <w:rPr>
          <w:rFonts w:hint="eastAsia" w:ascii="宋体" w:hAnsi="宋体"/>
          <w:bCs/>
          <w:color w:val="auto"/>
          <w:kern w:val="0"/>
          <w:sz w:val="24"/>
          <w:highlight w:val="none"/>
        </w:rPr>
        <w:t>电话：</w:t>
      </w:r>
      <w:r>
        <w:rPr>
          <w:rFonts w:hint="eastAsia" w:ascii="宋体" w:hAnsi="宋体"/>
          <w:bCs/>
          <w:color w:val="auto"/>
          <w:kern w:val="0"/>
          <w:sz w:val="24"/>
          <w:highlight w:val="none"/>
          <w:u w:val="single"/>
        </w:rPr>
        <w:t xml:space="preserve">                      </w:t>
      </w:r>
    </w:p>
    <w:p w14:paraId="3A8CCC99">
      <w:pPr>
        <w:spacing w:line="360" w:lineRule="auto"/>
        <w:ind w:firstLine="480" w:firstLineChars="200"/>
        <w:contextualSpacing/>
        <w:rPr>
          <w:rFonts w:hint="eastAsia" w:ascii="宋体" w:hAnsi="宋体"/>
          <w:bCs/>
          <w:color w:val="auto"/>
          <w:kern w:val="0"/>
          <w:sz w:val="24"/>
          <w:highlight w:val="none"/>
        </w:rPr>
      </w:pPr>
      <w:r>
        <w:rPr>
          <w:rFonts w:ascii="宋体" w:hAnsi="宋体"/>
          <w:bCs/>
          <w:color w:val="auto"/>
          <w:kern w:val="0"/>
          <w:sz w:val="24"/>
          <w:highlight w:val="none"/>
        </w:rPr>
        <w:t>地址</w:t>
      </w:r>
      <w:r>
        <w:rPr>
          <w:rFonts w:hint="eastAsia" w:ascii="宋体" w:hAnsi="宋体"/>
          <w:bCs/>
          <w:color w:val="auto"/>
          <w:kern w:val="0"/>
          <w:sz w:val="24"/>
          <w:highlight w:val="none"/>
        </w:rPr>
        <w:t>：</w:t>
      </w:r>
      <w:r>
        <w:rPr>
          <w:rFonts w:hint="eastAsia" w:ascii="宋体" w:hAnsi="宋体"/>
          <w:bCs/>
          <w:color w:val="auto"/>
          <w:kern w:val="0"/>
          <w:sz w:val="24"/>
          <w:highlight w:val="none"/>
          <w:u w:val="single"/>
        </w:rPr>
        <w:t xml:space="preserve">                 </w:t>
      </w:r>
      <w:r>
        <w:rPr>
          <w:rFonts w:ascii="宋体" w:hAnsi="宋体"/>
          <w:bCs/>
          <w:color w:val="auto"/>
          <w:kern w:val="0"/>
          <w:sz w:val="24"/>
          <w:highlight w:val="none"/>
        </w:rPr>
        <w:t>邮编</w:t>
      </w:r>
      <w:r>
        <w:rPr>
          <w:rFonts w:hint="eastAsia" w:ascii="宋体" w:hAnsi="宋体"/>
          <w:bCs/>
          <w:color w:val="auto"/>
          <w:kern w:val="0"/>
          <w:sz w:val="24"/>
          <w:highlight w:val="none"/>
        </w:rPr>
        <w:t>：</w:t>
      </w:r>
      <w:r>
        <w:rPr>
          <w:rFonts w:hint="eastAsia" w:ascii="宋体" w:hAnsi="宋体"/>
          <w:bCs/>
          <w:color w:val="auto"/>
          <w:kern w:val="0"/>
          <w:sz w:val="24"/>
          <w:highlight w:val="none"/>
          <w:u w:val="single"/>
        </w:rPr>
        <w:t xml:space="preserve">                  </w:t>
      </w:r>
      <w:r>
        <w:rPr>
          <w:rFonts w:hint="eastAsia" w:ascii="宋体" w:hAnsi="宋体"/>
          <w:bCs/>
          <w:color w:val="auto"/>
          <w:kern w:val="0"/>
          <w:sz w:val="24"/>
          <w:highlight w:val="none"/>
        </w:rPr>
        <w:t xml:space="preserve">     </w:t>
      </w:r>
    </w:p>
    <w:p w14:paraId="0CD07E67">
      <w:pPr>
        <w:spacing w:line="360" w:lineRule="auto"/>
        <w:ind w:firstLine="482" w:firstLineChars="200"/>
        <w:contextualSpacing/>
        <w:rPr>
          <w:rFonts w:hint="eastAsia" w:ascii="宋体" w:hAnsi="宋体"/>
          <w:b/>
          <w:bCs/>
          <w:color w:val="auto"/>
          <w:kern w:val="0"/>
          <w:sz w:val="24"/>
          <w:highlight w:val="none"/>
        </w:rPr>
      </w:pPr>
      <w:r>
        <w:rPr>
          <w:rFonts w:hint="eastAsia" w:ascii="宋体" w:hAnsi="宋体"/>
          <w:b/>
          <w:bCs/>
          <w:color w:val="auto"/>
          <w:kern w:val="0"/>
          <w:sz w:val="24"/>
          <w:highlight w:val="none"/>
        </w:rPr>
        <w:t>二、质疑项目基本情况：</w:t>
      </w:r>
    </w:p>
    <w:p w14:paraId="2D99719D">
      <w:pPr>
        <w:spacing w:line="360" w:lineRule="auto"/>
        <w:ind w:left="25" w:leftChars="12" w:firstLine="472" w:firstLineChars="197"/>
        <w:contextualSpacing/>
        <w:rPr>
          <w:rFonts w:hint="eastAsia" w:ascii="宋体" w:hAnsi="宋体"/>
          <w:color w:val="auto"/>
          <w:kern w:val="0"/>
          <w:sz w:val="24"/>
          <w:highlight w:val="none"/>
        </w:rPr>
      </w:pPr>
      <w:r>
        <w:rPr>
          <w:rFonts w:hint="eastAsia" w:ascii="宋体" w:hAnsi="宋体"/>
          <w:bCs/>
          <w:color w:val="auto"/>
          <w:kern w:val="0"/>
          <w:sz w:val="24"/>
          <w:highlight w:val="none"/>
        </w:rPr>
        <w:t>质疑</w:t>
      </w:r>
      <w:r>
        <w:rPr>
          <w:rFonts w:hint="eastAsia" w:ascii="宋体" w:hAnsi="宋体"/>
          <w:color w:val="auto"/>
          <w:kern w:val="0"/>
          <w:sz w:val="24"/>
          <w:highlight w:val="none"/>
        </w:rPr>
        <w:t>项目的名称：</w:t>
      </w:r>
      <w:r>
        <w:rPr>
          <w:rFonts w:hint="eastAsia" w:ascii="宋体" w:hAnsi="宋体"/>
          <w:bCs/>
          <w:color w:val="auto"/>
          <w:kern w:val="0"/>
          <w:sz w:val="24"/>
          <w:highlight w:val="none"/>
          <w:u w:val="single"/>
        </w:rPr>
        <w:t xml:space="preserve">                                     </w:t>
      </w:r>
    </w:p>
    <w:p w14:paraId="38168F43">
      <w:pPr>
        <w:spacing w:line="360" w:lineRule="auto"/>
        <w:ind w:left="25" w:leftChars="12" w:firstLine="472" w:firstLineChars="197"/>
        <w:contextualSpacing/>
        <w:rPr>
          <w:rFonts w:hint="eastAsia" w:ascii="宋体" w:hAnsi="宋体"/>
          <w:color w:val="auto"/>
          <w:kern w:val="0"/>
          <w:sz w:val="24"/>
          <w:highlight w:val="none"/>
        </w:rPr>
      </w:pPr>
      <w:r>
        <w:rPr>
          <w:rFonts w:hint="eastAsia" w:ascii="宋体" w:hAnsi="宋体"/>
          <w:bCs/>
          <w:color w:val="auto"/>
          <w:kern w:val="0"/>
          <w:sz w:val="24"/>
          <w:highlight w:val="none"/>
        </w:rPr>
        <w:t>质疑</w:t>
      </w:r>
      <w:r>
        <w:rPr>
          <w:rFonts w:hint="eastAsia" w:ascii="宋体" w:hAnsi="宋体"/>
          <w:color w:val="auto"/>
          <w:kern w:val="0"/>
          <w:sz w:val="24"/>
          <w:highlight w:val="none"/>
        </w:rPr>
        <w:t>项目的编号：</w:t>
      </w:r>
      <w:r>
        <w:rPr>
          <w:rFonts w:hint="eastAsia" w:ascii="宋体" w:hAnsi="宋体"/>
          <w:bCs/>
          <w:color w:val="auto"/>
          <w:kern w:val="0"/>
          <w:sz w:val="24"/>
          <w:highlight w:val="none"/>
          <w:u w:val="single"/>
        </w:rPr>
        <w:t xml:space="preserve">                                     </w:t>
      </w:r>
    </w:p>
    <w:p w14:paraId="7A59403D">
      <w:pPr>
        <w:spacing w:line="360" w:lineRule="auto"/>
        <w:ind w:left="25" w:leftChars="12" w:firstLine="472" w:firstLineChars="197"/>
        <w:contextualSpacing/>
        <w:rPr>
          <w:rFonts w:hint="eastAsia" w:ascii="宋体" w:hAnsi="宋体"/>
          <w:color w:val="auto"/>
          <w:kern w:val="0"/>
          <w:sz w:val="24"/>
          <w:highlight w:val="none"/>
        </w:rPr>
      </w:pPr>
      <w:r>
        <w:rPr>
          <w:rFonts w:hint="eastAsia" w:ascii="宋体" w:hAnsi="宋体"/>
          <w:color w:val="auto"/>
          <w:kern w:val="0"/>
          <w:sz w:val="24"/>
          <w:highlight w:val="none"/>
        </w:rPr>
        <w:t>采购人名称：</w:t>
      </w:r>
      <w:r>
        <w:rPr>
          <w:rFonts w:hint="eastAsia" w:ascii="宋体" w:hAnsi="宋体"/>
          <w:bCs/>
          <w:color w:val="auto"/>
          <w:kern w:val="0"/>
          <w:sz w:val="24"/>
          <w:highlight w:val="none"/>
          <w:u w:val="single"/>
        </w:rPr>
        <w:t xml:space="preserve">                                         </w:t>
      </w:r>
    </w:p>
    <w:p w14:paraId="52DDBA4E">
      <w:pPr>
        <w:spacing w:line="360" w:lineRule="auto"/>
        <w:ind w:left="25" w:leftChars="12" w:firstLine="472" w:firstLineChars="197"/>
        <w:contextualSpacing/>
        <w:rPr>
          <w:rFonts w:hint="eastAsia" w:ascii="宋体" w:hAnsi="宋体"/>
          <w:color w:val="auto"/>
          <w:kern w:val="0"/>
          <w:sz w:val="24"/>
          <w:highlight w:val="none"/>
        </w:rPr>
      </w:pPr>
      <w:r>
        <w:rPr>
          <w:rFonts w:hint="eastAsia" w:ascii="宋体" w:hAnsi="宋体"/>
          <w:color w:val="auto"/>
          <w:kern w:val="0"/>
          <w:sz w:val="24"/>
          <w:highlight w:val="none"/>
        </w:rPr>
        <w:t>质疑事项：</w:t>
      </w:r>
    </w:p>
    <w:p w14:paraId="4F9E748B">
      <w:pPr>
        <w:spacing w:line="360" w:lineRule="auto"/>
        <w:ind w:left="25" w:leftChars="12" w:firstLine="352" w:firstLineChars="147"/>
        <w:contextualSpacing/>
        <w:rPr>
          <w:rFonts w:hint="eastAsia" w:ascii="宋体" w:hAnsi="宋体"/>
          <w:color w:val="auto"/>
          <w:kern w:val="0"/>
          <w:sz w:val="24"/>
          <w:highlight w:val="none"/>
        </w:rPr>
      </w:pPr>
      <w:r>
        <w:rPr>
          <w:rFonts w:hint="eastAsia" w:ascii="宋体" w:hAnsi="宋体"/>
          <w:color w:val="auto"/>
          <w:kern w:val="0"/>
          <w:sz w:val="24"/>
          <w:highlight w:val="none"/>
        </w:rPr>
        <w:t>□采购文件   采购文件获取日期：</w:t>
      </w:r>
      <w:r>
        <w:rPr>
          <w:rFonts w:hint="eastAsia" w:ascii="宋体" w:hAnsi="宋体"/>
          <w:bCs/>
          <w:color w:val="auto"/>
          <w:kern w:val="0"/>
          <w:sz w:val="24"/>
          <w:highlight w:val="none"/>
          <w:u w:val="single"/>
        </w:rPr>
        <w:t xml:space="preserve">                                   </w:t>
      </w:r>
    </w:p>
    <w:p w14:paraId="0FD345AF">
      <w:pPr>
        <w:spacing w:line="360" w:lineRule="auto"/>
        <w:ind w:left="25" w:leftChars="12" w:firstLine="352" w:firstLineChars="147"/>
        <w:contextualSpacing/>
        <w:rPr>
          <w:rFonts w:hint="eastAsia" w:ascii="宋体" w:hAnsi="宋体"/>
          <w:color w:val="auto"/>
          <w:kern w:val="0"/>
          <w:sz w:val="24"/>
          <w:highlight w:val="none"/>
        </w:rPr>
      </w:pPr>
      <w:r>
        <w:rPr>
          <w:rFonts w:hint="eastAsia" w:ascii="宋体" w:hAnsi="宋体"/>
          <w:color w:val="auto"/>
          <w:kern w:val="0"/>
          <w:sz w:val="24"/>
          <w:highlight w:val="none"/>
        </w:rPr>
        <w:t xml:space="preserve">□采购过程   </w:t>
      </w:r>
    </w:p>
    <w:p w14:paraId="6CE0CA37">
      <w:pPr>
        <w:spacing w:line="360" w:lineRule="auto"/>
        <w:ind w:left="25" w:leftChars="12" w:firstLine="352" w:firstLineChars="147"/>
        <w:contextualSpacing/>
        <w:rPr>
          <w:rFonts w:hint="eastAsia" w:ascii="宋体" w:hAnsi="宋体"/>
          <w:bCs/>
          <w:color w:val="auto"/>
          <w:kern w:val="0"/>
          <w:sz w:val="24"/>
          <w:highlight w:val="none"/>
          <w:u w:val="single"/>
        </w:rPr>
      </w:pPr>
      <w:r>
        <w:rPr>
          <w:rFonts w:hint="eastAsia" w:ascii="宋体" w:hAnsi="宋体"/>
          <w:color w:val="auto"/>
          <w:kern w:val="0"/>
          <w:sz w:val="24"/>
          <w:highlight w:val="none"/>
        </w:rPr>
        <w:t xml:space="preserve">□成交结果   </w:t>
      </w:r>
    </w:p>
    <w:p w14:paraId="03415099">
      <w:pPr>
        <w:spacing w:line="360" w:lineRule="auto"/>
        <w:ind w:left="25" w:leftChars="12" w:firstLine="472" w:firstLineChars="196"/>
        <w:contextualSpacing/>
        <w:rPr>
          <w:rFonts w:hint="eastAsia" w:ascii="宋体" w:hAnsi="宋体"/>
          <w:b/>
          <w:color w:val="auto"/>
          <w:kern w:val="0"/>
          <w:sz w:val="24"/>
          <w:highlight w:val="none"/>
        </w:rPr>
      </w:pPr>
      <w:r>
        <w:rPr>
          <w:rFonts w:hint="eastAsia" w:ascii="宋体" w:hAnsi="宋体"/>
          <w:b/>
          <w:color w:val="auto"/>
          <w:kern w:val="0"/>
          <w:sz w:val="24"/>
          <w:highlight w:val="none"/>
        </w:rPr>
        <w:t>三、质疑事项具体内容</w:t>
      </w:r>
    </w:p>
    <w:p w14:paraId="1CB97FE0">
      <w:pPr>
        <w:spacing w:line="360" w:lineRule="auto"/>
        <w:ind w:left="25" w:leftChars="12" w:firstLine="472" w:firstLineChars="197"/>
        <w:contextualSpacing/>
        <w:rPr>
          <w:rFonts w:hint="eastAsia" w:ascii="宋体" w:hAnsi="宋体"/>
          <w:color w:val="auto"/>
          <w:kern w:val="0"/>
          <w:sz w:val="24"/>
          <w:highlight w:val="none"/>
        </w:rPr>
      </w:pPr>
      <w:r>
        <w:rPr>
          <w:rFonts w:hint="eastAsia" w:ascii="宋体" w:hAnsi="宋体"/>
          <w:color w:val="auto"/>
          <w:kern w:val="0"/>
          <w:sz w:val="24"/>
          <w:highlight w:val="none"/>
        </w:rPr>
        <w:t>质疑事项1：</w:t>
      </w:r>
      <w:r>
        <w:rPr>
          <w:rFonts w:hint="eastAsia" w:ascii="宋体" w:hAnsi="宋体"/>
          <w:bCs/>
          <w:color w:val="auto"/>
          <w:kern w:val="0"/>
          <w:sz w:val="24"/>
          <w:highlight w:val="none"/>
          <w:u w:val="single"/>
        </w:rPr>
        <w:t xml:space="preserve">                                                                    </w:t>
      </w:r>
    </w:p>
    <w:p w14:paraId="2E55C6A3">
      <w:pPr>
        <w:spacing w:line="360" w:lineRule="auto"/>
        <w:ind w:left="25" w:leftChars="12" w:firstLine="472" w:firstLineChars="197"/>
        <w:contextualSpacing/>
        <w:rPr>
          <w:rFonts w:hint="eastAsia" w:ascii="宋体" w:hAnsi="宋体"/>
          <w:color w:val="auto"/>
          <w:kern w:val="0"/>
          <w:sz w:val="24"/>
          <w:highlight w:val="none"/>
        </w:rPr>
      </w:pPr>
      <w:r>
        <w:rPr>
          <w:rFonts w:hint="eastAsia" w:ascii="宋体" w:hAnsi="宋体"/>
          <w:color w:val="auto"/>
          <w:kern w:val="0"/>
          <w:sz w:val="24"/>
          <w:highlight w:val="none"/>
        </w:rPr>
        <w:t>事实依据：</w:t>
      </w:r>
      <w:r>
        <w:rPr>
          <w:rFonts w:hint="eastAsia" w:ascii="宋体" w:hAnsi="宋体"/>
          <w:bCs/>
          <w:color w:val="auto"/>
          <w:kern w:val="0"/>
          <w:sz w:val="24"/>
          <w:highlight w:val="none"/>
          <w:u w:val="single"/>
        </w:rPr>
        <w:t xml:space="preserve">                                                                      </w:t>
      </w:r>
    </w:p>
    <w:p w14:paraId="3E62F56C">
      <w:pPr>
        <w:spacing w:line="360" w:lineRule="auto"/>
        <w:ind w:left="25" w:leftChars="12" w:firstLine="472" w:firstLineChars="197"/>
        <w:contextualSpacing/>
        <w:rPr>
          <w:rFonts w:hint="eastAsia" w:ascii="宋体" w:hAnsi="宋体"/>
          <w:color w:val="auto"/>
          <w:kern w:val="0"/>
          <w:sz w:val="24"/>
          <w:highlight w:val="none"/>
        </w:rPr>
      </w:pPr>
      <w:r>
        <w:rPr>
          <w:rFonts w:hint="eastAsia" w:ascii="宋体" w:hAnsi="宋体"/>
          <w:color w:val="auto"/>
          <w:kern w:val="0"/>
          <w:sz w:val="24"/>
          <w:highlight w:val="none"/>
        </w:rPr>
        <w:t>法律依据：</w:t>
      </w:r>
      <w:r>
        <w:rPr>
          <w:rFonts w:hint="eastAsia" w:ascii="宋体" w:hAnsi="宋体"/>
          <w:color w:val="auto"/>
          <w:kern w:val="0"/>
          <w:sz w:val="24"/>
          <w:highlight w:val="none"/>
          <w:u w:val="single"/>
        </w:rPr>
        <w:t xml:space="preserve">                                                        </w:t>
      </w:r>
      <w:r>
        <w:rPr>
          <w:rFonts w:hint="eastAsia" w:ascii="宋体" w:hAnsi="宋体"/>
          <w:bCs/>
          <w:color w:val="auto"/>
          <w:kern w:val="0"/>
          <w:sz w:val="24"/>
          <w:highlight w:val="none"/>
          <w:u w:val="single"/>
        </w:rPr>
        <w:t xml:space="preserve">               </w:t>
      </w:r>
    </w:p>
    <w:p w14:paraId="3292C58F">
      <w:pPr>
        <w:spacing w:line="360" w:lineRule="auto"/>
        <w:ind w:left="25" w:leftChars="12" w:firstLine="472" w:firstLineChars="197"/>
        <w:contextualSpacing/>
        <w:rPr>
          <w:rFonts w:hint="eastAsia" w:ascii="宋体" w:hAnsi="宋体"/>
          <w:color w:val="auto"/>
          <w:kern w:val="0"/>
          <w:sz w:val="24"/>
          <w:highlight w:val="none"/>
        </w:rPr>
      </w:pPr>
      <w:r>
        <w:rPr>
          <w:rFonts w:hint="eastAsia" w:ascii="宋体" w:hAnsi="宋体"/>
          <w:color w:val="auto"/>
          <w:kern w:val="0"/>
          <w:sz w:val="24"/>
          <w:highlight w:val="none"/>
        </w:rPr>
        <w:t>质疑事项2</w:t>
      </w:r>
    </w:p>
    <w:p w14:paraId="61BBAE80">
      <w:pPr>
        <w:spacing w:line="360" w:lineRule="auto"/>
        <w:ind w:left="25" w:leftChars="12" w:firstLine="472" w:firstLineChars="197"/>
        <w:contextualSpacing/>
        <w:rPr>
          <w:rFonts w:hint="eastAsia" w:ascii="宋体" w:hAnsi="宋体"/>
          <w:color w:val="auto"/>
          <w:kern w:val="0"/>
          <w:sz w:val="24"/>
          <w:highlight w:val="none"/>
        </w:rPr>
      </w:pPr>
      <w:r>
        <w:rPr>
          <w:rFonts w:ascii="宋体" w:hAnsi="宋体"/>
          <w:color w:val="auto"/>
          <w:kern w:val="0"/>
          <w:sz w:val="24"/>
          <w:highlight w:val="none"/>
        </w:rPr>
        <w:t>……</w:t>
      </w:r>
    </w:p>
    <w:p w14:paraId="1B8A6152">
      <w:pPr>
        <w:spacing w:line="360" w:lineRule="auto"/>
        <w:ind w:left="25" w:leftChars="12" w:firstLine="472" w:firstLineChars="197"/>
        <w:contextualSpacing/>
        <w:rPr>
          <w:rFonts w:hint="eastAsia" w:ascii="宋体" w:hAnsi="宋体"/>
          <w:color w:val="auto"/>
          <w:kern w:val="0"/>
          <w:sz w:val="24"/>
          <w:highlight w:val="none"/>
        </w:rPr>
      </w:pPr>
      <w:r>
        <w:rPr>
          <w:rFonts w:hint="eastAsia" w:ascii="宋体" w:hAnsi="宋体"/>
          <w:color w:val="auto"/>
          <w:kern w:val="0"/>
          <w:sz w:val="24"/>
          <w:highlight w:val="none"/>
        </w:rPr>
        <w:t>四、与质疑事项相关的质疑请求：</w:t>
      </w:r>
    </w:p>
    <w:p w14:paraId="16A1256E">
      <w:pPr>
        <w:spacing w:line="360" w:lineRule="auto"/>
        <w:ind w:left="25" w:leftChars="12" w:firstLine="472" w:firstLineChars="197"/>
        <w:contextualSpacing/>
        <w:rPr>
          <w:rFonts w:hint="eastAsia" w:ascii="宋体" w:hAnsi="宋体"/>
          <w:color w:val="auto"/>
          <w:kern w:val="0"/>
          <w:sz w:val="24"/>
          <w:highlight w:val="none"/>
        </w:rPr>
      </w:pPr>
      <w:r>
        <w:rPr>
          <w:rFonts w:hint="eastAsia" w:ascii="宋体" w:hAnsi="宋体"/>
          <w:color w:val="auto"/>
          <w:kern w:val="0"/>
          <w:sz w:val="24"/>
          <w:highlight w:val="none"/>
        </w:rPr>
        <w:t>请求：</w:t>
      </w:r>
      <w:r>
        <w:rPr>
          <w:rFonts w:hint="eastAsia" w:ascii="宋体" w:hAnsi="宋体"/>
          <w:bCs/>
          <w:color w:val="auto"/>
          <w:kern w:val="0"/>
          <w:sz w:val="24"/>
          <w:highlight w:val="none"/>
          <w:u w:val="single"/>
        </w:rPr>
        <w:t xml:space="preserve">                                                                </w:t>
      </w:r>
    </w:p>
    <w:p w14:paraId="1FBE6451">
      <w:pPr>
        <w:spacing w:line="360" w:lineRule="auto"/>
        <w:ind w:left="25" w:leftChars="12" w:firstLine="352" w:firstLineChars="147"/>
        <w:contextualSpacing/>
        <w:rPr>
          <w:rFonts w:hint="eastAsia" w:ascii="宋体" w:hAnsi="宋体"/>
          <w:color w:val="auto"/>
          <w:kern w:val="0"/>
          <w:sz w:val="24"/>
          <w:highlight w:val="none"/>
        </w:rPr>
      </w:pPr>
    </w:p>
    <w:p w14:paraId="5DB3EC11">
      <w:pPr>
        <w:spacing w:line="360" w:lineRule="auto"/>
        <w:ind w:left="25" w:leftChars="12" w:firstLine="472" w:firstLineChars="197"/>
        <w:contextualSpacing/>
        <w:rPr>
          <w:rFonts w:hint="eastAsia" w:ascii="宋体" w:hAnsi="宋体"/>
          <w:color w:val="auto"/>
          <w:kern w:val="0"/>
          <w:sz w:val="24"/>
          <w:highlight w:val="none"/>
        </w:rPr>
      </w:pPr>
      <w:r>
        <w:rPr>
          <w:rFonts w:hint="eastAsia" w:ascii="宋体" w:hAnsi="宋体"/>
          <w:color w:val="auto"/>
          <w:kern w:val="0"/>
          <w:sz w:val="24"/>
          <w:highlight w:val="none"/>
        </w:rPr>
        <w:t>签字（签章）：                                       公章：</w:t>
      </w:r>
    </w:p>
    <w:p w14:paraId="7606F683">
      <w:pPr>
        <w:spacing w:line="360" w:lineRule="auto"/>
        <w:ind w:firstLine="480" w:firstLineChars="200"/>
        <w:contextualSpacing/>
        <w:rPr>
          <w:rFonts w:hint="eastAsia" w:ascii="宋体" w:hAnsi="宋体"/>
          <w:b/>
          <w:color w:val="auto"/>
          <w:kern w:val="0"/>
          <w:sz w:val="24"/>
          <w:highlight w:val="none"/>
        </w:rPr>
      </w:pPr>
      <w:r>
        <w:rPr>
          <w:rFonts w:hint="eastAsia" w:ascii="宋体" w:hAnsi="宋体"/>
          <w:color w:val="auto"/>
          <w:kern w:val="0"/>
          <w:sz w:val="24"/>
          <w:highlight w:val="none"/>
        </w:rPr>
        <w:t>日期：</w:t>
      </w:r>
    </w:p>
    <w:p w14:paraId="1F33D3DB">
      <w:pPr>
        <w:spacing w:line="360" w:lineRule="auto"/>
        <w:contextualSpacing/>
        <w:rPr>
          <w:rFonts w:hint="eastAsia" w:ascii="宋体" w:hAnsi="宋体"/>
          <w:b/>
          <w:color w:val="auto"/>
          <w:kern w:val="0"/>
          <w:sz w:val="24"/>
          <w:highlight w:val="none"/>
        </w:rPr>
      </w:pPr>
      <w:r>
        <w:rPr>
          <w:rFonts w:hint="eastAsia" w:ascii="宋体" w:hAnsi="宋体"/>
          <w:b/>
          <w:color w:val="auto"/>
          <w:kern w:val="0"/>
          <w:sz w:val="24"/>
          <w:highlight w:val="none"/>
        </w:rPr>
        <w:t>说明：</w:t>
      </w:r>
    </w:p>
    <w:p w14:paraId="16A7F5BA">
      <w:pPr>
        <w:spacing w:line="360" w:lineRule="auto"/>
        <w:ind w:left="25" w:leftChars="12" w:firstLine="354" w:firstLineChars="147"/>
        <w:contextualSpacing/>
        <w:rPr>
          <w:rFonts w:hint="eastAsia" w:ascii="宋体" w:hAnsi="宋体"/>
          <w:b/>
          <w:bCs/>
          <w:color w:val="auto"/>
          <w:kern w:val="0"/>
          <w:sz w:val="24"/>
          <w:highlight w:val="none"/>
        </w:rPr>
      </w:pPr>
      <w:r>
        <w:rPr>
          <w:rFonts w:hint="eastAsia" w:ascii="宋体" w:hAnsi="宋体"/>
          <w:b/>
          <w:color w:val="auto"/>
          <w:kern w:val="0"/>
          <w:sz w:val="24"/>
          <w:highlight w:val="none"/>
        </w:rPr>
        <w:t>1.供应商提出质疑时，应提交质疑函和必要的证明材料</w:t>
      </w:r>
      <w:r>
        <w:rPr>
          <w:rFonts w:hint="eastAsia" w:ascii="宋体" w:hAnsi="宋体"/>
          <w:b/>
          <w:bCs/>
          <w:color w:val="auto"/>
          <w:kern w:val="0"/>
          <w:sz w:val="24"/>
          <w:highlight w:val="none"/>
        </w:rPr>
        <w:t>。</w:t>
      </w:r>
    </w:p>
    <w:p w14:paraId="3BD242B7">
      <w:pPr>
        <w:spacing w:line="360" w:lineRule="auto"/>
        <w:ind w:left="25" w:leftChars="12" w:firstLine="354" w:firstLineChars="147"/>
        <w:contextualSpacing/>
        <w:rPr>
          <w:rFonts w:hint="eastAsia" w:ascii="宋体" w:hAnsi="宋体"/>
          <w:b/>
          <w:color w:val="auto"/>
          <w:kern w:val="0"/>
          <w:sz w:val="24"/>
          <w:highlight w:val="none"/>
        </w:rPr>
      </w:pPr>
      <w:r>
        <w:rPr>
          <w:rFonts w:hint="eastAsia" w:ascii="宋体" w:hAnsi="宋体"/>
          <w:b/>
          <w:color w:val="auto"/>
          <w:kern w:val="0"/>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072636B6">
      <w:pPr>
        <w:spacing w:line="360" w:lineRule="auto"/>
        <w:ind w:left="25" w:leftChars="12" w:firstLine="354" w:firstLineChars="147"/>
        <w:contextualSpacing/>
        <w:rPr>
          <w:rFonts w:hint="eastAsia" w:ascii="宋体" w:hAnsi="宋体"/>
          <w:b/>
          <w:color w:val="auto"/>
          <w:kern w:val="0"/>
          <w:sz w:val="24"/>
          <w:highlight w:val="none"/>
        </w:rPr>
      </w:pPr>
      <w:r>
        <w:rPr>
          <w:rFonts w:hint="eastAsia" w:ascii="宋体" w:hAnsi="宋体"/>
          <w:b/>
          <w:color w:val="auto"/>
          <w:kern w:val="0"/>
          <w:sz w:val="24"/>
          <w:highlight w:val="none"/>
        </w:rPr>
        <w:t>3.质疑函的质疑事项应具体、明确，并有必要的事实依据和法律依据。</w:t>
      </w:r>
    </w:p>
    <w:p w14:paraId="0BF7D236">
      <w:pPr>
        <w:spacing w:line="360" w:lineRule="auto"/>
        <w:ind w:left="25" w:leftChars="12" w:firstLine="354" w:firstLineChars="147"/>
        <w:contextualSpacing/>
        <w:rPr>
          <w:rFonts w:hint="eastAsia" w:ascii="宋体" w:hAnsi="宋体"/>
          <w:b/>
          <w:color w:val="auto"/>
          <w:kern w:val="0"/>
          <w:sz w:val="24"/>
          <w:highlight w:val="none"/>
        </w:rPr>
      </w:pPr>
      <w:r>
        <w:rPr>
          <w:rFonts w:hint="eastAsia" w:ascii="宋体" w:hAnsi="宋体"/>
          <w:b/>
          <w:color w:val="auto"/>
          <w:kern w:val="0"/>
          <w:sz w:val="24"/>
          <w:highlight w:val="none"/>
        </w:rPr>
        <w:t>4.质疑函的质疑请求应与质疑事项相关。</w:t>
      </w:r>
    </w:p>
    <w:p w14:paraId="3F53DF2F">
      <w:pPr>
        <w:spacing w:line="360" w:lineRule="auto"/>
        <w:ind w:left="25" w:leftChars="12" w:firstLine="354" w:firstLineChars="147"/>
        <w:contextualSpacing/>
        <w:rPr>
          <w:rFonts w:hint="eastAsia" w:ascii="宋体" w:hAnsi="宋体"/>
          <w:b/>
          <w:color w:val="auto"/>
          <w:kern w:val="0"/>
          <w:sz w:val="20"/>
          <w:szCs w:val="21"/>
          <w:highlight w:val="none"/>
        </w:rPr>
      </w:pPr>
      <w:r>
        <w:rPr>
          <w:rFonts w:hint="eastAsia" w:ascii="宋体" w:hAnsi="宋体"/>
          <w:b/>
          <w:color w:val="auto"/>
          <w:kern w:val="0"/>
          <w:sz w:val="24"/>
          <w:highlight w:val="none"/>
        </w:rPr>
        <w:t>5.质疑供应商为法人或者其他组织的，质疑函应由法定代表人、主要负责人，或者其授权代表签字或者盖章，并加盖公章。</w:t>
      </w:r>
    </w:p>
    <w:p w14:paraId="655415E8">
      <w:pPr>
        <w:snapToGrid w:val="0"/>
        <w:rPr>
          <w:rFonts w:ascii="宋体" w:hAnsi="Courier New"/>
          <w:b/>
          <w:color w:val="auto"/>
          <w:kern w:val="0"/>
          <w:sz w:val="24"/>
          <w:highlight w:val="none"/>
        </w:rPr>
      </w:pPr>
    </w:p>
    <w:p w14:paraId="5A169447">
      <w:pPr>
        <w:rPr>
          <w:color w:val="auto"/>
          <w:sz w:val="32"/>
          <w:szCs w:val="40"/>
          <w:highlight w:val="none"/>
        </w:rPr>
      </w:pPr>
    </w:p>
    <w:p w14:paraId="49234DC1">
      <w:pPr>
        <w:rPr>
          <w:color w:val="auto"/>
          <w:sz w:val="32"/>
          <w:szCs w:val="40"/>
          <w:highlight w:val="none"/>
        </w:rPr>
      </w:pPr>
    </w:p>
    <w:p w14:paraId="1F0C8257">
      <w:pPr>
        <w:rPr>
          <w:color w:val="auto"/>
          <w:sz w:val="32"/>
          <w:szCs w:val="40"/>
          <w:highlight w:val="none"/>
        </w:rPr>
      </w:pPr>
    </w:p>
    <w:p w14:paraId="00FE291F">
      <w:pPr>
        <w:rPr>
          <w:color w:val="auto"/>
          <w:sz w:val="32"/>
          <w:szCs w:val="40"/>
          <w:highlight w:val="none"/>
        </w:rPr>
      </w:pPr>
    </w:p>
    <w:p w14:paraId="3B22F28E">
      <w:pPr>
        <w:rPr>
          <w:color w:val="auto"/>
          <w:sz w:val="32"/>
          <w:szCs w:val="40"/>
          <w:highlight w:val="none"/>
        </w:rPr>
      </w:pPr>
    </w:p>
    <w:p w14:paraId="3A9F61C0">
      <w:pPr>
        <w:rPr>
          <w:color w:val="auto"/>
          <w:sz w:val="32"/>
          <w:szCs w:val="40"/>
          <w:highlight w:val="none"/>
        </w:rPr>
      </w:pPr>
    </w:p>
    <w:p w14:paraId="1123DE18">
      <w:pPr>
        <w:rPr>
          <w:color w:val="auto"/>
          <w:sz w:val="32"/>
          <w:szCs w:val="40"/>
          <w:highlight w:val="none"/>
        </w:rPr>
      </w:pPr>
    </w:p>
    <w:p w14:paraId="0E029C77">
      <w:pPr>
        <w:rPr>
          <w:color w:val="auto"/>
          <w:sz w:val="32"/>
          <w:szCs w:val="40"/>
          <w:highlight w:val="none"/>
        </w:rPr>
      </w:pPr>
    </w:p>
    <w:p w14:paraId="24512B32">
      <w:pPr>
        <w:rPr>
          <w:color w:val="auto"/>
          <w:sz w:val="32"/>
          <w:szCs w:val="40"/>
          <w:highlight w:val="none"/>
        </w:rPr>
      </w:pPr>
    </w:p>
    <w:p w14:paraId="5F23596E">
      <w:pPr>
        <w:rPr>
          <w:color w:val="auto"/>
          <w:sz w:val="32"/>
          <w:szCs w:val="40"/>
          <w:highlight w:val="none"/>
        </w:rPr>
      </w:pPr>
    </w:p>
    <w:p w14:paraId="0A8DB15A">
      <w:pPr>
        <w:rPr>
          <w:color w:val="auto"/>
          <w:sz w:val="32"/>
          <w:szCs w:val="40"/>
          <w:highlight w:val="none"/>
        </w:rPr>
      </w:pPr>
    </w:p>
    <w:p w14:paraId="22AEF264">
      <w:pPr>
        <w:rPr>
          <w:color w:val="auto"/>
          <w:sz w:val="32"/>
          <w:szCs w:val="40"/>
          <w:highlight w:val="none"/>
        </w:rPr>
      </w:pPr>
    </w:p>
    <w:p w14:paraId="5ABBCB0A">
      <w:pPr>
        <w:rPr>
          <w:color w:val="auto"/>
          <w:sz w:val="32"/>
          <w:szCs w:val="40"/>
          <w:highlight w:val="none"/>
        </w:rPr>
      </w:pPr>
    </w:p>
    <w:p w14:paraId="00977EF1">
      <w:pPr>
        <w:rPr>
          <w:color w:val="auto"/>
          <w:sz w:val="32"/>
          <w:szCs w:val="40"/>
          <w:highlight w:val="none"/>
        </w:rPr>
      </w:pPr>
    </w:p>
    <w:p w14:paraId="585DC8AE">
      <w:pPr>
        <w:spacing w:line="360" w:lineRule="auto"/>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br w:type="page"/>
      </w:r>
      <w:r>
        <w:rPr>
          <w:rFonts w:hint="eastAsia" w:ascii="方正小标宋简体" w:hAnsi="方正小标宋简体" w:eastAsia="方正小标宋简体" w:cs="方正小标宋简体"/>
          <w:color w:val="auto"/>
          <w:sz w:val="44"/>
          <w:szCs w:val="44"/>
          <w:highlight w:val="none"/>
        </w:rPr>
        <w:t>投诉书（格式）</w:t>
      </w:r>
    </w:p>
    <w:p w14:paraId="00E29773">
      <w:pPr>
        <w:snapToGrid w:val="0"/>
        <w:spacing w:line="360" w:lineRule="auto"/>
        <w:ind w:firstLine="482" w:firstLineChars="200"/>
        <w:rPr>
          <w:rFonts w:hint="eastAsia" w:ascii="宋体" w:hAnsi="宋体"/>
          <w:b/>
          <w:bCs/>
          <w:color w:val="auto"/>
          <w:kern w:val="0"/>
          <w:sz w:val="24"/>
          <w:highlight w:val="none"/>
        </w:rPr>
      </w:pPr>
      <w:r>
        <w:rPr>
          <w:rFonts w:hint="eastAsia" w:ascii="宋体" w:hAnsi="宋体"/>
          <w:b/>
          <w:bCs/>
          <w:color w:val="auto"/>
          <w:kern w:val="0"/>
          <w:sz w:val="24"/>
          <w:highlight w:val="none"/>
        </w:rPr>
        <w:t>一、投诉相关主体基本情况：</w:t>
      </w:r>
    </w:p>
    <w:p w14:paraId="4C4E29D3">
      <w:pPr>
        <w:snapToGrid w:val="0"/>
        <w:spacing w:line="360" w:lineRule="auto"/>
        <w:ind w:firstLine="480" w:firstLineChars="200"/>
        <w:rPr>
          <w:rFonts w:hint="eastAsia" w:ascii="宋体" w:hAnsi="宋体"/>
          <w:bCs/>
          <w:color w:val="auto"/>
          <w:kern w:val="0"/>
          <w:sz w:val="24"/>
          <w:highlight w:val="none"/>
          <w:u w:val="single"/>
        </w:rPr>
      </w:pPr>
      <w:r>
        <w:rPr>
          <w:rFonts w:hint="eastAsia" w:ascii="宋体" w:hAnsi="宋体"/>
          <w:bCs/>
          <w:color w:val="auto"/>
          <w:kern w:val="0"/>
          <w:sz w:val="24"/>
          <w:highlight w:val="none"/>
        </w:rPr>
        <w:t>供应商：</w:t>
      </w:r>
      <w:r>
        <w:rPr>
          <w:rFonts w:hint="eastAsia" w:ascii="宋体" w:hAnsi="宋体"/>
          <w:bCs/>
          <w:color w:val="auto"/>
          <w:kern w:val="0"/>
          <w:sz w:val="24"/>
          <w:highlight w:val="none"/>
          <w:u w:val="single"/>
        </w:rPr>
        <w:t xml:space="preserve">                                                                        </w:t>
      </w:r>
      <w:r>
        <w:rPr>
          <w:rFonts w:hint="eastAsia" w:ascii="宋体" w:hAnsi="宋体"/>
          <w:bCs/>
          <w:color w:val="auto"/>
          <w:kern w:val="0"/>
          <w:sz w:val="24"/>
          <w:highlight w:val="none"/>
        </w:rPr>
        <w:t xml:space="preserve">                 </w:t>
      </w:r>
    </w:p>
    <w:p w14:paraId="15569BB3">
      <w:pPr>
        <w:snapToGrid w:val="0"/>
        <w:spacing w:line="360" w:lineRule="auto"/>
        <w:ind w:firstLine="480" w:firstLineChars="200"/>
        <w:rPr>
          <w:rFonts w:hint="eastAsia" w:ascii="宋体" w:hAnsi="宋体"/>
          <w:bCs/>
          <w:color w:val="auto"/>
          <w:kern w:val="0"/>
          <w:sz w:val="24"/>
          <w:highlight w:val="none"/>
        </w:rPr>
      </w:pPr>
      <w:r>
        <w:rPr>
          <w:rFonts w:ascii="宋体" w:hAnsi="宋体"/>
          <w:bCs/>
          <w:color w:val="auto"/>
          <w:kern w:val="0"/>
          <w:sz w:val="24"/>
          <w:highlight w:val="none"/>
        </w:rPr>
        <w:t>地址</w:t>
      </w:r>
      <w:r>
        <w:rPr>
          <w:rFonts w:hint="eastAsia" w:ascii="宋体" w:hAnsi="宋体"/>
          <w:bCs/>
          <w:color w:val="auto"/>
          <w:kern w:val="0"/>
          <w:sz w:val="24"/>
          <w:highlight w:val="none"/>
        </w:rPr>
        <w:t>：</w:t>
      </w:r>
      <w:r>
        <w:rPr>
          <w:rFonts w:hint="eastAsia" w:ascii="宋体" w:hAnsi="宋体"/>
          <w:bCs/>
          <w:color w:val="auto"/>
          <w:kern w:val="0"/>
          <w:sz w:val="24"/>
          <w:highlight w:val="none"/>
          <w:u w:val="single"/>
        </w:rPr>
        <w:t xml:space="preserve">                                          </w:t>
      </w:r>
      <w:r>
        <w:rPr>
          <w:rFonts w:ascii="宋体" w:hAnsi="宋体"/>
          <w:bCs/>
          <w:color w:val="auto"/>
          <w:kern w:val="0"/>
          <w:sz w:val="24"/>
          <w:highlight w:val="none"/>
        </w:rPr>
        <w:t>邮编</w:t>
      </w:r>
      <w:r>
        <w:rPr>
          <w:rFonts w:hint="eastAsia" w:ascii="宋体" w:hAnsi="宋体"/>
          <w:bCs/>
          <w:color w:val="auto"/>
          <w:kern w:val="0"/>
          <w:sz w:val="24"/>
          <w:highlight w:val="none"/>
        </w:rPr>
        <w:t>：</w:t>
      </w:r>
      <w:r>
        <w:rPr>
          <w:rFonts w:hint="eastAsia" w:ascii="宋体" w:hAnsi="宋体"/>
          <w:bCs/>
          <w:color w:val="auto"/>
          <w:kern w:val="0"/>
          <w:sz w:val="24"/>
          <w:highlight w:val="none"/>
          <w:u w:val="single"/>
        </w:rPr>
        <w:t xml:space="preserve">                          </w:t>
      </w:r>
      <w:r>
        <w:rPr>
          <w:rFonts w:hint="eastAsia" w:ascii="宋体" w:hAnsi="宋体"/>
          <w:bCs/>
          <w:color w:val="auto"/>
          <w:kern w:val="0"/>
          <w:sz w:val="24"/>
          <w:highlight w:val="none"/>
        </w:rPr>
        <w:t xml:space="preserve">                 </w:t>
      </w:r>
    </w:p>
    <w:p w14:paraId="1FD3DDD2">
      <w:pPr>
        <w:snapToGrid w:val="0"/>
        <w:spacing w:line="360" w:lineRule="auto"/>
        <w:ind w:firstLine="480" w:firstLineChars="200"/>
        <w:rPr>
          <w:rFonts w:hint="eastAsia" w:ascii="宋体" w:hAnsi="宋体"/>
          <w:bCs/>
          <w:color w:val="auto"/>
          <w:kern w:val="0"/>
          <w:sz w:val="24"/>
          <w:highlight w:val="none"/>
          <w:u w:val="single"/>
        </w:rPr>
      </w:pPr>
      <w:r>
        <w:rPr>
          <w:rFonts w:hint="eastAsia" w:ascii="宋体" w:hAnsi="宋体"/>
          <w:bCs/>
          <w:color w:val="auto"/>
          <w:kern w:val="0"/>
          <w:sz w:val="24"/>
          <w:highlight w:val="none"/>
        </w:rPr>
        <w:t>法定代表人/主要负责人：</w:t>
      </w:r>
      <w:r>
        <w:rPr>
          <w:rFonts w:hint="eastAsia" w:ascii="宋体" w:hAnsi="宋体"/>
          <w:bCs/>
          <w:color w:val="auto"/>
          <w:kern w:val="0"/>
          <w:sz w:val="24"/>
          <w:highlight w:val="none"/>
          <w:u w:val="single"/>
        </w:rPr>
        <w:t xml:space="preserve">                                                         </w:t>
      </w:r>
    </w:p>
    <w:p w14:paraId="373275B5">
      <w:pPr>
        <w:snapToGrid w:val="0"/>
        <w:spacing w:line="360" w:lineRule="auto"/>
        <w:ind w:firstLine="480" w:firstLineChars="200"/>
        <w:rPr>
          <w:rFonts w:hint="eastAsia" w:ascii="宋体" w:hAnsi="宋体"/>
          <w:bCs/>
          <w:color w:val="auto"/>
          <w:kern w:val="0"/>
          <w:sz w:val="24"/>
          <w:highlight w:val="none"/>
        </w:rPr>
      </w:pPr>
      <w:r>
        <w:rPr>
          <w:rFonts w:ascii="宋体" w:hAnsi="宋体"/>
          <w:bCs/>
          <w:color w:val="auto"/>
          <w:kern w:val="0"/>
          <w:sz w:val="24"/>
          <w:highlight w:val="none"/>
        </w:rPr>
        <w:t>联系电话</w:t>
      </w:r>
      <w:r>
        <w:rPr>
          <w:rFonts w:hint="eastAsia" w:ascii="宋体" w:hAnsi="宋体"/>
          <w:bCs/>
          <w:color w:val="auto"/>
          <w:kern w:val="0"/>
          <w:sz w:val="24"/>
          <w:highlight w:val="none"/>
        </w:rPr>
        <w:t>：</w:t>
      </w:r>
      <w:r>
        <w:rPr>
          <w:rFonts w:hint="eastAsia" w:ascii="宋体" w:hAnsi="宋体"/>
          <w:bCs/>
          <w:color w:val="auto"/>
          <w:kern w:val="0"/>
          <w:sz w:val="24"/>
          <w:highlight w:val="none"/>
          <w:u w:val="single"/>
        </w:rPr>
        <w:t xml:space="preserve">                                         </w:t>
      </w:r>
    </w:p>
    <w:p w14:paraId="68704C43">
      <w:pPr>
        <w:snapToGrid w:val="0"/>
        <w:spacing w:line="360" w:lineRule="auto"/>
        <w:ind w:firstLine="480" w:firstLineChars="200"/>
        <w:rPr>
          <w:rFonts w:hint="eastAsia" w:ascii="宋体" w:hAnsi="宋体"/>
          <w:bCs/>
          <w:color w:val="auto"/>
          <w:kern w:val="0"/>
          <w:sz w:val="24"/>
          <w:highlight w:val="none"/>
          <w:u w:val="single"/>
        </w:rPr>
      </w:pPr>
      <w:r>
        <w:rPr>
          <w:rFonts w:hint="eastAsia" w:ascii="宋体" w:hAnsi="宋体"/>
          <w:bCs/>
          <w:color w:val="auto"/>
          <w:kern w:val="0"/>
          <w:sz w:val="24"/>
          <w:highlight w:val="none"/>
        </w:rPr>
        <w:t>授权代表：</w:t>
      </w:r>
      <w:r>
        <w:rPr>
          <w:rFonts w:hint="eastAsia" w:ascii="宋体" w:hAnsi="宋体"/>
          <w:bCs/>
          <w:color w:val="auto"/>
          <w:kern w:val="0"/>
          <w:sz w:val="24"/>
          <w:highlight w:val="none"/>
          <w:u w:val="single"/>
        </w:rPr>
        <w:t xml:space="preserve">                                         </w:t>
      </w:r>
      <w:r>
        <w:rPr>
          <w:rFonts w:ascii="宋体" w:hAnsi="宋体"/>
          <w:bCs/>
          <w:color w:val="auto"/>
          <w:kern w:val="0"/>
          <w:sz w:val="24"/>
          <w:highlight w:val="none"/>
        </w:rPr>
        <w:t>联系</w:t>
      </w:r>
      <w:r>
        <w:rPr>
          <w:rFonts w:hint="eastAsia" w:ascii="宋体" w:hAnsi="宋体"/>
          <w:bCs/>
          <w:color w:val="auto"/>
          <w:kern w:val="0"/>
          <w:sz w:val="24"/>
          <w:highlight w:val="none"/>
        </w:rPr>
        <w:t>电话：</w:t>
      </w:r>
      <w:r>
        <w:rPr>
          <w:rFonts w:hint="eastAsia" w:ascii="宋体" w:hAnsi="宋体"/>
          <w:bCs/>
          <w:color w:val="auto"/>
          <w:kern w:val="0"/>
          <w:sz w:val="24"/>
          <w:highlight w:val="none"/>
          <w:u w:val="single"/>
        </w:rPr>
        <w:t xml:space="preserve">                   </w:t>
      </w:r>
    </w:p>
    <w:p w14:paraId="33BA7DDE">
      <w:pPr>
        <w:snapToGrid w:val="0"/>
        <w:spacing w:line="360" w:lineRule="auto"/>
        <w:ind w:firstLine="480" w:firstLineChars="200"/>
        <w:rPr>
          <w:rFonts w:hint="eastAsia" w:ascii="宋体" w:hAnsi="宋体"/>
          <w:bCs/>
          <w:color w:val="auto"/>
          <w:kern w:val="0"/>
          <w:sz w:val="24"/>
          <w:highlight w:val="none"/>
          <w:u w:val="single"/>
        </w:rPr>
      </w:pPr>
      <w:r>
        <w:rPr>
          <w:rFonts w:ascii="宋体" w:hAnsi="宋体"/>
          <w:bCs/>
          <w:color w:val="auto"/>
          <w:kern w:val="0"/>
          <w:sz w:val="24"/>
          <w:highlight w:val="none"/>
        </w:rPr>
        <w:t>地址</w:t>
      </w:r>
      <w:r>
        <w:rPr>
          <w:rFonts w:hint="eastAsia" w:ascii="宋体" w:hAnsi="宋体"/>
          <w:bCs/>
          <w:color w:val="auto"/>
          <w:kern w:val="0"/>
          <w:sz w:val="24"/>
          <w:highlight w:val="none"/>
        </w:rPr>
        <w:t>：</w:t>
      </w:r>
      <w:r>
        <w:rPr>
          <w:rFonts w:hint="eastAsia" w:ascii="宋体" w:hAnsi="宋体"/>
          <w:bCs/>
          <w:color w:val="auto"/>
          <w:kern w:val="0"/>
          <w:sz w:val="24"/>
          <w:highlight w:val="none"/>
          <w:u w:val="single"/>
        </w:rPr>
        <w:t xml:space="preserve">                                                            </w:t>
      </w:r>
    </w:p>
    <w:p w14:paraId="0E62523D">
      <w:pPr>
        <w:snapToGrid w:val="0"/>
        <w:spacing w:line="360" w:lineRule="auto"/>
        <w:ind w:firstLine="480" w:firstLineChars="200"/>
        <w:rPr>
          <w:rFonts w:hint="eastAsia" w:ascii="宋体" w:hAnsi="宋体"/>
          <w:bCs/>
          <w:color w:val="auto"/>
          <w:kern w:val="0"/>
          <w:sz w:val="24"/>
          <w:highlight w:val="none"/>
        </w:rPr>
      </w:pPr>
      <w:r>
        <w:rPr>
          <w:rFonts w:ascii="宋体" w:hAnsi="宋体"/>
          <w:bCs/>
          <w:color w:val="auto"/>
          <w:kern w:val="0"/>
          <w:sz w:val="24"/>
          <w:highlight w:val="none"/>
        </w:rPr>
        <w:t>邮编</w:t>
      </w:r>
      <w:r>
        <w:rPr>
          <w:rFonts w:hint="eastAsia" w:ascii="宋体" w:hAnsi="宋体"/>
          <w:bCs/>
          <w:color w:val="auto"/>
          <w:kern w:val="0"/>
          <w:sz w:val="24"/>
          <w:highlight w:val="none"/>
        </w:rPr>
        <w:t>：</w:t>
      </w:r>
      <w:r>
        <w:rPr>
          <w:rFonts w:hint="eastAsia" w:ascii="宋体" w:hAnsi="宋体"/>
          <w:bCs/>
          <w:color w:val="auto"/>
          <w:kern w:val="0"/>
          <w:sz w:val="24"/>
          <w:highlight w:val="none"/>
          <w:u w:val="single"/>
        </w:rPr>
        <w:t xml:space="preserve">         </w:t>
      </w:r>
      <w:r>
        <w:rPr>
          <w:rFonts w:hint="eastAsia" w:ascii="宋体" w:hAnsi="宋体"/>
          <w:bCs/>
          <w:color w:val="auto"/>
          <w:kern w:val="0"/>
          <w:sz w:val="24"/>
          <w:highlight w:val="none"/>
        </w:rPr>
        <w:t xml:space="preserve">   </w:t>
      </w:r>
    </w:p>
    <w:p w14:paraId="77B7D655">
      <w:pPr>
        <w:snapToGrid w:val="0"/>
        <w:spacing w:line="360" w:lineRule="auto"/>
        <w:ind w:firstLine="480" w:firstLineChars="200"/>
        <w:rPr>
          <w:rFonts w:hint="eastAsia" w:ascii="宋体" w:hAnsi="宋体"/>
          <w:bCs/>
          <w:color w:val="auto"/>
          <w:kern w:val="0"/>
          <w:sz w:val="24"/>
          <w:highlight w:val="none"/>
        </w:rPr>
      </w:pPr>
      <w:r>
        <w:rPr>
          <w:rFonts w:hint="eastAsia" w:ascii="宋体" w:hAnsi="宋体"/>
          <w:bCs/>
          <w:color w:val="auto"/>
          <w:kern w:val="0"/>
          <w:sz w:val="24"/>
          <w:highlight w:val="none"/>
        </w:rPr>
        <w:t>被投诉人1：</w:t>
      </w:r>
    </w:p>
    <w:p w14:paraId="529555B7">
      <w:pPr>
        <w:snapToGrid w:val="0"/>
        <w:spacing w:line="360" w:lineRule="auto"/>
        <w:ind w:firstLine="480" w:firstLineChars="200"/>
        <w:rPr>
          <w:rFonts w:hint="eastAsia" w:ascii="宋体" w:hAnsi="宋体"/>
          <w:bCs/>
          <w:color w:val="auto"/>
          <w:kern w:val="0"/>
          <w:sz w:val="24"/>
          <w:highlight w:val="none"/>
          <w:u w:val="single"/>
        </w:rPr>
      </w:pPr>
      <w:r>
        <w:rPr>
          <w:rFonts w:hint="eastAsia" w:ascii="宋体" w:hAnsi="宋体"/>
          <w:bCs/>
          <w:color w:val="auto"/>
          <w:kern w:val="0"/>
          <w:sz w:val="24"/>
          <w:highlight w:val="none"/>
        </w:rPr>
        <w:t>地址：</w:t>
      </w:r>
      <w:r>
        <w:rPr>
          <w:rFonts w:hint="eastAsia" w:ascii="宋体" w:hAnsi="宋体"/>
          <w:bCs/>
          <w:color w:val="auto"/>
          <w:kern w:val="0"/>
          <w:sz w:val="24"/>
          <w:highlight w:val="none"/>
          <w:u w:val="single"/>
        </w:rPr>
        <w:t xml:space="preserve">                                                            </w:t>
      </w:r>
    </w:p>
    <w:p w14:paraId="3B5EFE7C">
      <w:pPr>
        <w:snapToGrid w:val="0"/>
        <w:spacing w:line="360" w:lineRule="auto"/>
        <w:ind w:firstLine="480" w:firstLineChars="200"/>
        <w:rPr>
          <w:rFonts w:hint="eastAsia" w:ascii="宋体" w:hAnsi="宋体"/>
          <w:bCs/>
          <w:color w:val="auto"/>
          <w:kern w:val="0"/>
          <w:sz w:val="24"/>
          <w:highlight w:val="none"/>
        </w:rPr>
      </w:pPr>
      <w:r>
        <w:rPr>
          <w:rFonts w:ascii="宋体" w:hAnsi="宋体"/>
          <w:bCs/>
          <w:color w:val="auto"/>
          <w:kern w:val="0"/>
          <w:sz w:val="24"/>
          <w:highlight w:val="none"/>
        </w:rPr>
        <w:t>邮编</w:t>
      </w:r>
      <w:r>
        <w:rPr>
          <w:rFonts w:hint="eastAsia" w:ascii="宋体" w:hAnsi="宋体"/>
          <w:bCs/>
          <w:color w:val="auto"/>
          <w:kern w:val="0"/>
          <w:sz w:val="24"/>
          <w:highlight w:val="none"/>
        </w:rPr>
        <w:t>：</w:t>
      </w:r>
      <w:r>
        <w:rPr>
          <w:rFonts w:hint="eastAsia" w:ascii="宋体" w:hAnsi="宋体"/>
          <w:bCs/>
          <w:color w:val="auto"/>
          <w:kern w:val="0"/>
          <w:sz w:val="24"/>
          <w:highlight w:val="none"/>
          <w:u w:val="single"/>
        </w:rPr>
        <w:t xml:space="preserve">         </w:t>
      </w:r>
      <w:r>
        <w:rPr>
          <w:rFonts w:hint="eastAsia" w:ascii="宋体" w:hAnsi="宋体"/>
          <w:bCs/>
          <w:color w:val="auto"/>
          <w:kern w:val="0"/>
          <w:sz w:val="24"/>
          <w:highlight w:val="none"/>
        </w:rPr>
        <w:t xml:space="preserve">  </w:t>
      </w:r>
    </w:p>
    <w:p w14:paraId="0CA4CA6A">
      <w:pPr>
        <w:snapToGrid w:val="0"/>
        <w:spacing w:line="360" w:lineRule="auto"/>
        <w:ind w:firstLine="480" w:firstLineChars="200"/>
        <w:rPr>
          <w:rFonts w:hint="eastAsia" w:ascii="宋体" w:hAnsi="宋体"/>
          <w:bCs/>
          <w:color w:val="auto"/>
          <w:kern w:val="0"/>
          <w:sz w:val="24"/>
          <w:highlight w:val="none"/>
          <w:u w:val="single"/>
        </w:rPr>
      </w:pPr>
      <w:r>
        <w:rPr>
          <w:rFonts w:hint="eastAsia" w:ascii="宋体" w:hAnsi="宋体"/>
          <w:bCs/>
          <w:color w:val="auto"/>
          <w:kern w:val="0"/>
          <w:sz w:val="24"/>
          <w:highlight w:val="none"/>
        </w:rPr>
        <w:t>联系人：</w:t>
      </w:r>
      <w:r>
        <w:rPr>
          <w:rFonts w:hint="eastAsia" w:ascii="宋体" w:hAnsi="宋体"/>
          <w:bCs/>
          <w:color w:val="auto"/>
          <w:kern w:val="0"/>
          <w:sz w:val="24"/>
          <w:highlight w:val="none"/>
          <w:u w:val="single"/>
        </w:rPr>
        <w:t xml:space="preserve">                                                </w:t>
      </w:r>
      <w:r>
        <w:rPr>
          <w:rFonts w:ascii="宋体" w:hAnsi="宋体"/>
          <w:bCs/>
          <w:color w:val="auto"/>
          <w:kern w:val="0"/>
          <w:sz w:val="24"/>
          <w:highlight w:val="none"/>
        </w:rPr>
        <w:t>联系</w:t>
      </w:r>
      <w:r>
        <w:rPr>
          <w:rFonts w:hint="eastAsia" w:ascii="宋体" w:hAnsi="宋体"/>
          <w:bCs/>
          <w:color w:val="auto"/>
          <w:kern w:val="0"/>
          <w:sz w:val="24"/>
          <w:highlight w:val="none"/>
        </w:rPr>
        <w:t>电话：</w:t>
      </w:r>
      <w:r>
        <w:rPr>
          <w:rFonts w:hint="eastAsia" w:ascii="宋体" w:hAnsi="宋体"/>
          <w:bCs/>
          <w:color w:val="auto"/>
          <w:kern w:val="0"/>
          <w:sz w:val="24"/>
          <w:highlight w:val="none"/>
          <w:u w:val="single"/>
        </w:rPr>
        <w:t xml:space="preserve">                </w:t>
      </w:r>
    </w:p>
    <w:p w14:paraId="5BF11A49">
      <w:pPr>
        <w:snapToGrid w:val="0"/>
        <w:spacing w:line="360" w:lineRule="auto"/>
        <w:ind w:firstLine="480" w:firstLineChars="200"/>
        <w:rPr>
          <w:rFonts w:hint="eastAsia" w:ascii="宋体" w:hAnsi="宋体"/>
          <w:bCs/>
          <w:color w:val="auto"/>
          <w:kern w:val="0"/>
          <w:sz w:val="24"/>
          <w:highlight w:val="none"/>
        </w:rPr>
      </w:pPr>
      <w:r>
        <w:rPr>
          <w:rFonts w:hint="eastAsia" w:ascii="宋体" w:hAnsi="宋体"/>
          <w:bCs/>
          <w:color w:val="auto"/>
          <w:kern w:val="0"/>
          <w:sz w:val="24"/>
          <w:highlight w:val="none"/>
        </w:rPr>
        <w:t>被投诉人2：</w:t>
      </w:r>
    </w:p>
    <w:p w14:paraId="50C959AC">
      <w:pPr>
        <w:snapToGrid w:val="0"/>
        <w:spacing w:line="360" w:lineRule="auto"/>
        <w:ind w:firstLine="480" w:firstLineChars="200"/>
        <w:rPr>
          <w:rFonts w:hint="eastAsia" w:ascii="宋体" w:hAnsi="宋体"/>
          <w:bCs/>
          <w:color w:val="auto"/>
          <w:kern w:val="0"/>
          <w:sz w:val="24"/>
          <w:highlight w:val="none"/>
        </w:rPr>
      </w:pPr>
      <w:r>
        <w:rPr>
          <w:rFonts w:ascii="宋体" w:hAnsi="宋体"/>
          <w:bCs/>
          <w:color w:val="auto"/>
          <w:kern w:val="0"/>
          <w:sz w:val="24"/>
          <w:highlight w:val="none"/>
        </w:rPr>
        <w:t>……</w:t>
      </w:r>
    </w:p>
    <w:p w14:paraId="63ABCE74">
      <w:pPr>
        <w:snapToGrid w:val="0"/>
        <w:spacing w:line="360" w:lineRule="auto"/>
        <w:ind w:firstLine="480" w:firstLineChars="200"/>
        <w:rPr>
          <w:rFonts w:hint="eastAsia" w:ascii="宋体" w:hAnsi="宋体"/>
          <w:bCs/>
          <w:color w:val="auto"/>
          <w:kern w:val="0"/>
          <w:sz w:val="24"/>
          <w:highlight w:val="none"/>
          <w:u w:val="single"/>
        </w:rPr>
      </w:pPr>
      <w:r>
        <w:rPr>
          <w:rFonts w:hint="eastAsia" w:ascii="宋体" w:hAnsi="宋体"/>
          <w:bCs/>
          <w:color w:val="auto"/>
          <w:kern w:val="0"/>
          <w:sz w:val="24"/>
          <w:highlight w:val="none"/>
        </w:rPr>
        <w:t>相关供应商：</w:t>
      </w:r>
      <w:r>
        <w:rPr>
          <w:rFonts w:hint="eastAsia" w:ascii="宋体" w:hAnsi="宋体"/>
          <w:bCs/>
          <w:color w:val="auto"/>
          <w:kern w:val="0"/>
          <w:sz w:val="24"/>
          <w:highlight w:val="none"/>
          <w:u w:val="single"/>
        </w:rPr>
        <w:t xml:space="preserve">                                                                       </w:t>
      </w:r>
    </w:p>
    <w:p w14:paraId="1522F165">
      <w:pPr>
        <w:snapToGrid w:val="0"/>
        <w:spacing w:line="360" w:lineRule="auto"/>
        <w:ind w:firstLine="480" w:firstLineChars="200"/>
        <w:rPr>
          <w:rFonts w:hint="eastAsia" w:ascii="宋体" w:hAnsi="宋体"/>
          <w:bCs/>
          <w:color w:val="auto"/>
          <w:kern w:val="0"/>
          <w:sz w:val="24"/>
          <w:highlight w:val="none"/>
          <w:u w:val="single"/>
        </w:rPr>
      </w:pPr>
      <w:r>
        <w:rPr>
          <w:rFonts w:ascii="宋体" w:hAnsi="宋体"/>
          <w:bCs/>
          <w:color w:val="auto"/>
          <w:kern w:val="0"/>
          <w:sz w:val="24"/>
          <w:highlight w:val="none"/>
        </w:rPr>
        <w:t>地址</w:t>
      </w:r>
      <w:r>
        <w:rPr>
          <w:rFonts w:hint="eastAsia" w:ascii="宋体" w:hAnsi="宋体"/>
          <w:bCs/>
          <w:color w:val="auto"/>
          <w:kern w:val="0"/>
          <w:sz w:val="24"/>
          <w:highlight w:val="none"/>
        </w:rPr>
        <w:t>：</w:t>
      </w:r>
      <w:r>
        <w:rPr>
          <w:rFonts w:hint="eastAsia" w:ascii="宋体" w:hAnsi="宋体"/>
          <w:bCs/>
          <w:color w:val="auto"/>
          <w:kern w:val="0"/>
          <w:sz w:val="24"/>
          <w:highlight w:val="none"/>
          <w:u w:val="single"/>
        </w:rPr>
        <w:t xml:space="preserve">                                              </w:t>
      </w:r>
      <w:r>
        <w:rPr>
          <w:rFonts w:ascii="宋体" w:hAnsi="宋体"/>
          <w:bCs/>
          <w:color w:val="auto"/>
          <w:kern w:val="0"/>
          <w:sz w:val="24"/>
          <w:highlight w:val="none"/>
        </w:rPr>
        <w:t>邮编</w:t>
      </w:r>
      <w:r>
        <w:rPr>
          <w:rFonts w:hint="eastAsia" w:ascii="宋体" w:hAnsi="宋体"/>
          <w:bCs/>
          <w:color w:val="auto"/>
          <w:kern w:val="0"/>
          <w:sz w:val="24"/>
          <w:highlight w:val="none"/>
        </w:rPr>
        <w:t>：</w:t>
      </w:r>
      <w:r>
        <w:rPr>
          <w:rFonts w:hint="eastAsia" w:ascii="宋体" w:hAnsi="宋体"/>
          <w:bCs/>
          <w:color w:val="auto"/>
          <w:kern w:val="0"/>
          <w:sz w:val="24"/>
          <w:highlight w:val="none"/>
          <w:u w:val="single"/>
        </w:rPr>
        <w:t xml:space="preserve">                         </w:t>
      </w:r>
    </w:p>
    <w:p w14:paraId="5DF335E4">
      <w:pPr>
        <w:snapToGrid w:val="0"/>
        <w:spacing w:line="360" w:lineRule="auto"/>
        <w:ind w:firstLine="480" w:firstLineChars="200"/>
        <w:rPr>
          <w:rFonts w:hint="eastAsia" w:ascii="宋体" w:hAnsi="宋体"/>
          <w:bCs/>
          <w:color w:val="auto"/>
          <w:kern w:val="0"/>
          <w:sz w:val="24"/>
          <w:highlight w:val="none"/>
        </w:rPr>
      </w:pPr>
      <w:r>
        <w:rPr>
          <w:rFonts w:hint="eastAsia" w:ascii="宋体" w:hAnsi="宋体"/>
          <w:bCs/>
          <w:color w:val="auto"/>
          <w:kern w:val="0"/>
          <w:sz w:val="24"/>
          <w:highlight w:val="none"/>
        </w:rPr>
        <w:t>联系人：</w:t>
      </w:r>
      <w:r>
        <w:rPr>
          <w:rFonts w:hint="eastAsia" w:ascii="宋体" w:hAnsi="宋体"/>
          <w:bCs/>
          <w:color w:val="auto"/>
          <w:kern w:val="0"/>
          <w:sz w:val="24"/>
          <w:highlight w:val="none"/>
          <w:u w:val="single"/>
        </w:rPr>
        <w:t xml:space="preserve">                                            </w:t>
      </w:r>
      <w:r>
        <w:rPr>
          <w:rFonts w:ascii="宋体" w:hAnsi="宋体"/>
          <w:bCs/>
          <w:color w:val="auto"/>
          <w:kern w:val="0"/>
          <w:sz w:val="24"/>
          <w:highlight w:val="none"/>
        </w:rPr>
        <w:t>联系</w:t>
      </w:r>
      <w:r>
        <w:rPr>
          <w:rFonts w:hint="eastAsia" w:ascii="宋体" w:hAnsi="宋体"/>
          <w:bCs/>
          <w:color w:val="auto"/>
          <w:kern w:val="0"/>
          <w:sz w:val="24"/>
          <w:highlight w:val="none"/>
        </w:rPr>
        <w:t>电话：</w:t>
      </w:r>
      <w:r>
        <w:rPr>
          <w:rFonts w:hint="eastAsia" w:ascii="宋体" w:hAnsi="宋体"/>
          <w:bCs/>
          <w:color w:val="auto"/>
          <w:kern w:val="0"/>
          <w:sz w:val="24"/>
          <w:highlight w:val="none"/>
          <w:u w:val="single"/>
        </w:rPr>
        <w:t xml:space="preserve">                     </w:t>
      </w:r>
      <w:r>
        <w:rPr>
          <w:rFonts w:hint="eastAsia" w:ascii="宋体" w:hAnsi="宋体"/>
          <w:bCs/>
          <w:color w:val="auto"/>
          <w:kern w:val="0"/>
          <w:sz w:val="24"/>
          <w:highlight w:val="none"/>
        </w:rPr>
        <w:t xml:space="preserve">                </w:t>
      </w:r>
    </w:p>
    <w:p w14:paraId="703627DA">
      <w:pPr>
        <w:snapToGrid w:val="0"/>
        <w:spacing w:line="360" w:lineRule="auto"/>
        <w:ind w:firstLine="482" w:firstLineChars="200"/>
        <w:rPr>
          <w:rFonts w:hint="eastAsia" w:ascii="宋体" w:hAnsi="宋体"/>
          <w:b/>
          <w:bCs/>
          <w:color w:val="auto"/>
          <w:kern w:val="0"/>
          <w:sz w:val="24"/>
          <w:highlight w:val="none"/>
        </w:rPr>
      </w:pPr>
      <w:r>
        <w:rPr>
          <w:rFonts w:hint="eastAsia" w:ascii="宋体" w:hAnsi="宋体"/>
          <w:b/>
          <w:bCs/>
          <w:color w:val="auto"/>
          <w:kern w:val="0"/>
          <w:sz w:val="24"/>
          <w:highlight w:val="none"/>
        </w:rPr>
        <w:t>二、投诉项目基本情况：</w:t>
      </w:r>
    </w:p>
    <w:p w14:paraId="78442F14">
      <w:pPr>
        <w:spacing w:line="360" w:lineRule="auto"/>
        <w:ind w:left="25" w:leftChars="12" w:firstLine="472" w:firstLineChars="197"/>
        <w:rPr>
          <w:rFonts w:hint="eastAsia" w:ascii="宋体" w:hAnsi="宋体"/>
          <w:color w:val="auto"/>
          <w:kern w:val="0"/>
          <w:sz w:val="24"/>
          <w:highlight w:val="none"/>
        </w:rPr>
      </w:pPr>
      <w:r>
        <w:rPr>
          <w:rFonts w:hint="eastAsia" w:ascii="宋体" w:hAnsi="宋体"/>
          <w:bCs/>
          <w:color w:val="auto"/>
          <w:kern w:val="0"/>
          <w:sz w:val="24"/>
          <w:highlight w:val="none"/>
        </w:rPr>
        <w:t>采购</w:t>
      </w:r>
      <w:r>
        <w:rPr>
          <w:rFonts w:hint="eastAsia" w:ascii="宋体" w:hAnsi="宋体"/>
          <w:color w:val="auto"/>
          <w:kern w:val="0"/>
          <w:sz w:val="24"/>
          <w:highlight w:val="none"/>
        </w:rPr>
        <w:t>项目的名称：</w:t>
      </w:r>
      <w:r>
        <w:rPr>
          <w:rFonts w:hint="eastAsia" w:ascii="宋体" w:hAnsi="宋体"/>
          <w:bCs/>
          <w:color w:val="auto"/>
          <w:kern w:val="0"/>
          <w:sz w:val="24"/>
          <w:highlight w:val="none"/>
          <w:u w:val="single"/>
        </w:rPr>
        <w:t xml:space="preserve">                                                                   </w:t>
      </w:r>
    </w:p>
    <w:p w14:paraId="56BAEE13">
      <w:pPr>
        <w:spacing w:line="360" w:lineRule="auto"/>
        <w:ind w:left="25" w:leftChars="12" w:firstLine="472" w:firstLineChars="197"/>
        <w:rPr>
          <w:rFonts w:hint="eastAsia" w:ascii="宋体" w:hAnsi="宋体"/>
          <w:color w:val="auto"/>
          <w:kern w:val="0"/>
          <w:sz w:val="24"/>
          <w:highlight w:val="none"/>
        </w:rPr>
      </w:pPr>
      <w:r>
        <w:rPr>
          <w:rFonts w:hint="eastAsia" w:ascii="宋体" w:hAnsi="宋体"/>
          <w:bCs/>
          <w:color w:val="auto"/>
          <w:kern w:val="0"/>
          <w:sz w:val="24"/>
          <w:highlight w:val="none"/>
        </w:rPr>
        <w:t>采购</w:t>
      </w:r>
      <w:r>
        <w:rPr>
          <w:rFonts w:hint="eastAsia" w:ascii="宋体" w:hAnsi="宋体"/>
          <w:color w:val="auto"/>
          <w:kern w:val="0"/>
          <w:sz w:val="24"/>
          <w:highlight w:val="none"/>
        </w:rPr>
        <w:t>项目的编号：</w:t>
      </w:r>
      <w:r>
        <w:rPr>
          <w:rFonts w:hint="eastAsia" w:ascii="宋体" w:hAnsi="宋体"/>
          <w:bCs/>
          <w:color w:val="auto"/>
          <w:kern w:val="0"/>
          <w:sz w:val="24"/>
          <w:highlight w:val="none"/>
          <w:u w:val="single"/>
        </w:rPr>
        <w:t xml:space="preserve">                                          </w:t>
      </w:r>
    </w:p>
    <w:p w14:paraId="448DFA34">
      <w:pPr>
        <w:spacing w:line="360" w:lineRule="auto"/>
        <w:ind w:left="25" w:leftChars="12" w:firstLine="472" w:firstLineChars="197"/>
        <w:rPr>
          <w:rFonts w:hint="eastAsia" w:ascii="宋体" w:hAnsi="宋体"/>
          <w:bCs/>
          <w:color w:val="auto"/>
          <w:kern w:val="0"/>
          <w:sz w:val="24"/>
          <w:highlight w:val="none"/>
          <w:u w:val="single"/>
        </w:rPr>
      </w:pPr>
      <w:r>
        <w:rPr>
          <w:rFonts w:hint="eastAsia" w:ascii="宋体" w:hAnsi="宋体"/>
          <w:color w:val="auto"/>
          <w:kern w:val="0"/>
          <w:sz w:val="24"/>
          <w:highlight w:val="none"/>
        </w:rPr>
        <w:t>采购人名称：</w:t>
      </w:r>
      <w:r>
        <w:rPr>
          <w:rFonts w:hint="eastAsia" w:ascii="宋体" w:hAnsi="宋体"/>
          <w:bCs/>
          <w:color w:val="auto"/>
          <w:kern w:val="0"/>
          <w:sz w:val="24"/>
          <w:highlight w:val="none"/>
          <w:u w:val="single"/>
        </w:rPr>
        <w:t xml:space="preserve">                                                                        </w:t>
      </w:r>
    </w:p>
    <w:p w14:paraId="31BEDD55">
      <w:pPr>
        <w:spacing w:line="360" w:lineRule="auto"/>
        <w:ind w:left="25" w:leftChars="12" w:firstLine="472" w:firstLineChars="197"/>
        <w:rPr>
          <w:rFonts w:hint="eastAsia" w:ascii="宋体" w:hAnsi="宋体"/>
          <w:bCs/>
          <w:color w:val="auto"/>
          <w:kern w:val="0"/>
          <w:sz w:val="24"/>
          <w:highlight w:val="none"/>
          <w:u w:val="single"/>
        </w:rPr>
      </w:pPr>
      <w:r>
        <w:rPr>
          <w:rFonts w:hint="eastAsia" w:ascii="宋体" w:hAnsi="宋体"/>
          <w:color w:val="auto"/>
          <w:kern w:val="0"/>
          <w:sz w:val="24"/>
          <w:highlight w:val="none"/>
        </w:rPr>
        <w:t>代理机构名称：</w:t>
      </w:r>
      <w:r>
        <w:rPr>
          <w:rFonts w:hint="eastAsia" w:ascii="宋体" w:hAnsi="宋体"/>
          <w:bCs/>
          <w:color w:val="auto"/>
          <w:kern w:val="0"/>
          <w:sz w:val="24"/>
          <w:highlight w:val="none"/>
          <w:u w:val="single"/>
        </w:rPr>
        <w:t xml:space="preserve">                                                                      </w:t>
      </w:r>
    </w:p>
    <w:p w14:paraId="129886F2">
      <w:pPr>
        <w:spacing w:line="360" w:lineRule="auto"/>
        <w:ind w:left="25" w:leftChars="12" w:firstLine="472" w:firstLineChars="197"/>
        <w:rPr>
          <w:rFonts w:hint="eastAsia" w:ascii="宋体" w:hAnsi="宋体"/>
          <w:bCs/>
          <w:color w:val="auto"/>
          <w:kern w:val="0"/>
          <w:sz w:val="24"/>
          <w:highlight w:val="none"/>
          <w:u w:val="single"/>
        </w:rPr>
      </w:pPr>
      <w:r>
        <w:rPr>
          <w:rFonts w:hint="eastAsia" w:ascii="宋体" w:hAnsi="宋体"/>
          <w:bCs/>
          <w:color w:val="auto"/>
          <w:kern w:val="0"/>
          <w:sz w:val="24"/>
          <w:highlight w:val="none"/>
        </w:rPr>
        <w:t>采购文件公告：</w:t>
      </w:r>
      <w:r>
        <w:rPr>
          <w:rFonts w:hint="eastAsia" w:ascii="宋体" w:hAnsi="宋体"/>
          <w:bCs/>
          <w:color w:val="auto"/>
          <w:kern w:val="0"/>
          <w:sz w:val="24"/>
          <w:highlight w:val="none"/>
          <w:u w:val="single"/>
        </w:rPr>
        <w:t>是/否</w:t>
      </w:r>
      <w:r>
        <w:rPr>
          <w:rFonts w:hint="eastAsia" w:ascii="宋体" w:hAnsi="宋体"/>
          <w:bCs/>
          <w:color w:val="auto"/>
          <w:kern w:val="0"/>
          <w:sz w:val="24"/>
          <w:highlight w:val="none"/>
        </w:rPr>
        <w:t>公告期限：</w:t>
      </w:r>
      <w:r>
        <w:rPr>
          <w:rFonts w:hint="eastAsia" w:ascii="宋体" w:hAnsi="宋体"/>
          <w:bCs/>
          <w:color w:val="auto"/>
          <w:kern w:val="0"/>
          <w:sz w:val="24"/>
          <w:highlight w:val="none"/>
          <w:u w:val="single"/>
        </w:rPr>
        <w:t xml:space="preserve">                                                       </w:t>
      </w:r>
    </w:p>
    <w:p w14:paraId="09161501">
      <w:pPr>
        <w:spacing w:line="360" w:lineRule="auto"/>
        <w:ind w:left="25" w:leftChars="12" w:firstLine="472" w:firstLineChars="197"/>
        <w:rPr>
          <w:rFonts w:hint="eastAsia" w:ascii="宋体" w:hAnsi="宋体"/>
          <w:b/>
          <w:color w:val="auto"/>
          <w:kern w:val="0"/>
          <w:sz w:val="24"/>
          <w:highlight w:val="none"/>
        </w:rPr>
      </w:pPr>
      <w:r>
        <w:rPr>
          <w:rFonts w:hint="eastAsia" w:ascii="宋体" w:hAnsi="宋体"/>
          <w:bCs/>
          <w:color w:val="auto"/>
          <w:kern w:val="0"/>
          <w:sz w:val="24"/>
          <w:highlight w:val="none"/>
        </w:rPr>
        <w:t>采购结果公告：</w:t>
      </w:r>
      <w:r>
        <w:rPr>
          <w:rFonts w:hint="eastAsia" w:ascii="宋体" w:hAnsi="宋体"/>
          <w:bCs/>
          <w:color w:val="auto"/>
          <w:kern w:val="0"/>
          <w:sz w:val="24"/>
          <w:highlight w:val="none"/>
          <w:u w:val="single"/>
        </w:rPr>
        <w:t>是/否</w:t>
      </w:r>
      <w:r>
        <w:rPr>
          <w:rFonts w:hint="eastAsia" w:ascii="宋体" w:hAnsi="宋体"/>
          <w:bCs/>
          <w:color w:val="auto"/>
          <w:kern w:val="0"/>
          <w:sz w:val="24"/>
          <w:highlight w:val="none"/>
        </w:rPr>
        <w:t>公告期限：</w:t>
      </w:r>
      <w:r>
        <w:rPr>
          <w:rFonts w:hint="eastAsia" w:ascii="宋体" w:hAnsi="宋体"/>
          <w:bCs/>
          <w:color w:val="auto"/>
          <w:kern w:val="0"/>
          <w:sz w:val="24"/>
          <w:highlight w:val="none"/>
          <w:u w:val="single"/>
        </w:rPr>
        <w:t xml:space="preserve">                                                       </w:t>
      </w:r>
    </w:p>
    <w:p w14:paraId="30E47256">
      <w:pPr>
        <w:spacing w:line="360" w:lineRule="auto"/>
        <w:ind w:left="25" w:leftChars="12" w:firstLine="472" w:firstLineChars="196"/>
        <w:rPr>
          <w:rFonts w:hint="eastAsia" w:ascii="宋体" w:hAnsi="宋体"/>
          <w:b/>
          <w:color w:val="auto"/>
          <w:kern w:val="0"/>
          <w:sz w:val="24"/>
          <w:highlight w:val="none"/>
        </w:rPr>
      </w:pPr>
      <w:r>
        <w:rPr>
          <w:rFonts w:hint="eastAsia" w:ascii="宋体" w:hAnsi="宋体"/>
          <w:b/>
          <w:color w:val="auto"/>
          <w:kern w:val="0"/>
          <w:sz w:val="24"/>
          <w:highlight w:val="none"/>
        </w:rPr>
        <w:t>三、质疑基本情况</w:t>
      </w:r>
    </w:p>
    <w:p w14:paraId="788EB5B0">
      <w:pPr>
        <w:spacing w:line="360" w:lineRule="auto"/>
        <w:ind w:firstLine="480" w:firstLineChars="200"/>
        <w:rPr>
          <w:rFonts w:hint="eastAsia" w:ascii="宋体" w:hAnsi="宋体"/>
          <w:color w:val="auto"/>
          <w:kern w:val="0"/>
          <w:sz w:val="24"/>
          <w:highlight w:val="none"/>
        </w:rPr>
      </w:pPr>
      <w:r>
        <w:rPr>
          <w:rFonts w:hint="eastAsia" w:ascii="宋体" w:hAnsi="宋体"/>
          <w:color w:val="auto"/>
          <w:kern w:val="0"/>
          <w:sz w:val="24"/>
          <w:highlight w:val="none"/>
        </w:rPr>
        <w:t>投诉人于</w:t>
      </w:r>
      <w:r>
        <w:rPr>
          <w:rFonts w:hint="eastAsia" w:ascii="宋体" w:hAnsi="宋体"/>
          <w:color w:val="auto"/>
          <w:kern w:val="0"/>
          <w:sz w:val="24"/>
          <w:highlight w:val="none"/>
          <w:u w:val="single"/>
        </w:rPr>
        <w:t xml:space="preserve">      </w:t>
      </w:r>
      <w:r>
        <w:rPr>
          <w:rFonts w:hint="eastAsia" w:ascii="宋体" w:hAnsi="宋体"/>
          <w:color w:val="auto"/>
          <w:kern w:val="0"/>
          <w:sz w:val="24"/>
          <w:highlight w:val="none"/>
        </w:rPr>
        <w:t>年</w:t>
      </w:r>
      <w:r>
        <w:rPr>
          <w:rFonts w:hint="eastAsia" w:ascii="宋体" w:hAnsi="宋体"/>
          <w:color w:val="auto"/>
          <w:kern w:val="0"/>
          <w:sz w:val="24"/>
          <w:highlight w:val="none"/>
          <w:u w:val="single"/>
        </w:rPr>
        <w:t xml:space="preserve">   </w:t>
      </w:r>
      <w:r>
        <w:rPr>
          <w:rFonts w:hint="eastAsia" w:ascii="宋体" w:hAnsi="宋体"/>
          <w:color w:val="auto"/>
          <w:kern w:val="0"/>
          <w:sz w:val="24"/>
          <w:highlight w:val="none"/>
        </w:rPr>
        <w:t>月</w:t>
      </w:r>
      <w:r>
        <w:rPr>
          <w:rFonts w:hint="eastAsia" w:ascii="宋体" w:hAnsi="宋体"/>
          <w:color w:val="auto"/>
          <w:kern w:val="0"/>
          <w:sz w:val="24"/>
          <w:highlight w:val="none"/>
          <w:u w:val="single"/>
        </w:rPr>
        <w:t xml:space="preserve">   </w:t>
      </w:r>
      <w:r>
        <w:rPr>
          <w:rFonts w:hint="eastAsia" w:ascii="宋体" w:hAnsi="宋体"/>
          <w:color w:val="auto"/>
          <w:kern w:val="0"/>
          <w:sz w:val="24"/>
          <w:highlight w:val="none"/>
        </w:rPr>
        <w:t>日，向</w:t>
      </w:r>
      <w:r>
        <w:rPr>
          <w:rFonts w:hint="eastAsia" w:ascii="宋体" w:hAnsi="宋体"/>
          <w:color w:val="auto"/>
          <w:kern w:val="0"/>
          <w:sz w:val="24"/>
          <w:highlight w:val="none"/>
          <w:u w:val="single"/>
        </w:rPr>
        <w:t xml:space="preserve">                                </w:t>
      </w:r>
      <w:r>
        <w:rPr>
          <w:rFonts w:hint="eastAsia" w:ascii="宋体" w:hAnsi="宋体"/>
          <w:color w:val="auto"/>
          <w:kern w:val="0"/>
          <w:sz w:val="24"/>
          <w:highlight w:val="none"/>
        </w:rPr>
        <w:t>提出质疑，质疑事项为：</w:t>
      </w:r>
    </w:p>
    <w:p w14:paraId="68BF3C7D">
      <w:pPr>
        <w:spacing w:line="360" w:lineRule="auto"/>
        <w:ind w:firstLine="241"/>
        <w:rPr>
          <w:rFonts w:hint="eastAsia" w:ascii="宋体" w:hAnsi="宋体"/>
          <w:bCs/>
          <w:color w:val="auto"/>
          <w:kern w:val="0"/>
          <w:sz w:val="24"/>
          <w:highlight w:val="none"/>
          <w:u w:val="single"/>
        </w:rPr>
      </w:pPr>
      <w:r>
        <w:rPr>
          <w:rFonts w:hint="eastAsia" w:ascii="宋体" w:hAnsi="宋体"/>
          <w:color w:val="auto"/>
          <w:kern w:val="0"/>
          <w:sz w:val="24"/>
          <w:highlight w:val="none"/>
        </w:rPr>
        <w:t xml:space="preserve">    </w:t>
      </w:r>
      <w:r>
        <w:rPr>
          <w:rFonts w:hint="eastAsia" w:ascii="宋体" w:hAnsi="宋体"/>
          <w:bCs/>
          <w:color w:val="auto"/>
          <w:kern w:val="0"/>
          <w:sz w:val="24"/>
          <w:highlight w:val="none"/>
          <w:u w:val="single"/>
        </w:rPr>
        <w:t xml:space="preserve">                                                                                      </w:t>
      </w:r>
    </w:p>
    <w:p w14:paraId="392347A0">
      <w:pPr>
        <w:spacing w:line="360" w:lineRule="auto"/>
        <w:ind w:firstLine="241"/>
        <w:rPr>
          <w:rFonts w:hint="eastAsia" w:ascii="宋体" w:hAnsi="宋体"/>
          <w:bCs/>
          <w:color w:val="auto"/>
          <w:kern w:val="0"/>
          <w:sz w:val="24"/>
          <w:highlight w:val="none"/>
          <w:u w:val="single"/>
        </w:rPr>
      </w:pPr>
      <w:r>
        <w:rPr>
          <w:rFonts w:hint="eastAsia" w:ascii="宋体" w:hAnsi="宋体"/>
          <w:bCs/>
          <w:color w:val="auto"/>
          <w:kern w:val="0"/>
          <w:sz w:val="24"/>
          <w:highlight w:val="none"/>
        </w:rPr>
        <w:t xml:space="preserve">    </w:t>
      </w:r>
      <w:r>
        <w:rPr>
          <w:rFonts w:hint="eastAsia" w:ascii="宋体" w:hAnsi="宋体"/>
          <w:bCs/>
          <w:color w:val="auto"/>
          <w:kern w:val="0"/>
          <w:sz w:val="24"/>
          <w:highlight w:val="none"/>
          <w:u w:val="single"/>
        </w:rPr>
        <w:t xml:space="preserve">                                                                                      </w:t>
      </w:r>
    </w:p>
    <w:p w14:paraId="1F8E28FF">
      <w:pPr>
        <w:spacing w:line="360" w:lineRule="auto"/>
        <w:ind w:firstLine="480" w:firstLineChars="200"/>
        <w:rPr>
          <w:rFonts w:hint="eastAsia" w:ascii="宋体" w:hAnsi="宋体"/>
          <w:color w:val="auto"/>
          <w:kern w:val="0"/>
          <w:sz w:val="24"/>
          <w:highlight w:val="none"/>
        </w:rPr>
      </w:pPr>
      <w:r>
        <w:rPr>
          <w:rFonts w:hint="eastAsia" w:ascii="宋体" w:hAnsi="宋体"/>
          <w:bCs/>
          <w:color w:val="auto"/>
          <w:kern w:val="0"/>
          <w:sz w:val="24"/>
          <w:highlight w:val="none"/>
          <w:u w:val="single"/>
        </w:rPr>
        <w:t>采购人/代理机构</w:t>
      </w:r>
      <w:r>
        <w:rPr>
          <w:rFonts w:hint="eastAsia" w:ascii="宋体" w:hAnsi="宋体"/>
          <w:bCs/>
          <w:color w:val="auto"/>
          <w:kern w:val="0"/>
          <w:sz w:val="24"/>
          <w:highlight w:val="none"/>
        </w:rPr>
        <w:t>于</w:t>
      </w:r>
      <w:r>
        <w:rPr>
          <w:rFonts w:hint="eastAsia" w:ascii="宋体" w:hAnsi="宋体"/>
          <w:color w:val="auto"/>
          <w:kern w:val="0"/>
          <w:sz w:val="24"/>
          <w:highlight w:val="none"/>
          <w:u w:val="single"/>
        </w:rPr>
        <w:t xml:space="preserve">      </w:t>
      </w:r>
      <w:r>
        <w:rPr>
          <w:rFonts w:hint="eastAsia" w:ascii="宋体" w:hAnsi="宋体"/>
          <w:color w:val="auto"/>
          <w:kern w:val="0"/>
          <w:sz w:val="24"/>
          <w:highlight w:val="none"/>
        </w:rPr>
        <w:t>年</w:t>
      </w:r>
      <w:r>
        <w:rPr>
          <w:rFonts w:hint="eastAsia" w:ascii="宋体" w:hAnsi="宋体"/>
          <w:color w:val="auto"/>
          <w:kern w:val="0"/>
          <w:sz w:val="24"/>
          <w:highlight w:val="none"/>
          <w:u w:val="single"/>
        </w:rPr>
        <w:t xml:space="preserve">   </w:t>
      </w:r>
      <w:r>
        <w:rPr>
          <w:rFonts w:hint="eastAsia" w:ascii="宋体" w:hAnsi="宋体"/>
          <w:color w:val="auto"/>
          <w:kern w:val="0"/>
          <w:sz w:val="24"/>
          <w:highlight w:val="none"/>
        </w:rPr>
        <w:t>月</w:t>
      </w:r>
      <w:r>
        <w:rPr>
          <w:rFonts w:hint="eastAsia" w:ascii="宋体" w:hAnsi="宋体"/>
          <w:color w:val="auto"/>
          <w:kern w:val="0"/>
          <w:sz w:val="24"/>
          <w:highlight w:val="none"/>
          <w:u w:val="single"/>
        </w:rPr>
        <w:t xml:space="preserve">   </w:t>
      </w:r>
      <w:r>
        <w:rPr>
          <w:rFonts w:hint="eastAsia" w:ascii="宋体" w:hAnsi="宋体"/>
          <w:color w:val="auto"/>
          <w:kern w:val="0"/>
          <w:sz w:val="24"/>
          <w:highlight w:val="none"/>
        </w:rPr>
        <w:t>日，</w:t>
      </w:r>
      <w:r>
        <w:rPr>
          <w:rFonts w:hint="eastAsia" w:ascii="宋体" w:hAnsi="宋体"/>
          <w:bCs/>
          <w:color w:val="auto"/>
          <w:kern w:val="0"/>
          <w:sz w:val="24"/>
          <w:highlight w:val="none"/>
        </w:rPr>
        <w:t xml:space="preserve">就质疑事项作出了答复/没有在法定期限内作出答复。                                                                                             </w:t>
      </w:r>
    </w:p>
    <w:p w14:paraId="4E1A4D53">
      <w:pPr>
        <w:spacing w:line="360" w:lineRule="auto"/>
        <w:ind w:left="25" w:leftChars="12" w:firstLine="472" w:firstLineChars="196"/>
        <w:rPr>
          <w:rFonts w:hint="eastAsia" w:ascii="宋体" w:hAnsi="宋体"/>
          <w:b/>
          <w:color w:val="auto"/>
          <w:kern w:val="0"/>
          <w:sz w:val="24"/>
          <w:highlight w:val="none"/>
        </w:rPr>
      </w:pPr>
      <w:r>
        <w:rPr>
          <w:rFonts w:hint="eastAsia" w:ascii="宋体" w:hAnsi="宋体"/>
          <w:b/>
          <w:color w:val="auto"/>
          <w:kern w:val="0"/>
          <w:sz w:val="24"/>
          <w:highlight w:val="none"/>
        </w:rPr>
        <w:t>四、投诉事项具体内容</w:t>
      </w:r>
    </w:p>
    <w:p w14:paraId="41E9879A">
      <w:pPr>
        <w:spacing w:line="360" w:lineRule="auto"/>
        <w:ind w:left="25" w:leftChars="12" w:firstLine="472" w:firstLineChars="197"/>
        <w:rPr>
          <w:rFonts w:hint="eastAsia" w:ascii="宋体" w:hAnsi="宋体"/>
          <w:bCs/>
          <w:color w:val="auto"/>
          <w:kern w:val="0"/>
          <w:sz w:val="24"/>
          <w:highlight w:val="none"/>
          <w:u w:val="single"/>
        </w:rPr>
      </w:pPr>
      <w:r>
        <w:rPr>
          <w:rFonts w:hint="eastAsia" w:ascii="宋体" w:hAnsi="宋体"/>
          <w:color w:val="auto"/>
          <w:kern w:val="0"/>
          <w:sz w:val="24"/>
          <w:highlight w:val="none"/>
        </w:rPr>
        <w:t>投诉事项1：</w:t>
      </w:r>
      <w:r>
        <w:rPr>
          <w:rFonts w:hint="eastAsia" w:ascii="宋体" w:hAnsi="宋体"/>
          <w:bCs/>
          <w:color w:val="auto"/>
          <w:kern w:val="0"/>
          <w:sz w:val="24"/>
          <w:highlight w:val="none"/>
          <w:u w:val="single"/>
        </w:rPr>
        <w:t xml:space="preserve">                                                                           </w:t>
      </w:r>
    </w:p>
    <w:p w14:paraId="0A8398A9">
      <w:pPr>
        <w:spacing w:line="360" w:lineRule="auto"/>
        <w:ind w:firstLine="480" w:firstLineChars="200"/>
        <w:rPr>
          <w:rFonts w:hint="eastAsia" w:ascii="宋体" w:hAnsi="宋体"/>
          <w:bCs/>
          <w:color w:val="auto"/>
          <w:kern w:val="0"/>
          <w:sz w:val="24"/>
          <w:highlight w:val="none"/>
          <w:u w:val="single"/>
        </w:rPr>
      </w:pPr>
      <w:r>
        <w:rPr>
          <w:rFonts w:hint="eastAsia" w:ascii="宋体" w:hAnsi="宋体"/>
          <w:bCs/>
          <w:color w:val="auto"/>
          <w:kern w:val="0"/>
          <w:sz w:val="24"/>
          <w:highlight w:val="none"/>
        </w:rPr>
        <w:t>事实依据：</w:t>
      </w:r>
      <w:r>
        <w:rPr>
          <w:rFonts w:hint="eastAsia" w:ascii="宋体" w:hAnsi="宋体"/>
          <w:color w:val="auto"/>
          <w:kern w:val="0"/>
          <w:sz w:val="24"/>
          <w:highlight w:val="none"/>
        </w:rPr>
        <w:t xml:space="preserve"> </w:t>
      </w:r>
      <w:r>
        <w:rPr>
          <w:rFonts w:hint="eastAsia" w:ascii="宋体" w:hAnsi="宋体"/>
          <w:bCs/>
          <w:color w:val="auto"/>
          <w:kern w:val="0"/>
          <w:sz w:val="24"/>
          <w:highlight w:val="none"/>
          <w:u w:val="single"/>
        </w:rPr>
        <w:t xml:space="preserve">                                                                                      </w:t>
      </w:r>
    </w:p>
    <w:p w14:paraId="0DF013DF">
      <w:pPr>
        <w:spacing w:line="360" w:lineRule="auto"/>
        <w:ind w:left="25" w:leftChars="12" w:firstLine="472" w:firstLineChars="197"/>
        <w:rPr>
          <w:rFonts w:hint="eastAsia" w:ascii="宋体" w:hAnsi="宋体"/>
          <w:color w:val="auto"/>
          <w:kern w:val="0"/>
          <w:sz w:val="24"/>
          <w:highlight w:val="none"/>
        </w:rPr>
      </w:pPr>
      <w:r>
        <w:rPr>
          <w:rFonts w:hint="eastAsia" w:ascii="宋体" w:hAnsi="宋体"/>
          <w:bCs/>
          <w:color w:val="auto"/>
          <w:kern w:val="0"/>
          <w:sz w:val="24"/>
          <w:highlight w:val="none"/>
          <w:u w:val="single"/>
        </w:rPr>
        <w:t xml:space="preserve">                                                                                        </w:t>
      </w:r>
    </w:p>
    <w:p w14:paraId="6B3B7AA6">
      <w:pPr>
        <w:spacing w:line="360" w:lineRule="auto"/>
        <w:ind w:firstLine="480" w:firstLineChars="200"/>
        <w:rPr>
          <w:rFonts w:hint="eastAsia" w:ascii="宋体" w:hAnsi="宋体"/>
          <w:bCs/>
          <w:color w:val="auto"/>
          <w:kern w:val="0"/>
          <w:sz w:val="24"/>
          <w:highlight w:val="none"/>
          <w:u w:val="single"/>
        </w:rPr>
      </w:pPr>
      <w:r>
        <w:rPr>
          <w:rFonts w:hint="eastAsia" w:ascii="宋体" w:hAnsi="宋体"/>
          <w:bCs/>
          <w:color w:val="auto"/>
          <w:kern w:val="0"/>
          <w:sz w:val="24"/>
          <w:highlight w:val="none"/>
        </w:rPr>
        <w:t>法律依据：</w:t>
      </w:r>
      <w:r>
        <w:rPr>
          <w:rFonts w:hint="eastAsia" w:ascii="宋体" w:hAnsi="宋体"/>
          <w:color w:val="auto"/>
          <w:kern w:val="0"/>
          <w:sz w:val="24"/>
          <w:highlight w:val="none"/>
        </w:rPr>
        <w:t xml:space="preserve"> </w:t>
      </w:r>
      <w:r>
        <w:rPr>
          <w:rFonts w:hint="eastAsia" w:ascii="宋体" w:hAnsi="宋体"/>
          <w:bCs/>
          <w:color w:val="auto"/>
          <w:kern w:val="0"/>
          <w:sz w:val="24"/>
          <w:highlight w:val="none"/>
          <w:u w:val="single"/>
        </w:rPr>
        <w:t xml:space="preserve">                                                                                      </w:t>
      </w:r>
    </w:p>
    <w:p w14:paraId="7E2436CA">
      <w:pPr>
        <w:spacing w:line="360" w:lineRule="auto"/>
        <w:ind w:left="25" w:leftChars="12" w:firstLine="352" w:firstLineChars="147"/>
        <w:rPr>
          <w:rFonts w:hint="eastAsia" w:ascii="宋体" w:hAnsi="宋体"/>
          <w:bCs/>
          <w:color w:val="auto"/>
          <w:kern w:val="0"/>
          <w:sz w:val="24"/>
          <w:highlight w:val="none"/>
          <w:u w:val="single"/>
        </w:rPr>
      </w:pPr>
      <w:r>
        <w:rPr>
          <w:rFonts w:hint="eastAsia" w:ascii="宋体" w:hAnsi="宋体"/>
          <w:bCs/>
          <w:color w:val="auto"/>
          <w:kern w:val="0"/>
          <w:sz w:val="24"/>
          <w:highlight w:val="none"/>
        </w:rPr>
        <w:t xml:space="preserve"> </w:t>
      </w:r>
      <w:r>
        <w:rPr>
          <w:rFonts w:hint="eastAsia" w:ascii="宋体" w:hAnsi="宋体"/>
          <w:bCs/>
          <w:color w:val="auto"/>
          <w:kern w:val="0"/>
          <w:sz w:val="24"/>
          <w:highlight w:val="none"/>
          <w:u w:val="single"/>
        </w:rPr>
        <w:t xml:space="preserve">                                                                                        </w:t>
      </w:r>
    </w:p>
    <w:p w14:paraId="48F95450">
      <w:pPr>
        <w:spacing w:line="360" w:lineRule="auto"/>
        <w:ind w:left="25" w:leftChars="12" w:firstLine="472" w:firstLineChars="197"/>
        <w:rPr>
          <w:rFonts w:hint="eastAsia" w:ascii="宋体" w:hAnsi="宋体"/>
          <w:bCs/>
          <w:color w:val="auto"/>
          <w:kern w:val="0"/>
          <w:sz w:val="24"/>
          <w:highlight w:val="none"/>
        </w:rPr>
      </w:pPr>
      <w:r>
        <w:rPr>
          <w:rFonts w:hint="eastAsia" w:ascii="宋体" w:hAnsi="宋体"/>
          <w:color w:val="auto"/>
          <w:kern w:val="0"/>
          <w:sz w:val="24"/>
          <w:highlight w:val="none"/>
        </w:rPr>
        <w:t xml:space="preserve">投诉事项2  </w:t>
      </w:r>
      <w:r>
        <w:rPr>
          <w:rFonts w:hint="eastAsia" w:ascii="宋体" w:hAnsi="宋体"/>
          <w:bCs/>
          <w:color w:val="auto"/>
          <w:kern w:val="0"/>
          <w:sz w:val="24"/>
          <w:highlight w:val="none"/>
        </w:rPr>
        <w:t xml:space="preserve">   </w:t>
      </w:r>
    </w:p>
    <w:p w14:paraId="50B60B7D">
      <w:pPr>
        <w:spacing w:line="360" w:lineRule="auto"/>
        <w:ind w:left="25" w:leftChars="12" w:firstLine="472" w:firstLineChars="197"/>
        <w:rPr>
          <w:rFonts w:hint="eastAsia" w:ascii="宋体" w:hAnsi="宋体"/>
          <w:bCs/>
          <w:color w:val="auto"/>
          <w:kern w:val="0"/>
          <w:sz w:val="24"/>
          <w:highlight w:val="none"/>
        </w:rPr>
      </w:pPr>
      <w:r>
        <w:rPr>
          <w:rFonts w:ascii="宋体" w:hAnsi="宋体"/>
          <w:bCs/>
          <w:color w:val="auto"/>
          <w:kern w:val="0"/>
          <w:sz w:val="24"/>
          <w:highlight w:val="none"/>
        </w:rPr>
        <w:t>……</w:t>
      </w:r>
    </w:p>
    <w:p w14:paraId="487D3C9A">
      <w:pPr>
        <w:spacing w:line="360" w:lineRule="auto"/>
        <w:ind w:left="25" w:leftChars="12" w:firstLine="472" w:firstLineChars="196"/>
        <w:rPr>
          <w:rFonts w:hint="eastAsia" w:ascii="宋体" w:hAnsi="宋体"/>
          <w:b/>
          <w:color w:val="auto"/>
          <w:kern w:val="0"/>
          <w:sz w:val="24"/>
          <w:highlight w:val="none"/>
        </w:rPr>
      </w:pPr>
      <w:r>
        <w:rPr>
          <w:rFonts w:hint="eastAsia" w:ascii="宋体" w:hAnsi="宋体"/>
          <w:b/>
          <w:color w:val="auto"/>
          <w:kern w:val="0"/>
          <w:sz w:val="24"/>
          <w:highlight w:val="none"/>
        </w:rPr>
        <w:t>五、与投诉事项相关的投诉请求：</w:t>
      </w:r>
    </w:p>
    <w:p w14:paraId="50AEDCD6">
      <w:pPr>
        <w:spacing w:line="360" w:lineRule="auto"/>
        <w:ind w:left="25" w:leftChars="12" w:firstLine="472" w:firstLineChars="197"/>
        <w:rPr>
          <w:rFonts w:hint="eastAsia" w:ascii="宋体" w:hAnsi="宋体"/>
          <w:color w:val="auto"/>
          <w:kern w:val="0"/>
          <w:sz w:val="24"/>
          <w:highlight w:val="none"/>
        </w:rPr>
      </w:pPr>
      <w:r>
        <w:rPr>
          <w:rFonts w:hint="eastAsia" w:ascii="宋体" w:hAnsi="宋体"/>
          <w:color w:val="auto"/>
          <w:kern w:val="0"/>
          <w:sz w:val="24"/>
          <w:highlight w:val="none"/>
        </w:rPr>
        <w:t>请求：</w:t>
      </w:r>
      <w:r>
        <w:rPr>
          <w:rFonts w:hint="eastAsia" w:ascii="宋体" w:hAnsi="宋体"/>
          <w:bCs/>
          <w:color w:val="auto"/>
          <w:kern w:val="0"/>
          <w:sz w:val="24"/>
          <w:highlight w:val="none"/>
          <w:u w:val="single"/>
        </w:rPr>
        <w:t xml:space="preserve">                                                                                 </w:t>
      </w:r>
    </w:p>
    <w:p w14:paraId="69AA1F98">
      <w:pPr>
        <w:spacing w:line="360" w:lineRule="auto"/>
        <w:ind w:left="25" w:leftChars="12" w:firstLine="352" w:firstLineChars="147"/>
        <w:rPr>
          <w:rFonts w:hint="eastAsia" w:ascii="宋体" w:hAnsi="宋体"/>
          <w:color w:val="auto"/>
          <w:kern w:val="0"/>
          <w:sz w:val="24"/>
          <w:highlight w:val="none"/>
        </w:rPr>
      </w:pPr>
    </w:p>
    <w:p w14:paraId="5642807A">
      <w:pPr>
        <w:spacing w:line="360" w:lineRule="auto"/>
        <w:ind w:left="25" w:leftChars="12" w:firstLine="472" w:firstLineChars="197"/>
        <w:rPr>
          <w:rFonts w:hint="eastAsia" w:ascii="宋体" w:hAnsi="宋体"/>
          <w:color w:val="auto"/>
          <w:kern w:val="0"/>
          <w:sz w:val="24"/>
          <w:highlight w:val="none"/>
        </w:rPr>
      </w:pPr>
      <w:r>
        <w:rPr>
          <w:rFonts w:hint="eastAsia" w:ascii="宋体" w:hAnsi="宋体"/>
          <w:color w:val="auto"/>
          <w:kern w:val="0"/>
          <w:sz w:val="24"/>
          <w:highlight w:val="none"/>
        </w:rPr>
        <w:t>签字（签章）：                                       公章：</w:t>
      </w:r>
    </w:p>
    <w:p w14:paraId="0F732781">
      <w:pPr>
        <w:spacing w:line="360" w:lineRule="auto"/>
        <w:ind w:left="25" w:leftChars="12" w:firstLine="352" w:firstLineChars="147"/>
        <w:rPr>
          <w:rFonts w:hint="eastAsia" w:ascii="宋体" w:hAnsi="宋体"/>
          <w:color w:val="auto"/>
          <w:kern w:val="0"/>
          <w:sz w:val="24"/>
          <w:highlight w:val="none"/>
        </w:rPr>
      </w:pPr>
    </w:p>
    <w:p w14:paraId="31174E90">
      <w:pPr>
        <w:spacing w:line="360" w:lineRule="auto"/>
        <w:ind w:left="25" w:leftChars="12" w:firstLine="472" w:firstLineChars="197"/>
        <w:rPr>
          <w:rFonts w:hint="eastAsia" w:ascii="宋体" w:hAnsi="宋体"/>
          <w:color w:val="auto"/>
          <w:kern w:val="0"/>
          <w:sz w:val="24"/>
          <w:highlight w:val="none"/>
        </w:rPr>
      </w:pPr>
      <w:r>
        <w:rPr>
          <w:rFonts w:hint="eastAsia" w:ascii="宋体" w:hAnsi="宋体"/>
          <w:color w:val="auto"/>
          <w:kern w:val="0"/>
          <w:sz w:val="24"/>
          <w:highlight w:val="none"/>
        </w:rPr>
        <w:t>日期：</w:t>
      </w:r>
    </w:p>
    <w:p w14:paraId="13DB34D1">
      <w:pPr>
        <w:spacing w:line="360" w:lineRule="auto"/>
        <w:ind w:left="25" w:leftChars="12" w:firstLine="472" w:firstLineChars="197"/>
        <w:rPr>
          <w:rFonts w:hint="eastAsia" w:ascii="宋体" w:hAnsi="宋体"/>
          <w:b/>
          <w:color w:val="auto"/>
          <w:kern w:val="0"/>
          <w:sz w:val="24"/>
          <w:highlight w:val="none"/>
        </w:rPr>
      </w:pPr>
      <w:r>
        <w:rPr>
          <w:rFonts w:hint="eastAsia" w:ascii="宋体" w:hAnsi="宋体"/>
          <w:bCs/>
          <w:color w:val="auto"/>
          <w:kern w:val="0"/>
          <w:sz w:val="24"/>
          <w:highlight w:val="none"/>
        </w:rPr>
        <w:t xml:space="preserve">                                                                                 </w:t>
      </w:r>
    </w:p>
    <w:p w14:paraId="6D149046">
      <w:pPr>
        <w:snapToGrid w:val="0"/>
        <w:spacing w:line="360" w:lineRule="auto"/>
        <w:rPr>
          <w:rFonts w:hint="eastAsia" w:ascii="宋体" w:hAnsi="宋体"/>
          <w:b/>
          <w:color w:val="auto"/>
          <w:kern w:val="0"/>
          <w:sz w:val="24"/>
          <w:highlight w:val="none"/>
        </w:rPr>
      </w:pPr>
      <w:r>
        <w:rPr>
          <w:rFonts w:hint="eastAsia" w:ascii="宋体" w:hAnsi="宋体"/>
          <w:b/>
          <w:color w:val="auto"/>
          <w:kern w:val="0"/>
          <w:sz w:val="24"/>
          <w:highlight w:val="none"/>
        </w:rPr>
        <w:t>说明：</w:t>
      </w:r>
    </w:p>
    <w:p w14:paraId="2F9CE44E">
      <w:pPr>
        <w:spacing w:line="360" w:lineRule="auto"/>
        <w:ind w:left="25" w:leftChars="12" w:firstLine="354" w:firstLineChars="147"/>
        <w:rPr>
          <w:rFonts w:hint="eastAsia" w:ascii="宋体" w:hAnsi="宋体"/>
          <w:b/>
          <w:bCs/>
          <w:color w:val="auto"/>
          <w:kern w:val="0"/>
          <w:sz w:val="24"/>
          <w:highlight w:val="none"/>
        </w:rPr>
      </w:pPr>
      <w:r>
        <w:rPr>
          <w:rFonts w:hint="eastAsia" w:ascii="宋体" w:hAnsi="宋体"/>
          <w:b/>
          <w:color w:val="auto"/>
          <w:kern w:val="0"/>
          <w:sz w:val="24"/>
          <w:highlight w:val="none"/>
        </w:rPr>
        <w:t>1.投诉人提起投诉时，应当提交投诉书和必要的证明材料，并按照被投诉人和与投诉事项有关的供应商数量提供投诉书副本</w:t>
      </w:r>
      <w:r>
        <w:rPr>
          <w:rFonts w:hint="eastAsia" w:ascii="宋体" w:hAnsi="宋体"/>
          <w:b/>
          <w:bCs/>
          <w:color w:val="auto"/>
          <w:kern w:val="0"/>
          <w:sz w:val="24"/>
          <w:highlight w:val="none"/>
        </w:rPr>
        <w:t>。</w:t>
      </w:r>
    </w:p>
    <w:p w14:paraId="03DE2677">
      <w:pPr>
        <w:spacing w:line="360" w:lineRule="auto"/>
        <w:ind w:left="25" w:leftChars="12" w:firstLine="354" w:firstLineChars="147"/>
        <w:rPr>
          <w:rFonts w:hint="eastAsia" w:ascii="宋体" w:hAnsi="宋体"/>
          <w:b/>
          <w:color w:val="auto"/>
          <w:kern w:val="0"/>
          <w:sz w:val="24"/>
          <w:highlight w:val="none"/>
        </w:rPr>
      </w:pPr>
      <w:r>
        <w:rPr>
          <w:rFonts w:hint="eastAsia" w:ascii="宋体" w:hAnsi="宋体"/>
          <w:b/>
          <w:color w:val="auto"/>
          <w:kern w:val="0"/>
          <w:sz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65AD6A90">
      <w:pPr>
        <w:spacing w:line="360" w:lineRule="auto"/>
        <w:ind w:left="25" w:leftChars="12" w:firstLine="354" w:firstLineChars="147"/>
        <w:rPr>
          <w:rFonts w:hint="eastAsia" w:ascii="宋体" w:hAnsi="宋体"/>
          <w:b/>
          <w:color w:val="auto"/>
          <w:kern w:val="0"/>
          <w:sz w:val="24"/>
          <w:highlight w:val="none"/>
        </w:rPr>
      </w:pPr>
      <w:r>
        <w:rPr>
          <w:rFonts w:hint="eastAsia" w:ascii="宋体" w:hAnsi="宋体"/>
          <w:b/>
          <w:color w:val="auto"/>
          <w:kern w:val="0"/>
          <w:sz w:val="24"/>
          <w:highlight w:val="none"/>
        </w:rPr>
        <w:t>3.投诉书应简要列明质疑事项，质疑函、质疑答复等作为附件材料提供。</w:t>
      </w:r>
    </w:p>
    <w:p w14:paraId="21829B6C">
      <w:pPr>
        <w:spacing w:line="360" w:lineRule="auto"/>
        <w:ind w:left="25" w:leftChars="12" w:firstLine="354" w:firstLineChars="147"/>
        <w:rPr>
          <w:rFonts w:hint="eastAsia" w:ascii="宋体" w:hAnsi="宋体"/>
          <w:b/>
          <w:color w:val="auto"/>
          <w:kern w:val="0"/>
          <w:sz w:val="24"/>
          <w:highlight w:val="none"/>
        </w:rPr>
      </w:pPr>
      <w:r>
        <w:rPr>
          <w:rFonts w:hint="eastAsia" w:ascii="宋体" w:hAnsi="宋体"/>
          <w:b/>
          <w:color w:val="auto"/>
          <w:kern w:val="0"/>
          <w:sz w:val="24"/>
          <w:highlight w:val="none"/>
        </w:rPr>
        <w:t>4.投诉书的投诉事项应具体、明确，并有必要的事实依据和法律依据。</w:t>
      </w:r>
    </w:p>
    <w:p w14:paraId="1D08B531">
      <w:pPr>
        <w:spacing w:line="360" w:lineRule="auto"/>
        <w:ind w:left="25" w:leftChars="12" w:firstLine="354" w:firstLineChars="147"/>
        <w:rPr>
          <w:rFonts w:hint="eastAsia" w:ascii="宋体" w:hAnsi="宋体"/>
          <w:b/>
          <w:color w:val="auto"/>
          <w:kern w:val="0"/>
          <w:sz w:val="24"/>
          <w:highlight w:val="none"/>
        </w:rPr>
      </w:pPr>
      <w:r>
        <w:rPr>
          <w:rFonts w:hint="eastAsia" w:ascii="宋体" w:hAnsi="宋体"/>
          <w:b/>
          <w:color w:val="auto"/>
          <w:kern w:val="0"/>
          <w:sz w:val="24"/>
          <w:highlight w:val="none"/>
        </w:rPr>
        <w:t>5.投诉书的投诉请求应与投诉事项相关。</w:t>
      </w:r>
    </w:p>
    <w:p w14:paraId="44C39A59">
      <w:pPr>
        <w:spacing w:line="360" w:lineRule="auto"/>
        <w:ind w:left="25" w:leftChars="12" w:firstLine="354" w:firstLineChars="147"/>
        <w:rPr>
          <w:rFonts w:hint="eastAsia" w:ascii="宋体" w:hAnsi="宋体"/>
          <w:b/>
          <w:color w:val="auto"/>
          <w:kern w:val="0"/>
          <w:sz w:val="20"/>
          <w:szCs w:val="21"/>
          <w:highlight w:val="none"/>
        </w:rPr>
      </w:pPr>
      <w:r>
        <w:rPr>
          <w:rFonts w:hint="eastAsia" w:ascii="宋体" w:hAnsi="宋体"/>
          <w:b/>
          <w:color w:val="auto"/>
          <w:kern w:val="0"/>
          <w:sz w:val="24"/>
          <w:highlight w:val="none"/>
        </w:rPr>
        <w:t>6.投诉人为法人或者其他组织的，投诉书应由法定代表人、主要负责人，或者其授权代表签字或者盖章，并加盖公章。</w:t>
      </w:r>
    </w:p>
    <w:p w14:paraId="4EEBD6BF">
      <w:pPr>
        <w:pStyle w:val="3"/>
        <w:jc w:val="center"/>
        <w:rPr>
          <w:color w:val="auto"/>
          <w:highlight w:val="none"/>
        </w:rPr>
      </w:pPr>
      <w:bookmarkStart w:id="182" w:name="_Toc74323461"/>
    </w:p>
    <w:p w14:paraId="141E1C00">
      <w:pPr>
        <w:pStyle w:val="3"/>
        <w:jc w:val="center"/>
        <w:rPr>
          <w:color w:val="auto"/>
          <w:highlight w:val="none"/>
        </w:rPr>
      </w:pPr>
    </w:p>
    <w:p w14:paraId="62C2FF2C">
      <w:pPr>
        <w:pStyle w:val="3"/>
        <w:jc w:val="center"/>
        <w:rPr>
          <w:color w:val="auto"/>
          <w:highlight w:val="none"/>
        </w:rPr>
      </w:pPr>
      <w:r>
        <w:rPr>
          <w:rFonts w:hint="eastAsia"/>
          <w:color w:val="auto"/>
          <w:highlight w:val="none"/>
        </w:rPr>
        <w:t>第六章 合同文本</w:t>
      </w:r>
      <w:bookmarkEnd w:id="182"/>
    </w:p>
    <w:p w14:paraId="568D5A56">
      <w:pPr>
        <w:spacing w:line="520" w:lineRule="exact"/>
        <w:rPr>
          <w:rFonts w:hint="eastAsia" w:ascii="宋体" w:hAnsi="宋体" w:cs="Courier New"/>
          <w:b/>
          <w:color w:val="auto"/>
          <w:sz w:val="32"/>
          <w:szCs w:val="32"/>
          <w:highlight w:val="none"/>
        </w:rPr>
      </w:pPr>
    </w:p>
    <w:p w14:paraId="7CB11177">
      <w:pPr>
        <w:wordWrap w:val="0"/>
        <w:spacing w:line="360" w:lineRule="auto"/>
        <w:ind w:right="120"/>
        <w:jc w:val="right"/>
        <w:rPr>
          <w:rFonts w:hint="eastAsia" w:ascii="宋体" w:hAnsi="宋体" w:cs="宋体"/>
          <w:color w:val="auto"/>
          <w:kern w:val="0"/>
          <w:sz w:val="24"/>
          <w:highlight w:val="none"/>
        </w:rPr>
      </w:pPr>
    </w:p>
    <w:p w14:paraId="7D9C9234">
      <w:pPr>
        <w:spacing w:line="360" w:lineRule="auto"/>
        <w:ind w:right="120"/>
        <w:jc w:val="right"/>
        <w:rPr>
          <w:rFonts w:hint="eastAsia" w:ascii="宋体" w:hAnsi="宋体" w:cs="宋体"/>
          <w:color w:val="auto"/>
          <w:kern w:val="0"/>
          <w:sz w:val="24"/>
          <w:highlight w:val="none"/>
        </w:rPr>
      </w:pPr>
    </w:p>
    <w:p w14:paraId="1E67BA02">
      <w:pPr>
        <w:spacing w:line="360" w:lineRule="auto"/>
        <w:ind w:right="120"/>
        <w:jc w:val="right"/>
        <w:rPr>
          <w:rFonts w:hint="eastAsia" w:ascii="宋体" w:hAnsi="宋体" w:cs="宋体"/>
          <w:color w:val="auto"/>
          <w:kern w:val="0"/>
          <w:sz w:val="24"/>
          <w:highlight w:val="none"/>
        </w:rPr>
      </w:pPr>
    </w:p>
    <w:p w14:paraId="0F74AD6E">
      <w:pPr>
        <w:spacing w:line="360" w:lineRule="auto"/>
        <w:ind w:right="120"/>
        <w:jc w:val="right"/>
        <w:rPr>
          <w:rFonts w:hint="eastAsia" w:ascii="宋体" w:hAnsi="宋体" w:cs="宋体"/>
          <w:color w:val="auto"/>
          <w:kern w:val="0"/>
          <w:sz w:val="24"/>
          <w:highlight w:val="none"/>
        </w:rPr>
      </w:pPr>
    </w:p>
    <w:p w14:paraId="08C91E29">
      <w:pPr>
        <w:spacing w:line="360" w:lineRule="auto"/>
        <w:ind w:right="120"/>
        <w:jc w:val="right"/>
        <w:rPr>
          <w:rFonts w:hint="eastAsia" w:ascii="宋体" w:hAnsi="宋体" w:cs="宋体"/>
          <w:color w:val="auto"/>
          <w:kern w:val="0"/>
          <w:sz w:val="24"/>
          <w:highlight w:val="none"/>
        </w:rPr>
      </w:pPr>
    </w:p>
    <w:p w14:paraId="29B788D2">
      <w:pPr>
        <w:spacing w:line="360" w:lineRule="auto"/>
        <w:ind w:right="120"/>
        <w:jc w:val="right"/>
        <w:rPr>
          <w:rFonts w:hint="eastAsia" w:ascii="宋体" w:hAnsi="宋体" w:cs="宋体"/>
          <w:color w:val="auto"/>
          <w:kern w:val="0"/>
          <w:sz w:val="24"/>
          <w:highlight w:val="none"/>
        </w:rPr>
      </w:pPr>
    </w:p>
    <w:p w14:paraId="241E11FB">
      <w:pPr>
        <w:spacing w:line="360" w:lineRule="auto"/>
        <w:ind w:right="120"/>
        <w:jc w:val="right"/>
        <w:rPr>
          <w:rFonts w:hint="eastAsia" w:ascii="宋体" w:hAnsi="宋体" w:cs="宋体"/>
          <w:color w:val="auto"/>
          <w:kern w:val="0"/>
          <w:sz w:val="24"/>
          <w:highlight w:val="none"/>
        </w:rPr>
      </w:pPr>
    </w:p>
    <w:p w14:paraId="05FC9E36">
      <w:pPr>
        <w:spacing w:line="360" w:lineRule="auto"/>
        <w:ind w:right="120"/>
        <w:jc w:val="right"/>
        <w:rPr>
          <w:rFonts w:hint="eastAsia" w:ascii="宋体" w:hAnsi="宋体" w:cs="宋体"/>
          <w:color w:val="auto"/>
          <w:kern w:val="0"/>
          <w:sz w:val="24"/>
          <w:highlight w:val="none"/>
        </w:rPr>
      </w:pPr>
    </w:p>
    <w:p w14:paraId="4D64626D">
      <w:pPr>
        <w:spacing w:line="360" w:lineRule="auto"/>
        <w:ind w:right="120"/>
        <w:jc w:val="right"/>
        <w:rPr>
          <w:rFonts w:hint="eastAsia" w:ascii="宋体" w:hAnsi="宋体" w:cs="宋体"/>
          <w:color w:val="auto"/>
          <w:kern w:val="0"/>
          <w:sz w:val="24"/>
          <w:highlight w:val="none"/>
        </w:rPr>
      </w:pPr>
    </w:p>
    <w:p w14:paraId="3E990403">
      <w:pPr>
        <w:spacing w:line="360" w:lineRule="auto"/>
        <w:ind w:right="120"/>
        <w:jc w:val="right"/>
        <w:rPr>
          <w:rFonts w:hint="eastAsia" w:ascii="宋体" w:hAnsi="宋体" w:cs="宋体"/>
          <w:color w:val="auto"/>
          <w:kern w:val="0"/>
          <w:sz w:val="24"/>
          <w:highlight w:val="none"/>
        </w:rPr>
      </w:pPr>
    </w:p>
    <w:p w14:paraId="6CB24C40">
      <w:pPr>
        <w:spacing w:line="360" w:lineRule="auto"/>
        <w:ind w:right="120"/>
        <w:jc w:val="right"/>
        <w:rPr>
          <w:rFonts w:hint="eastAsia" w:ascii="宋体" w:hAnsi="宋体" w:cs="宋体"/>
          <w:color w:val="auto"/>
          <w:kern w:val="0"/>
          <w:sz w:val="24"/>
          <w:highlight w:val="none"/>
        </w:rPr>
      </w:pPr>
    </w:p>
    <w:p w14:paraId="0B82A3AB">
      <w:pPr>
        <w:spacing w:line="360" w:lineRule="auto"/>
        <w:ind w:right="120"/>
        <w:jc w:val="right"/>
        <w:rPr>
          <w:rFonts w:hint="eastAsia" w:ascii="宋体" w:hAnsi="宋体" w:cs="宋体"/>
          <w:color w:val="auto"/>
          <w:kern w:val="0"/>
          <w:sz w:val="24"/>
          <w:highlight w:val="none"/>
        </w:rPr>
      </w:pPr>
    </w:p>
    <w:p w14:paraId="44BEFA6B">
      <w:pPr>
        <w:spacing w:line="360" w:lineRule="auto"/>
        <w:ind w:right="120"/>
        <w:jc w:val="right"/>
        <w:rPr>
          <w:rFonts w:hint="eastAsia" w:ascii="宋体" w:hAnsi="宋体" w:cs="宋体"/>
          <w:color w:val="auto"/>
          <w:kern w:val="0"/>
          <w:sz w:val="24"/>
          <w:highlight w:val="none"/>
        </w:rPr>
      </w:pPr>
    </w:p>
    <w:p w14:paraId="1E2D3812">
      <w:pPr>
        <w:spacing w:line="360" w:lineRule="auto"/>
        <w:ind w:right="120"/>
        <w:jc w:val="right"/>
        <w:rPr>
          <w:rFonts w:hint="eastAsia" w:ascii="宋体" w:hAnsi="宋体" w:cs="宋体"/>
          <w:color w:val="auto"/>
          <w:kern w:val="0"/>
          <w:sz w:val="24"/>
          <w:highlight w:val="none"/>
        </w:rPr>
      </w:pPr>
    </w:p>
    <w:p w14:paraId="664CEB79">
      <w:pPr>
        <w:spacing w:line="360" w:lineRule="auto"/>
        <w:ind w:right="120"/>
        <w:jc w:val="right"/>
        <w:rPr>
          <w:rFonts w:hint="eastAsia" w:ascii="宋体" w:hAnsi="宋体" w:cs="宋体"/>
          <w:color w:val="auto"/>
          <w:kern w:val="0"/>
          <w:sz w:val="24"/>
          <w:highlight w:val="none"/>
        </w:rPr>
      </w:pPr>
    </w:p>
    <w:p w14:paraId="41F0A659">
      <w:pPr>
        <w:spacing w:line="360" w:lineRule="auto"/>
        <w:ind w:right="120"/>
        <w:jc w:val="right"/>
        <w:rPr>
          <w:rFonts w:hint="eastAsia" w:ascii="宋体" w:hAnsi="宋体" w:cs="宋体"/>
          <w:color w:val="auto"/>
          <w:kern w:val="0"/>
          <w:sz w:val="24"/>
          <w:highlight w:val="none"/>
        </w:rPr>
      </w:pPr>
    </w:p>
    <w:p w14:paraId="54154BA3">
      <w:pPr>
        <w:spacing w:line="360" w:lineRule="auto"/>
        <w:ind w:right="120"/>
        <w:jc w:val="right"/>
        <w:rPr>
          <w:rFonts w:hint="eastAsia" w:ascii="宋体" w:hAnsi="宋体" w:cs="宋体"/>
          <w:color w:val="auto"/>
          <w:kern w:val="0"/>
          <w:sz w:val="24"/>
          <w:highlight w:val="none"/>
        </w:rPr>
      </w:pPr>
    </w:p>
    <w:p w14:paraId="621C46D5">
      <w:pPr>
        <w:spacing w:line="360" w:lineRule="auto"/>
        <w:ind w:right="120"/>
        <w:jc w:val="right"/>
        <w:rPr>
          <w:rFonts w:hint="eastAsia" w:ascii="宋体" w:hAnsi="宋体" w:cs="宋体"/>
          <w:color w:val="auto"/>
          <w:kern w:val="0"/>
          <w:sz w:val="24"/>
          <w:highlight w:val="none"/>
        </w:rPr>
      </w:pPr>
    </w:p>
    <w:p w14:paraId="0162E4AA">
      <w:pPr>
        <w:spacing w:line="360" w:lineRule="auto"/>
        <w:ind w:right="120"/>
        <w:jc w:val="right"/>
        <w:rPr>
          <w:rFonts w:hint="eastAsia" w:ascii="宋体" w:hAnsi="宋体" w:cs="宋体"/>
          <w:color w:val="auto"/>
          <w:kern w:val="0"/>
          <w:sz w:val="24"/>
          <w:highlight w:val="none"/>
        </w:rPr>
      </w:pPr>
    </w:p>
    <w:p w14:paraId="5851DFC3">
      <w:pPr>
        <w:ind w:firstLine="420"/>
        <w:jc w:val="center"/>
        <w:rPr>
          <w:rFonts w:hint="eastAsia" w:ascii="宋体" w:hAnsi="宋体"/>
          <w:b/>
          <w:bCs/>
          <w:color w:val="auto"/>
          <w:sz w:val="32"/>
          <w:szCs w:val="32"/>
          <w:highlight w:val="none"/>
        </w:rPr>
      </w:pPr>
      <w:r>
        <w:rPr>
          <w:rFonts w:hint="eastAsia" w:ascii="宋体" w:hAnsi="宋体"/>
          <w:b/>
          <w:bCs/>
          <w:color w:val="auto"/>
          <w:sz w:val="32"/>
          <w:szCs w:val="32"/>
          <w:highlight w:val="none"/>
        </w:rPr>
        <w:t>《广西壮族自治区政府采购合同》</w:t>
      </w:r>
    </w:p>
    <w:p w14:paraId="0454ED16">
      <w:pPr>
        <w:spacing w:line="360" w:lineRule="auto"/>
        <w:ind w:right="800"/>
        <w:rPr>
          <w:rFonts w:hint="eastAsia" w:ascii="宋体" w:hAnsi="宋体" w:cs="宋体"/>
          <w:bCs/>
          <w:color w:val="auto"/>
          <w:szCs w:val="21"/>
          <w:highlight w:val="none"/>
        </w:rPr>
      </w:pPr>
      <w:bookmarkStart w:id="183" w:name="OLE_LINK183"/>
      <w:bookmarkStart w:id="184" w:name="_Hlk55381736"/>
    </w:p>
    <w:p w14:paraId="10176585">
      <w:pPr>
        <w:spacing w:line="360" w:lineRule="auto"/>
        <w:ind w:right="800"/>
        <w:rPr>
          <w:rFonts w:hint="eastAsia" w:ascii="宋体" w:hAnsi="宋体" w:cs="宋体"/>
          <w:bCs/>
          <w:color w:val="auto"/>
          <w:szCs w:val="21"/>
          <w:highlight w:val="none"/>
        </w:rPr>
      </w:pPr>
    </w:p>
    <w:p w14:paraId="7504770A">
      <w:pPr>
        <w:spacing w:line="360" w:lineRule="auto"/>
        <w:ind w:right="800"/>
        <w:rPr>
          <w:rFonts w:hint="eastAsia" w:ascii="宋体" w:hAnsi="宋体" w:cs="宋体"/>
          <w:bCs/>
          <w:color w:val="auto"/>
          <w:szCs w:val="21"/>
          <w:highlight w:val="none"/>
          <w:u w:val="single"/>
        </w:rPr>
      </w:pPr>
      <w:r>
        <w:rPr>
          <w:rFonts w:hint="eastAsia" w:ascii="宋体" w:hAnsi="宋体" w:cs="宋体"/>
          <w:bCs/>
          <w:color w:val="auto"/>
          <w:szCs w:val="21"/>
          <w:highlight w:val="none"/>
        </w:rPr>
        <w:t>合同编号：</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p>
    <w:p w14:paraId="5E21181E">
      <w:pPr>
        <w:spacing w:line="360" w:lineRule="auto"/>
        <w:rPr>
          <w:rFonts w:ascii="宋体" w:hAnsi="宋体" w:cs="宋体"/>
          <w:color w:val="auto"/>
          <w:szCs w:val="21"/>
          <w:highlight w:val="none"/>
          <w:u w:val="single"/>
        </w:rPr>
      </w:pPr>
      <w:r>
        <w:rPr>
          <w:rFonts w:hint="eastAsia" w:ascii="宋体" w:hAnsi="宋体" w:cs="宋体"/>
          <w:color w:val="auto"/>
          <w:szCs w:val="21"/>
          <w:highlight w:val="none"/>
        </w:rPr>
        <w:t>采购人（甲方）：</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r>
        <w:rPr>
          <w:rFonts w:hint="eastAsia"/>
          <w:color w:val="auto"/>
          <w:highlight w:val="none"/>
        </w:rPr>
        <w:t>成交</w:t>
      </w:r>
      <w:r>
        <w:rPr>
          <w:rFonts w:hint="eastAsia" w:ascii="宋体" w:hAnsi="宋体" w:cs="宋体"/>
          <w:color w:val="auto"/>
          <w:szCs w:val="21"/>
          <w:highlight w:val="none"/>
        </w:rPr>
        <w:t>供应商（乙方）：</w:t>
      </w:r>
      <w:r>
        <w:rPr>
          <w:rFonts w:ascii="宋体" w:hAnsi="宋体" w:cs="宋体"/>
          <w:color w:val="auto"/>
          <w:szCs w:val="21"/>
          <w:highlight w:val="none"/>
          <w:u w:val="single"/>
        </w:rPr>
        <w:t xml:space="preserve">                    </w:t>
      </w:r>
    </w:p>
    <w:p w14:paraId="2D77D2A4">
      <w:pPr>
        <w:spacing w:line="360" w:lineRule="auto"/>
        <w:rPr>
          <w:rFonts w:hint="default" w:ascii="宋体" w:hAnsi="宋体" w:eastAsia="宋体" w:cs="宋体"/>
          <w:b/>
          <w:bCs/>
          <w:color w:val="auto"/>
          <w:kern w:val="0"/>
          <w:szCs w:val="21"/>
          <w:highlight w:val="none"/>
          <w:lang w:val="en-US" w:eastAsia="zh-CN"/>
        </w:rPr>
      </w:pPr>
      <w:r>
        <w:rPr>
          <w:rFonts w:hint="eastAsia" w:ascii="宋体" w:hAnsi="宋体" w:cs="宋体"/>
          <w:b/>
          <w:bCs/>
          <w:color w:val="auto"/>
          <w:kern w:val="0"/>
          <w:szCs w:val="21"/>
          <w:highlight w:val="none"/>
        </w:rPr>
        <w:t>统一社会信用代码：</w:t>
      </w:r>
      <w:r>
        <w:rPr>
          <w:rFonts w:hint="eastAsia" w:ascii="宋体" w:hAnsi="宋体" w:cs="宋体"/>
          <w:b/>
          <w:bCs/>
          <w:color w:val="auto"/>
          <w:kern w:val="0"/>
          <w:szCs w:val="21"/>
          <w:highlight w:val="none"/>
          <w:u w:val="none"/>
        </w:rPr>
        <w:t xml:space="preserve">       </w:t>
      </w:r>
      <w:r>
        <w:rPr>
          <w:rFonts w:hint="eastAsia" w:ascii="宋体" w:hAnsi="宋体" w:cs="宋体"/>
          <w:b/>
          <w:bCs/>
          <w:color w:val="auto"/>
          <w:kern w:val="0"/>
          <w:szCs w:val="21"/>
          <w:highlight w:val="none"/>
          <w:u w:val="none"/>
          <w:lang w:val="en-US" w:eastAsia="zh-CN"/>
        </w:rPr>
        <w:t xml:space="preserve">               </w:t>
      </w:r>
      <w:r>
        <w:rPr>
          <w:rFonts w:hint="eastAsia" w:ascii="宋体" w:hAnsi="宋体" w:cs="宋体"/>
          <w:b/>
          <w:bCs/>
          <w:color w:val="auto"/>
          <w:kern w:val="0"/>
          <w:szCs w:val="21"/>
          <w:highlight w:val="none"/>
        </w:rPr>
        <w:t>统一社会信用代码：</w:t>
      </w:r>
      <w:r>
        <w:rPr>
          <w:rFonts w:hint="eastAsia" w:ascii="宋体" w:hAnsi="宋体" w:cs="宋体"/>
          <w:b/>
          <w:bCs/>
          <w:color w:val="auto"/>
          <w:kern w:val="0"/>
          <w:szCs w:val="21"/>
          <w:highlight w:val="none"/>
          <w:u w:val="none"/>
        </w:rPr>
        <w:t xml:space="preserve">       </w:t>
      </w:r>
    </w:p>
    <w:p w14:paraId="2F7B585B">
      <w:pPr>
        <w:pStyle w:val="2"/>
        <w:ind w:firstLine="0" w:firstLineChars="0"/>
        <w:rPr>
          <w:rFonts w:hint="default" w:ascii="宋体" w:hAnsi="宋体" w:eastAsia="宋体" w:cs="宋体"/>
          <w:b/>
          <w:bCs/>
          <w:color w:val="auto"/>
          <w:kern w:val="0"/>
          <w:szCs w:val="21"/>
          <w:highlight w:val="none"/>
          <w:lang w:val="en-US" w:eastAsia="zh-CN"/>
        </w:rPr>
      </w:pPr>
      <w:r>
        <w:rPr>
          <w:rFonts w:hint="eastAsia" w:ascii="宋体" w:hAnsi="宋体" w:cs="宋体"/>
          <w:b/>
          <w:bCs/>
          <w:color w:val="auto"/>
          <w:kern w:val="0"/>
          <w:szCs w:val="21"/>
          <w:highlight w:val="none"/>
        </w:rPr>
        <w:t>住所地：</w:t>
      </w:r>
      <w:r>
        <w:rPr>
          <w:rFonts w:hint="eastAsia" w:ascii="宋体" w:hAnsi="宋体" w:cs="宋体"/>
          <w:b/>
          <w:bCs/>
          <w:color w:val="auto"/>
          <w:kern w:val="0"/>
          <w:szCs w:val="21"/>
          <w:highlight w:val="none"/>
          <w:u w:val="none"/>
        </w:rPr>
        <w:t xml:space="preserve">           </w:t>
      </w:r>
      <w:r>
        <w:rPr>
          <w:rFonts w:hint="eastAsia" w:ascii="宋体" w:hAnsi="宋体" w:cs="宋体"/>
          <w:b/>
          <w:bCs/>
          <w:color w:val="auto"/>
          <w:kern w:val="0"/>
          <w:szCs w:val="21"/>
          <w:highlight w:val="none"/>
          <w:u w:val="none"/>
          <w:lang w:val="en-US" w:eastAsia="zh-CN"/>
        </w:rPr>
        <w:t xml:space="preserve">                     </w:t>
      </w:r>
      <w:r>
        <w:rPr>
          <w:rFonts w:hint="eastAsia" w:ascii="宋体" w:hAnsi="宋体" w:cs="宋体"/>
          <w:b/>
          <w:bCs/>
          <w:color w:val="auto"/>
          <w:kern w:val="0"/>
          <w:szCs w:val="21"/>
          <w:highlight w:val="none"/>
        </w:rPr>
        <w:t>住所地：</w:t>
      </w:r>
      <w:r>
        <w:rPr>
          <w:rFonts w:hint="eastAsia" w:ascii="宋体" w:hAnsi="宋体" w:cs="宋体"/>
          <w:b/>
          <w:bCs/>
          <w:color w:val="auto"/>
          <w:kern w:val="0"/>
          <w:szCs w:val="21"/>
          <w:highlight w:val="none"/>
          <w:lang w:val="en-US" w:eastAsia="zh-CN"/>
        </w:rPr>
        <w:t xml:space="preserve">                 </w:t>
      </w:r>
    </w:p>
    <w:p w14:paraId="5779875D">
      <w:pPr>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项目名称：</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ascii="宋体" w:hAnsi="宋体" w:cs="宋体"/>
          <w:color w:val="auto"/>
          <w:szCs w:val="21"/>
          <w:highlight w:val="none"/>
        </w:rPr>
        <w:t xml:space="preserve">   </w:t>
      </w:r>
      <w:r>
        <w:rPr>
          <w:rFonts w:hint="eastAsia" w:ascii="宋体" w:hAnsi="宋体" w:cs="宋体"/>
          <w:color w:val="auto"/>
          <w:szCs w:val="21"/>
          <w:highlight w:val="none"/>
        </w:rPr>
        <w:t>项目编号：</w:t>
      </w:r>
      <w:r>
        <w:rPr>
          <w:rFonts w:ascii="宋体" w:hAnsi="宋体" w:cs="宋体"/>
          <w:color w:val="auto"/>
          <w:szCs w:val="21"/>
          <w:highlight w:val="none"/>
          <w:u w:val="single"/>
        </w:rPr>
        <w:t xml:space="preserve">                          </w:t>
      </w:r>
    </w:p>
    <w:p w14:paraId="43A1CFCA">
      <w:pPr>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签订地点：</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签订时间：</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p>
    <w:p w14:paraId="4E7D12D1">
      <w:pPr>
        <w:spacing w:line="400" w:lineRule="exact"/>
        <w:ind w:firstLine="420" w:firstLineChars="200"/>
        <w:rPr>
          <w:rFonts w:hint="eastAsia" w:ascii="宋体" w:hAnsi="宋体" w:cs="宋体"/>
          <w:color w:val="auto"/>
          <w:szCs w:val="21"/>
          <w:highlight w:val="none"/>
        </w:rPr>
      </w:pPr>
    </w:p>
    <w:p w14:paraId="200E6DD6">
      <w:pPr>
        <w:spacing w:line="45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根据相关法律、法规规定，按照</w:t>
      </w:r>
      <w:r>
        <w:rPr>
          <w:rFonts w:hint="eastAsia" w:ascii="宋体" w:hAnsi="宋体"/>
          <w:color w:val="auto"/>
          <w:szCs w:val="21"/>
          <w:highlight w:val="none"/>
        </w:rPr>
        <w:t>磋商文件规定条款和乙方响应文件及其承诺，甲乙双方签订本合同。</w:t>
      </w:r>
    </w:p>
    <w:p w14:paraId="6A919F35">
      <w:pPr>
        <w:spacing w:line="45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第一条　合同标的</w:t>
      </w:r>
    </w:p>
    <w:p w14:paraId="6FEFA333">
      <w:pPr>
        <w:spacing w:line="45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  项目一览表</w:t>
      </w:r>
    </w:p>
    <w:tbl>
      <w:tblPr>
        <w:tblStyle w:val="20"/>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2693"/>
        <w:gridCol w:w="1984"/>
        <w:gridCol w:w="709"/>
        <w:gridCol w:w="709"/>
        <w:gridCol w:w="2693"/>
      </w:tblGrid>
      <w:tr w14:paraId="58999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9" w:hRule="atLeast"/>
        </w:trPr>
        <w:tc>
          <w:tcPr>
            <w:tcW w:w="567" w:type="dxa"/>
            <w:vAlign w:val="center"/>
          </w:tcPr>
          <w:p w14:paraId="10A68CCE">
            <w:pPr>
              <w:spacing w:line="480" w:lineRule="auto"/>
              <w:ind w:left="-107" w:leftChars="-51"/>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2693" w:type="dxa"/>
            <w:vAlign w:val="center"/>
          </w:tcPr>
          <w:p w14:paraId="07B01AA5">
            <w:pPr>
              <w:spacing w:line="480" w:lineRule="auto"/>
              <w:jc w:val="center"/>
              <w:rPr>
                <w:rFonts w:hint="eastAsia" w:ascii="宋体" w:hAnsi="宋体" w:cs="宋体"/>
                <w:color w:val="auto"/>
                <w:szCs w:val="21"/>
                <w:highlight w:val="none"/>
              </w:rPr>
            </w:pPr>
            <w:r>
              <w:rPr>
                <w:rFonts w:hint="eastAsia" w:ascii="宋体" w:hAnsi="宋体" w:cs="宋体"/>
                <w:color w:val="auto"/>
                <w:szCs w:val="21"/>
                <w:highlight w:val="none"/>
              </w:rPr>
              <w:t>服务名称</w:t>
            </w:r>
          </w:p>
        </w:tc>
        <w:tc>
          <w:tcPr>
            <w:tcW w:w="1984" w:type="dxa"/>
            <w:vAlign w:val="center"/>
          </w:tcPr>
          <w:p w14:paraId="561A9CB3">
            <w:pPr>
              <w:spacing w:line="480" w:lineRule="auto"/>
              <w:jc w:val="center"/>
              <w:rPr>
                <w:rFonts w:hint="eastAsia" w:ascii="宋体" w:hAnsi="宋体" w:cs="宋体"/>
                <w:color w:val="auto"/>
                <w:szCs w:val="21"/>
                <w:highlight w:val="none"/>
              </w:rPr>
            </w:pPr>
            <w:r>
              <w:rPr>
                <w:rFonts w:hint="eastAsia" w:ascii="宋体" w:hAnsi="宋体" w:cs="宋体"/>
                <w:color w:val="auto"/>
                <w:szCs w:val="21"/>
                <w:highlight w:val="none"/>
              </w:rPr>
              <w:t>服务响应内容</w:t>
            </w:r>
          </w:p>
        </w:tc>
        <w:tc>
          <w:tcPr>
            <w:tcW w:w="709" w:type="dxa"/>
            <w:vAlign w:val="center"/>
          </w:tcPr>
          <w:p w14:paraId="29294374">
            <w:pPr>
              <w:spacing w:line="480" w:lineRule="auto"/>
              <w:jc w:val="center"/>
              <w:rPr>
                <w:rFonts w:hint="eastAsia" w:ascii="宋体" w:hAnsi="宋体" w:cs="宋体"/>
                <w:color w:val="auto"/>
                <w:szCs w:val="21"/>
                <w:highlight w:val="none"/>
              </w:rPr>
            </w:pPr>
            <w:r>
              <w:rPr>
                <w:rFonts w:hint="eastAsia" w:ascii="宋体" w:hAnsi="宋体" w:cs="宋体"/>
                <w:color w:val="auto"/>
                <w:szCs w:val="21"/>
                <w:highlight w:val="none"/>
              </w:rPr>
              <w:t>数量</w:t>
            </w:r>
          </w:p>
        </w:tc>
        <w:tc>
          <w:tcPr>
            <w:tcW w:w="709" w:type="dxa"/>
            <w:vAlign w:val="center"/>
          </w:tcPr>
          <w:p w14:paraId="6115B381">
            <w:pPr>
              <w:spacing w:line="480" w:lineRule="auto"/>
              <w:jc w:val="center"/>
              <w:rPr>
                <w:rFonts w:hint="eastAsia" w:ascii="宋体" w:hAnsi="宋体" w:cs="宋体"/>
                <w:color w:val="auto"/>
                <w:szCs w:val="21"/>
                <w:highlight w:val="none"/>
              </w:rPr>
            </w:pPr>
            <w:r>
              <w:rPr>
                <w:rFonts w:hint="eastAsia" w:ascii="宋体" w:hAnsi="宋体" w:cs="宋体"/>
                <w:color w:val="auto"/>
                <w:szCs w:val="21"/>
                <w:highlight w:val="none"/>
              </w:rPr>
              <w:t>单位</w:t>
            </w:r>
          </w:p>
        </w:tc>
        <w:tc>
          <w:tcPr>
            <w:tcW w:w="2693" w:type="dxa"/>
            <w:vAlign w:val="center"/>
          </w:tcPr>
          <w:p w14:paraId="2530608A">
            <w:pPr>
              <w:spacing w:line="480" w:lineRule="auto"/>
              <w:jc w:val="center"/>
              <w:rPr>
                <w:rFonts w:hint="eastAsia" w:ascii="宋体" w:hAnsi="宋体" w:cs="宋体"/>
                <w:color w:val="auto"/>
                <w:szCs w:val="21"/>
                <w:highlight w:val="none"/>
              </w:rPr>
            </w:pPr>
            <w:r>
              <w:rPr>
                <w:rFonts w:hint="eastAsia" w:ascii="宋体" w:hAnsi="宋体" w:cs="宋体"/>
                <w:color w:val="auto"/>
                <w:szCs w:val="21"/>
                <w:highlight w:val="none"/>
              </w:rPr>
              <w:t>总价（元）</w:t>
            </w:r>
          </w:p>
        </w:tc>
      </w:tr>
      <w:tr w14:paraId="12707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567" w:type="dxa"/>
            <w:vAlign w:val="center"/>
          </w:tcPr>
          <w:p w14:paraId="49788806">
            <w:pPr>
              <w:spacing w:line="480" w:lineRule="auto"/>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2693" w:type="dxa"/>
            <w:vAlign w:val="center"/>
          </w:tcPr>
          <w:p w14:paraId="09172767">
            <w:pPr>
              <w:spacing w:line="360" w:lineRule="exact"/>
              <w:jc w:val="center"/>
              <w:rPr>
                <w:rFonts w:hint="eastAsia" w:ascii="宋体" w:hAnsi="宋体" w:cs="宋体"/>
                <w:color w:val="auto"/>
                <w:szCs w:val="21"/>
                <w:highlight w:val="none"/>
              </w:rPr>
            </w:pPr>
          </w:p>
        </w:tc>
        <w:tc>
          <w:tcPr>
            <w:tcW w:w="1984" w:type="dxa"/>
            <w:vAlign w:val="center"/>
          </w:tcPr>
          <w:p w14:paraId="56C0BEF6">
            <w:pPr>
              <w:spacing w:line="480" w:lineRule="auto"/>
              <w:rPr>
                <w:rFonts w:hint="eastAsia" w:ascii="宋体" w:hAnsi="宋体" w:cs="宋体"/>
                <w:color w:val="auto"/>
                <w:szCs w:val="21"/>
                <w:highlight w:val="none"/>
              </w:rPr>
            </w:pPr>
            <w:r>
              <w:rPr>
                <w:rFonts w:ascii="宋体" w:hAnsi="宋体" w:cs="宋体"/>
                <w:color w:val="auto"/>
                <w:szCs w:val="21"/>
                <w:highlight w:val="none"/>
              </w:rPr>
              <w:t>详见</w:t>
            </w:r>
            <w:r>
              <w:rPr>
                <w:rFonts w:hint="eastAsia" w:ascii="宋体" w:hAnsi="宋体"/>
                <w:color w:val="auto"/>
                <w:szCs w:val="21"/>
                <w:highlight w:val="none"/>
              </w:rPr>
              <w:t>磋商文件及</w:t>
            </w:r>
            <w:r>
              <w:rPr>
                <w:rFonts w:ascii="宋体" w:hAnsi="宋体" w:cs="宋体"/>
                <w:color w:val="auto"/>
                <w:szCs w:val="21"/>
                <w:highlight w:val="none"/>
              </w:rPr>
              <w:t>乙方响应文件</w:t>
            </w:r>
          </w:p>
        </w:tc>
        <w:tc>
          <w:tcPr>
            <w:tcW w:w="709" w:type="dxa"/>
            <w:vAlign w:val="center"/>
          </w:tcPr>
          <w:p w14:paraId="06ED5D73">
            <w:pPr>
              <w:spacing w:line="480" w:lineRule="auto"/>
              <w:jc w:val="center"/>
              <w:rPr>
                <w:rFonts w:hint="eastAsia" w:ascii="宋体" w:hAnsi="宋体" w:cs="宋体"/>
                <w:color w:val="auto"/>
                <w:szCs w:val="21"/>
                <w:highlight w:val="none"/>
              </w:rPr>
            </w:pPr>
            <w:r>
              <w:rPr>
                <w:rFonts w:hint="eastAsia" w:ascii="宋体" w:hAnsi="宋体"/>
                <w:color w:val="auto"/>
                <w:szCs w:val="21"/>
                <w:highlight w:val="none"/>
              </w:rPr>
              <w:t>1</w:t>
            </w:r>
          </w:p>
        </w:tc>
        <w:tc>
          <w:tcPr>
            <w:tcW w:w="709" w:type="dxa"/>
            <w:vAlign w:val="center"/>
          </w:tcPr>
          <w:p w14:paraId="5CEA7EEA">
            <w:pPr>
              <w:spacing w:line="480" w:lineRule="auto"/>
              <w:jc w:val="center"/>
              <w:rPr>
                <w:rFonts w:hint="eastAsia" w:ascii="宋体" w:hAnsi="宋体" w:cs="宋体"/>
                <w:color w:val="auto"/>
                <w:szCs w:val="21"/>
                <w:highlight w:val="none"/>
              </w:rPr>
            </w:pPr>
            <w:r>
              <w:rPr>
                <w:rFonts w:hint="eastAsia" w:ascii="宋体" w:hAnsi="宋体"/>
                <w:color w:val="auto"/>
                <w:szCs w:val="21"/>
                <w:highlight w:val="none"/>
              </w:rPr>
              <w:t>项</w:t>
            </w:r>
          </w:p>
        </w:tc>
        <w:tc>
          <w:tcPr>
            <w:tcW w:w="2693" w:type="dxa"/>
            <w:vAlign w:val="center"/>
          </w:tcPr>
          <w:p w14:paraId="08BCA2BF">
            <w:pPr>
              <w:spacing w:line="480" w:lineRule="auto"/>
              <w:jc w:val="center"/>
              <w:rPr>
                <w:rFonts w:hint="eastAsia" w:ascii="宋体" w:hAnsi="宋体" w:cs="宋体"/>
                <w:color w:val="auto"/>
                <w:szCs w:val="21"/>
                <w:highlight w:val="none"/>
              </w:rPr>
            </w:pPr>
          </w:p>
        </w:tc>
      </w:tr>
      <w:tr w14:paraId="56FED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355" w:type="dxa"/>
            <w:gridSpan w:val="6"/>
            <w:vAlign w:val="center"/>
          </w:tcPr>
          <w:p w14:paraId="6365E291">
            <w:pPr>
              <w:spacing w:line="480" w:lineRule="auto"/>
              <w:rPr>
                <w:rFonts w:hint="eastAsia" w:ascii="宋体" w:hAnsi="宋体" w:cs="宋体"/>
                <w:color w:val="auto"/>
                <w:szCs w:val="21"/>
                <w:highlight w:val="none"/>
              </w:rPr>
            </w:pPr>
            <w:r>
              <w:rPr>
                <w:rFonts w:hint="eastAsia" w:ascii="宋体" w:hAnsi="宋体" w:cs="宋体"/>
                <w:color w:val="auto"/>
                <w:szCs w:val="21"/>
                <w:highlight w:val="none"/>
              </w:rPr>
              <w:t>合同总金额</w:t>
            </w:r>
            <w:r>
              <w:rPr>
                <w:rFonts w:ascii="宋体" w:hAnsi="宋体" w:cs="宋体"/>
                <w:color w:val="auto"/>
                <w:szCs w:val="21"/>
                <w:highlight w:val="none"/>
              </w:rPr>
              <w:t>：</w:t>
            </w:r>
            <w:r>
              <w:rPr>
                <w:rFonts w:hint="eastAsia" w:ascii="宋体" w:hAnsi="宋体" w:cs="宋体"/>
                <w:color w:val="auto"/>
                <w:szCs w:val="21"/>
                <w:highlight w:val="none"/>
              </w:rPr>
              <w:t>（大写）人民币                 （小写）¥</w:t>
            </w:r>
          </w:p>
        </w:tc>
      </w:tr>
    </w:tbl>
    <w:p w14:paraId="62749CD8">
      <w:pPr>
        <w:spacing w:line="45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2.合同总金额包括但不限于满足本</w:t>
      </w:r>
      <w:bookmarkStart w:id="185" w:name="OLE_LINK30"/>
      <w:r>
        <w:rPr>
          <w:rFonts w:hint="eastAsia" w:ascii="宋体" w:hAnsi="宋体" w:cs="宋体"/>
          <w:color w:val="auto"/>
          <w:szCs w:val="21"/>
          <w:highlight w:val="none"/>
        </w:rPr>
        <w:t>项目全部采购需求所应提供的服务，以及伴随的货物和工程（如有）的价格；</w:t>
      </w:r>
      <w:bookmarkStart w:id="186" w:name="OLE_LINK31"/>
      <w:r>
        <w:rPr>
          <w:rFonts w:hint="eastAsia" w:ascii="宋体" w:hAnsi="宋体" w:cs="宋体"/>
          <w:color w:val="auto"/>
          <w:szCs w:val="21"/>
          <w:highlight w:val="none"/>
        </w:rPr>
        <w:t>包含竞标服务、货物、工程的成本、运输（含保险）、安装（如有）、调试、检验、技术服务、培训、税费等所有费用</w:t>
      </w:r>
      <w:bookmarkEnd w:id="185"/>
      <w:bookmarkEnd w:id="186"/>
      <w:r>
        <w:rPr>
          <w:rFonts w:hint="eastAsia" w:ascii="宋体" w:hAnsi="宋体" w:cs="宋体"/>
          <w:color w:val="auto"/>
          <w:szCs w:val="21"/>
          <w:highlight w:val="none"/>
        </w:rPr>
        <w:t>。如采购文件对其另有规定的，从其规定。</w:t>
      </w:r>
    </w:p>
    <w:p w14:paraId="421636DB">
      <w:pPr>
        <w:spacing w:line="45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第二条　质量保证</w:t>
      </w:r>
    </w:p>
    <w:p w14:paraId="7912168F">
      <w:pPr>
        <w:snapToGrid w:val="0"/>
        <w:spacing w:line="45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1.乙方所提供的服务内容、技术规格、技术参数等质量必须与采购文件和</w:t>
      </w:r>
      <w:r>
        <w:rPr>
          <w:rFonts w:ascii="宋体" w:hAnsi="宋体" w:cs="宋体"/>
          <w:color w:val="auto"/>
          <w:szCs w:val="21"/>
          <w:highlight w:val="none"/>
        </w:rPr>
        <w:t>响应承诺</w:t>
      </w:r>
      <w:r>
        <w:rPr>
          <w:rFonts w:hint="eastAsia" w:ascii="宋体" w:hAnsi="宋体" w:cs="宋体"/>
          <w:color w:val="auto"/>
          <w:szCs w:val="21"/>
          <w:highlight w:val="none"/>
        </w:rPr>
        <w:t>相一致，有国家标准</w:t>
      </w:r>
      <w:r>
        <w:rPr>
          <w:rFonts w:ascii="宋体" w:hAnsi="宋体" w:cs="宋体"/>
          <w:color w:val="auto"/>
          <w:szCs w:val="21"/>
          <w:highlight w:val="none"/>
        </w:rPr>
        <w:t>的</w:t>
      </w:r>
      <w:r>
        <w:rPr>
          <w:rFonts w:hint="eastAsia" w:ascii="宋体" w:hAnsi="宋体" w:cs="宋体"/>
          <w:color w:val="auto"/>
          <w:szCs w:val="21"/>
          <w:highlight w:val="none"/>
        </w:rPr>
        <w:t>，还必须符合国家标准的规定，没有国家标准</w:t>
      </w:r>
      <w:r>
        <w:rPr>
          <w:rFonts w:ascii="宋体" w:hAnsi="宋体" w:cs="宋体"/>
          <w:color w:val="auto"/>
          <w:szCs w:val="21"/>
          <w:highlight w:val="none"/>
        </w:rPr>
        <w:t>的</w:t>
      </w:r>
      <w:r>
        <w:rPr>
          <w:rFonts w:hint="eastAsia" w:ascii="宋体" w:hAnsi="宋体" w:cs="宋体"/>
          <w:color w:val="auto"/>
          <w:szCs w:val="21"/>
          <w:highlight w:val="none"/>
        </w:rPr>
        <w:t>，有其他强制性标准的，必须符合其他强制性标准的规定。</w:t>
      </w:r>
    </w:p>
    <w:p w14:paraId="4CAF85CA">
      <w:pPr>
        <w:snapToGrid w:val="0"/>
        <w:spacing w:line="450" w:lineRule="exact"/>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2.乙方所提供服务及其成果</w:t>
      </w:r>
      <w:r>
        <w:rPr>
          <w:rFonts w:ascii="宋体" w:hAnsi="宋体" w:cs="宋体"/>
          <w:color w:val="auto"/>
          <w:szCs w:val="21"/>
          <w:highlight w:val="none"/>
        </w:rPr>
        <w:t>的</w:t>
      </w:r>
      <w:r>
        <w:rPr>
          <w:rFonts w:hint="eastAsia" w:ascii="宋体" w:hAnsi="宋体" w:cs="宋体"/>
          <w:color w:val="auto"/>
          <w:szCs w:val="21"/>
          <w:highlight w:val="none"/>
        </w:rPr>
        <w:t>质量应达到采购文件要求和</w:t>
      </w:r>
      <w:r>
        <w:rPr>
          <w:rFonts w:ascii="宋体" w:hAnsi="宋体" w:cs="宋体"/>
          <w:color w:val="auto"/>
          <w:szCs w:val="21"/>
          <w:highlight w:val="none"/>
        </w:rPr>
        <w:t>响应承诺</w:t>
      </w:r>
      <w:r>
        <w:rPr>
          <w:rFonts w:hint="eastAsia" w:ascii="宋体" w:hAnsi="宋体" w:cs="宋体"/>
          <w:color w:val="auto"/>
          <w:szCs w:val="21"/>
          <w:highlight w:val="none"/>
        </w:rPr>
        <w:t>的质量要求。</w:t>
      </w:r>
    </w:p>
    <w:p w14:paraId="2F422BC8">
      <w:pPr>
        <w:spacing w:line="450" w:lineRule="exact"/>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第三条　权利保证</w:t>
      </w:r>
    </w:p>
    <w:p w14:paraId="6E34E96E">
      <w:pPr>
        <w:snapToGrid w:val="0"/>
        <w:spacing w:line="45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1.乙方应保证所提供服务在使用时不会侵犯任何第三方的专利权、商标权、工业设计权等知识产权及其他合法权利，且所有权、处分权等没有受到任何限制。</w:t>
      </w:r>
    </w:p>
    <w:p w14:paraId="2E8441C4">
      <w:pPr>
        <w:spacing w:after="120" w:line="450" w:lineRule="exact"/>
        <w:ind w:firstLine="417" w:firstLineChars="198"/>
        <w:rPr>
          <w:rFonts w:hint="eastAsia" w:ascii="宋体" w:hAnsi="宋体"/>
          <w:b/>
          <w:bCs/>
          <w:color w:val="auto"/>
          <w:highlight w:val="none"/>
        </w:rPr>
      </w:pPr>
      <w:bookmarkStart w:id="187" w:name="_Hlk44456133"/>
      <w:r>
        <w:rPr>
          <w:rFonts w:hint="eastAsia" w:ascii="宋体" w:hAnsi="宋体"/>
          <w:b/>
          <w:bCs/>
          <w:color w:val="auto"/>
          <w:highlight w:val="none"/>
        </w:rPr>
        <w:t>2.乙方保证所交付服务及服务成果的所有权完全属于乙方且无任何抵押、查封等产权瑕疵。如乙方所交付服务及其成果有产权瑕疵的，视为乙方违约，按照本合同第九条第4点的约定处理。</w:t>
      </w:r>
    </w:p>
    <w:bookmarkEnd w:id="187"/>
    <w:p w14:paraId="1BAC7ADB">
      <w:pPr>
        <w:snapToGrid w:val="0"/>
        <w:spacing w:line="45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没有甲方事先书面同意，乙方不得将由甲方提供的有关合同或任何合同条文、规格、计划、图纸、样品或资料提供给与履行本合同无关的任何其他人。即使向履行本合同有关的人员提供，也应注意保密并限于履行合同的必需范围。乙方的保密义务持续有效，不因为本合同履行终止、解除或无效而解除。</w:t>
      </w:r>
    </w:p>
    <w:p w14:paraId="1E03909A">
      <w:pPr>
        <w:spacing w:line="450" w:lineRule="exact"/>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第四条　交付和验收</w:t>
      </w:r>
    </w:p>
    <w:p w14:paraId="1BDBDB07">
      <w:pPr>
        <w:spacing w:line="45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1.服务期限：</w:t>
      </w:r>
      <w:r>
        <w:rPr>
          <w:rFonts w:hint="eastAsia" w:ascii="宋体" w:hAnsi="宋体" w:eastAsia="宋体" w:cs="宋体"/>
          <w:color w:val="auto"/>
          <w:kern w:val="0"/>
          <w:sz w:val="21"/>
          <w:szCs w:val="21"/>
          <w:highlight w:val="none"/>
          <w:lang w:bidi="ar"/>
        </w:rPr>
        <w:t>合同签订之日起至完成本项目竣工验收止</w:t>
      </w:r>
      <w:r>
        <w:rPr>
          <w:rFonts w:hint="eastAsia" w:ascii="宋体" w:hAnsi="宋体" w:cs="宋体"/>
          <w:color w:val="auto"/>
          <w:szCs w:val="21"/>
          <w:highlight w:val="none"/>
        </w:rPr>
        <w:t>。</w:t>
      </w:r>
    </w:p>
    <w:p w14:paraId="74814EE6">
      <w:pPr>
        <w:spacing w:line="450" w:lineRule="exact"/>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服务地点</w:t>
      </w:r>
      <w:r>
        <w:rPr>
          <w:rFonts w:ascii="宋体" w:hAnsi="宋体" w:cs="宋体"/>
          <w:color w:val="auto"/>
          <w:szCs w:val="21"/>
          <w:highlight w:val="none"/>
        </w:rPr>
        <w:t>：</w:t>
      </w:r>
      <w:r>
        <w:rPr>
          <w:rFonts w:ascii="宋体" w:hAnsi="宋体"/>
          <w:color w:val="auto"/>
          <w:szCs w:val="21"/>
          <w:highlight w:val="none"/>
          <w:u w:val="single"/>
        </w:rPr>
        <w:t>广西</w:t>
      </w:r>
      <w:r>
        <w:rPr>
          <w:rFonts w:hint="eastAsia" w:ascii="宋体" w:hAnsi="宋体"/>
          <w:color w:val="auto"/>
          <w:szCs w:val="21"/>
          <w:highlight w:val="none"/>
          <w:u w:val="single"/>
          <w:lang w:eastAsia="zh-CN"/>
        </w:rPr>
        <w:t>南宁市</w:t>
      </w:r>
      <w:r>
        <w:rPr>
          <w:rFonts w:hint="eastAsia" w:ascii="宋体" w:hAnsi="宋体" w:cs="宋体"/>
          <w:color w:val="auto"/>
          <w:szCs w:val="21"/>
          <w:highlight w:val="none"/>
        </w:rPr>
        <w:t>。</w:t>
      </w:r>
    </w:p>
    <w:p w14:paraId="6F8305A9">
      <w:pPr>
        <w:snapToGrid w:val="0"/>
        <w:spacing w:line="450" w:lineRule="exact"/>
        <w:ind w:firstLine="420" w:firstLineChars="200"/>
        <w:rPr>
          <w:rFonts w:hint="eastAsia"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.乙方应按磋商文件、响应文件的规定向甲方提供相应的服务</w:t>
      </w:r>
      <w:r>
        <w:rPr>
          <w:rFonts w:ascii="宋体" w:hAnsi="宋体" w:cs="宋体"/>
          <w:color w:val="auto"/>
          <w:szCs w:val="21"/>
          <w:highlight w:val="none"/>
        </w:rPr>
        <w:t>，并按响应承诺向甲方提供所服务内容的相关技术资料</w:t>
      </w:r>
      <w:r>
        <w:rPr>
          <w:rFonts w:hint="eastAsia" w:ascii="宋体" w:hAnsi="宋体" w:cs="宋体"/>
          <w:color w:val="auto"/>
          <w:szCs w:val="21"/>
          <w:highlight w:val="none"/>
        </w:rPr>
        <w:t>。</w:t>
      </w:r>
    </w:p>
    <w:p w14:paraId="269883B6">
      <w:pPr>
        <w:spacing w:after="120" w:line="450" w:lineRule="exact"/>
        <w:ind w:firstLine="415" w:firstLineChars="198"/>
        <w:rPr>
          <w:rFonts w:hint="eastAsia" w:ascii="宋体" w:hAnsi="宋体"/>
          <w:color w:val="auto"/>
          <w:highlight w:val="none"/>
        </w:rPr>
      </w:pPr>
      <w:bookmarkStart w:id="188" w:name="_Hlk44456176"/>
      <w:r>
        <w:rPr>
          <w:rFonts w:hint="eastAsia" w:ascii="宋体" w:hAnsi="宋体"/>
          <w:color w:val="auto"/>
          <w:highlight w:val="none"/>
        </w:rPr>
        <w:t>3.乙方应对提交的服务成果作出全面检查和整理，并列出清单，作为甲方验收和使用的技术条件依据，清单应随提交的服务成果交给甲方。</w:t>
      </w:r>
    </w:p>
    <w:bookmarkEnd w:id="188"/>
    <w:p w14:paraId="0032F15B">
      <w:pPr>
        <w:spacing w:line="45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4.乙方提供不符合</w:t>
      </w:r>
      <w:r>
        <w:rPr>
          <w:rFonts w:ascii="宋体" w:hAnsi="宋体" w:cs="宋体"/>
          <w:color w:val="auto"/>
          <w:szCs w:val="21"/>
          <w:highlight w:val="none"/>
        </w:rPr>
        <w:t>磋商文件</w:t>
      </w:r>
      <w:r>
        <w:rPr>
          <w:rFonts w:hint="eastAsia" w:ascii="宋体" w:hAnsi="宋体" w:cs="宋体"/>
          <w:color w:val="auto"/>
          <w:szCs w:val="21"/>
          <w:highlight w:val="none"/>
        </w:rPr>
        <w:t>、响应文件和本合同规定的服务成果，甲方有权拒绝接受。</w:t>
      </w:r>
    </w:p>
    <w:p w14:paraId="2D77B52E">
      <w:pPr>
        <w:spacing w:line="450" w:lineRule="exact"/>
        <w:ind w:firstLine="420" w:firstLineChars="200"/>
        <w:rPr>
          <w:rFonts w:hint="eastAsia" w:ascii="宋体" w:hAnsi="宋体"/>
          <w:color w:val="auto"/>
          <w:szCs w:val="21"/>
          <w:highlight w:val="none"/>
        </w:rPr>
      </w:pPr>
      <w:r>
        <w:rPr>
          <w:rFonts w:hint="eastAsia" w:ascii="宋体" w:hAnsi="宋体"/>
          <w:color w:val="auto"/>
          <w:szCs w:val="21"/>
          <w:highlight w:val="none"/>
        </w:rPr>
        <w:t>5.乙方完成服务后应及时书面通知甲方进行验收，甲方应在收到通知后10个工作日内进行验收。验收合格后由甲乙双方签署验收单并加盖甲方公章，一式两份，甲乙双方各执一份。</w:t>
      </w:r>
    </w:p>
    <w:p w14:paraId="6EAC9D7A">
      <w:pPr>
        <w:spacing w:line="45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6.甲方在初步</w:t>
      </w:r>
      <w:r>
        <w:rPr>
          <w:rFonts w:ascii="宋体" w:hAnsi="宋体" w:cs="宋体"/>
          <w:color w:val="auto"/>
          <w:szCs w:val="21"/>
          <w:highlight w:val="none"/>
        </w:rPr>
        <w:t>验收或</w:t>
      </w:r>
      <w:r>
        <w:rPr>
          <w:rFonts w:hint="eastAsia" w:ascii="宋体" w:hAnsi="宋体" w:cs="宋体"/>
          <w:color w:val="auto"/>
          <w:szCs w:val="21"/>
          <w:highlight w:val="none"/>
        </w:rPr>
        <w:t>最终验收过程中如发现乙方</w:t>
      </w:r>
      <w:r>
        <w:rPr>
          <w:rFonts w:ascii="宋体" w:hAnsi="宋体" w:cs="宋体"/>
          <w:color w:val="auto"/>
          <w:szCs w:val="21"/>
          <w:highlight w:val="none"/>
        </w:rPr>
        <w:t>提供的服务成果不满足磋商文件、响应文件、本合同规定的</w:t>
      </w:r>
      <w:r>
        <w:rPr>
          <w:rFonts w:hint="eastAsia" w:ascii="宋体" w:hAnsi="宋体" w:cs="宋体"/>
          <w:color w:val="auto"/>
          <w:szCs w:val="21"/>
          <w:highlight w:val="none"/>
        </w:rPr>
        <w:t>，可暂缓</w:t>
      </w:r>
      <w:r>
        <w:rPr>
          <w:rFonts w:ascii="宋体" w:hAnsi="宋体" w:cs="宋体"/>
          <w:color w:val="auto"/>
          <w:szCs w:val="21"/>
          <w:highlight w:val="none"/>
        </w:rPr>
        <w:t>向乙方</w:t>
      </w:r>
      <w:r>
        <w:rPr>
          <w:rFonts w:hint="eastAsia" w:ascii="宋体" w:hAnsi="宋体" w:cs="宋体"/>
          <w:color w:val="auto"/>
          <w:szCs w:val="21"/>
          <w:highlight w:val="none"/>
        </w:rPr>
        <w:t>付款，</w:t>
      </w:r>
      <w:r>
        <w:rPr>
          <w:rFonts w:ascii="宋体" w:hAnsi="宋体" w:cs="宋体"/>
          <w:color w:val="auto"/>
          <w:szCs w:val="21"/>
          <w:highlight w:val="none"/>
        </w:rPr>
        <w:t>直到</w:t>
      </w:r>
      <w:r>
        <w:rPr>
          <w:rFonts w:hint="eastAsia" w:ascii="宋体" w:hAnsi="宋体" w:cs="宋体"/>
          <w:color w:val="auto"/>
          <w:szCs w:val="21"/>
          <w:highlight w:val="none"/>
        </w:rPr>
        <w:t>乙方及时</w:t>
      </w:r>
      <w:r>
        <w:rPr>
          <w:rFonts w:ascii="宋体" w:hAnsi="宋体" w:cs="宋体"/>
          <w:color w:val="auto"/>
          <w:szCs w:val="21"/>
          <w:highlight w:val="none"/>
        </w:rPr>
        <w:t>完善并提交相应的服务成果</w:t>
      </w:r>
      <w:r>
        <w:rPr>
          <w:rFonts w:hint="eastAsia" w:ascii="宋体" w:hAnsi="宋体" w:cs="宋体"/>
          <w:color w:val="auto"/>
          <w:szCs w:val="21"/>
          <w:highlight w:val="none"/>
        </w:rPr>
        <w:t>并经甲方验收合格后，方可办理付款。</w:t>
      </w:r>
    </w:p>
    <w:p w14:paraId="2A030961">
      <w:pPr>
        <w:spacing w:line="45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7.甲方验收时提出异议的，在验收期满后五个工作日内以书面形式向乙方提出，乙方应自收到甲方书面异议后五个工作日内及时予以解决，否则甲方有权不出具服务验收合格单并有权解除合同。</w:t>
      </w:r>
    </w:p>
    <w:p w14:paraId="69B58C30">
      <w:pPr>
        <w:snapToGrid w:val="0"/>
        <w:spacing w:before="48" w:beforeLines="20" w:line="45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第五条  售后服务</w:t>
      </w:r>
    </w:p>
    <w:p w14:paraId="77C5A8E0">
      <w:pPr>
        <w:snapToGrid w:val="0"/>
        <w:spacing w:line="45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1.乙方应按照国家有关法律法规和“三包”规定以及磋商文件和本合同所附的《服务承诺》（如有，可另附合同附件），为甲方提供售后服务。</w:t>
      </w:r>
    </w:p>
    <w:p w14:paraId="06E9F440">
      <w:pPr>
        <w:spacing w:line="450" w:lineRule="exact"/>
        <w:ind w:firstLine="420" w:firstLineChars="200"/>
        <w:rPr>
          <w:rFonts w:hint="eastAsia" w:ascii="宋体" w:hAnsi="宋体" w:cs="宋体"/>
          <w:color w:val="auto"/>
          <w:szCs w:val="21"/>
          <w:highlight w:val="none"/>
        </w:rPr>
      </w:pPr>
      <w:r>
        <w:rPr>
          <w:rFonts w:hint="eastAsia" w:ascii="宋体" w:hAnsi="宋体"/>
          <w:color w:val="auto"/>
          <w:szCs w:val="21"/>
          <w:highlight w:val="none"/>
        </w:rPr>
        <w:t>2.乙方提供的服务承诺和售后服务责任等其它具体约定事项。（如有，可另附合同附件）</w:t>
      </w:r>
    </w:p>
    <w:p w14:paraId="028E4E2F">
      <w:pPr>
        <w:snapToGrid w:val="0"/>
        <w:spacing w:line="45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第六条　付款方式</w:t>
      </w:r>
    </w:p>
    <w:p w14:paraId="2B662B28">
      <w:pPr>
        <w:snapToGrid w:val="0"/>
        <w:spacing w:line="45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bCs/>
          <w:color w:val="auto"/>
          <w:szCs w:val="21"/>
          <w:highlight w:val="none"/>
        </w:rPr>
        <w:t>采购合同履行中，甲方需追加与合同标的相同的货物、工程或者服务的，在不改变合同其他条款的前提下，可以与乙方协商签订补充合同，但所有补充合同的采购金额不得超过原合同采购金额的百分之十。</w:t>
      </w:r>
    </w:p>
    <w:p w14:paraId="13056B17">
      <w:pPr>
        <w:ind w:right="33"/>
        <w:rPr>
          <w:rFonts w:ascii="Times New Roman" w:hAnsi="Times New Roman"/>
          <w:color w:val="auto"/>
          <w:kern w:val="2"/>
          <w:sz w:val="21"/>
          <w:highlight w:val="none"/>
        </w:rPr>
      </w:pPr>
      <w:r>
        <w:rPr>
          <w:rFonts w:hint="eastAsia" w:ascii="宋体" w:hAnsi="宋体"/>
          <w:bCs/>
          <w:color w:val="auto"/>
          <w:szCs w:val="21"/>
          <w:highlight w:val="none"/>
        </w:rPr>
        <w:t>2.</w:t>
      </w:r>
      <w:r>
        <w:rPr>
          <w:rFonts w:hint="eastAsia" w:ascii="宋体" w:hAnsi="宋体"/>
          <w:color w:val="auto"/>
          <w:szCs w:val="21"/>
          <w:highlight w:val="none"/>
        </w:rPr>
        <w:t>付款方式：</w:t>
      </w:r>
      <w:r>
        <w:rPr>
          <w:rFonts w:ascii="Times New Roman" w:hAnsi="Times New Roman"/>
          <w:color w:val="auto"/>
          <w:kern w:val="2"/>
          <w:sz w:val="21"/>
          <w:highlight w:val="none"/>
        </w:rPr>
        <w:t>按项目实施进度分期进行付款：</w:t>
      </w:r>
    </w:p>
    <w:p w14:paraId="7EE28F32">
      <w:pPr>
        <w:widowControl/>
        <w:snapToGrid w:val="0"/>
        <w:spacing w:line="400" w:lineRule="exact"/>
        <w:ind w:right="33" w:firstLine="420" w:firstLineChars="200"/>
        <w:jc w:val="left"/>
        <w:outlineLvl w:val="9"/>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签订合同后10个工作日支付成交金额20%的合同款；</w:t>
      </w:r>
      <w:r>
        <w:rPr>
          <w:rFonts w:hint="eastAsia" w:cs="Times New Roman"/>
          <w:color w:val="auto"/>
          <w:kern w:val="2"/>
          <w:sz w:val="21"/>
          <w:szCs w:val="21"/>
          <w:highlight w:val="none"/>
          <w:lang w:val="en-US" w:eastAsia="zh-CN" w:bidi="ar-SA"/>
        </w:rPr>
        <w:t>甲方</w:t>
      </w:r>
      <w:r>
        <w:rPr>
          <w:rFonts w:hint="eastAsia" w:ascii="Times New Roman" w:hAnsi="Times New Roman" w:eastAsia="宋体" w:cs="Times New Roman"/>
          <w:color w:val="auto"/>
          <w:kern w:val="2"/>
          <w:sz w:val="21"/>
          <w:szCs w:val="21"/>
          <w:highlight w:val="none"/>
          <w:lang w:val="en-US" w:eastAsia="zh-CN" w:bidi="ar-SA"/>
        </w:rPr>
        <w:t>收到并核准</w:t>
      </w:r>
      <w:r>
        <w:rPr>
          <w:rFonts w:hint="eastAsia" w:cs="Times New Roman"/>
          <w:color w:val="auto"/>
          <w:kern w:val="2"/>
          <w:sz w:val="21"/>
          <w:szCs w:val="21"/>
          <w:highlight w:val="none"/>
          <w:lang w:val="en-US" w:eastAsia="zh-CN" w:bidi="ar-SA"/>
        </w:rPr>
        <w:t>乙方</w:t>
      </w:r>
      <w:r>
        <w:rPr>
          <w:rFonts w:hint="eastAsia" w:ascii="Times New Roman" w:hAnsi="Times New Roman" w:eastAsia="宋体" w:cs="Times New Roman"/>
          <w:color w:val="auto"/>
          <w:kern w:val="2"/>
          <w:sz w:val="21"/>
          <w:szCs w:val="21"/>
          <w:highlight w:val="none"/>
          <w:lang w:val="en-US" w:eastAsia="zh-CN" w:bidi="ar-SA"/>
        </w:rPr>
        <w:t>提交详细设计方案后，于10个工作日内支付成交金额30%的合同款；</w:t>
      </w:r>
      <w:r>
        <w:rPr>
          <w:rFonts w:hint="eastAsia" w:cs="Times New Roman"/>
          <w:color w:val="auto"/>
          <w:kern w:val="2"/>
          <w:sz w:val="21"/>
          <w:szCs w:val="21"/>
          <w:highlight w:val="none"/>
          <w:lang w:val="en-US" w:eastAsia="zh-CN" w:bidi="ar-SA"/>
        </w:rPr>
        <w:t>甲方</w:t>
      </w:r>
      <w:r>
        <w:rPr>
          <w:rFonts w:hint="eastAsia" w:ascii="Times New Roman" w:hAnsi="Times New Roman" w:eastAsia="宋体" w:cs="Times New Roman"/>
          <w:color w:val="auto"/>
          <w:kern w:val="2"/>
          <w:sz w:val="21"/>
          <w:szCs w:val="21"/>
          <w:highlight w:val="none"/>
          <w:lang w:val="en-US" w:eastAsia="zh-CN" w:bidi="ar-SA"/>
        </w:rPr>
        <w:t>确认完成</w:t>
      </w:r>
      <w:r>
        <w:rPr>
          <w:rFonts w:hint="eastAsia" w:cs="Times New Roman"/>
          <w:color w:val="auto"/>
          <w:kern w:val="2"/>
          <w:sz w:val="21"/>
          <w:szCs w:val="21"/>
          <w:highlight w:val="none"/>
          <w:lang w:val="en-US" w:eastAsia="zh-CN" w:bidi="ar-SA"/>
        </w:rPr>
        <w:t>系统信创</w:t>
      </w:r>
      <w:r>
        <w:rPr>
          <w:rFonts w:hint="eastAsia" w:ascii="Times New Roman" w:hAnsi="Times New Roman" w:eastAsia="宋体" w:cs="Times New Roman"/>
          <w:color w:val="auto"/>
          <w:kern w:val="2"/>
          <w:sz w:val="21"/>
          <w:szCs w:val="21"/>
          <w:highlight w:val="none"/>
          <w:lang w:val="en-US" w:eastAsia="zh-CN" w:bidi="ar-SA"/>
        </w:rPr>
        <w:t>改造后，于10个工作日内支付成交金额 30%的合同款；项目验收合格并出具书面验收报告后，</w:t>
      </w:r>
      <w:r>
        <w:rPr>
          <w:rFonts w:hint="eastAsia" w:cs="Times New Roman"/>
          <w:color w:val="auto"/>
          <w:kern w:val="2"/>
          <w:sz w:val="21"/>
          <w:szCs w:val="21"/>
          <w:highlight w:val="none"/>
          <w:lang w:val="en-US" w:eastAsia="zh-CN" w:bidi="ar-SA"/>
        </w:rPr>
        <w:t>甲方</w:t>
      </w:r>
      <w:r>
        <w:rPr>
          <w:rFonts w:hint="eastAsia" w:ascii="Times New Roman" w:hAnsi="Times New Roman" w:eastAsia="宋体" w:cs="Times New Roman"/>
          <w:color w:val="auto"/>
          <w:kern w:val="2"/>
          <w:sz w:val="21"/>
          <w:szCs w:val="21"/>
          <w:highlight w:val="none"/>
          <w:lang w:val="en-US" w:eastAsia="zh-CN" w:bidi="ar-SA"/>
        </w:rPr>
        <w:t>于10个工作日内支付成交金额20%的合同款。</w:t>
      </w:r>
    </w:p>
    <w:p w14:paraId="52D47A3F">
      <w:pPr>
        <w:widowControl/>
        <w:snapToGrid w:val="0"/>
        <w:spacing w:line="400" w:lineRule="exact"/>
        <w:ind w:right="33" w:firstLine="420" w:firstLineChars="200"/>
        <w:jc w:val="left"/>
        <w:outlineLvl w:val="9"/>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年度支付金额不超过年度采购预算金额，当年预算金额不足以支付的，在次年预算金额中支付。</w:t>
      </w:r>
    </w:p>
    <w:p w14:paraId="27982F86">
      <w:pPr>
        <w:spacing w:line="400" w:lineRule="exact"/>
        <w:ind w:firstLine="420" w:firstLineChars="200"/>
        <w:rPr>
          <w:rFonts w:hint="eastAsia" w:ascii="宋体" w:hAnsi="宋体" w:cs="宋体"/>
          <w:color w:val="auto"/>
          <w:szCs w:val="21"/>
          <w:highlight w:val="none"/>
        </w:rPr>
      </w:pPr>
      <w:r>
        <w:rPr>
          <w:rFonts w:hint="eastAsia" w:ascii="Times New Roman" w:hAnsi="Times New Roman" w:eastAsia="宋体" w:cs="Times New Roman"/>
          <w:color w:val="auto"/>
          <w:kern w:val="2"/>
          <w:sz w:val="21"/>
          <w:szCs w:val="21"/>
          <w:highlight w:val="none"/>
          <w:lang w:val="en-US" w:eastAsia="zh-CN" w:bidi="ar-SA"/>
        </w:rPr>
        <w:t>每次付款前，由成交人向采购人开具等额有效的增值税普通发票。</w:t>
      </w:r>
    </w:p>
    <w:p w14:paraId="1BF40651">
      <w:pPr>
        <w:snapToGrid w:val="0"/>
        <w:spacing w:line="45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第七条　履约保证金</w:t>
      </w:r>
    </w:p>
    <w:p w14:paraId="1C10441B">
      <w:pPr>
        <w:snapToGrid w:val="0"/>
        <w:spacing w:line="450" w:lineRule="exact"/>
        <w:ind w:firstLine="420" w:firstLineChars="200"/>
        <w:rPr>
          <w:rFonts w:hint="eastAsia" w:ascii="宋体" w:hAnsi="宋体" w:cs="宋体"/>
          <w:color w:val="auto"/>
          <w:szCs w:val="21"/>
          <w:highlight w:val="none"/>
        </w:rPr>
      </w:pPr>
      <w:r>
        <w:rPr>
          <w:rFonts w:hint="eastAsia" w:ascii="宋体" w:hAnsi="宋体"/>
          <w:color w:val="auto"/>
          <w:szCs w:val="21"/>
          <w:highlight w:val="none"/>
        </w:rPr>
        <w:t>本项目无履约保证金。</w:t>
      </w:r>
    </w:p>
    <w:p w14:paraId="72AB8EC2">
      <w:pPr>
        <w:spacing w:line="45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第八条  税费</w:t>
      </w:r>
    </w:p>
    <w:p w14:paraId="5184F273">
      <w:pPr>
        <w:spacing w:line="45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本合同执行中相关的一切税费均由乙方负担。</w:t>
      </w:r>
    </w:p>
    <w:p w14:paraId="3A712DBB">
      <w:pPr>
        <w:spacing w:line="45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第九条　违约责任</w:t>
      </w:r>
    </w:p>
    <w:p w14:paraId="71CB98A4">
      <w:pPr>
        <w:adjustRightInd/>
        <w:snapToGrid w:val="0"/>
        <w:spacing w:line="320" w:lineRule="exact"/>
        <w:ind w:left="-61" w:firstLine="514" w:firstLineChars="0"/>
        <w:rPr>
          <w:rFonts w:hint="default" w:ascii="Times New Roman" w:hAnsi="Times New Roman" w:cs="Times New Roman"/>
          <w:szCs w:val="21"/>
        </w:rPr>
      </w:pPr>
      <w:r>
        <w:rPr>
          <w:rFonts w:hint="default" w:ascii="Times New Roman" w:hAnsi="Times New Roman" w:cs="Times New Roman"/>
          <w:szCs w:val="21"/>
        </w:rPr>
        <w:t>1．乙方未按合同约定时间提供服务的，</w:t>
      </w:r>
      <w:r>
        <w:rPr>
          <w:rFonts w:hint="default" w:ascii="Times New Roman" w:hAnsi="Times New Roman"/>
          <w:szCs w:val="21"/>
        </w:rPr>
        <w:t>每逾期一天按合同金额的3‰支付违约金，逾期达 日的，甲方有权解除合同。</w:t>
      </w:r>
    </w:p>
    <w:p w14:paraId="049B52A1">
      <w:pPr>
        <w:snapToGrid w:val="0"/>
        <w:spacing w:line="320" w:lineRule="exact"/>
        <w:ind w:left="-61" w:firstLine="514"/>
        <w:rPr>
          <w:szCs w:val="21"/>
        </w:rPr>
      </w:pPr>
      <w:r>
        <w:rPr>
          <w:rFonts w:hint="default"/>
          <w:szCs w:val="21"/>
        </w:rPr>
        <w:t>2.</w:t>
      </w:r>
      <w:r>
        <w:rPr>
          <w:rFonts w:hint="default" w:ascii="Times New Roman" w:hAnsi="Times New Roman" w:cs="Times New Roman"/>
          <w:szCs w:val="21"/>
        </w:rPr>
        <w:t xml:space="preserve"> 乙方提供的服务如侵犯了第三方合法权益而引发的任何纠纷或诉讼，均由乙方负责交涉并承担全部责任，</w:t>
      </w:r>
      <w:r>
        <w:rPr>
          <w:rFonts w:hint="default"/>
          <w:szCs w:val="21"/>
        </w:rPr>
        <w:t>如因此造成甲方对外承担责任的，甲方有权向乙方追偿（包括但不限于诉讼费、律师费、法院判决应由甲方支付或赔偿的等费用及甲方向乙方追偿支出的诉讼费、保全费、保全保险费、公告费、律师费等必要合理的支出。</w:t>
      </w:r>
    </w:p>
    <w:p w14:paraId="0BD7991C">
      <w:pPr>
        <w:snapToGrid w:val="0"/>
        <w:spacing w:line="320" w:lineRule="exact"/>
        <w:ind w:left="-61" w:firstLine="514" w:firstLineChars="0"/>
        <w:rPr>
          <w:kern w:val="2"/>
          <w:sz w:val="21"/>
          <w:szCs w:val="21"/>
        </w:rPr>
      </w:pPr>
      <w:r>
        <w:rPr>
          <w:rFonts w:hint="default"/>
          <w:kern w:val="2"/>
          <w:sz w:val="21"/>
          <w:szCs w:val="21"/>
        </w:rPr>
        <w:t>3.乙方出现以下任一情形的，甲方有权解除合同：</w:t>
      </w:r>
    </w:p>
    <w:p w14:paraId="25C6A079">
      <w:pPr>
        <w:snapToGrid w:val="0"/>
        <w:spacing w:line="320" w:lineRule="exact"/>
        <w:ind w:left="-61" w:firstLine="514" w:firstLineChars="0"/>
        <w:rPr>
          <w:kern w:val="2"/>
          <w:sz w:val="21"/>
          <w:szCs w:val="21"/>
        </w:rPr>
      </w:pPr>
      <w:r>
        <w:rPr>
          <w:rFonts w:hint="default"/>
          <w:kern w:val="2"/>
          <w:sz w:val="21"/>
          <w:szCs w:val="21"/>
        </w:rPr>
        <w:t>（1）乙方提供的服务验收不合格且逾期整改或拒不整改，或经整改后仍不合格的。</w:t>
      </w:r>
    </w:p>
    <w:p w14:paraId="5B7137AA">
      <w:pPr>
        <w:snapToGrid w:val="0"/>
        <w:spacing w:line="320" w:lineRule="exact"/>
        <w:ind w:left="-61" w:firstLine="514" w:firstLineChars="0"/>
        <w:rPr>
          <w:kern w:val="2"/>
          <w:sz w:val="21"/>
          <w:szCs w:val="21"/>
        </w:rPr>
      </w:pPr>
      <w:r>
        <w:rPr>
          <w:rFonts w:hint="default"/>
          <w:kern w:val="2"/>
          <w:sz w:val="21"/>
          <w:szCs w:val="21"/>
        </w:rPr>
        <w:t>（2）乙方擅自将合同</w:t>
      </w:r>
      <w:r>
        <w:rPr>
          <w:rFonts w:ascii="Times New Roman" w:hAnsi="Times New Roman" w:cs="Times New Roman"/>
          <w:sz w:val="21"/>
          <w:szCs w:val="21"/>
        </w:rPr>
        <w:t>义务</w:t>
      </w:r>
      <w:r>
        <w:rPr>
          <w:rFonts w:hint="default" w:ascii="Times New Roman" w:hAnsi="Times New Roman" w:cs="Times New Roman"/>
          <w:sz w:val="21"/>
          <w:szCs w:val="21"/>
        </w:rPr>
        <w:t xml:space="preserve">转让、分包或转包给第三方的。 </w:t>
      </w:r>
    </w:p>
    <w:p w14:paraId="087C69DE">
      <w:pPr>
        <w:snapToGrid w:val="0"/>
        <w:spacing w:line="320" w:lineRule="exact"/>
        <w:ind w:left="-61" w:firstLine="514" w:firstLineChars="0"/>
        <w:rPr>
          <w:rFonts w:hint="default" w:hAnsi="Times New Roman" w:cs="Times New Roman"/>
          <w:sz w:val="21"/>
          <w:szCs w:val="21"/>
        </w:rPr>
      </w:pPr>
      <w:r>
        <w:rPr>
          <w:rFonts w:hint="default"/>
          <w:kern w:val="2"/>
          <w:sz w:val="21"/>
          <w:szCs w:val="21"/>
        </w:rPr>
        <w:t>4.乙方无故提前解除合同或</w:t>
      </w:r>
      <w:r>
        <w:rPr>
          <w:rFonts w:hint="default" w:hAnsi="Times New Roman" w:cs="Times New Roman"/>
          <w:sz w:val="21"/>
          <w:szCs w:val="21"/>
        </w:rPr>
        <w:t>甲方依约解除合同（合同自解除通知送达乙方之日起即行解除），双方按乙方已按约完成并验收合格服务进行结算，同时甲方有权要求乙方按合同总价款的20%支付违约金，该违约金不足以弥补甲方实际损失的，应继续承担赔偿责任。</w:t>
      </w:r>
      <w:r>
        <w:rPr>
          <w:rFonts w:hint="default"/>
          <w:szCs w:val="21"/>
        </w:rPr>
        <w:t>乙方另需承担货物收回所产生的一切费用。</w:t>
      </w:r>
    </w:p>
    <w:p w14:paraId="63FA4BB2">
      <w:pPr>
        <w:snapToGrid w:val="0"/>
        <w:spacing w:line="320" w:lineRule="exact"/>
        <w:ind w:left="-61" w:firstLine="514"/>
        <w:rPr>
          <w:rFonts w:ascii="Times New Roman" w:hAnsi="Times New Roman"/>
          <w:sz w:val="21"/>
          <w:szCs w:val="21"/>
        </w:rPr>
      </w:pPr>
      <w:r>
        <w:rPr>
          <w:rFonts w:hint="default"/>
          <w:kern w:val="2"/>
          <w:sz w:val="21"/>
          <w:szCs w:val="21"/>
        </w:rPr>
        <w:t>5.因乙方违约造成的包括但不限于违约金、损失赔偿或其他费用，甲方均有权在待付款项中或履约保证金金中直接扣除，</w:t>
      </w:r>
      <w:r>
        <w:rPr>
          <w:rFonts w:hAnsi="Times New Roman" w:cs="Times New Roman"/>
          <w:szCs w:val="21"/>
        </w:rPr>
        <w:t>不足另补。</w:t>
      </w:r>
    </w:p>
    <w:p w14:paraId="12E431FE">
      <w:pPr>
        <w:spacing w:line="45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第十条  不可抗力事件处理</w:t>
      </w:r>
    </w:p>
    <w:p w14:paraId="31DA6036">
      <w:pPr>
        <w:spacing w:line="45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1.在合同有效期内，任何一方因不可抗力事件导致不能履行合同，则合同履行期可延长，其延长期与不可抗力影响期相同。</w:t>
      </w:r>
    </w:p>
    <w:p w14:paraId="3D24D2E6">
      <w:pPr>
        <w:spacing w:line="45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2.不可抗力事件发生后，应立即通知对方，并寄送有关权威机构出具的证明。</w:t>
      </w:r>
    </w:p>
    <w:p w14:paraId="25009F0A">
      <w:pPr>
        <w:spacing w:line="45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3.不可抗力事件延续一百二十天以上，双方应通过友好协商，确定是否继续履行合同。</w:t>
      </w:r>
    </w:p>
    <w:p w14:paraId="29848360">
      <w:pPr>
        <w:spacing w:line="450" w:lineRule="exact"/>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第十一条  合同争议解决</w:t>
      </w:r>
    </w:p>
    <w:p w14:paraId="70827696">
      <w:pPr>
        <w:snapToGrid w:val="0"/>
        <w:spacing w:line="45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1.因服务质量问题发生争议的，应邀请国家认可的质量检测机构进行鉴定。服务符合标准的，鉴定费由甲方承担；服务不符合标准的，鉴定费由乙方承担。</w:t>
      </w:r>
    </w:p>
    <w:p w14:paraId="0EFDD71D">
      <w:pPr>
        <w:snapToGrid w:val="0"/>
        <w:spacing w:line="45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2.因履行本合同引起的或与本合同有关的争议，甲乙双方应首先通过友好协商解决，如果协商不能解决，可向甲方所在地有管辖权人民法院提起诉讼。</w:t>
      </w:r>
    </w:p>
    <w:p w14:paraId="3F5706EF">
      <w:pPr>
        <w:snapToGrid w:val="0"/>
        <w:spacing w:line="45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3.诉讼期间，本合同继续履行（解除合同除外）。</w:t>
      </w:r>
    </w:p>
    <w:p w14:paraId="2F3D86D8">
      <w:pPr>
        <w:snapToGrid w:val="0"/>
        <w:spacing w:line="450" w:lineRule="exact"/>
        <w:ind w:firstLine="420" w:firstLineChars="200"/>
        <w:rPr>
          <w:rFonts w:hint="eastAsia"/>
        </w:rPr>
      </w:pPr>
      <w:r>
        <w:rPr>
          <w:rFonts w:hint="eastAsia" w:ascii="宋体" w:hAnsi="宋体" w:cs="宋体"/>
          <w:color w:val="auto"/>
          <w:szCs w:val="21"/>
          <w:highlight w:val="none"/>
          <w:lang w:val="en-US" w:eastAsia="zh-CN"/>
        </w:rPr>
        <w:t>4.</w:t>
      </w:r>
      <w:r>
        <w:rPr>
          <w:rFonts w:hint="eastAsia"/>
        </w:rPr>
        <w:t>因争议产生的诉讼费、保全费、保全保险费、律师费、交通差旅费、公证费、鉴定费等均由违约方承担。</w:t>
      </w:r>
    </w:p>
    <w:p w14:paraId="287F30DF">
      <w:pPr>
        <w:spacing w:line="45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第十二条  合同生效及其它</w:t>
      </w:r>
    </w:p>
    <w:p w14:paraId="576BEB0F">
      <w:pPr>
        <w:spacing w:line="45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1.合同经双方法定代表人或授权代表签字并加盖双方公章后生效。</w:t>
      </w:r>
    </w:p>
    <w:p w14:paraId="5E0144B8">
      <w:pPr>
        <w:spacing w:line="450" w:lineRule="exact"/>
        <w:ind w:firstLine="420" w:firstLineChars="200"/>
        <w:rPr>
          <w:rFonts w:hint="eastAsia"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.合同执行中涉及采购资金和采购内容修改或补充的，须经相关部门审批，方可作为主合同不可分割的一部分。</w:t>
      </w:r>
    </w:p>
    <w:p w14:paraId="3CFD28FA">
      <w:pPr>
        <w:spacing w:line="450" w:lineRule="exact"/>
        <w:ind w:firstLine="420" w:firstLineChars="200"/>
        <w:rPr>
          <w:rFonts w:hint="eastAsia"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.本合同未尽事宜，遵照《中华人民共和国民法典》有关条文执行。</w:t>
      </w:r>
    </w:p>
    <w:p w14:paraId="1C76A974">
      <w:pPr>
        <w:spacing w:line="45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第十三条　合同的变更、终止与转让</w:t>
      </w:r>
    </w:p>
    <w:p w14:paraId="7E8BD367">
      <w:pPr>
        <w:spacing w:line="45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1.本合同一经签订，甲乙双方不得擅自变更、中止或终止。</w:t>
      </w:r>
    </w:p>
    <w:p w14:paraId="34A51485">
      <w:pPr>
        <w:spacing w:line="45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2.乙方不得擅自转让其应履行的合同义务。</w:t>
      </w:r>
    </w:p>
    <w:p w14:paraId="53C575A8">
      <w:pPr>
        <w:spacing w:line="45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第十四条　签订本合同依据</w:t>
      </w:r>
    </w:p>
    <w:p w14:paraId="18F9E845">
      <w:pPr>
        <w:snapToGrid w:val="0"/>
        <w:spacing w:line="45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1.采购需求</w:t>
      </w:r>
    </w:p>
    <w:p w14:paraId="212C85D5">
      <w:pPr>
        <w:snapToGrid w:val="0"/>
        <w:spacing w:line="45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2.成交通知书；</w:t>
      </w:r>
    </w:p>
    <w:p w14:paraId="0F4FBF5A">
      <w:pPr>
        <w:snapToGrid w:val="0"/>
        <w:spacing w:line="45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3.竞标声明；</w:t>
      </w:r>
    </w:p>
    <w:p w14:paraId="23C6780E">
      <w:pPr>
        <w:snapToGrid w:val="0"/>
        <w:spacing w:line="450" w:lineRule="exact"/>
        <w:ind w:firstLine="420" w:firstLineChars="200"/>
        <w:rPr>
          <w:rFonts w:hint="eastAsia" w:ascii="宋体" w:hAnsi="宋体"/>
          <w:color w:val="auto"/>
          <w:szCs w:val="21"/>
          <w:highlight w:val="none"/>
        </w:rPr>
      </w:pPr>
      <w:r>
        <w:rPr>
          <w:rFonts w:hint="eastAsia" w:ascii="宋体" w:hAnsi="宋体"/>
          <w:color w:val="auto"/>
          <w:szCs w:val="21"/>
          <w:highlight w:val="none"/>
        </w:rPr>
        <w:t>4.商务条款偏离表和技术需求偏离表；</w:t>
      </w:r>
    </w:p>
    <w:p w14:paraId="334B9333">
      <w:pPr>
        <w:snapToGrid w:val="0"/>
        <w:spacing w:line="450" w:lineRule="exact"/>
        <w:ind w:firstLine="420" w:firstLineChars="200"/>
        <w:rPr>
          <w:rFonts w:hint="eastAsia" w:ascii="宋体" w:hAnsi="宋体"/>
          <w:color w:val="auto"/>
          <w:szCs w:val="21"/>
          <w:highlight w:val="none"/>
        </w:rPr>
      </w:pPr>
      <w:r>
        <w:rPr>
          <w:rFonts w:hint="eastAsia" w:ascii="宋体" w:hAnsi="宋体"/>
          <w:color w:val="auto"/>
          <w:szCs w:val="21"/>
          <w:highlight w:val="none"/>
        </w:rPr>
        <w:t>5.竞标报价表及最终报价；</w:t>
      </w:r>
    </w:p>
    <w:p w14:paraId="41DECE53">
      <w:pPr>
        <w:snapToGrid w:val="0"/>
        <w:spacing w:line="450" w:lineRule="exact"/>
        <w:ind w:firstLine="420" w:firstLineChars="200"/>
        <w:rPr>
          <w:rFonts w:hint="eastAsia" w:ascii="宋体" w:hAnsi="宋体"/>
          <w:color w:val="auto"/>
          <w:szCs w:val="21"/>
          <w:highlight w:val="none"/>
        </w:rPr>
      </w:pPr>
      <w:r>
        <w:rPr>
          <w:rFonts w:hint="eastAsia" w:ascii="宋体" w:hAnsi="宋体"/>
          <w:color w:val="auto"/>
          <w:szCs w:val="21"/>
          <w:highlight w:val="none"/>
        </w:rPr>
        <w:t>6.其他合同文件。</w:t>
      </w:r>
    </w:p>
    <w:p w14:paraId="3C629B72">
      <w:pPr>
        <w:snapToGrid w:val="0"/>
        <w:spacing w:line="450" w:lineRule="exact"/>
        <w:ind w:firstLine="420" w:firstLineChars="200"/>
        <w:rPr>
          <w:rFonts w:hint="eastAsia" w:ascii="宋体" w:hAnsi="宋体"/>
          <w:color w:val="auto"/>
          <w:szCs w:val="21"/>
          <w:highlight w:val="none"/>
        </w:rPr>
      </w:pPr>
      <w:r>
        <w:rPr>
          <w:rFonts w:hint="eastAsia" w:ascii="宋体" w:hAnsi="宋体"/>
          <w:color w:val="auto"/>
          <w:szCs w:val="21"/>
          <w:highlight w:val="none"/>
        </w:rPr>
        <w:t>7.上述合同文件互相补充和解释。如果合同文件之间存在矛盾或不一致之处，以上述文件的排列顺序在先者为准。</w:t>
      </w:r>
    </w:p>
    <w:p w14:paraId="412891CB">
      <w:pPr>
        <w:spacing w:line="450" w:lineRule="exact"/>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第十五条　</w:t>
      </w:r>
      <w:r>
        <w:rPr>
          <w:rFonts w:hint="eastAsia" w:ascii="宋体" w:hAnsi="宋体" w:cs="宋体"/>
          <w:color w:val="auto"/>
          <w:szCs w:val="21"/>
          <w:highlight w:val="none"/>
        </w:rPr>
        <w:t>本合同一式六份，具有同等法律效力，</w:t>
      </w:r>
      <w:r>
        <w:rPr>
          <w:rFonts w:hint="eastAsia" w:ascii="宋体" w:hAnsi="宋体"/>
          <w:color w:val="auto"/>
          <w:szCs w:val="21"/>
          <w:highlight w:val="none"/>
        </w:rPr>
        <w:t>甲方三份，乙方二份，采购代理机构各一份</w:t>
      </w:r>
      <w:r>
        <w:rPr>
          <w:rFonts w:hint="eastAsia" w:ascii="宋体" w:hAnsi="宋体" w:cs="宋体"/>
          <w:color w:val="auto"/>
          <w:szCs w:val="21"/>
          <w:highlight w:val="none"/>
        </w:rPr>
        <w:t>（可根据需要另增加）。</w:t>
      </w:r>
    </w:p>
    <w:tbl>
      <w:tblPr>
        <w:tblStyle w:val="2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2"/>
        <w:gridCol w:w="4893"/>
      </w:tblGrid>
      <w:tr w14:paraId="424E1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8" w:hRule="atLeast"/>
        </w:trPr>
        <w:tc>
          <w:tcPr>
            <w:tcW w:w="4892" w:type="dxa"/>
            <w:vAlign w:val="center"/>
          </w:tcPr>
          <w:p w14:paraId="7273E281">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甲方（章）</w:t>
            </w:r>
          </w:p>
          <w:p w14:paraId="76F43B84">
            <w:pPr>
              <w:snapToGrid w:val="0"/>
              <w:spacing w:line="360" w:lineRule="auto"/>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广西壮族自治区高速公路发展中心</w:t>
            </w:r>
          </w:p>
          <w:p w14:paraId="1374E703">
            <w:pPr>
              <w:snapToGrid w:val="0"/>
              <w:spacing w:line="360" w:lineRule="auto"/>
              <w:ind w:firstLine="945" w:firstLineChars="450"/>
              <w:jc w:val="right"/>
              <w:rPr>
                <w:rFonts w:hint="eastAsia" w:ascii="宋体" w:hAnsi="宋体"/>
                <w:color w:val="auto"/>
                <w:szCs w:val="21"/>
                <w:highlight w:val="none"/>
              </w:rPr>
            </w:pPr>
            <w:r>
              <w:rPr>
                <w:rFonts w:hint="eastAsia" w:ascii="宋体" w:hAnsi="宋体"/>
                <w:color w:val="auto"/>
                <w:szCs w:val="21"/>
                <w:highlight w:val="none"/>
              </w:rPr>
              <w:t>年   月   日</w:t>
            </w:r>
          </w:p>
        </w:tc>
        <w:tc>
          <w:tcPr>
            <w:tcW w:w="4893" w:type="dxa"/>
            <w:vAlign w:val="center"/>
          </w:tcPr>
          <w:p w14:paraId="68AAABEE">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 xml:space="preserve">乙方（章） </w:t>
            </w:r>
          </w:p>
          <w:p w14:paraId="392EC525">
            <w:pPr>
              <w:snapToGrid w:val="0"/>
              <w:spacing w:line="360" w:lineRule="auto"/>
              <w:rPr>
                <w:rFonts w:hint="eastAsia" w:ascii="宋体" w:hAnsi="宋体"/>
                <w:color w:val="auto"/>
                <w:szCs w:val="21"/>
                <w:highlight w:val="none"/>
              </w:rPr>
            </w:pPr>
          </w:p>
          <w:p w14:paraId="4763253E">
            <w:pPr>
              <w:snapToGrid w:val="0"/>
              <w:spacing w:line="360" w:lineRule="auto"/>
              <w:jc w:val="right"/>
              <w:rPr>
                <w:rFonts w:hint="eastAsia" w:ascii="宋体" w:hAnsi="宋体"/>
                <w:color w:val="auto"/>
                <w:szCs w:val="21"/>
                <w:highlight w:val="none"/>
              </w:rPr>
            </w:pPr>
            <w:r>
              <w:rPr>
                <w:rFonts w:hint="eastAsia" w:ascii="宋体" w:hAnsi="宋体"/>
                <w:color w:val="auto"/>
                <w:szCs w:val="21"/>
                <w:highlight w:val="none"/>
              </w:rPr>
              <w:t>年   月   日</w:t>
            </w:r>
          </w:p>
        </w:tc>
      </w:tr>
      <w:tr w14:paraId="2CF09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trPr>
        <w:tc>
          <w:tcPr>
            <w:tcW w:w="4892" w:type="dxa"/>
            <w:vAlign w:val="center"/>
          </w:tcPr>
          <w:p w14:paraId="51E0C4C6">
            <w:pPr>
              <w:snapToGrid w:val="0"/>
              <w:spacing w:line="360" w:lineRule="auto"/>
              <w:rPr>
                <w:rFonts w:hint="eastAsia" w:ascii="宋体" w:hAnsi="宋体" w:eastAsia="宋体"/>
                <w:color w:val="auto"/>
                <w:szCs w:val="21"/>
                <w:highlight w:val="none"/>
                <w:lang w:eastAsia="zh-CN"/>
              </w:rPr>
            </w:pPr>
            <w:r>
              <w:rPr>
                <w:rFonts w:hint="eastAsia" w:ascii="宋体" w:hAnsi="宋体"/>
                <w:color w:val="auto"/>
                <w:szCs w:val="21"/>
                <w:highlight w:val="none"/>
              </w:rPr>
              <w:t>单位地址：</w:t>
            </w:r>
            <w:r>
              <w:rPr>
                <w:rFonts w:hint="eastAsia" w:ascii="宋体" w:hAnsi="宋体"/>
                <w:color w:val="auto"/>
                <w:szCs w:val="21"/>
                <w:highlight w:val="none"/>
                <w:lang w:val="en-US" w:eastAsia="zh-CN"/>
              </w:rPr>
              <w:t xml:space="preserve"> </w:t>
            </w:r>
          </w:p>
        </w:tc>
        <w:tc>
          <w:tcPr>
            <w:tcW w:w="4893" w:type="dxa"/>
            <w:vAlign w:val="center"/>
          </w:tcPr>
          <w:p w14:paraId="7B931C04">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单位地址：</w:t>
            </w:r>
          </w:p>
        </w:tc>
      </w:tr>
      <w:tr w14:paraId="47018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trPr>
        <w:tc>
          <w:tcPr>
            <w:tcW w:w="4892" w:type="dxa"/>
            <w:vAlign w:val="center"/>
          </w:tcPr>
          <w:p w14:paraId="7404E72D">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法定代表人：</w:t>
            </w:r>
          </w:p>
        </w:tc>
        <w:tc>
          <w:tcPr>
            <w:tcW w:w="4893" w:type="dxa"/>
            <w:vAlign w:val="center"/>
          </w:tcPr>
          <w:p w14:paraId="5A84FEFF">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法定代表人：</w:t>
            </w:r>
          </w:p>
        </w:tc>
      </w:tr>
      <w:tr w14:paraId="3C85E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trPr>
        <w:tc>
          <w:tcPr>
            <w:tcW w:w="4892" w:type="dxa"/>
            <w:vAlign w:val="center"/>
          </w:tcPr>
          <w:p w14:paraId="50107FD5">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委托代理人：</w:t>
            </w:r>
          </w:p>
        </w:tc>
        <w:tc>
          <w:tcPr>
            <w:tcW w:w="4893" w:type="dxa"/>
            <w:vAlign w:val="center"/>
          </w:tcPr>
          <w:p w14:paraId="31DC81DD">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委托代理人：</w:t>
            </w:r>
          </w:p>
        </w:tc>
      </w:tr>
      <w:tr w14:paraId="548EB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4892" w:type="dxa"/>
            <w:vAlign w:val="center"/>
          </w:tcPr>
          <w:p w14:paraId="3D689DFF">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电话：</w:t>
            </w:r>
          </w:p>
        </w:tc>
        <w:tc>
          <w:tcPr>
            <w:tcW w:w="4893" w:type="dxa"/>
            <w:vAlign w:val="center"/>
          </w:tcPr>
          <w:p w14:paraId="289330FD">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电话：</w:t>
            </w:r>
          </w:p>
        </w:tc>
      </w:tr>
      <w:tr w14:paraId="78E49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trPr>
        <w:tc>
          <w:tcPr>
            <w:tcW w:w="4892" w:type="dxa"/>
            <w:vAlign w:val="center"/>
          </w:tcPr>
          <w:p w14:paraId="738EA5A0">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开户银行：</w:t>
            </w:r>
          </w:p>
        </w:tc>
        <w:tc>
          <w:tcPr>
            <w:tcW w:w="4893" w:type="dxa"/>
            <w:vAlign w:val="center"/>
          </w:tcPr>
          <w:p w14:paraId="1345A38E">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开户银行：</w:t>
            </w:r>
          </w:p>
        </w:tc>
      </w:tr>
      <w:tr w14:paraId="6B40B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trPr>
        <w:tc>
          <w:tcPr>
            <w:tcW w:w="4892" w:type="dxa"/>
            <w:vAlign w:val="center"/>
          </w:tcPr>
          <w:p w14:paraId="70152787">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账号：</w:t>
            </w:r>
          </w:p>
        </w:tc>
        <w:tc>
          <w:tcPr>
            <w:tcW w:w="4893" w:type="dxa"/>
            <w:vAlign w:val="center"/>
          </w:tcPr>
          <w:p w14:paraId="40B18325">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账号：</w:t>
            </w:r>
          </w:p>
        </w:tc>
      </w:tr>
      <w:tr w14:paraId="38CB4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trPr>
        <w:tc>
          <w:tcPr>
            <w:tcW w:w="4892" w:type="dxa"/>
            <w:vAlign w:val="center"/>
          </w:tcPr>
          <w:p w14:paraId="7BECF267">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邮政编码：</w:t>
            </w:r>
          </w:p>
        </w:tc>
        <w:tc>
          <w:tcPr>
            <w:tcW w:w="4893" w:type="dxa"/>
            <w:vAlign w:val="center"/>
          </w:tcPr>
          <w:p w14:paraId="342F05C4">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邮政编码：</w:t>
            </w:r>
          </w:p>
        </w:tc>
      </w:tr>
    </w:tbl>
    <w:p w14:paraId="3991238D">
      <w:pPr>
        <w:snapToGrid w:val="0"/>
        <w:spacing w:line="360" w:lineRule="auto"/>
        <w:rPr>
          <w:rFonts w:hint="eastAsia" w:ascii="宋体" w:hAnsi="宋体" w:cs="Courier New"/>
          <w:b/>
          <w:color w:val="auto"/>
          <w:szCs w:val="21"/>
          <w:highlight w:val="none"/>
        </w:rPr>
      </w:pPr>
    </w:p>
    <w:bookmarkEnd w:id="183"/>
    <w:bookmarkEnd w:id="184"/>
    <w:p w14:paraId="0F904173">
      <w:pPr>
        <w:snapToGrid w:val="0"/>
        <w:spacing w:line="390" w:lineRule="exact"/>
        <w:jc w:val="left"/>
        <w:outlineLvl w:val="0"/>
        <w:rPr>
          <w:rFonts w:hint="eastAsia" w:ascii="Times New Roman" w:hAnsi="Times New Roman" w:eastAsia="仿宋"/>
          <w:b/>
          <w:color w:val="auto"/>
          <w:sz w:val="32"/>
          <w:szCs w:val="32"/>
          <w:highlight w:val="none"/>
          <w:lang w:val="en-US" w:eastAsia="zh-CN"/>
        </w:rPr>
      </w:pPr>
      <w:r>
        <w:rPr>
          <w:rFonts w:ascii="Times New Roman" w:hAnsi="Times New Roman" w:eastAsia="仿宋"/>
          <w:b/>
          <w:color w:val="auto"/>
          <w:sz w:val="32"/>
          <w:szCs w:val="32"/>
          <w:highlight w:val="none"/>
        </w:rPr>
        <w:t>合同附件</w:t>
      </w:r>
      <w:r>
        <w:rPr>
          <w:rFonts w:hint="eastAsia" w:ascii="Times New Roman" w:hAnsi="Times New Roman" w:eastAsia="仿宋"/>
          <w:b/>
          <w:color w:val="auto"/>
          <w:sz w:val="32"/>
          <w:szCs w:val="32"/>
          <w:highlight w:val="none"/>
          <w:lang w:val="en-US" w:eastAsia="zh-CN"/>
        </w:rPr>
        <w:t>1：</w:t>
      </w:r>
    </w:p>
    <w:p w14:paraId="086954AE">
      <w:pPr>
        <w:snapToGrid w:val="0"/>
        <w:spacing w:line="390" w:lineRule="exact"/>
        <w:jc w:val="left"/>
        <w:outlineLvl w:val="0"/>
        <w:rPr>
          <w:rFonts w:hint="eastAsia" w:ascii="Times New Roman" w:hAnsi="Times New Roman" w:eastAsia="仿宋"/>
          <w:b/>
          <w:color w:val="auto"/>
          <w:sz w:val="32"/>
          <w:szCs w:val="32"/>
          <w:highlight w:val="none"/>
          <w:lang w:val="en-US" w:eastAsia="zh-CN"/>
        </w:rPr>
      </w:pPr>
    </w:p>
    <w:p w14:paraId="0850668B">
      <w:pPr>
        <w:pStyle w:val="36"/>
        <w:keepNext w:val="0"/>
        <w:keepLines w:val="0"/>
        <w:pageBreakBefore w:val="0"/>
        <w:widowControl w:val="0"/>
        <w:kinsoku/>
        <w:wordWrap/>
        <w:overflowPunct/>
        <w:topLinePunct w:val="0"/>
        <w:autoSpaceDE/>
        <w:autoSpaceDN/>
        <w:bidi w:val="0"/>
        <w:adjustRightInd/>
        <w:snapToGrid/>
        <w:spacing w:line="360" w:lineRule="auto"/>
        <w:ind w:firstLine="560"/>
        <w:jc w:val="center"/>
        <w:textAlignment w:val="auto"/>
        <w:rPr>
          <w:rFonts w:hint="eastAsia" w:ascii="宋体" w:hAnsi="宋体" w:eastAsia="宋体" w:cs="宋体"/>
          <w:color w:val="auto"/>
          <w:sz w:val="28"/>
          <w:szCs w:val="28"/>
          <w:highlight w:val="none"/>
        </w:rPr>
      </w:pPr>
      <w:r>
        <w:rPr>
          <w:rFonts w:hint="eastAsia" w:ascii="宋体" w:hAnsi="宋体" w:eastAsia="宋体" w:cs="Times New Roman"/>
          <w:color w:val="auto"/>
          <w:kern w:val="2"/>
          <w:sz w:val="21"/>
          <w:szCs w:val="24"/>
          <w:highlight w:val="none"/>
          <w:lang w:val="en-US" w:eastAsia="zh-CN" w:bidi="ar-SA"/>
        </w:rPr>
        <w:t xml:space="preserve">  </w:t>
      </w:r>
      <w:r>
        <w:rPr>
          <w:rFonts w:hint="eastAsia" w:ascii="宋体" w:hAnsi="宋体" w:eastAsia="宋体" w:cs="宋体"/>
          <w:color w:val="auto"/>
          <w:sz w:val="28"/>
          <w:szCs w:val="28"/>
          <w:highlight w:val="none"/>
        </w:rPr>
        <w:t>保密协议</w:t>
      </w:r>
    </w:p>
    <w:p w14:paraId="2225CB3C">
      <w:pPr>
        <w:keepNext w:val="0"/>
        <w:keepLines w:val="0"/>
        <w:pageBreakBefore w:val="0"/>
        <w:widowControl w:val="0"/>
        <w:kinsoku/>
        <w:wordWrap/>
        <w:overflowPunct/>
        <w:topLinePunct w:val="0"/>
        <w:autoSpaceDE/>
        <w:autoSpaceDN/>
        <w:bidi w:val="0"/>
        <w:adjustRightInd/>
        <w:snapToGrid/>
        <w:spacing w:line="360" w:lineRule="auto"/>
        <w:ind w:firstLine="629"/>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经双方协商，就</w:t>
      </w:r>
      <w:r>
        <w:rPr>
          <w:rFonts w:hint="eastAsia" w:ascii="宋体" w:hAnsi="宋体" w:eastAsia="宋体" w:cs="宋体"/>
          <w:color w:val="auto"/>
          <w:szCs w:val="21"/>
          <w:highlight w:val="none"/>
          <w:u w:val="single"/>
          <w:lang w:val="en-US" w:eastAsia="zh-CN"/>
        </w:rPr>
        <w:t xml:space="preserve">        </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以下简称“本项目”</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实施过程中所涉及的保密事宜，经协商一致达成以下协议，以资信守</w:t>
      </w:r>
      <w:r>
        <w:rPr>
          <w:rFonts w:hint="eastAsia" w:ascii="宋体" w:hAnsi="宋体" w:eastAsia="宋体" w:cs="宋体"/>
          <w:color w:val="auto"/>
          <w:szCs w:val="21"/>
          <w:highlight w:val="none"/>
          <w:lang w:eastAsia="zh-CN"/>
        </w:rPr>
        <w:t>。</w:t>
      </w:r>
    </w:p>
    <w:p w14:paraId="43FA4335">
      <w:pPr>
        <w:keepNext w:val="0"/>
        <w:keepLines w:val="0"/>
        <w:pageBreakBefore w:val="0"/>
        <w:widowControl w:val="0"/>
        <w:kinsoku/>
        <w:wordWrap/>
        <w:overflowPunct/>
        <w:topLinePunct w:val="0"/>
        <w:autoSpaceDE/>
        <w:autoSpaceDN/>
        <w:bidi w:val="0"/>
        <w:adjustRightInd/>
        <w:snapToGrid/>
        <w:spacing w:line="360" w:lineRule="auto"/>
        <w:ind w:firstLine="629"/>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 xml:space="preserve">第一条 </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乙方对以下事项承担保密义务：甲方为项目实施的目的透露给乙方的</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以及在本项目实施过程中产生的国家秘密、技术秘密、商业秘密、甲方内部工作秘密及其他甲方声明应当保密的信息</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以下统称“保密信息”</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。包括但不限于</w:t>
      </w:r>
      <w:r>
        <w:rPr>
          <w:rFonts w:hint="eastAsia" w:ascii="宋体" w:hAnsi="宋体" w:cs="宋体"/>
          <w:color w:val="auto"/>
          <w:szCs w:val="21"/>
          <w:highlight w:val="none"/>
          <w:lang w:eastAsia="zh-CN"/>
        </w:rPr>
        <w:t>：</w:t>
      </w:r>
    </w:p>
    <w:p w14:paraId="217D5458">
      <w:pPr>
        <w:keepNext w:val="0"/>
        <w:keepLines w:val="0"/>
        <w:pageBreakBefore w:val="0"/>
        <w:widowControl w:val="0"/>
        <w:kinsoku/>
        <w:wordWrap/>
        <w:overflowPunct/>
        <w:topLinePunct w:val="0"/>
        <w:autoSpaceDE/>
        <w:autoSpaceDN/>
        <w:bidi w:val="0"/>
        <w:adjustRightInd/>
        <w:snapToGrid/>
        <w:spacing w:line="360" w:lineRule="auto"/>
        <w:ind w:firstLine="629"/>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1</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本项目相关设备数量、型号、配置、安装地点等信息；</w:t>
      </w:r>
    </w:p>
    <w:p w14:paraId="3B7B25E5">
      <w:pPr>
        <w:keepNext w:val="0"/>
        <w:keepLines w:val="0"/>
        <w:pageBreakBefore w:val="0"/>
        <w:widowControl w:val="0"/>
        <w:kinsoku/>
        <w:wordWrap/>
        <w:overflowPunct/>
        <w:topLinePunct w:val="0"/>
        <w:autoSpaceDE/>
        <w:autoSpaceDN/>
        <w:bidi w:val="0"/>
        <w:adjustRightInd/>
        <w:snapToGrid/>
        <w:spacing w:line="360" w:lineRule="auto"/>
        <w:ind w:firstLine="629"/>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2</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本项目相关软件需求、设计文件、源代码和可执行代码、程序文档等资料</w:t>
      </w:r>
      <w:r>
        <w:rPr>
          <w:rFonts w:hint="eastAsia" w:ascii="宋体" w:hAnsi="宋体" w:eastAsia="宋体" w:cs="宋体"/>
          <w:color w:val="auto"/>
          <w:szCs w:val="21"/>
          <w:highlight w:val="none"/>
          <w:lang w:eastAsia="zh-CN"/>
        </w:rPr>
        <w:t>；</w:t>
      </w:r>
    </w:p>
    <w:p w14:paraId="1F9864F8">
      <w:pPr>
        <w:keepNext w:val="0"/>
        <w:keepLines w:val="0"/>
        <w:pageBreakBefore w:val="0"/>
        <w:widowControl w:val="0"/>
        <w:kinsoku/>
        <w:wordWrap/>
        <w:overflowPunct/>
        <w:topLinePunct w:val="0"/>
        <w:autoSpaceDE/>
        <w:autoSpaceDN/>
        <w:bidi w:val="0"/>
        <w:adjustRightInd/>
        <w:snapToGrid/>
        <w:spacing w:line="360" w:lineRule="auto"/>
        <w:ind w:firstLine="629"/>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3</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本项目相关应用系统业务需求、设计和实施方案、图纸、施工文档、测试报告、业务系统数据等信息</w:t>
      </w:r>
      <w:r>
        <w:rPr>
          <w:rFonts w:hint="eastAsia" w:ascii="宋体" w:hAnsi="宋体" w:eastAsia="宋体" w:cs="宋体"/>
          <w:color w:val="auto"/>
          <w:szCs w:val="21"/>
          <w:highlight w:val="none"/>
          <w:lang w:eastAsia="zh-CN"/>
        </w:rPr>
        <w:t>；</w:t>
      </w:r>
    </w:p>
    <w:p w14:paraId="4B897655">
      <w:pPr>
        <w:keepNext w:val="0"/>
        <w:keepLines w:val="0"/>
        <w:pageBreakBefore w:val="0"/>
        <w:widowControl w:val="0"/>
        <w:kinsoku/>
        <w:wordWrap/>
        <w:overflowPunct/>
        <w:topLinePunct w:val="0"/>
        <w:autoSpaceDE/>
        <w:autoSpaceDN/>
        <w:bidi w:val="0"/>
        <w:adjustRightInd/>
        <w:snapToGrid/>
        <w:spacing w:line="360" w:lineRule="auto"/>
        <w:ind w:firstLine="629"/>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4</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双方在项目实施过程中签署的会议纪要、谈判记录、合同书、往来函件等其他信息</w:t>
      </w:r>
      <w:r>
        <w:rPr>
          <w:rFonts w:hint="eastAsia" w:ascii="宋体" w:hAnsi="宋体" w:eastAsia="宋体" w:cs="宋体"/>
          <w:color w:val="auto"/>
          <w:szCs w:val="21"/>
          <w:highlight w:val="none"/>
          <w:lang w:eastAsia="zh-CN"/>
        </w:rPr>
        <w:t>；</w:t>
      </w:r>
    </w:p>
    <w:p w14:paraId="38E06B46">
      <w:pPr>
        <w:keepNext w:val="0"/>
        <w:keepLines w:val="0"/>
        <w:pageBreakBefore w:val="0"/>
        <w:widowControl w:val="0"/>
        <w:kinsoku/>
        <w:wordWrap/>
        <w:overflowPunct/>
        <w:topLinePunct w:val="0"/>
        <w:autoSpaceDE/>
        <w:autoSpaceDN/>
        <w:bidi w:val="0"/>
        <w:adjustRightInd/>
        <w:snapToGrid/>
        <w:spacing w:line="360" w:lineRule="auto"/>
        <w:ind w:firstLine="629"/>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5</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乙方在项目实施过程中了解的甲方单位性质、工作秘密、技术手段等信息。</w:t>
      </w:r>
    </w:p>
    <w:p w14:paraId="3A7AA5DA">
      <w:pPr>
        <w:keepNext w:val="0"/>
        <w:keepLines w:val="0"/>
        <w:pageBreakBefore w:val="0"/>
        <w:widowControl w:val="0"/>
        <w:kinsoku/>
        <w:wordWrap/>
        <w:overflowPunct/>
        <w:topLinePunct w:val="0"/>
        <w:autoSpaceDE/>
        <w:autoSpaceDN/>
        <w:bidi w:val="0"/>
        <w:adjustRightInd/>
        <w:snapToGrid/>
        <w:spacing w:line="360" w:lineRule="auto"/>
        <w:ind w:firstLine="629"/>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第二条</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乙方从甲方获得的与本项目有关或因本项目产生的任何技术、工作或其他性质的资料</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无论以何种形式或载于何种载体</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无论在披露时是否以口头、书面方式申明其具有秘密性</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乙方均应承担保密义务。</w:t>
      </w:r>
    </w:p>
    <w:p w14:paraId="34D845D1">
      <w:pPr>
        <w:keepNext w:val="0"/>
        <w:keepLines w:val="0"/>
        <w:pageBreakBefore w:val="0"/>
        <w:widowControl w:val="0"/>
        <w:kinsoku/>
        <w:wordWrap/>
        <w:overflowPunct/>
        <w:topLinePunct w:val="0"/>
        <w:autoSpaceDE/>
        <w:autoSpaceDN/>
        <w:bidi w:val="0"/>
        <w:adjustRightInd/>
        <w:snapToGrid/>
        <w:spacing w:line="360" w:lineRule="auto"/>
        <w:ind w:firstLine="629"/>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第三条 </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乙方及其工作人员的保密义务</w:t>
      </w:r>
    </w:p>
    <w:p w14:paraId="390331D5">
      <w:pPr>
        <w:keepNext w:val="0"/>
        <w:keepLines w:val="0"/>
        <w:pageBreakBefore w:val="0"/>
        <w:widowControl w:val="0"/>
        <w:kinsoku/>
        <w:wordWrap/>
        <w:overflowPunct/>
        <w:topLinePunct w:val="0"/>
        <w:autoSpaceDE/>
        <w:autoSpaceDN/>
        <w:bidi w:val="0"/>
        <w:adjustRightInd/>
        <w:snapToGrid/>
        <w:spacing w:line="360" w:lineRule="auto"/>
        <w:ind w:firstLine="629"/>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3.1 乙方保证将采取所有必要的方法对本项目相关信息进行保护</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保护程度不低于乙方保护自己的专有信息。保护方式包括但不限于执行适当的作业程序来避免非授权使用、仿造、复制、留存或披露给第三方。未经甲方书面授权许可</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乙方不得将合同文本等保密信息非授权使用、仿造、复制、留存或以任何方式披露给指定或不特定的第三方</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不得将合同文本等保密信息发布到互联网上。</w:t>
      </w:r>
    </w:p>
    <w:p w14:paraId="2EA8A5FE">
      <w:pPr>
        <w:keepNext w:val="0"/>
        <w:keepLines w:val="0"/>
        <w:pageBreakBefore w:val="0"/>
        <w:widowControl w:val="0"/>
        <w:kinsoku/>
        <w:wordWrap/>
        <w:overflowPunct/>
        <w:topLinePunct w:val="0"/>
        <w:autoSpaceDE/>
        <w:autoSpaceDN/>
        <w:bidi w:val="0"/>
        <w:adjustRightInd/>
        <w:snapToGrid/>
        <w:spacing w:line="360" w:lineRule="auto"/>
        <w:ind w:firstLine="629"/>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3.2 乙方只能为本项目工作的目的使用甲方提供的项目资料</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且仅限于项目管理人员及直接参与本项目工作的人员知悉</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知悉程度仅限于为项目实施所必须的程度</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未经甲方同意不得泄露给任何第三方或作与项目无关的使用。</w:t>
      </w:r>
    </w:p>
    <w:p w14:paraId="2C360A12">
      <w:pPr>
        <w:keepNext w:val="0"/>
        <w:keepLines w:val="0"/>
        <w:pageBreakBefore w:val="0"/>
        <w:widowControl w:val="0"/>
        <w:kinsoku/>
        <w:wordWrap/>
        <w:overflowPunct/>
        <w:topLinePunct w:val="0"/>
        <w:autoSpaceDE/>
        <w:autoSpaceDN/>
        <w:bidi w:val="0"/>
        <w:adjustRightInd/>
        <w:snapToGrid/>
        <w:spacing w:line="360" w:lineRule="auto"/>
        <w:ind w:firstLine="629"/>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3.3 乙方在向其参与本项目的工作人员披露任何保密信息之前</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必须采取一切合理的预防措施</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该等预防措施包括但不限于告知其工作人员将要披露信息的保密性质</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以适当方式要求其工作人员遵守本协议约定</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并对其进行有效管理</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以确保本协议的履行。乙方应与其参与本项目的人员分别签订一份保密协议</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该协议的实质内容与本协议内容充分相似。乙方工作人员</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包括离职人员</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违反本协议规定的</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由乙方承担全部责任。</w:t>
      </w:r>
    </w:p>
    <w:p w14:paraId="58C50CF5">
      <w:pPr>
        <w:keepNext w:val="0"/>
        <w:keepLines w:val="0"/>
        <w:pageBreakBefore w:val="0"/>
        <w:widowControl w:val="0"/>
        <w:kinsoku/>
        <w:wordWrap/>
        <w:overflowPunct/>
        <w:topLinePunct w:val="0"/>
        <w:autoSpaceDE/>
        <w:autoSpaceDN/>
        <w:bidi w:val="0"/>
        <w:adjustRightInd/>
        <w:snapToGrid/>
        <w:spacing w:line="360" w:lineRule="auto"/>
        <w:ind w:firstLine="629"/>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3.4 如相关政府部门或监管机构要求乙方提供任何保密信息</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乙方应立即将需披露的信息书面通知甲方</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以便甲方采取必要的保护措施</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且该等通知应在信息披露前做出。乙方应尽商业上的合理努力</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确保所披露的信息获得有关政府机关或机构的保密待遇。</w:t>
      </w:r>
    </w:p>
    <w:p w14:paraId="7C360B69">
      <w:pPr>
        <w:keepNext w:val="0"/>
        <w:keepLines w:val="0"/>
        <w:pageBreakBefore w:val="0"/>
        <w:widowControl w:val="0"/>
        <w:kinsoku/>
        <w:wordWrap/>
        <w:overflowPunct/>
        <w:topLinePunct w:val="0"/>
        <w:autoSpaceDE/>
        <w:autoSpaceDN/>
        <w:bidi w:val="0"/>
        <w:adjustRightInd/>
        <w:snapToGrid/>
        <w:spacing w:line="360" w:lineRule="auto"/>
        <w:ind w:firstLine="629"/>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3.5 如乙方的律师、会计师、承包商和顾问为提供专业协助而需要了解保密信息时</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乙方应在向上述人员提供保密信息前要求其签订保密协议或按照有关职业道德标准履行保密义务。上述人员泄露保密信息的</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乙方承担全部责任。</w:t>
      </w:r>
    </w:p>
    <w:p w14:paraId="34C562BD">
      <w:pPr>
        <w:keepNext w:val="0"/>
        <w:keepLines w:val="0"/>
        <w:pageBreakBefore w:val="0"/>
        <w:widowControl w:val="0"/>
        <w:kinsoku/>
        <w:wordWrap/>
        <w:overflowPunct/>
        <w:topLinePunct w:val="0"/>
        <w:autoSpaceDE/>
        <w:autoSpaceDN/>
        <w:bidi w:val="0"/>
        <w:adjustRightInd/>
        <w:snapToGrid/>
        <w:spacing w:line="360" w:lineRule="auto"/>
        <w:ind w:firstLine="629"/>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3.6 乙方对参与甲方项目人员中的涉密岗位人员，应严格因私出国（境）管理，对其因私护照、港澳通行证等有关证件进行集中管理，乙方人员在涉密项目实施期间不得出国（境）。参与甲方项目人员中非涉密岗位人员如需出国（境），乙方应在审批后当日报甲方备案，并对出国（境）人员开展行前安全防范教育和归国（境）访谈，访谈情况当日向甲方报告。未经甲方备案不得批准出国（境）。</w:t>
      </w:r>
    </w:p>
    <w:p w14:paraId="2ADA9478">
      <w:pPr>
        <w:keepNext w:val="0"/>
        <w:keepLines w:val="0"/>
        <w:pageBreakBefore w:val="0"/>
        <w:widowControl w:val="0"/>
        <w:kinsoku/>
        <w:wordWrap/>
        <w:overflowPunct/>
        <w:topLinePunct w:val="0"/>
        <w:autoSpaceDE/>
        <w:autoSpaceDN/>
        <w:bidi w:val="0"/>
        <w:adjustRightInd/>
        <w:snapToGrid/>
        <w:spacing w:line="360" w:lineRule="auto"/>
        <w:ind w:firstLine="629"/>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 xml:space="preserve"> 乙方应严格遵守甲方保密管理工作要求，保守甲方的秘密，包括但不限于甲方国家秘密、技术秘密、商业秘密、内部工作秘密及其他甲方声明应当保密的信息。未经甲方书面授权，乙方及乙方参加甲方项目人员不得访问、接触甲方信息系统及数据。乙方应经常对参与甲方项目人员开展保密教育，定期组织学习信息化条件下的保密知识常识，按照规定完成涉密人员年度培训学时。</w:t>
      </w:r>
    </w:p>
    <w:p w14:paraId="2A3A7B5C">
      <w:pPr>
        <w:keepNext w:val="0"/>
        <w:keepLines w:val="0"/>
        <w:pageBreakBefore w:val="0"/>
        <w:widowControl w:val="0"/>
        <w:kinsoku/>
        <w:wordWrap/>
        <w:overflowPunct/>
        <w:topLinePunct w:val="0"/>
        <w:autoSpaceDE/>
        <w:autoSpaceDN/>
        <w:bidi w:val="0"/>
        <w:adjustRightInd/>
        <w:snapToGrid/>
        <w:spacing w:line="360" w:lineRule="auto"/>
        <w:ind w:firstLine="629"/>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 xml:space="preserve"> 乙方参与甲方项目人员离职离岗的，应当提前30日向甲方报告，并督促其配合甲方对其进行廉洁、保密提醒谈话，签订离职离岗廉洁保密承诺书，清退文件资料、涉密载体、出入证、门禁卡等，注销相关工作账号。属于涉密人员的，应当按照甲方有关脱密期限和有关规定进行脱密期管理，脱密期间不得到境外（驻华）机构、组织及外商独资企业工作，不得为境外（驻华）机构、组织、人员及外商独资企业提供劳务、咨询或其他服务，不得出国（境）。乙方应当督促参与甲方项目人员配合甲方进行定期回访等脱密期管理相关工作。</w:t>
      </w:r>
    </w:p>
    <w:p w14:paraId="369CC5CD">
      <w:pPr>
        <w:keepNext w:val="0"/>
        <w:keepLines w:val="0"/>
        <w:pageBreakBefore w:val="0"/>
        <w:widowControl w:val="0"/>
        <w:kinsoku/>
        <w:wordWrap/>
        <w:overflowPunct/>
        <w:topLinePunct w:val="0"/>
        <w:autoSpaceDE/>
        <w:autoSpaceDN/>
        <w:bidi w:val="0"/>
        <w:adjustRightInd/>
        <w:snapToGrid/>
        <w:spacing w:line="360" w:lineRule="auto"/>
        <w:ind w:firstLine="629"/>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 xml:space="preserve"> 乙方要定期对参与甲方项目人员开展廉洁从业教育和案例警示教育，严格遵守廉洁规定，不得利用单位便利或者影响力办私事、谋私利。</w:t>
      </w:r>
    </w:p>
    <w:p w14:paraId="1F4FA677">
      <w:pPr>
        <w:keepNext w:val="0"/>
        <w:keepLines w:val="0"/>
        <w:pageBreakBefore w:val="0"/>
        <w:widowControl w:val="0"/>
        <w:kinsoku/>
        <w:wordWrap/>
        <w:overflowPunct/>
        <w:topLinePunct w:val="0"/>
        <w:autoSpaceDE/>
        <w:autoSpaceDN/>
        <w:bidi w:val="0"/>
        <w:adjustRightInd/>
        <w:snapToGrid/>
        <w:spacing w:line="360" w:lineRule="auto"/>
        <w:ind w:firstLine="629"/>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3.1</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rPr>
        <w:t xml:space="preserve"> 乙方应严格要求参与甲方项目人员不得在互联网上发布违法违规和有悖公序良俗的信息，不得在网上发布甲方相关内部信息，不得以甲方工作人员身份从事活动。</w:t>
      </w:r>
    </w:p>
    <w:p w14:paraId="4C2708BD">
      <w:pPr>
        <w:keepNext w:val="0"/>
        <w:keepLines w:val="0"/>
        <w:pageBreakBefore w:val="0"/>
        <w:widowControl w:val="0"/>
        <w:kinsoku/>
        <w:wordWrap/>
        <w:overflowPunct/>
        <w:topLinePunct w:val="0"/>
        <w:autoSpaceDE/>
        <w:autoSpaceDN/>
        <w:bidi w:val="0"/>
        <w:adjustRightInd/>
        <w:snapToGrid/>
        <w:spacing w:line="360" w:lineRule="auto"/>
        <w:ind w:firstLine="629"/>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3.1</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 xml:space="preserve"> 对未严格遵守甲方各项规定不宜继续在甲方工作的乙方人员，甲方可将其退回乙方，乙方应及时派驻其他符合甲方要求人员。</w:t>
      </w:r>
    </w:p>
    <w:p w14:paraId="4ABFF02E">
      <w:pPr>
        <w:keepNext w:val="0"/>
        <w:keepLines w:val="0"/>
        <w:pageBreakBefore w:val="0"/>
        <w:widowControl w:val="0"/>
        <w:kinsoku/>
        <w:wordWrap/>
        <w:overflowPunct/>
        <w:topLinePunct w:val="0"/>
        <w:autoSpaceDE/>
        <w:autoSpaceDN/>
        <w:bidi w:val="0"/>
        <w:adjustRightInd/>
        <w:snapToGrid/>
        <w:spacing w:line="360" w:lineRule="auto"/>
        <w:ind w:firstLine="629"/>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3.1</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 xml:space="preserve"> 乙方违反本协议约定给甲方造成不良影响或损失的，应赔偿甲方遭受的实际损失，同时应向甲方支付</w:t>
      </w:r>
      <w:r>
        <w:rPr>
          <w:rFonts w:hint="eastAsia" w:ascii="宋体" w:hAnsi="宋体" w:eastAsia="宋体" w:cs="宋体"/>
          <w:color w:val="auto"/>
          <w:szCs w:val="21"/>
          <w:highlight w:val="none"/>
          <w:lang w:eastAsia="zh-CN"/>
        </w:rPr>
        <w:t>本项目合同金额</w:t>
      </w:r>
      <w:r>
        <w:rPr>
          <w:rFonts w:hint="eastAsia" w:ascii="宋体" w:hAnsi="宋体" w:eastAsia="宋体" w:cs="宋体"/>
          <w:color w:val="auto"/>
          <w:szCs w:val="21"/>
          <w:highlight w:val="none"/>
        </w:rPr>
        <w:t>的30%作为违约金。涉嫌构成违法犯罪的</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交由相关部门依法处理。</w:t>
      </w:r>
    </w:p>
    <w:p w14:paraId="11057374">
      <w:pPr>
        <w:keepNext w:val="0"/>
        <w:keepLines w:val="0"/>
        <w:pageBreakBefore w:val="0"/>
        <w:widowControl w:val="0"/>
        <w:kinsoku/>
        <w:wordWrap/>
        <w:overflowPunct/>
        <w:topLinePunct w:val="0"/>
        <w:autoSpaceDE/>
        <w:autoSpaceDN/>
        <w:bidi w:val="0"/>
        <w:adjustRightInd/>
        <w:snapToGrid/>
        <w:spacing w:line="360" w:lineRule="auto"/>
        <w:ind w:firstLine="629"/>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第四条 </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本协议关于乙方保密义务的约定自项目实施之日起永久持续有效。</w:t>
      </w:r>
    </w:p>
    <w:p w14:paraId="7D79AB25">
      <w:pPr>
        <w:keepNext w:val="0"/>
        <w:keepLines w:val="0"/>
        <w:pageBreakBefore w:val="0"/>
        <w:widowControl w:val="0"/>
        <w:kinsoku/>
        <w:wordWrap/>
        <w:overflowPunct/>
        <w:topLinePunct w:val="0"/>
        <w:autoSpaceDE/>
        <w:autoSpaceDN/>
        <w:bidi w:val="0"/>
        <w:adjustRightInd/>
        <w:snapToGrid/>
        <w:spacing w:line="360" w:lineRule="auto"/>
        <w:ind w:firstLine="629"/>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第五条 </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甲方应就本单位的保密制度、保密事项及范围、保密要求等向乙方履行合理告知义务</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本协议约定的保密范围、保密期限等如有变更</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应及时通知乙方。</w:t>
      </w:r>
    </w:p>
    <w:p w14:paraId="58FF280D">
      <w:pPr>
        <w:keepNext w:val="0"/>
        <w:keepLines w:val="0"/>
        <w:pageBreakBefore w:val="0"/>
        <w:widowControl w:val="0"/>
        <w:kinsoku/>
        <w:wordWrap/>
        <w:overflowPunct/>
        <w:topLinePunct w:val="0"/>
        <w:autoSpaceDE/>
        <w:autoSpaceDN/>
        <w:bidi w:val="0"/>
        <w:adjustRightInd/>
        <w:snapToGrid/>
        <w:spacing w:line="360" w:lineRule="auto"/>
        <w:ind w:firstLine="629"/>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第六条 </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双方交换项目资料时</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应办理书面交接手续</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并以双方可理解的方式予以标注。</w:t>
      </w:r>
    </w:p>
    <w:p w14:paraId="589EA70B">
      <w:pPr>
        <w:keepNext w:val="0"/>
        <w:keepLines w:val="0"/>
        <w:pageBreakBefore w:val="0"/>
        <w:widowControl w:val="0"/>
        <w:kinsoku/>
        <w:wordWrap/>
        <w:overflowPunct/>
        <w:topLinePunct w:val="0"/>
        <w:autoSpaceDE/>
        <w:autoSpaceDN/>
        <w:bidi w:val="0"/>
        <w:adjustRightInd/>
        <w:snapToGrid/>
        <w:spacing w:line="360" w:lineRule="auto"/>
        <w:ind w:firstLine="629"/>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第七条</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 xml:space="preserve"> 为落实好本协议</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双方各指定专人负责双方之间的保密工作联系</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并随时就本项目涉及的保密事宜进行研究和落实。</w:t>
      </w:r>
    </w:p>
    <w:p w14:paraId="2CD99999">
      <w:pPr>
        <w:keepNext w:val="0"/>
        <w:keepLines w:val="0"/>
        <w:pageBreakBefore w:val="0"/>
        <w:widowControl w:val="0"/>
        <w:kinsoku/>
        <w:wordWrap/>
        <w:overflowPunct/>
        <w:topLinePunct w:val="0"/>
        <w:autoSpaceDE/>
        <w:autoSpaceDN/>
        <w:bidi w:val="0"/>
        <w:adjustRightInd/>
        <w:snapToGrid/>
        <w:spacing w:line="360" w:lineRule="auto"/>
        <w:ind w:firstLine="629"/>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甲方联系人</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 xml:space="preserve">           电话</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 xml:space="preserve"> </w:t>
      </w:r>
    </w:p>
    <w:p w14:paraId="103588F5">
      <w:pPr>
        <w:keepNext w:val="0"/>
        <w:keepLines w:val="0"/>
        <w:pageBreakBefore w:val="0"/>
        <w:widowControl w:val="0"/>
        <w:kinsoku/>
        <w:wordWrap/>
        <w:overflowPunct/>
        <w:topLinePunct w:val="0"/>
        <w:autoSpaceDE/>
        <w:autoSpaceDN/>
        <w:bidi w:val="0"/>
        <w:adjustRightInd/>
        <w:snapToGrid/>
        <w:spacing w:line="360" w:lineRule="auto"/>
        <w:ind w:firstLine="629"/>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乙方联系人</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 xml:space="preserve">           电话</w:t>
      </w:r>
      <w:r>
        <w:rPr>
          <w:rFonts w:hint="eastAsia" w:ascii="宋体" w:hAnsi="宋体" w:cs="宋体"/>
          <w:color w:val="auto"/>
          <w:szCs w:val="21"/>
          <w:highlight w:val="none"/>
          <w:lang w:eastAsia="zh-CN"/>
        </w:rPr>
        <w:t>：</w:t>
      </w:r>
    </w:p>
    <w:p w14:paraId="635F6212">
      <w:pPr>
        <w:keepNext w:val="0"/>
        <w:keepLines w:val="0"/>
        <w:pageBreakBefore w:val="0"/>
        <w:widowControl w:val="0"/>
        <w:kinsoku/>
        <w:wordWrap/>
        <w:overflowPunct/>
        <w:topLinePunct w:val="0"/>
        <w:autoSpaceDE/>
        <w:autoSpaceDN/>
        <w:bidi w:val="0"/>
        <w:adjustRightInd/>
        <w:snapToGrid/>
        <w:spacing w:line="360" w:lineRule="auto"/>
        <w:ind w:firstLine="629"/>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第八条 </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在本协议约定的保密期限内</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任何一方如发现有关项目信息被泄露</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应及时通知对方</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并采取积极措施避免损失扩大。双方将密切协作</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以尽快查明事件的起因、过程、后果等情况。乙方所有参与本项目的人员应保证履行本协议约定的各项义务</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名单见附表</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附表须加盖单位公章方为有效。如有违约行为</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由乙方依照本协议第九条的约定承担责任。</w:t>
      </w:r>
    </w:p>
    <w:p w14:paraId="1D201693">
      <w:pPr>
        <w:keepNext w:val="0"/>
        <w:keepLines w:val="0"/>
        <w:pageBreakBefore w:val="0"/>
        <w:widowControl w:val="0"/>
        <w:kinsoku/>
        <w:wordWrap/>
        <w:overflowPunct/>
        <w:topLinePunct w:val="0"/>
        <w:autoSpaceDE/>
        <w:autoSpaceDN/>
        <w:bidi w:val="0"/>
        <w:adjustRightInd/>
        <w:snapToGrid/>
        <w:spacing w:line="360" w:lineRule="auto"/>
        <w:ind w:firstLine="629"/>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第九条</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 xml:space="preserve"> 因履行本协议引起的纠纷</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双方可以协商解决</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协商不成的</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按照项目合同中约定的争议解决方式处理。</w:t>
      </w:r>
    </w:p>
    <w:p w14:paraId="774C3F08">
      <w:pPr>
        <w:keepNext w:val="0"/>
        <w:keepLines w:val="0"/>
        <w:pageBreakBefore w:val="0"/>
        <w:widowControl w:val="0"/>
        <w:kinsoku/>
        <w:wordWrap/>
        <w:overflowPunct/>
        <w:topLinePunct w:val="0"/>
        <w:autoSpaceDE/>
        <w:autoSpaceDN/>
        <w:bidi w:val="0"/>
        <w:adjustRightInd/>
        <w:snapToGrid/>
        <w:spacing w:line="360" w:lineRule="auto"/>
        <w:ind w:firstLine="629"/>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第十条 </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本协议自双方签字盖章后生效</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在本项目实施期间自始有法律约束力。双方就本项目所签订的主合同变更、解除或提前终止的</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本协议的效力不受影响。</w:t>
      </w:r>
    </w:p>
    <w:p w14:paraId="0F0D5597">
      <w:pPr>
        <w:keepNext w:val="0"/>
        <w:keepLines w:val="0"/>
        <w:pageBreakBefore w:val="0"/>
        <w:widowControl w:val="0"/>
        <w:kinsoku/>
        <w:wordWrap/>
        <w:overflowPunct/>
        <w:topLinePunct w:val="0"/>
        <w:autoSpaceDE/>
        <w:autoSpaceDN/>
        <w:bidi w:val="0"/>
        <w:adjustRightInd/>
        <w:snapToGrid/>
        <w:spacing w:line="360" w:lineRule="auto"/>
        <w:ind w:firstLine="629"/>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第十一条 </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关于协议签署</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1</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签字页由双方加盖单位公章或合同专用章</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由法定代表人或授权代理人签字并注明签署日期。授权代理人签字的</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须出具法定代表人授权委托书并加盖单位公章。</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2</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合同文本由双方加盖骑缝章。</w:t>
      </w:r>
    </w:p>
    <w:p w14:paraId="0E2E2A87">
      <w:pPr>
        <w:keepNext w:val="0"/>
        <w:keepLines w:val="0"/>
        <w:pageBreakBefore w:val="0"/>
        <w:widowControl w:val="0"/>
        <w:kinsoku/>
        <w:wordWrap/>
        <w:overflowPunct/>
        <w:topLinePunct w:val="0"/>
        <w:autoSpaceDE/>
        <w:autoSpaceDN/>
        <w:bidi w:val="0"/>
        <w:adjustRightInd/>
        <w:snapToGrid/>
        <w:spacing w:line="360" w:lineRule="auto"/>
        <w:ind w:firstLine="629"/>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第十二条 </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本协议一式四份</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甲乙双方各持两份</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附表为本协议不可分割的部分。</w:t>
      </w:r>
    </w:p>
    <w:p w14:paraId="3481326F">
      <w:pPr>
        <w:keepNext w:val="0"/>
        <w:keepLines w:val="0"/>
        <w:pageBreakBefore w:val="0"/>
        <w:widowControl w:val="0"/>
        <w:kinsoku/>
        <w:wordWrap/>
        <w:overflowPunct/>
        <w:topLinePunct w:val="0"/>
        <w:autoSpaceDE/>
        <w:autoSpaceDN/>
        <w:bidi w:val="0"/>
        <w:adjustRightInd/>
        <w:snapToGrid/>
        <w:spacing w:line="360" w:lineRule="auto"/>
        <w:ind w:firstLine="629"/>
        <w:textAlignment w:val="auto"/>
        <w:rPr>
          <w:rFonts w:hint="eastAsia" w:ascii="宋体" w:hAnsi="宋体" w:eastAsia="宋体" w:cs="宋体"/>
          <w:color w:val="auto"/>
          <w:szCs w:val="21"/>
          <w:highlight w:val="none"/>
        </w:rPr>
      </w:pPr>
    </w:p>
    <w:p w14:paraId="7B997E38">
      <w:pPr>
        <w:keepNext w:val="0"/>
        <w:keepLines w:val="0"/>
        <w:pageBreakBefore w:val="0"/>
        <w:widowControl w:val="0"/>
        <w:kinsoku/>
        <w:wordWrap/>
        <w:overflowPunct/>
        <w:topLinePunct w:val="0"/>
        <w:autoSpaceDE/>
        <w:autoSpaceDN/>
        <w:bidi w:val="0"/>
        <w:adjustRightInd/>
        <w:snapToGrid/>
        <w:spacing w:line="360" w:lineRule="auto"/>
        <w:ind w:firstLine="629"/>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（以下无正文）</w:t>
      </w:r>
    </w:p>
    <w:p w14:paraId="12B2E941">
      <w:pPr>
        <w:keepNext w:val="0"/>
        <w:keepLines w:val="0"/>
        <w:pageBreakBefore w:val="0"/>
        <w:widowControl w:val="0"/>
        <w:kinsoku/>
        <w:wordWrap/>
        <w:overflowPunct/>
        <w:topLinePunct w:val="0"/>
        <w:autoSpaceDE/>
        <w:autoSpaceDN/>
        <w:bidi w:val="0"/>
        <w:adjustRightInd/>
        <w:snapToGrid/>
        <w:spacing w:line="360" w:lineRule="auto"/>
        <w:ind w:firstLine="629"/>
        <w:textAlignment w:val="auto"/>
        <w:rPr>
          <w:rFonts w:hint="eastAsia" w:ascii="宋体" w:hAnsi="宋体" w:eastAsia="宋体" w:cs="宋体"/>
          <w:color w:val="auto"/>
          <w:szCs w:val="21"/>
          <w:highlight w:val="none"/>
        </w:rPr>
      </w:pPr>
    </w:p>
    <w:p w14:paraId="47BB16AD">
      <w:pPr>
        <w:keepNext w:val="0"/>
        <w:keepLines w:val="0"/>
        <w:pageBreakBefore w:val="0"/>
        <w:widowControl w:val="0"/>
        <w:kinsoku/>
        <w:wordWrap/>
        <w:overflowPunct/>
        <w:topLinePunct w:val="0"/>
        <w:autoSpaceDE/>
        <w:autoSpaceDN/>
        <w:bidi w:val="0"/>
        <w:adjustRightInd/>
        <w:snapToGrid/>
        <w:spacing w:line="360" w:lineRule="auto"/>
        <w:ind w:firstLine="629"/>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甲方（盖章）：</w:t>
      </w:r>
    </w:p>
    <w:p w14:paraId="5E1EF058">
      <w:pPr>
        <w:keepNext w:val="0"/>
        <w:keepLines w:val="0"/>
        <w:pageBreakBefore w:val="0"/>
        <w:widowControl w:val="0"/>
        <w:kinsoku/>
        <w:wordWrap/>
        <w:overflowPunct/>
        <w:topLinePunct w:val="0"/>
        <w:autoSpaceDE/>
        <w:autoSpaceDN/>
        <w:bidi w:val="0"/>
        <w:adjustRightInd/>
        <w:snapToGrid/>
        <w:spacing w:line="360" w:lineRule="auto"/>
        <w:ind w:firstLine="629"/>
        <w:textAlignment w:val="auto"/>
        <w:rPr>
          <w:rFonts w:hint="eastAsia" w:ascii="宋体" w:hAnsi="宋体" w:eastAsia="宋体" w:cs="宋体"/>
          <w:color w:val="auto"/>
          <w:szCs w:val="21"/>
          <w:highlight w:val="none"/>
        </w:rPr>
      </w:pPr>
    </w:p>
    <w:p w14:paraId="1A5CEE4D">
      <w:pPr>
        <w:keepNext w:val="0"/>
        <w:keepLines w:val="0"/>
        <w:pageBreakBefore w:val="0"/>
        <w:widowControl w:val="0"/>
        <w:kinsoku/>
        <w:wordWrap/>
        <w:overflowPunct/>
        <w:topLinePunct w:val="0"/>
        <w:autoSpaceDE/>
        <w:autoSpaceDN/>
        <w:bidi w:val="0"/>
        <w:adjustRightInd/>
        <w:snapToGrid/>
        <w:spacing w:line="360" w:lineRule="auto"/>
        <w:ind w:firstLine="629"/>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法定代表人或</w:t>
      </w:r>
    </w:p>
    <w:p w14:paraId="41C039FB">
      <w:pPr>
        <w:keepNext w:val="0"/>
        <w:keepLines w:val="0"/>
        <w:pageBreakBefore w:val="0"/>
        <w:widowControl w:val="0"/>
        <w:kinsoku/>
        <w:wordWrap/>
        <w:overflowPunct/>
        <w:topLinePunct w:val="0"/>
        <w:autoSpaceDE/>
        <w:autoSpaceDN/>
        <w:bidi w:val="0"/>
        <w:adjustRightInd/>
        <w:snapToGrid/>
        <w:spacing w:line="360" w:lineRule="auto"/>
        <w:ind w:firstLine="629"/>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授权代理人（签字）：</w:t>
      </w:r>
    </w:p>
    <w:p w14:paraId="51928F90">
      <w:pPr>
        <w:keepNext w:val="0"/>
        <w:keepLines w:val="0"/>
        <w:pageBreakBefore w:val="0"/>
        <w:widowControl w:val="0"/>
        <w:kinsoku/>
        <w:wordWrap/>
        <w:overflowPunct/>
        <w:topLinePunct w:val="0"/>
        <w:autoSpaceDE/>
        <w:autoSpaceDN/>
        <w:bidi w:val="0"/>
        <w:adjustRightInd/>
        <w:snapToGrid/>
        <w:spacing w:line="360" w:lineRule="auto"/>
        <w:ind w:firstLine="629"/>
        <w:textAlignment w:val="auto"/>
        <w:rPr>
          <w:rFonts w:hint="eastAsia" w:ascii="宋体" w:hAnsi="宋体" w:eastAsia="宋体" w:cs="宋体"/>
          <w:color w:val="auto"/>
          <w:szCs w:val="21"/>
          <w:highlight w:val="none"/>
        </w:rPr>
      </w:pPr>
    </w:p>
    <w:p w14:paraId="798A856A">
      <w:pPr>
        <w:keepNext w:val="0"/>
        <w:keepLines w:val="0"/>
        <w:pageBreakBefore w:val="0"/>
        <w:widowControl w:val="0"/>
        <w:kinsoku/>
        <w:wordWrap/>
        <w:overflowPunct/>
        <w:topLinePunct w:val="0"/>
        <w:autoSpaceDE/>
        <w:autoSpaceDN/>
        <w:bidi w:val="0"/>
        <w:adjustRightInd/>
        <w:snapToGrid/>
        <w:spacing w:line="360" w:lineRule="auto"/>
        <w:ind w:firstLine="629"/>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年    月    日</w:t>
      </w:r>
    </w:p>
    <w:p w14:paraId="3F57A197">
      <w:pPr>
        <w:keepNext w:val="0"/>
        <w:keepLines w:val="0"/>
        <w:pageBreakBefore w:val="0"/>
        <w:widowControl w:val="0"/>
        <w:kinsoku/>
        <w:wordWrap/>
        <w:overflowPunct/>
        <w:topLinePunct w:val="0"/>
        <w:autoSpaceDE/>
        <w:autoSpaceDN/>
        <w:bidi w:val="0"/>
        <w:adjustRightInd/>
        <w:snapToGrid/>
        <w:spacing w:line="360" w:lineRule="auto"/>
        <w:ind w:firstLine="629"/>
        <w:textAlignment w:val="auto"/>
        <w:rPr>
          <w:rFonts w:hint="eastAsia" w:ascii="宋体" w:hAnsi="宋体" w:eastAsia="宋体" w:cs="宋体"/>
          <w:color w:val="auto"/>
          <w:szCs w:val="21"/>
          <w:highlight w:val="none"/>
        </w:rPr>
      </w:pPr>
    </w:p>
    <w:p w14:paraId="51D735FC">
      <w:pPr>
        <w:keepNext w:val="0"/>
        <w:keepLines w:val="0"/>
        <w:pageBreakBefore w:val="0"/>
        <w:widowControl w:val="0"/>
        <w:kinsoku/>
        <w:wordWrap/>
        <w:overflowPunct/>
        <w:topLinePunct w:val="0"/>
        <w:autoSpaceDE/>
        <w:autoSpaceDN/>
        <w:bidi w:val="0"/>
        <w:adjustRightInd/>
        <w:snapToGrid/>
        <w:spacing w:line="360" w:lineRule="auto"/>
        <w:ind w:firstLine="629"/>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乙方（盖章）：</w:t>
      </w:r>
    </w:p>
    <w:p w14:paraId="341DF6BC">
      <w:pPr>
        <w:keepNext w:val="0"/>
        <w:keepLines w:val="0"/>
        <w:pageBreakBefore w:val="0"/>
        <w:widowControl w:val="0"/>
        <w:kinsoku/>
        <w:wordWrap/>
        <w:overflowPunct/>
        <w:topLinePunct w:val="0"/>
        <w:autoSpaceDE/>
        <w:autoSpaceDN/>
        <w:bidi w:val="0"/>
        <w:adjustRightInd/>
        <w:snapToGrid/>
        <w:spacing w:line="360" w:lineRule="auto"/>
        <w:ind w:firstLine="629"/>
        <w:textAlignment w:val="auto"/>
        <w:rPr>
          <w:rFonts w:hint="eastAsia" w:ascii="宋体" w:hAnsi="宋体" w:eastAsia="宋体" w:cs="宋体"/>
          <w:color w:val="auto"/>
          <w:szCs w:val="21"/>
          <w:highlight w:val="none"/>
        </w:rPr>
      </w:pPr>
    </w:p>
    <w:p w14:paraId="36DB8C16">
      <w:pPr>
        <w:keepNext w:val="0"/>
        <w:keepLines w:val="0"/>
        <w:pageBreakBefore w:val="0"/>
        <w:widowControl w:val="0"/>
        <w:kinsoku/>
        <w:wordWrap/>
        <w:overflowPunct/>
        <w:topLinePunct w:val="0"/>
        <w:autoSpaceDE/>
        <w:autoSpaceDN/>
        <w:bidi w:val="0"/>
        <w:adjustRightInd/>
        <w:snapToGrid/>
        <w:spacing w:line="360" w:lineRule="auto"/>
        <w:ind w:firstLine="629"/>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法定代表人或</w:t>
      </w:r>
    </w:p>
    <w:p w14:paraId="2833C6BF">
      <w:pPr>
        <w:keepNext w:val="0"/>
        <w:keepLines w:val="0"/>
        <w:pageBreakBefore w:val="0"/>
        <w:widowControl w:val="0"/>
        <w:kinsoku/>
        <w:wordWrap/>
        <w:overflowPunct/>
        <w:topLinePunct w:val="0"/>
        <w:autoSpaceDE/>
        <w:autoSpaceDN/>
        <w:bidi w:val="0"/>
        <w:adjustRightInd/>
        <w:snapToGrid/>
        <w:spacing w:line="360" w:lineRule="auto"/>
        <w:ind w:firstLine="629"/>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授权代理人（签字）：</w:t>
      </w:r>
    </w:p>
    <w:p w14:paraId="5BCDA627">
      <w:pPr>
        <w:keepNext w:val="0"/>
        <w:keepLines w:val="0"/>
        <w:pageBreakBefore w:val="0"/>
        <w:widowControl w:val="0"/>
        <w:kinsoku/>
        <w:wordWrap/>
        <w:overflowPunct/>
        <w:topLinePunct w:val="0"/>
        <w:autoSpaceDE/>
        <w:autoSpaceDN/>
        <w:bidi w:val="0"/>
        <w:adjustRightInd/>
        <w:snapToGrid/>
        <w:spacing w:line="360" w:lineRule="auto"/>
        <w:ind w:firstLine="629"/>
        <w:textAlignment w:val="auto"/>
        <w:rPr>
          <w:rFonts w:hint="eastAsia" w:ascii="宋体" w:hAnsi="宋体" w:eastAsia="宋体" w:cs="宋体"/>
          <w:color w:val="auto"/>
          <w:szCs w:val="21"/>
          <w:highlight w:val="none"/>
        </w:rPr>
      </w:pPr>
    </w:p>
    <w:p w14:paraId="4BC15323">
      <w:pPr>
        <w:keepNext w:val="0"/>
        <w:keepLines w:val="0"/>
        <w:pageBreakBefore w:val="0"/>
        <w:widowControl w:val="0"/>
        <w:kinsoku/>
        <w:wordWrap/>
        <w:overflowPunct/>
        <w:topLinePunct w:val="0"/>
        <w:autoSpaceDE/>
        <w:autoSpaceDN/>
        <w:bidi w:val="0"/>
        <w:adjustRightInd/>
        <w:snapToGrid/>
        <w:spacing w:line="360" w:lineRule="auto"/>
        <w:ind w:firstLine="629"/>
        <w:textAlignment w:val="auto"/>
        <w:rPr>
          <w:rFonts w:ascii="Times New Roman" w:hAnsi="Times New Roman" w:eastAsia="宋体" w:cs="Times New Roman"/>
          <w:color w:val="auto"/>
          <w:kern w:val="2"/>
          <w:sz w:val="21"/>
          <w:szCs w:val="24"/>
          <w:highlight w:val="none"/>
          <w:lang w:val="en-US" w:eastAsia="zh-CN" w:bidi="ar-SA"/>
        </w:rPr>
      </w:pPr>
      <w:r>
        <w:rPr>
          <w:rFonts w:hint="eastAsia" w:ascii="宋体" w:hAnsi="宋体" w:eastAsia="宋体" w:cs="宋体"/>
          <w:color w:val="auto"/>
          <w:szCs w:val="21"/>
          <w:highlight w:val="none"/>
        </w:rPr>
        <w:t xml:space="preserve">  年    月    日</w:t>
      </w:r>
    </w:p>
    <w:p w14:paraId="559E76D4">
      <w:pPr>
        <w:widowControl/>
        <w:rPr>
          <w:rFonts w:hint="eastAsia" w:ascii="宋体" w:hAnsi="宋体" w:cs="宋体"/>
          <w:color w:val="auto"/>
          <w:sz w:val="6"/>
          <w:szCs w:val="6"/>
          <w:highlight w:val="none"/>
        </w:rPr>
      </w:pPr>
    </w:p>
    <w:p w14:paraId="6CDE26A5">
      <w:pPr>
        <w:spacing w:line="360" w:lineRule="auto"/>
        <w:rPr>
          <w:rFonts w:hint="eastAsia" w:ascii="宋体" w:hAnsi="宋体" w:eastAsia="宋体" w:cs="宋体"/>
          <w:color w:val="auto"/>
          <w:szCs w:val="21"/>
          <w:highlight w:val="none"/>
        </w:rPr>
      </w:pPr>
    </w:p>
    <w:p w14:paraId="6422BB80">
      <w:pPr>
        <w:pStyle w:val="2"/>
      </w:pPr>
    </w:p>
    <w:sectPr>
      <w:footerReference r:id="rId14" w:type="first"/>
      <w:headerReference r:id="rId12" w:type="default"/>
      <w:footerReference r:id="rId13" w:type="default"/>
      <w:pgSz w:w="11910" w:h="16840"/>
      <w:pgMar w:top="1340" w:right="1500" w:bottom="280" w:left="1680" w:header="720" w:footer="567"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02"/>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onsolas">
    <w:panose1 w:val="020B0609020204030204"/>
    <w:charset w:val="00"/>
    <w:family w:val="auto"/>
    <w:pitch w:val="default"/>
    <w:sig w:usb0="E00006FF" w:usb1="0000FCFF" w:usb2="00000001" w:usb3="00000000" w:csb0="6000019F" w:csb1="DFD70000"/>
  </w:font>
  <w:font w:name="华文新魏">
    <w:altName w:val="宋体"/>
    <w:panose1 w:val="02010800040101010101"/>
    <w:charset w:val="86"/>
    <w:family w:val="auto"/>
    <w:pitch w:val="default"/>
    <w:sig w:usb0="00000000" w:usb1="00000000" w:usb2="00000000" w:usb3="00000000" w:csb0="00040000" w:csb1="00000000"/>
  </w:font>
  <w:font w:name="MS Mincho">
    <w:altName w:val="Yu Gothic UI"/>
    <w:panose1 w:val="02020609040205080304"/>
    <w:charset w:val="80"/>
    <w:family w:val="moder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 w:name="方正小标宋简体">
    <w:altName w:val="黑体"/>
    <w:panose1 w:val="03000509000000000000"/>
    <w:charset w:val="86"/>
    <w:family w:val="script"/>
    <w:pitch w:val="default"/>
    <w:sig w:usb0="00000000" w:usb1="0000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487DCF">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29418B">
    <w:pPr>
      <w:pStyle w:val="15"/>
      <w:tabs>
        <w:tab w:val="center" w:pos="4439"/>
        <w:tab w:val="clear" w:pos="4153"/>
      </w:tabs>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51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245075A"/>
                      </w:txbxContent>
                    </wps:txbx>
                    <wps:bodyPr wrap="none" lIns="0" tIns="0" rIns="0" bIns="0">
                      <a:spAutoFit/>
                    </wps:bodyPr>
                  </wps:wsp>
                </a:graphicData>
              </a:graphic>
            </wp:anchor>
          </w:drawing>
        </mc:Choice>
        <mc:Fallback>
          <w:pict>
            <v:shape id="文本框 512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5h5+IsQBAACQAwAADgAAAAAAAAABACAAAAAeAQAAZHJzL2Uyb0RvYy54bWxQ&#10;SwUGAAAAAAYABgBZAQAAVAUAAAAA&#10;">
              <v:fill on="f" focussize="0,0"/>
              <v:stroke on="f"/>
              <v:imagedata o:title=""/>
              <o:lock v:ext="edit" aspectratio="f"/>
              <v:textbox inset="0mm,0mm,0mm,0mm" style="mso-fit-shape-to-text:t;">
                <w:txbxContent>
                  <w:p w14:paraId="6245075A"/>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B98469">
    <w:pPr>
      <w:pStyle w:val="15"/>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4BDFA6A">
                          <w:pPr>
                            <w:pStyle w:val="15"/>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PRhHJN0CAAAkBgAADgAAAAAAAAABACAAAAAfAQAAZHJzL2Uyb0RvYy54bWxQSwUG&#10;AAAAAAYABgBZAQAAbgYAAAAA&#10;">
              <v:fill on="f" focussize="0,0"/>
              <v:stroke on="f" weight="0.5pt"/>
              <v:imagedata o:title=""/>
              <o:lock v:ext="edit" aspectratio="f"/>
              <v:textbox inset="0mm,0mm,0mm,0mm" style="mso-fit-shape-to-text:t;">
                <w:txbxContent>
                  <w:p w14:paraId="14BDFA6A">
                    <w:pPr>
                      <w:pStyle w:val="15"/>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B22923">
    <w:pPr>
      <w:pStyle w:val="15"/>
      <w:tabs>
        <w:tab w:val="center" w:pos="4439"/>
        <w:tab w:val="clear" w:pos="4153"/>
      </w:tabs>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FB507E2">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J0wnyN0CAAAkBgAADgAAAAAAAAABACAAAAAfAQAAZHJzL2Uyb0RvYy54bWxQSwUG&#10;AAAAAAYABgBZAQAAbgYAAAAA&#10;">
              <v:fill on="f" focussize="0,0"/>
              <v:stroke on="f" weight="0.5pt"/>
              <v:imagedata o:title=""/>
              <o:lock v:ext="edit" aspectratio="f"/>
              <v:textbox inset="0mm,0mm,0mm,0mm" style="mso-fit-shape-to-text:t;">
                <w:txbxContent>
                  <w:p w14:paraId="2FB507E2">
                    <w:pPr>
                      <w:pStyle w:val="15"/>
                    </w:pPr>
                    <w:r>
                      <w:fldChar w:fldCharType="begin"/>
                    </w:r>
                    <w:r>
                      <w:instrText xml:space="preserve"> PAGE  \* MERGEFORMAT </w:instrText>
                    </w:r>
                    <w:r>
                      <w:fldChar w:fldCharType="separate"/>
                    </w:r>
                    <w:r>
                      <w:t>1</w:t>
                    </w:r>
                    <w:r>
                      <w:fldChar w:fldCharType="end"/>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1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40848AC"/>
                      </w:txbxContent>
                    </wps:txbx>
                    <wps:bodyPr wrap="none" lIns="0" tIns="0" rIns="0" bIns="0">
                      <a:spAutoFit/>
                    </wps:bodyPr>
                  </wps:wsp>
                </a:graphicData>
              </a:graphic>
            </wp:anchor>
          </w:drawing>
        </mc:Choice>
        <mc:Fallback>
          <w:pict>
            <v:shape id="文本框 5123"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n0b3R8QBAACQAwAADgAAAAAAAAABACAAAAAeAQAAZHJzL2Uyb0RvYy54bWxQ&#10;SwUGAAAAAAYABgBZAQAAVAUAAAAA&#10;">
              <v:fill on="f" focussize="0,0"/>
              <v:stroke on="f"/>
              <v:imagedata o:title=""/>
              <o:lock v:ext="edit" aspectratio="f"/>
              <v:textbox inset="0mm,0mm,0mm,0mm" style="mso-fit-shape-to-text:t;">
                <w:txbxContent>
                  <w:p w14:paraId="340848AC"/>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F46C75">
    <w:pPr>
      <w:pStyle w:val="1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5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79FFD59">
                          <w:pPr>
                            <w:pStyle w:val="15"/>
                          </w:pPr>
                          <w:r>
                            <w:fldChar w:fldCharType="begin"/>
                          </w:r>
                          <w:r>
                            <w:instrText xml:space="preserve"> PAGE  \* MERGEFORMAT </w:instrText>
                          </w:r>
                          <w:r>
                            <w:fldChar w:fldCharType="separate"/>
                          </w:r>
                          <w:r>
                            <w:t>0</w:t>
                          </w:r>
                          <w:r>
                            <w:fldChar w:fldCharType="end"/>
                          </w:r>
                        </w:p>
                      </w:txbxContent>
                    </wps:txbx>
                    <wps:bodyPr wrap="none" lIns="0" tIns="0" rIns="0" bIns="0">
                      <a:spAutoFit/>
                    </wps:bodyPr>
                  </wps:wsp>
                </a:graphicData>
              </a:graphic>
            </wp:anchor>
          </w:drawing>
        </mc:Choice>
        <mc:Fallback>
          <w:pict>
            <v:shape id="文本框 51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Lz2WmXFAQAAkAMAAA4AAAAAAAAAAQAgAAAAHgEAAGRycy9lMm9Eb2MueG1s&#10;UEsFBgAAAAAGAAYAWQEAAFUFAAAAAA==&#10;">
              <v:fill on="f" focussize="0,0"/>
              <v:stroke on="f"/>
              <v:imagedata o:title=""/>
              <o:lock v:ext="edit" aspectratio="f"/>
              <v:textbox inset="0mm,0mm,0mm,0mm" style="mso-fit-shape-to-text:t;">
                <w:txbxContent>
                  <w:p w14:paraId="079FFD59">
                    <w:pPr>
                      <w:pStyle w:val="15"/>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0016CF">
    <w:pPr>
      <w:pStyle w:val="1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5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03F1CED">
                          <w:pPr>
                            <w:pStyle w:val="15"/>
                          </w:pPr>
                          <w:r>
                            <w:fldChar w:fldCharType="begin"/>
                          </w:r>
                          <w:r>
                            <w:instrText xml:space="preserve"> PAGE  \* MERGEFORMAT </w:instrText>
                          </w:r>
                          <w:r>
                            <w:fldChar w:fldCharType="separate"/>
                          </w:r>
                          <w:r>
                            <w:t>0</w:t>
                          </w:r>
                          <w:r>
                            <w:fldChar w:fldCharType="end"/>
                          </w:r>
                        </w:p>
                      </w:txbxContent>
                    </wps:txbx>
                    <wps:bodyPr wrap="none" lIns="0" tIns="0" rIns="0" bIns="0">
                      <a:spAutoFit/>
                    </wps:bodyPr>
                  </wps:wsp>
                </a:graphicData>
              </a:graphic>
            </wp:anchor>
          </w:drawing>
        </mc:Choice>
        <mc:Fallback>
          <w:pict>
            <v:shape id="文本框 51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FTD8vDFAQAAkAMAAA4AAAAAAAAAAQAgAAAAHgEAAGRycy9lMm9Eb2MueG1s&#10;UEsFBgAAAAAGAAYAWQEAAFUFAAAAAA==&#10;">
              <v:fill on="f" focussize="0,0"/>
              <v:stroke on="f"/>
              <v:imagedata o:title=""/>
              <o:lock v:ext="edit" aspectratio="f"/>
              <v:textbox inset="0mm,0mm,0mm,0mm" style="mso-fit-shape-to-text:t;">
                <w:txbxContent>
                  <w:p w14:paraId="303F1CED">
                    <w:pPr>
                      <w:pStyle w:val="15"/>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C015D3">
    <w:pPr>
      <w:pStyle w:val="15"/>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D3C6296">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CvwKVW3AIAACQGAAAOAAAAAAAAAAEAIAAAAB8BAABkcnMvZTJvRG9jLnhtbFBLBQYA&#10;AAAABgAGAFkBAABtBgAAAAA=&#10;">
              <v:fill on="f" focussize="0,0"/>
              <v:stroke on="f" weight="0.5pt"/>
              <v:imagedata o:title=""/>
              <o:lock v:ext="edit" aspectratio="f"/>
              <v:textbox inset="0mm,0mm,0mm,0mm" style="mso-fit-shape-to-text:t;">
                <w:txbxContent>
                  <w:p w14:paraId="4D3C6296">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A704E9">
    <w:pPr>
      <w:pStyle w:val="15"/>
      <w:jc w:val="cente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7698D52">
                          <w:pPr>
                            <w:pStyle w:val="15"/>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Ci6pUg3AIAACQGAAAOAAAAAAAAAAEAIAAAAB8BAABkcnMvZTJvRG9jLnhtbFBLBQYA&#10;AAAABgAGAFkBAABtBgAAAAA=&#10;">
              <v:fill on="f" focussize="0,0"/>
              <v:stroke on="f" weight="0.5pt"/>
              <v:imagedata o:title=""/>
              <o:lock v:ext="edit" aspectratio="f"/>
              <v:textbox inset="0mm,0mm,0mm,0mm" style="mso-fit-shape-to-text:t;">
                <w:txbxContent>
                  <w:p w14:paraId="67698D52">
                    <w:pPr>
                      <w:pStyle w:val="15"/>
                    </w:pPr>
                    <w:r>
                      <w:fldChar w:fldCharType="begin"/>
                    </w:r>
                    <w:r>
                      <w:instrText xml:space="preserve"> PAGE  \* MERGEFORMAT </w:instrText>
                    </w:r>
                    <w:r>
                      <w:fldChar w:fldCharType="separate"/>
                    </w:r>
                    <w:r>
                      <w:t>30</w:t>
                    </w:r>
                    <w:r>
                      <w:fldChar w:fldCharType="end"/>
                    </w:r>
                  </w:p>
                </w:txbxContent>
              </v:textbox>
            </v:shape>
          </w:pict>
        </mc:Fallback>
      </mc:AlternateContent>
    </w:r>
  </w:p>
  <w:p w14:paraId="629FA2C0">
    <w:pPr>
      <w:pStyle w:val="15"/>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2F3142">
    <w:pPr>
      <w:pStyle w:val="1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51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F0C9473">
                          <w:pPr>
                            <w:pStyle w:val="15"/>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wrap="none" lIns="0" tIns="0" rIns="0" bIns="0">
                      <a:spAutoFit/>
                    </wps:bodyPr>
                  </wps:wsp>
                </a:graphicData>
              </a:graphic>
            </wp:anchor>
          </w:drawing>
        </mc:Choice>
        <mc:Fallback>
          <w:pict>
            <v:shape id="文本框 512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DiSp0vFAQAAkAMAAA4AAAAAAAAAAQAgAAAAHgEAAGRycy9lMm9Eb2MueG1s&#10;UEsFBgAAAAAGAAYAWQEAAFUFAAAAAA==&#10;">
              <v:fill on="f" focussize="0,0"/>
              <v:stroke on="f"/>
              <v:imagedata o:title=""/>
              <o:lock v:ext="edit" aspectratio="f"/>
              <v:textbox inset="0mm,0mm,0mm,0mm" style="mso-fit-shape-to-text:t;">
                <w:txbxContent>
                  <w:p w14:paraId="2F0C9473">
                    <w:pPr>
                      <w:pStyle w:val="15"/>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5A46E2">
    <w:pPr>
      <w:pStyle w:val="1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26F8AD">
    <w:pPr>
      <w:pStyle w:val="16"/>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17744F">
    <w:pPr>
      <w:pStyle w:val="16"/>
      <w:rPr>
        <w:highlight w:val="yellow"/>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1A533A"/>
    <w:multiLevelType w:val="singleLevel"/>
    <w:tmpl w:val="AB1A533A"/>
    <w:lvl w:ilvl="0" w:tentative="0">
      <w:start w:val="2"/>
      <w:numFmt w:val="decimal"/>
      <w:suff w:val="nothing"/>
      <w:lvlText w:val="%1、"/>
      <w:lvlJc w:val="left"/>
    </w:lvl>
  </w:abstractNum>
  <w:abstractNum w:abstractNumId="1">
    <w:nsid w:val="230941C1"/>
    <w:multiLevelType w:val="singleLevel"/>
    <w:tmpl w:val="230941C1"/>
    <w:lvl w:ilvl="0" w:tentative="0">
      <w:start w:val="3"/>
      <w:numFmt w:val="decimal"/>
      <w:lvlText w:val="%1."/>
      <w:lvlJc w:val="left"/>
      <w:pPr>
        <w:tabs>
          <w:tab w:val="left" w:pos="312"/>
        </w:tabs>
      </w:pPr>
    </w:lvl>
  </w:abstractNum>
  <w:abstractNum w:abstractNumId="2">
    <w:nsid w:val="508DC1A0"/>
    <w:multiLevelType w:val="singleLevel"/>
    <w:tmpl w:val="508DC1A0"/>
    <w:lvl w:ilvl="0" w:tentative="0">
      <w:start w:val="1"/>
      <w:numFmt w:val="decimal"/>
      <w:pStyle w:val="9"/>
      <w:lvlText w:val="%1."/>
      <w:lvlJc w:val="left"/>
      <w:pPr>
        <w:tabs>
          <w:tab w:val="left" w:pos="360"/>
        </w:tabs>
        <w:ind w:left="36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5A3"/>
    <w:rsid w:val="0025458D"/>
    <w:rsid w:val="002A7AAC"/>
    <w:rsid w:val="00313D67"/>
    <w:rsid w:val="00420753"/>
    <w:rsid w:val="004425A3"/>
    <w:rsid w:val="00625671"/>
    <w:rsid w:val="007A7855"/>
    <w:rsid w:val="0083050D"/>
    <w:rsid w:val="00DE539F"/>
    <w:rsid w:val="019064FD"/>
    <w:rsid w:val="022742A1"/>
    <w:rsid w:val="02C2434F"/>
    <w:rsid w:val="030238E4"/>
    <w:rsid w:val="031A3CF7"/>
    <w:rsid w:val="031A5C16"/>
    <w:rsid w:val="03523F42"/>
    <w:rsid w:val="03E47515"/>
    <w:rsid w:val="03F82830"/>
    <w:rsid w:val="04554E96"/>
    <w:rsid w:val="057127F0"/>
    <w:rsid w:val="05790131"/>
    <w:rsid w:val="059F180A"/>
    <w:rsid w:val="05B22781"/>
    <w:rsid w:val="05BE5E8D"/>
    <w:rsid w:val="07022BBA"/>
    <w:rsid w:val="07247CF8"/>
    <w:rsid w:val="08A5151B"/>
    <w:rsid w:val="09405867"/>
    <w:rsid w:val="098F072D"/>
    <w:rsid w:val="09E813E1"/>
    <w:rsid w:val="0AF83C42"/>
    <w:rsid w:val="0BAF4F65"/>
    <w:rsid w:val="0BB7154B"/>
    <w:rsid w:val="0BF70001"/>
    <w:rsid w:val="0C0F6BAC"/>
    <w:rsid w:val="0CF602B9"/>
    <w:rsid w:val="0DB41E8C"/>
    <w:rsid w:val="0DFA7629"/>
    <w:rsid w:val="0E6220D1"/>
    <w:rsid w:val="0EB54604"/>
    <w:rsid w:val="0EE94185"/>
    <w:rsid w:val="102551BD"/>
    <w:rsid w:val="1132558D"/>
    <w:rsid w:val="115E2F3D"/>
    <w:rsid w:val="125878EF"/>
    <w:rsid w:val="127A55B4"/>
    <w:rsid w:val="12E272BD"/>
    <w:rsid w:val="132058E6"/>
    <w:rsid w:val="137771B9"/>
    <w:rsid w:val="140D6614"/>
    <w:rsid w:val="14F74BCE"/>
    <w:rsid w:val="14FC33FE"/>
    <w:rsid w:val="15264D8E"/>
    <w:rsid w:val="152D239E"/>
    <w:rsid w:val="15E769F0"/>
    <w:rsid w:val="16552777"/>
    <w:rsid w:val="168D5D2C"/>
    <w:rsid w:val="16E424AF"/>
    <w:rsid w:val="176C75E6"/>
    <w:rsid w:val="181A32E9"/>
    <w:rsid w:val="18E13238"/>
    <w:rsid w:val="194505FE"/>
    <w:rsid w:val="19C33978"/>
    <w:rsid w:val="19FD2C86"/>
    <w:rsid w:val="1B043BA1"/>
    <w:rsid w:val="1B7C19FE"/>
    <w:rsid w:val="1B8C2514"/>
    <w:rsid w:val="1B9C0B51"/>
    <w:rsid w:val="1C1E610B"/>
    <w:rsid w:val="1D0F659E"/>
    <w:rsid w:val="1D552DD9"/>
    <w:rsid w:val="1D6152DA"/>
    <w:rsid w:val="1DA249EF"/>
    <w:rsid w:val="1DC05157"/>
    <w:rsid w:val="1E1B2F26"/>
    <w:rsid w:val="1E210712"/>
    <w:rsid w:val="1E937715"/>
    <w:rsid w:val="1ECE5B9C"/>
    <w:rsid w:val="1FA92069"/>
    <w:rsid w:val="1FE650B4"/>
    <w:rsid w:val="20754A55"/>
    <w:rsid w:val="209824C6"/>
    <w:rsid w:val="212A5349"/>
    <w:rsid w:val="237B2F24"/>
    <w:rsid w:val="24B31C19"/>
    <w:rsid w:val="24C3253C"/>
    <w:rsid w:val="25503507"/>
    <w:rsid w:val="2575791A"/>
    <w:rsid w:val="270B3EAA"/>
    <w:rsid w:val="272F1FA5"/>
    <w:rsid w:val="27A40BE5"/>
    <w:rsid w:val="27C941A8"/>
    <w:rsid w:val="283C6D97"/>
    <w:rsid w:val="28C45C09"/>
    <w:rsid w:val="28F74D45"/>
    <w:rsid w:val="291020B0"/>
    <w:rsid w:val="291E773A"/>
    <w:rsid w:val="29212CFD"/>
    <w:rsid w:val="29444DBD"/>
    <w:rsid w:val="2A2167F8"/>
    <w:rsid w:val="2A5A456C"/>
    <w:rsid w:val="2A866380"/>
    <w:rsid w:val="2AEA23A1"/>
    <w:rsid w:val="2AEE2239"/>
    <w:rsid w:val="2B2C6626"/>
    <w:rsid w:val="2B973560"/>
    <w:rsid w:val="2BEE5789"/>
    <w:rsid w:val="2C941A07"/>
    <w:rsid w:val="2CBB04B8"/>
    <w:rsid w:val="2DA54E89"/>
    <w:rsid w:val="2E1450C3"/>
    <w:rsid w:val="2E4278AB"/>
    <w:rsid w:val="2FBF5BFF"/>
    <w:rsid w:val="2FFD2CFD"/>
    <w:rsid w:val="301204C7"/>
    <w:rsid w:val="315B6AA0"/>
    <w:rsid w:val="328E04C8"/>
    <w:rsid w:val="32A20FA3"/>
    <w:rsid w:val="32BF2268"/>
    <w:rsid w:val="32CE57C6"/>
    <w:rsid w:val="33945FB2"/>
    <w:rsid w:val="33E10ACB"/>
    <w:rsid w:val="354D3D89"/>
    <w:rsid w:val="35680ADC"/>
    <w:rsid w:val="358955D4"/>
    <w:rsid w:val="35B4284F"/>
    <w:rsid w:val="36AC3612"/>
    <w:rsid w:val="370249DE"/>
    <w:rsid w:val="379245B6"/>
    <w:rsid w:val="397F500E"/>
    <w:rsid w:val="39CD7B28"/>
    <w:rsid w:val="39DE095F"/>
    <w:rsid w:val="3A0B0650"/>
    <w:rsid w:val="3A687850"/>
    <w:rsid w:val="3A9C5DB7"/>
    <w:rsid w:val="3AC566D5"/>
    <w:rsid w:val="3BD45317"/>
    <w:rsid w:val="3BEB59F3"/>
    <w:rsid w:val="3BF31A7C"/>
    <w:rsid w:val="3CB80DC3"/>
    <w:rsid w:val="3CD96ACB"/>
    <w:rsid w:val="3DA37E27"/>
    <w:rsid w:val="3E261EFC"/>
    <w:rsid w:val="3E78778F"/>
    <w:rsid w:val="3EE06749"/>
    <w:rsid w:val="3F413C18"/>
    <w:rsid w:val="3F8769CB"/>
    <w:rsid w:val="3FB44AD4"/>
    <w:rsid w:val="3FFA18F8"/>
    <w:rsid w:val="406B4F76"/>
    <w:rsid w:val="406B63DC"/>
    <w:rsid w:val="40AF01C1"/>
    <w:rsid w:val="4256200A"/>
    <w:rsid w:val="42AA177A"/>
    <w:rsid w:val="43FF2A04"/>
    <w:rsid w:val="44CC36D1"/>
    <w:rsid w:val="4537679D"/>
    <w:rsid w:val="457B47E7"/>
    <w:rsid w:val="45FB723F"/>
    <w:rsid w:val="464B5580"/>
    <w:rsid w:val="466D6781"/>
    <w:rsid w:val="468D3346"/>
    <w:rsid w:val="469B43DA"/>
    <w:rsid w:val="46C02478"/>
    <w:rsid w:val="46F632D8"/>
    <w:rsid w:val="49851753"/>
    <w:rsid w:val="4B02786A"/>
    <w:rsid w:val="4B0C1EBA"/>
    <w:rsid w:val="4BA91A77"/>
    <w:rsid w:val="4BD17B44"/>
    <w:rsid w:val="4C0160D6"/>
    <w:rsid w:val="4C7D0C39"/>
    <w:rsid w:val="4D0E072B"/>
    <w:rsid w:val="4D4E1EDC"/>
    <w:rsid w:val="4D61785D"/>
    <w:rsid w:val="4DC4528E"/>
    <w:rsid w:val="4F3560B9"/>
    <w:rsid w:val="4F642884"/>
    <w:rsid w:val="4F6E725F"/>
    <w:rsid w:val="4FBA7124"/>
    <w:rsid w:val="503038DA"/>
    <w:rsid w:val="50731F19"/>
    <w:rsid w:val="51B94724"/>
    <w:rsid w:val="52D43851"/>
    <w:rsid w:val="53170FBA"/>
    <w:rsid w:val="53496A8E"/>
    <w:rsid w:val="539A0F3A"/>
    <w:rsid w:val="54A17099"/>
    <w:rsid w:val="54C2591C"/>
    <w:rsid w:val="55091963"/>
    <w:rsid w:val="553424C4"/>
    <w:rsid w:val="553849E3"/>
    <w:rsid w:val="55D83684"/>
    <w:rsid w:val="55EE10FA"/>
    <w:rsid w:val="560617CE"/>
    <w:rsid w:val="572A536A"/>
    <w:rsid w:val="57D9299D"/>
    <w:rsid w:val="5827444F"/>
    <w:rsid w:val="58564D34"/>
    <w:rsid w:val="586C4558"/>
    <w:rsid w:val="588A1033"/>
    <w:rsid w:val="58B4673F"/>
    <w:rsid w:val="58C70658"/>
    <w:rsid w:val="59756E37"/>
    <w:rsid w:val="5A207E54"/>
    <w:rsid w:val="5A433873"/>
    <w:rsid w:val="5AA71877"/>
    <w:rsid w:val="5ACB35AD"/>
    <w:rsid w:val="5AD96ACE"/>
    <w:rsid w:val="5B0B3D5B"/>
    <w:rsid w:val="5B3E21DC"/>
    <w:rsid w:val="5B413A7A"/>
    <w:rsid w:val="5C871960"/>
    <w:rsid w:val="5D172659"/>
    <w:rsid w:val="5D804D2D"/>
    <w:rsid w:val="5D941E6C"/>
    <w:rsid w:val="5FA510E0"/>
    <w:rsid w:val="5FFFD5EC"/>
    <w:rsid w:val="600A42ED"/>
    <w:rsid w:val="60714E01"/>
    <w:rsid w:val="607A79EA"/>
    <w:rsid w:val="60AD570E"/>
    <w:rsid w:val="612778F9"/>
    <w:rsid w:val="613025C6"/>
    <w:rsid w:val="6167592C"/>
    <w:rsid w:val="619D7F48"/>
    <w:rsid w:val="61B16453"/>
    <w:rsid w:val="61EE525C"/>
    <w:rsid w:val="63904078"/>
    <w:rsid w:val="63B70D7D"/>
    <w:rsid w:val="64601415"/>
    <w:rsid w:val="661E50E3"/>
    <w:rsid w:val="66C537B1"/>
    <w:rsid w:val="678C2521"/>
    <w:rsid w:val="6814388E"/>
    <w:rsid w:val="681A1D36"/>
    <w:rsid w:val="683A2CFE"/>
    <w:rsid w:val="686B0388"/>
    <w:rsid w:val="688519CA"/>
    <w:rsid w:val="689D31D3"/>
    <w:rsid w:val="68C33D20"/>
    <w:rsid w:val="68ED3493"/>
    <w:rsid w:val="68FE744E"/>
    <w:rsid w:val="6A3A2708"/>
    <w:rsid w:val="6A45021C"/>
    <w:rsid w:val="6AB74D7E"/>
    <w:rsid w:val="6BB57E78"/>
    <w:rsid w:val="6C2D65EF"/>
    <w:rsid w:val="6C3D64DF"/>
    <w:rsid w:val="6D2A25C0"/>
    <w:rsid w:val="6D905FD1"/>
    <w:rsid w:val="6DF446BD"/>
    <w:rsid w:val="6E237777"/>
    <w:rsid w:val="6E4476B1"/>
    <w:rsid w:val="6E5416F9"/>
    <w:rsid w:val="6E963C85"/>
    <w:rsid w:val="6EA6671E"/>
    <w:rsid w:val="6EA81F5F"/>
    <w:rsid w:val="6ED70525"/>
    <w:rsid w:val="6F8D6E73"/>
    <w:rsid w:val="70C45E02"/>
    <w:rsid w:val="71026815"/>
    <w:rsid w:val="71412EFE"/>
    <w:rsid w:val="71EA4A14"/>
    <w:rsid w:val="722F3B9E"/>
    <w:rsid w:val="723E1C98"/>
    <w:rsid w:val="72AA5244"/>
    <w:rsid w:val="731D4938"/>
    <w:rsid w:val="73497518"/>
    <w:rsid w:val="73835CF5"/>
    <w:rsid w:val="73D239B1"/>
    <w:rsid w:val="73DE3B2F"/>
    <w:rsid w:val="74B135C7"/>
    <w:rsid w:val="74B37D3A"/>
    <w:rsid w:val="74C90910"/>
    <w:rsid w:val="754B1461"/>
    <w:rsid w:val="762B0341"/>
    <w:rsid w:val="77366005"/>
    <w:rsid w:val="778C29CD"/>
    <w:rsid w:val="77F87DB3"/>
    <w:rsid w:val="786E2327"/>
    <w:rsid w:val="78F32400"/>
    <w:rsid w:val="78FA447F"/>
    <w:rsid w:val="78FC1D5D"/>
    <w:rsid w:val="7A042367"/>
    <w:rsid w:val="7A1E28DE"/>
    <w:rsid w:val="7A59196C"/>
    <w:rsid w:val="7A765096"/>
    <w:rsid w:val="7AB32CE9"/>
    <w:rsid w:val="7AB4290E"/>
    <w:rsid w:val="7AD149C3"/>
    <w:rsid w:val="7B59857E"/>
    <w:rsid w:val="7B5C5720"/>
    <w:rsid w:val="7BAA59A3"/>
    <w:rsid w:val="7BE75466"/>
    <w:rsid w:val="7C2C38E8"/>
    <w:rsid w:val="7C9E0940"/>
    <w:rsid w:val="7D3F3438"/>
    <w:rsid w:val="7D675A01"/>
    <w:rsid w:val="7E097FCF"/>
    <w:rsid w:val="7E90287E"/>
    <w:rsid w:val="7EC30AC6"/>
    <w:rsid w:val="7EE301C5"/>
    <w:rsid w:val="7F78540D"/>
    <w:rsid w:val="7FB14ABB"/>
    <w:rsid w:val="7FD1045A"/>
    <w:rsid w:val="7FE7146E"/>
    <w:rsid w:val="DDEC8FA3"/>
    <w:rsid w:val="DFDB077F"/>
    <w:rsid w:val="FBFD473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unhideWhenUsed/>
    <w:qFormat/>
    <w:uiPriority w:val="0"/>
    <w:pPr>
      <w:keepNext/>
      <w:keepLines/>
      <w:spacing w:before="260" w:after="260" w:line="416" w:lineRule="auto"/>
      <w:outlineLvl w:val="1"/>
    </w:pPr>
    <w:rPr>
      <w:rFonts w:ascii="Cambria" w:hAnsi="Cambria"/>
      <w:b/>
      <w:bCs/>
      <w:sz w:val="32"/>
      <w:szCs w:val="32"/>
    </w:rPr>
  </w:style>
  <w:style w:type="paragraph" w:styleId="5">
    <w:name w:val="heading 3"/>
    <w:basedOn w:val="1"/>
    <w:next w:val="1"/>
    <w:unhideWhenUsed/>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0"/>
    <w:pPr>
      <w:tabs>
        <w:tab w:val="left" w:pos="2155"/>
      </w:tabs>
      <w:adjustRightInd w:val="0"/>
      <w:spacing w:line="360" w:lineRule="auto"/>
      <w:ind w:left="2155" w:hanging="1078"/>
      <w:textAlignment w:val="baseline"/>
      <w:outlineLvl w:val="3"/>
    </w:pPr>
    <w:rPr>
      <w:rFonts w:ascii="Arial" w:eastAsia="黑体"/>
      <w:kern w:val="0"/>
      <w:sz w:val="28"/>
      <w:szCs w:val="20"/>
    </w:rPr>
  </w:style>
  <w:style w:type="paragraph" w:styleId="7">
    <w:name w:val="heading 5"/>
    <w:basedOn w:val="1"/>
    <w:next w:val="8"/>
    <w:unhideWhenUsed/>
    <w:qFormat/>
    <w:uiPriority w:val="0"/>
    <w:pPr>
      <w:keepNext/>
      <w:keepLines/>
      <w:spacing w:before="280" w:after="290" w:line="376" w:lineRule="auto"/>
      <w:outlineLvl w:val="4"/>
    </w:pPr>
    <w:rPr>
      <w:b/>
      <w:bCs/>
      <w:sz w:val="28"/>
      <w:szCs w:val="28"/>
    </w:rPr>
  </w:style>
  <w:style w:type="character" w:default="1" w:styleId="21">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unhideWhenUsed/>
    <w:qFormat/>
    <w:uiPriority w:val="0"/>
    <w:pPr>
      <w:spacing w:after="120"/>
    </w:pPr>
  </w:style>
  <w:style w:type="paragraph" w:styleId="8">
    <w:name w:val="Normal Indent"/>
    <w:basedOn w:val="1"/>
    <w:qFormat/>
    <w:uiPriority w:val="0"/>
    <w:pPr>
      <w:ind w:firstLine="420"/>
    </w:pPr>
    <w:rPr>
      <w:szCs w:val="20"/>
    </w:rPr>
  </w:style>
  <w:style w:type="paragraph" w:styleId="9">
    <w:name w:val="List Number"/>
    <w:basedOn w:val="1"/>
    <w:qFormat/>
    <w:uiPriority w:val="0"/>
    <w:pPr>
      <w:numPr>
        <w:ilvl w:val="0"/>
        <w:numId w:val="1"/>
      </w:numPr>
    </w:pPr>
  </w:style>
  <w:style w:type="paragraph" w:styleId="10">
    <w:name w:val="annotation text"/>
    <w:basedOn w:val="1"/>
    <w:qFormat/>
    <w:uiPriority w:val="0"/>
    <w:pPr>
      <w:jc w:val="left"/>
    </w:pPr>
  </w:style>
  <w:style w:type="paragraph" w:styleId="11">
    <w:name w:val="Body Text 3"/>
    <w:basedOn w:val="1"/>
    <w:qFormat/>
    <w:uiPriority w:val="0"/>
    <w:pPr>
      <w:spacing w:after="120"/>
    </w:pPr>
    <w:rPr>
      <w:sz w:val="16"/>
      <w:szCs w:val="16"/>
    </w:rPr>
  </w:style>
  <w:style w:type="paragraph" w:styleId="12">
    <w:name w:val="Body Text Indent"/>
    <w:basedOn w:val="1"/>
    <w:qFormat/>
    <w:uiPriority w:val="0"/>
    <w:pPr>
      <w:ind w:firstLine="830" w:firstLineChars="352"/>
    </w:pPr>
    <w:rPr>
      <w:rFonts w:ascii="仿宋_GB2312" w:eastAsia="仿宋_GB2312"/>
      <w:kern w:val="0"/>
      <w:sz w:val="32"/>
      <w:szCs w:val="20"/>
    </w:rPr>
  </w:style>
  <w:style w:type="paragraph" w:styleId="13">
    <w:name w:val="List 2"/>
    <w:basedOn w:val="1"/>
    <w:qFormat/>
    <w:uiPriority w:val="0"/>
    <w:pPr>
      <w:ind w:left="100" w:leftChars="200" w:hanging="200" w:hangingChars="200"/>
      <w:contextualSpacing/>
    </w:pPr>
  </w:style>
  <w:style w:type="paragraph" w:styleId="14">
    <w:name w:val="Plain Text"/>
    <w:basedOn w:val="1"/>
    <w:qFormat/>
    <w:uiPriority w:val="0"/>
    <w:rPr>
      <w:rFonts w:ascii="宋体" w:hAnsi="Courier New"/>
      <w:szCs w:val="20"/>
    </w:rPr>
  </w:style>
  <w:style w:type="paragraph" w:styleId="15">
    <w:name w:val="footer"/>
    <w:basedOn w:val="1"/>
    <w:next w:val="1"/>
    <w:qFormat/>
    <w:uiPriority w:val="0"/>
    <w:pPr>
      <w:tabs>
        <w:tab w:val="center" w:pos="4153"/>
        <w:tab w:val="right" w:pos="8306"/>
      </w:tabs>
      <w:snapToGrid w:val="0"/>
      <w:jc w:val="left"/>
    </w:pPr>
    <w:rPr>
      <w:kern w:val="0"/>
      <w:sz w:val="18"/>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kern w:val="0"/>
      <w:sz w:val="18"/>
      <w:szCs w:val="18"/>
    </w:rPr>
  </w:style>
  <w:style w:type="paragraph" w:styleId="17">
    <w:name w:val="toc 1"/>
    <w:basedOn w:val="1"/>
    <w:next w:val="1"/>
    <w:qFormat/>
    <w:uiPriority w:val="0"/>
  </w:style>
  <w:style w:type="paragraph" w:styleId="18">
    <w:name w:val="toc 2"/>
    <w:basedOn w:val="1"/>
    <w:next w:val="1"/>
    <w:qFormat/>
    <w:uiPriority w:val="0"/>
    <w:pPr>
      <w:tabs>
        <w:tab w:val="right" w:leader="dot" w:pos="8296"/>
      </w:tabs>
      <w:ind w:left="420" w:leftChars="200"/>
    </w:pPr>
  </w:style>
  <w:style w:type="paragraph" w:styleId="19">
    <w:name w:val="Title"/>
    <w:basedOn w:val="1"/>
    <w:next w:val="1"/>
    <w:qFormat/>
    <w:uiPriority w:val="10"/>
    <w:pPr>
      <w:spacing w:before="240" w:after="60"/>
      <w:jc w:val="center"/>
      <w:outlineLvl w:val="0"/>
    </w:pPr>
    <w:rPr>
      <w:rFonts w:ascii="Cambria" w:hAnsi="Cambria"/>
      <w:b/>
      <w:bCs/>
      <w:sz w:val="32"/>
      <w:szCs w:val="32"/>
    </w:rPr>
  </w:style>
  <w:style w:type="character" w:styleId="22">
    <w:name w:val="Strong"/>
    <w:basedOn w:val="21"/>
    <w:qFormat/>
    <w:uiPriority w:val="0"/>
    <w:rPr>
      <w:b/>
      <w:bCs/>
    </w:rPr>
  </w:style>
  <w:style w:type="character" w:styleId="23">
    <w:name w:val="FollowedHyperlink"/>
    <w:basedOn w:val="21"/>
    <w:qFormat/>
    <w:uiPriority w:val="0"/>
    <w:rPr>
      <w:color w:val="4D7AD8"/>
      <w:u w:val="none"/>
    </w:rPr>
  </w:style>
  <w:style w:type="character" w:styleId="24">
    <w:name w:val="HTML Definition"/>
    <w:basedOn w:val="21"/>
    <w:qFormat/>
    <w:uiPriority w:val="0"/>
    <w:rPr>
      <w:i/>
      <w:iCs/>
    </w:rPr>
  </w:style>
  <w:style w:type="character" w:styleId="25">
    <w:name w:val="Hyperlink"/>
    <w:qFormat/>
    <w:uiPriority w:val="0"/>
    <w:rPr>
      <w:color w:val="0000FF"/>
      <w:u w:val="single"/>
    </w:rPr>
  </w:style>
  <w:style w:type="character" w:styleId="26">
    <w:name w:val="HTML Code"/>
    <w:basedOn w:val="21"/>
    <w:qFormat/>
    <w:uiPriority w:val="0"/>
    <w:rPr>
      <w:rFonts w:hint="default" w:ascii="Consolas" w:hAnsi="Consolas" w:eastAsia="Consolas" w:cs="Consolas"/>
      <w:sz w:val="21"/>
      <w:szCs w:val="21"/>
    </w:rPr>
  </w:style>
  <w:style w:type="character" w:styleId="27">
    <w:name w:val="HTML Keyboard"/>
    <w:basedOn w:val="21"/>
    <w:qFormat/>
    <w:uiPriority w:val="0"/>
    <w:rPr>
      <w:rFonts w:hint="default" w:ascii="Consolas" w:hAnsi="Consolas" w:eastAsia="Consolas" w:cs="Consolas"/>
      <w:sz w:val="21"/>
      <w:szCs w:val="21"/>
    </w:rPr>
  </w:style>
  <w:style w:type="character" w:styleId="28">
    <w:name w:val="HTML Sample"/>
    <w:basedOn w:val="21"/>
    <w:qFormat/>
    <w:uiPriority w:val="0"/>
    <w:rPr>
      <w:rFonts w:ascii="Consolas" w:hAnsi="Consolas" w:eastAsia="Consolas" w:cs="Consolas"/>
      <w:sz w:val="21"/>
      <w:szCs w:val="21"/>
    </w:rPr>
  </w:style>
  <w:style w:type="paragraph" w:customStyle="1" w:styleId="29">
    <w:name w:val="Default"/>
    <w:basedOn w:val="19"/>
    <w:qFormat/>
    <w:uiPriority w:val="0"/>
    <w:pPr>
      <w:autoSpaceDE w:val="0"/>
      <w:autoSpaceDN w:val="0"/>
      <w:adjustRightInd w:val="0"/>
    </w:pPr>
    <w:rPr>
      <w:rFonts w:ascii="宋体" w:hAnsi="Times New Roman" w:cs="宋体"/>
      <w:color w:val="000000"/>
      <w:sz w:val="24"/>
      <w:szCs w:val="24"/>
    </w:rPr>
  </w:style>
  <w:style w:type="paragraph" w:styleId="30">
    <w:name w:val="List Paragraph"/>
    <w:basedOn w:val="1"/>
    <w:qFormat/>
    <w:uiPriority w:val="34"/>
    <w:pPr>
      <w:ind w:firstLine="420" w:firstLineChars="200"/>
    </w:pPr>
  </w:style>
  <w:style w:type="paragraph" w:customStyle="1" w:styleId="31">
    <w:name w:val="无间隔1"/>
    <w:qFormat/>
    <w:uiPriority w:val="1"/>
    <w:pPr>
      <w:widowControl w:val="0"/>
      <w:jc w:val="center"/>
    </w:pPr>
    <w:rPr>
      <w:rFonts w:ascii="Times New Roman" w:hAnsi="Times New Roman" w:eastAsia="宋体" w:cs="Times New Roman"/>
      <w:kern w:val="2"/>
      <w:sz w:val="21"/>
      <w:szCs w:val="22"/>
      <w:lang w:val="en-US" w:eastAsia="zh-CN" w:bidi="ar-SA"/>
    </w:rPr>
  </w:style>
  <w:style w:type="paragraph" w:customStyle="1" w:styleId="32">
    <w:name w:val="修订1"/>
    <w:hidden/>
    <w:unhideWhenUsed/>
    <w:qFormat/>
    <w:uiPriority w:val="99"/>
    <w:rPr>
      <w:rFonts w:ascii="Times New Roman" w:hAnsi="Times New Roman" w:eastAsia="宋体" w:cs="Times New Roman"/>
      <w:kern w:val="2"/>
      <w:sz w:val="21"/>
      <w:szCs w:val="24"/>
      <w:lang w:val="en-US" w:eastAsia="zh-CN" w:bidi="ar-SA"/>
    </w:rPr>
  </w:style>
  <w:style w:type="paragraph" w:customStyle="1" w:styleId="33">
    <w:name w:val="Revision"/>
    <w:hidden/>
    <w:unhideWhenUsed/>
    <w:qFormat/>
    <w:uiPriority w:val="99"/>
    <w:rPr>
      <w:rFonts w:ascii="Times New Roman" w:hAnsi="Times New Roman" w:eastAsia="宋体" w:cs="Times New Roman"/>
      <w:kern w:val="2"/>
      <w:sz w:val="21"/>
      <w:szCs w:val="24"/>
      <w:lang w:val="en-US" w:eastAsia="zh-CN" w:bidi="ar-SA"/>
    </w:rPr>
  </w:style>
  <w:style w:type="character" w:customStyle="1" w:styleId="34">
    <w:name w:val="font21"/>
    <w:basedOn w:val="21"/>
    <w:qFormat/>
    <w:uiPriority w:val="0"/>
    <w:rPr>
      <w:rFonts w:ascii="宋体" w:hAnsi="宋体" w:eastAsia="宋体" w:cs="宋体"/>
      <w:color w:val="000000"/>
      <w:sz w:val="22"/>
      <w:szCs w:val="22"/>
      <w:u w:val="none"/>
    </w:rPr>
  </w:style>
  <w:style w:type="character" w:customStyle="1" w:styleId="35">
    <w:name w:val="font01"/>
    <w:basedOn w:val="21"/>
    <w:qFormat/>
    <w:uiPriority w:val="0"/>
    <w:rPr>
      <w:rFonts w:hint="eastAsia" w:ascii="宋体" w:hAnsi="宋体" w:eastAsia="宋体" w:cs="宋体"/>
      <w:color w:val="000000"/>
      <w:sz w:val="22"/>
      <w:szCs w:val="22"/>
      <w:u w:val="none"/>
    </w:rPr>
  </w:style>
  <w:style w:type="paragraph" w:customStyle="1" w:styleId="36">
    <w:name w:val="标准文本"/>
    <w:basedOn w:val="1"/>
    <w:autoRedefine/>
    <w:qFormat/>
    <w:uiPriority w:val="0"/>
    <w:pPr>
      <w:autoSpaceDE w:val="0"/>
      <w:autoSpaceDN w:val="0"/>
      <w:spacing w:line="360" w:lineRule="auto"/>
      <w:ind w:firstLine="480" w:firstLineChars="200"/>
    </w:pPr>
    <w:rPr>
      <w:kern w:val="0"/>
      <w:sz w:val="20"/>
      <w:szCs w:val="20"/>
    </w:rPr>
  </w:style>
  <w:style w:type="character" w:customStyle="1" w:styleId="37">
    <w:name w:val="ant-tree-iconele"/>
    <w:basedOn w:val="21"/>
    <w:qFormat/>
    <w:uiPriority w:val="0"/>
  </w:style>
  <w:style w:type="character" w:customStyle="1" w:styleId="38">
    <w:name w:val="first-child2"/>
    <w:basedOn w:val="21"/>
    <w:qFormat/>
    <w:uiPriority w:val="0"/>
  </w:style>
  <w:style w:type="character" w:customStyle="1" w:styleId="39">
    <w:name w:val="first-child3"/>
    <w:basedOn w:val="21"/>
    <w:qFormat/>
    <w:uiPriority w:val="0"/>
    <w:rPr>
      <w:color w:val="999999"/>
      <w:sz w:val="33"/>
      <w:szCs w:val="33"/>
    </w:rPr>
  </w:style>
  <w:style w:type="character" w:customStyle="1" w:styleId="40">
    <w:name w:val="first-child4"/>
    <w:basedOn w:val="21"/>
    <w:qFormat/>
    <w:uiPriority w:val="0"/>
  </w:style>
  <w:style w:type="character" w:customStyle="1" w:styleId="41">
    <w:name w:val="current-node"/>
    <w:basedOn w:val="21"/>
    <w:qFormat/>
    <w:uiPriority w:val="0"/>
    <w:rPr>
      <w:color w:val="DC4446"/>
      <w:bdr w:val="single" w:color="F5B87B" w:sz="6" w:space="0"/>
      <w:shd w:val="clear" w:fill="FFE8CC"/>
    </w:rPr>
  </w:style>
  <w:style w:type="character" w:customStyle="1" w:styleId="42">
    <w:name w:val="ant-select-tree-switcher"/>
    <w:basedOn w:val="21"/>
    <w:qFormat/>
    <w:uiPriority w:val="0"/>
  </w:style>
  <w:style w:type="character" w:customStyle="1" w:styleId="43">
    <w:name w:val="cke_dialog_ui_button"/>
    <w:basedOn w:val="21"/>
    <w:qFormat/>
    <w:uiPriority w:val="0"/>
  </w:style>
  <w:style w:type="character" w:customStyle="1" w:styleId="44">
    <w:name w:val="isrevision"/>
    <w:basedOn w:val="21"/>
    <w:qFormat/>
    <w:uiPriority w:val="0"/>
    <w:rPr>
      <w:color w:val="000000"/>
      <w:sz w:val="18"/>
      <w:szCs w:val="18"/>
      <w:bdr w:val="single" w:color="E9E9E9" w:sz="6" w:space="0"/>
      <w:shd w:val="clear" w:fill="FFFFFF"/>
    </w:rPr>
  </w:style>
  <w:style w:type="character" w:customStyle="1" w:styleId="45">
    <w:name w:val="ant-tree-checkbox"/>
    <w:basedOn w:val="21"/>
    <w:qFormat/>
    <w:uiPriority w:val="0"/>
  </w:style>
  <w:style w:type="character" w:customStyle="1" w:styleId="46">
    <w:name w:val="ant-radio+*"/>
    <w:basedOn w:val="21"/>
    <w:qFormat/>
    <w:uiPriority w:val="0"/>
  </w:style>
  <w:style w:type="character" w:customStyle="1" w:styleId="47">
    <w:name w:val="disabled"/>
    <w:basedOn w:val="21"/>
    <w:qFormat/>
    <w:uiPriority w:val="0"/>
    <w:rPr>
      <w:color w:val="AAAAAA"/>
      <w:shd w:val="clear" w:fill="F7F7F7"/>
    </w:rPr>
  </w:style>
  <w:style w:type="character" w:customStyle="1" w:styleId="48">
    <w:name w:val="ant-tree-switcher"/>
    <w:basedOn w:val="21"/>
    <w:qFormat/>
    <w:uiPriority w:val="0"/>
  </w:style>
  <w:style w:type="character" w:customStyle="1" w:styleId="49">
    <w:name w:val="button"/>
    <w:basedOn w:val="21"/>
    <w:qFormat/>
    <w:uiPriority w:val="0"/>
  </w:style>
  <w:style w:type="character" w:customStyle="1" w:styleId="50">
    <w:name w:val="button1"/>
    <w:basedOn w:val="21"/>
    <w:qFormat/>
    <w:uiPriority w:val="0"/>
  </w:style>
  <w:style w:type="character" w:customStyle="1" w:styleId="51">
    <w:name w:val="passed-node"/>
    <w:basedOn w:val="21"/>
    <w:qFormat/>
    <w:uiPriority w:val="0"/>
    <w:rPr>
      <w:bdr w:val="single" w:color="49A8D4" w:sz="6" w:space="0"/>
      <w:shd w:val="clear" w:fill="A9E3FF"/>
    </w:rPr>
  </w:style>
  <w:style w:type="character" w:customStyle="1" w:styleId="52">
    <w:name w:val="ant-select-tree-iconele"/>
    <w:basedOn w:val="21"/>
    <w:qFormat/>
    <w:uiPriority w:val="0"/>
  </w:style>
  <w:style w:type="character" w:customStyle="1" w:styleId="53">
    <w:name w:val="ant-select-tree-checkbox2"/>
    <w:basedOn w:val="21"/>
    <w:qFormat/>
    <w:uiPriority w:val="0"/>
  </w:style>
  <w:style w:type="character" w:customStyle="1" w:styleId="54">
    <w:name w:val="top-label"/>
    <w:basedOn w:val="21"/>
    <w:qFormat/>
    <w:uiPriority w:val="0"/>
  </w:style>
  <w:style w:type="character" w:customStyle="1" w:styleId="55">
    <w:name w:val="cke_colorbox1"/>
    <w:basedOn w:val="21"/>
    <w:qFormat/>
    <w:uiPriority w:val="0"/>
  </w:style>
  <w:style w:type="character" w:customStyle="1" w:styleId="56">
    <w:name w:val="cke_colorbox2"/>
    <w:basedOn w:val="21"/>
    <w:qFormat/>
    <w:uiPriority w:val="0"/>
  </w:style>
  <w:style w:type="character" w:customStyle="1" w:styleId="57">
    <w:name w:val="cke_colorbox3"/>
    <w:basedOn w:val="21"/>
    <w:qFormat/>
    <w:uiPriority w:val="0"/>
    <w:rPr>
      <w:bdr w:val="single" w:color="808080" w:sz="6" w:space="0"/>
    </w:rPr>
  </w:style>
  <w:style w:type="character" w:customStyle="1" w:styleId="58">
    <w:name w:val="cke_colorbox4"/>
    <w:basedOn w:val="21"/>
    <w:qFormat/>
    <w:uiPriority w:val="0"/>
  </w:style>
  <w:style w:type="character" w:customStyle="1" w:styleId="59">
    <w:name w:val="wea-dropdown-triangle"/>
    <w:basedOn w:val="21"/>
    <w:qFormat/>
    <w:uiPriority w:val="0"/>
  </w:style>
  <w:style w:type="character" w:customStyle="1" w:styleId="60">
    <w:name w:val="last-child1"/>
    <w:basedOn w:val="21"/>
    <w:qFormat/>
    <w:uiPriority w:val="0"/>
  </w:style>
  <w:style w:type="character" w:customStyle="1" w:styleId="61">
    <w:name w:val="first-of-type"/>
    <w:basedOn w:val="21"/>
    <w:qFormat/>
    <w:uiPriority w:val="0"/>
    <w:rPr>
      <w:color w:val="FF0000"/>
    </w:rPr>
  </w:style>
  <w:style w:type="character" w:customStyle="1" w:styleId="62">
    <w:name w:val="first-of-type1"/>
    <w:basedOn w:val="21"/>
    <w:qFormat/>
    <w:uiPriority w:val="0"/>
    <w:rPr>
      <w:color w:val="FF0000"/>
    </w:rPr>
  </w:style>
  <w:style w:type="character" w:customStyle="1" w:styleId="63">
    <w:name w:val="first-of-type2"/>
    <w:basedOn w:val="21"/>
    <w:qFormat/>
    <w:uiPriority w:val="0"/>
    <w:rPr>
      <w:color w:val="FF0000"/>
    </w:rPr>
  </w:style>
  <w:style w:type="character" w:customStyle="1" w:styleId="64">
    <w:name w:val="hover43"/>
    <w:basedOn w:val="21"/>
    <w:qFormat/>
    <w:uiPriority w:val="0"/>
    <w:rPr>
      <w:color w:val="009DFF"/>
    </w:rPr>
  </w:style>
  <w:style w:type="character" w:customStyle="1" w:styleId="65">
    <w:name w:val="hover44"/>
    <w:basedOn w:val="21"/>
    <w:qFormat/>
    <w:uiPriority w:val="0"/>
    <w:rPr>
      <w:color w:val="009DFF"/>
    </w:rPr>
  </w:style>
  <w:style w:type="character" w:customStyle="1" w:styleId="66">
    <w:name w:val="not-pass-node"/>
    <w:basedOn w:val="21"/>
    <w:qFormat/>
    <w:uiPriority w:val="0"/>
    <w:rPr>
      <w:bdr w:val="single" w:color="5ABD6B" w:sz="6" w:space="0"/>
      <w:shd w:val="clear" w:fill="BFF3C3"/>
    </w:rPr>
  </w:style>
  <w:style w:type="character" w:customStyle="1" w:styleId="67">
    <w:name w:val="auto-pass-node"/>
    <w:basedOn w:val="21"/>
    <w:qFormat/>
    <w:uiPriority w:val="0"/>
    <w:rPr>
      <w:bdr w:val="single" w:color="DC4446" w:sz="6" w:space="0"/>
      <w:shd w:val="clear" w:fill="A9E2FF"/>
    </w:rPr>
  </w:style>
  <w:style w:type="character" w:customStyle="1" w:styleId="68">
    <w:name w:val="label16"/>
    <w:basedOn w:val="21"/>
    <w:qFormat/>
    <w:uiPriority w:val="0"/>
  </w:style>
  <w:style w:type="character" w:customStyle="1" w:styleId="69">
    <w:name w:val="label17"/>
    <w:basedOn w:val="21"/>
    <w:qFormat/>
    <w:uiPriority w:val="0"/>
  </w:style>
  <w:style w:type="character" w:customStyle="1" w:styleId="70">
    <w:name w:val="wea-thumbnails-doc-content-subtitle"/>
    <w:basedOn w:val="21"/>
    <w:qFormat/>
    <w:uiPriority w:val="0"/>
    <w:rPr>
      <w:color w:val="9A9A9A"/>
    </w:rPr>
  </w:style>
  <w:style w:type="character" w:customStyle="1" w:styleId="71">
    <w:name w:val="ant-table-row-expand-icon4"/>
    <w:basedOn w:val="21"/>
    <w:qFormat/>
    <w:uiPriority w:val="0"/>
    <w:rPr>
      <w:vanish/>
    </w:rPr>
  </w:style>
  <w:style w:type="character" w:customStyle="1" w:styleId="72">
    <w:name w:val="nth-child(2)2"/>
    <w:basedOn w:val="21"/>
    <w:qFormat/>
    <w:uiPriority w:val="0"/>
  </w:style>
  <w:style w:type="character" w:customStyle="1" w:styleId="73">
    <w:name w:val="tmpztreemove_arrow"/>
    <w:basedOn w:val="21"/>
    <w:qFormat/>
    <w:uiPriority w:val="0"/>
  </w:style>
  <w:style w:type="character" w:customStyle="1" w:styleId="74">
    <w:name w:val="cke_path_empty2"/>
    <w:basedOn w:val="21"/>
    <w:qFormat/>
    <w:uiPriority w:val="0"/>
    <w:rPr>
      <w:b/>
      <w:bCs/>
      <w:color w:val="484848"/>
      <w:sz w:val="16"/>
      <w:szCs w:val="16"/>
      <w:u w:val="none"/>
    </w:rPr>
  </w:style>
  <w:style w:type="character" w:customStyle="1" w:styleId="75">
    <w:name w:val="cke_notification_progress"/>
    <w:basedOn w:val="21"/>
    <w:qFormat/>
    <w:uiPriority w:val="0"/>
    <w:rPr>
      <w:shd w:val="clear" w:fill="0F74A8"/>
    </w:rPr>
  </w:style>
  <w:style w:type="character" w:customStyle="1" w:styleId="76">
    <w:name w:val="ant-table-row-expand-icon3"/>
    <w:basedOn w:val="21"/>
    <w:qFormat/>
    <w:uiPriority w:val="0"/>
    <w:rPr>
      <w:vanish/>
    </w:rPr>
  </w:style>
  <w:style w:type="character" w:customStyle="1" w:styleId="77">
    <w:name w:val="last-child"/>
    <w:basedOn w:val="21"/>
    <w:qFormat/>
    <w:uiPriority w:val="0"/>
  </w:style>
  <w:style w:type="character" w:customStyle="1" w:styleId="78">
    <w:name w:val="hover40"/>
    <w:basedOn w:val="21"/>
    <w:qFormat/>
    <w:uiPriority w:val="0"/>
    <w:rPr>
      <w:color w:val="009DFF"/>
    </w:rPr>
  </w:style>
  <w:style w:type="character" w:customStyle="1" w:styleId="79">
    <w:name w:val="hover41"/>
    <w:basedOn w:val="21"/>
    <w:qFormat/>
    <w:uiPriority w:val="0"/>
    <w:rPr>
      <w:color w:val="009DFF"/>
    </w:rPr>
  </w:style>
  <w:style w:type="character" w:customStyle="1" w:styleId="80">
    <w:name w:val="ant-select-tree-checkbox"/>
    <w:basedOn w:val="21"/>
    <w:qFormat/>
    <w:uiPriority w:val="0"/>
  </w:style>
  <w:style w:type="character" w:customStyle="1" w:styleId="81">
    <w:name w:val="label"/>
    <w:basedOn w:val="21"/>
    <w:qFormat/>
    <w:uiPriority w:val="0"/>
  </w:style>
  <w:style w:type="character" w:customStyle="1" w:styleId="82">
    <w:name w:val="label1"/>
    <w:basedOn w:val="21"/>
    <w:qFormat/>
    <w:uiPriority w:val="0"/>
  </w:style>
  <w:style w:type="character" w:customStyle="1" w:styleId="83">
    <w:name w:val="ant-tree-switcher16"/>
    <w:basedOn w:val="21"/>
    <w:qFormat/>
    <w:uiPriority w:val="0"/>
  </w:style>
  <w:style w:type="character" w:customStyle="1" w:styleId="84">
    <w:name w:val="first-child"/>
    <w:basedOn w:val="21"/>
    <w:qFormat/>
    <w:uiPriority w:val="0"/>
    <w:rPr>
      <w:color w:val="999999"/>
      <w:sz w:val="33"/>
      <w:szCs w:val="33"/>
    </w:rPr>
  </w:style>
  <w:style w:type="character" w:customStyle="1" w:styleId="85">
    <w:name w:val="first-child1"/>
    <w:basedOn w:val="21"/>
    <w:qFormat/>
    <w:uiPriority w:val="0"/>
  </w:style>
  <w:style w:type="character" w:customStyle="1" w:styleId="86">
    <w:name w:val="cke_colorbox"/>
    <w:basedOn w:val="21"/>
    <w:qFormat/>
    <w:uiPriority w:val="0"/>
  </w:style>
  <w:style w:type="character" w:customStyle="1" w:styleId="87">
    <w:name w:val="disabled4"/>
    <w:basedOn w:val="21"/>
    <w:qFormat/>
    <w:uiPriority w:val="0"/>
    <w:rPr>
      <w:color w:val="AAAAAA"/>
      <w:shd w:val="clear" w:fill="F7F7F7"/>
    </w:rPr>
  </w:style>
  <w:style w:type="character" w:customStyle="1" w:styleId="88">
    <w:name w:val="wea-dropdown-triangle2"/>
    <w:basedOn w:val="21"/>
    <w:qFormat/>
    <w:uiPriority w:val="0"/>
  </w:style>
  <w:style w:type="character" w:customStyle="1" w:styleId="89">
    <w:name w:val="cke_dialog_ui_button2"/>
    <w:basedOn w:val="21"/>
    <w:qFormat/>
    <w:uiPriority w:val="0"/>
  </w:style>
  <w:style w:type="character" w:customStyle="1" w:styleId="90">
    <w:name w:val="nth-child(2)"/>
    <w:basedOn w:val="21"/>
    <w:qFormat/>
    <w:uiPriority w:val="0"/>
  </w:style>
  <w:style w:type="character" w:customStyle="1" w:styleId="91">
    <w:name w:val="ant-tree-checkbox8"/>
    <w:basedOn w:val="21"/>
    <w:qFormat/>
    <w:uiPriority w:val="0"/>
  </w:style>
  <w:style w:type="character" w:customStyle="1" w:styleId="92">
    <w:name w:val="disabled3"/>
    <w:basedOn w:val="21"/>
    <w:qFormat/>
    <w:uiPriority w:val="0"/>
    <w:rPr>
      <w:color w:val="AAAAAA"/>
      <w:shd w:val="clear" w:fill="F7F7F7"/>
    </w:rPr>
  </w:style>
  <w:style w:type="character" w:customStyle="1" w:styleId="93">
    <w:name w:val="ant-table-row-expand-icon"/>
    <w:basedOn w:val="21"/>
    <w:qFormat/>
    <w:uiPriority w:val="0"/>
    <w:rPr>
      <w:vanish/>
    </w:rPr>
  </w:style>
  <w:style w:type="character" w:customStyle="1" w:styleId="94">
    <w:name w:val="hover42"/>
    <w:basedOn w:val="21"/>
    <w:qFormat/>
    <w:uiPriority w:val="0"/>
    <w:rPr>
      <w:color w:val="009DFF"/>
    </w:rPr>
  </w:style>
  <w:style w:type="character" w:customStyle="1" w:styleId="95">
    <w:name w:val="cke_dialog_ui_button1"/>
    <w:basedOn w:val="21"/>
    <w:qFormat/>
    <w:uiPriority w:val="0"/>
  </w:style>
  <w:style w:type="character" w:customStyle="1" w:styleId="96">
    <w:name w:val="hover38"/>
    <w:basedOn w:val="21"/>
    <w:qFormat/>
    <w:uiPriority w:val="0"/>
    <w:rPr>
      <w:color w:val="009DFF"/>
    </w:rPr>
  </w:style>
  <w:style w:type="character" w:customStyle="1" w:styleId="97">
    <w:name w:val="hover39"/>
    <w:basedOn w:val="21"/>
    <w:qFormat/>
    <w:uiPriority w:val="0"/>
    <w:rPr>
      <w:color w:val="009DFF"/>
    </w:rPr>
  </w:style>
  <w:style w:type="character" w:customStyle="1" w:styleId="98">
    <w:name w:val="cke_path_empty"/>
    <w:basedOn w:val="21"/>
    <w:qFormat/>
    <w:uiPriority w:val="0"/>
    <w:rPr>
      <w:b/>
      <w:bCs/>
      <w:color w:val="484848"/>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header" Target="header3.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72</Pages>
  <Words>4454</Words>
  <Characters>4943</Characters>
  <Lines>336</Lines>
  <Paragraphs>94</Paragraphs>
  <TotalTime>14</TotalTime>
  <ScaleCrop>false</ScaleCrop>
  <LinksUpToDate>false</LinksUpToDate>
  <CharactersWithSpaces>5057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2026-03-18T02:26:00Z</dcterms:created>
  <dc:creator>Administrator</dc:creator>
  <cp:lastModifiedBy>杨小凤</cp:lastModifiedBy>
  <cp:lastPrinted>2026-06-02T10:11:06Z</cp:lastPrinted>
  <dcterms:modified xsi:type="dcterms:W3CDTF">2026-06-02T10:17:58Z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EBAAE568332545309211C0012771AB77_13</vt:lpwstr>
  </property>
  <property fmtid="{D5CDD505-2E9C-101B-9397-08002B2CF9AE}" pid="4" name="KSOTemplateDocerSaveRecord">
    <vt:lpwstr>eyJoZGlkIjoiN2I2NjQzMGNjMGQ0M2Y1MjBlN2RkYzg1YzM2MGY3MjgiLCJ1c2VySWQiOiI0NTg3OTEzMDMifQ==</vt:lpwstr>
  </property>
</Properties>
</file>