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5CAB1F">
      <w:pPr>
        <w:pStyle w:val="11"/>
        <w:rPr>
          <w:rFonts w:hAnsi="宋体" w:cs="宋体"/>
          <w:b/>
          <w:bCs/>
          <w:color w:val="auto"/>
          <w:spacing w:val="80"/>
          <w:sz w:val="48"/>
          <w:szCs w:val="48"/>
          <w:highlight w:val="none"/>
        </w:rPr>
      </w:pPr>
    </w:p>
    <w:p w14:paraId="5D9DAC42">
      <w:pPr>
        <w:spacing w:line="600" w:lineRule="exact"/>
        <w:jc w:val="center"/>
        <w:rPr>
          <w:rFonts w:ascii="宋体" w:hAnsi="宋体" w:cs="宋体"/>
          <w:color w:val="auto"/>
          <w:sz w:val="52"/>
          <w:szCs w:val="52"/>
          <w:highlight w:val="none"/>
        </w:rPr>
      </w:pPr>
      <w:r>
        <w:rPr>
          <w:rFonts w:hint="eastAsia" w:ascii="宋体" w:hAnsi="宋体" w:cs="宋体"/>
          <w:b/>
          <w:bCs/>
          <w:color w:val="auto"/>
          <w:spacing w:val="80"/>
          <w:sz w:val="52"/>
          <w:szCs w:val="52"/>
          <w:highlight w:val="none"/>
        </w:rPr>
        <w:t>广西鼎策工程顾问有限责任公司</w:t>
      </w:r>
      <w:r>
        <w:rPr>
          <w:rFonts w:hint="eastAsia" w:ascii="宋体" w:hAnsi="宋体" w:cs="宋体"/>
          <w:b/>
          <w:bCs/>
          <w:color w:val="auto"/>
          <w:spacing w:val="80"/>
          <w:sz w:val="56"/>
          <w:szCs w:val="56"/>
          <w:highlight w:val="none"/>
        </w:rPr>
        <w:cr/>
      </w:r>
    </w:p>
    <w:p w14:paraId="6FCB4B05">
      <w:pPr>
        <w:jc w:val="center"/>
        <w:rPr>
          <w:color w:val="auto"/>
          <w:highlight w:val="none"/>
        </w:rPr>
      </w:pPr>
      <w:r>
        <w:rPr>
          <w:color w:val="auto"/>
          <w:highlight w:val="none"/>
        </w:rPr>
        <w:drawing>
          <wp:inline distT="0" distB="0" distL="114300" distR="114300">
            <wp:extent cx="1410335" cy="1693545"/>
            <wp:effectExtent l="0" t="0" r="18415" b="1905"/>
            <wp:docPr id="2" name="图片 1" descr="wps_clip_image-3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ps_clip_image-31599"/>
                    <pic:cNvPicPr>
                      <a:picLocks noChangeAspect="1"/>
                    </pic:cNvPicPr>
                  </pic:nvPicPr>
                  <pic:blipFill>
                    <a:blip r:embed="rId15" cstate="print"/>
                    <a:stretch>
                      <a:fillRect/>
                    </a:stretch>
                  </pic:blipFill>
                  <pic:spPr>
                    <a:xfrm>
                      <a:off x="0" y="0"/>
                      <a:ext cx="1410335" cy="1693545"/>
                    </a:xfrm>
                    <a:prstGeom prst="rect">
                      <a:avLst/>
                    </a:prstGeom>
                    <a:noFill/>
                    <a:ln>
                      <a:noFill/>
                    </a:ln>
                  </pic:spPr>
                </pic:pic>
              </a:graphicData>
            </a:graphic>
          </wp:inline>
        </w:drawing>
      </w:r>
    </w:p>
    <w:p w14:paraId="21BD5720">
      <w:pPr>
        <w:pStyle w:val="2"/>
        <w:rPr>
          <w:color w:val="auto"/>
          <w:highlight w:val="none"/>
        </w:rPr>
      </w:pPr>
    </w:p>
    <w:p w14:paraId="12D5D69E">
      <w:pPr>
        <w:spacing w:line="720" w:lineRule="exact"/>
        <w:ind w:firstLine="3840" w:firstLineChars="800"/>
        <w:rPr>
          <w:rFonts w:ascii="宋体" w:hAnsi="宋体" w:cs="宋体"/>
          <w:b/>
          <w:color w:val="auto"/>
          <w:sz w:val="48"/>
          <w:szCs w:val="48"/>
          <w:highlight w:val="none"/>
        </w:rPr>
      </w:pPr>
    </w:p>
    <w:p w14:paraId="636E1CE0">
      <w:pPr>
        <w:spacing w:line="720" w:lineRule="exact"/>
        <w:jc w:val="center"/>
        <w:rPr>
          <w:rFonts w:ascii="宋体" w:hAnsi="宋体" w:cs="宋体"/>
          <w:b/>
          <w:color w:val="auto"/>
          <w:sz w:val="48"/>
          <w:szCs w:val="48"/>
          <w:highlight w:val="none"/>
        </w:rPr>
      </w:pPr>
      <w:r>
        <w:rPr>
          <w:rFonts w:hint="eastAsia" w:ascii="宋体" w:hAnsi="宋体" w:cs="宋体"/>
          <w:b/>
          <w:color w:val="auto"/>
          <w:sz w:val="48"/>
          <w:szCs w:val="48"/>
          <w:highlight w:val="none"/>
        </w:rPr>
        <w:t>招标文件</w:t>
      </w:r>
    </w:p>
    <w:p w14:paraId="1D4DA687">
      <w:pPr>
        <w:rPr>
          <w:rFonts w:ascii="宋体" w:hAnsi="宋体" w:cs="宋体"/>
          <w:b/>
          <w:color w:val="auto"/>
          <w:sz w:val="84"/>
          <w:szCs w:val="84"/>
          <w:highlight w:val="none"/>
        </w:rPr>
      </w:pPr>
      <w:r>
        <w:rPr>
          <w:rFonts w:hint="eastAsia" w:ascii="宋体" w:hAnsi="宋体" w:cs="宋体"/>
          <w:b/>
          <w:color w:val="auto"/>
          <w:sz w:val="84"/>
          <w:szCs w:val="84"/>
          <w:highlight w:val="none"/>
        </w:rPr>
        <w:cr/>
      </w:r>
    </w:p>
    <w:p w14:paraId="444B4F2E">
      <w:pPr>
        <w:ind w:left="840" w:firstLine="420"/>
        <w:jc w:val="left"/>
        <w:rPr>
          <w:rFonts w:hint="eastAsia" w:ascii="宋体" w:hAnsi="宋体" w:cs="宋体"/>
          <w:b/>
          <w:bCs/>
          <w:color w:val="auto"/>
          <w:sz w:val="32"/>
          <w:highlight w:val="none"/>
          <w:lang w:eastAsia="zh-CN"/>
        </w:rPr>
      </w:pPr>
      <w:r>
        <w:rPr>
          <w:rFonts w:hint="eastAsia" w:ascii="宋体" w:hAnsi="宋体" w:cs="宋体"/>
          <w:b/>
          <w:bCs/>
          <w:color w:val="auto"/>
          <w:sz w:val="32"/>
          <w:highlight w:val="none"/>
        </w:rPr>
        <w:t>项目名称：</w:t>
      </w:r>
      <w:r>
        <w:rPr>
          <w:rFonts w:hint="eastAsia" w:ascii="宋体" w:hAnsi="宋体" w:cs="宋体"/>
          <w:b/>
          <w:bCs/>
          <w:color w:val="auto"/>
          <w:sz w:val="32"/>
          <w:highlight w:val="none"/>
          <w:lang w:eastAsia="zh-CN"/>
        </w:rPr>
        <w:t>血液透析机等设备采购</w:t>
      </w:r>
    </w:p>
    <w:p w14:paraId="67DB6B32">
      <w:pPr>
        <w:ind w:left="840" w:firstLine="420"/>
        <w:jc w:val="left"/>
        <w:rPr>
          <w:rFonts w:ascii="宋体" w:hAnsi="宋体" w:cs="宋体"/>
          <w:b/>
          <w:bCs/>
          <w:color w:val="auto"/>
          <w:sz w:val="32"/>
          <w:highlight w:val="none"/>
        </w:rPr>
      </w:pPr>
      <w:r>
        <w:rPr>
          <w:rFonts w:hint="eastAsia" w:ascii="宋体" w:hAnsi="宋体" w:cs="宋体"/>
          <w:b/>
          <w:bCs/>
          <w:color w:val="auto"/>
          <w:sz w:val="32"/>
          <w:highlight w:val="none"/>
          <w:lang w:eastAsia="zh-CN"/>
        </w:rPr>
        <w:t>项目编号：</w:t>
      </w:r>
      <w:r>
        <w:rPr>
          <w:rFonts w:hint="eastAsia" w:ascii="宋体" w:hAnsi="宋体" w:cs="宋体"/>
          <w:b/>
          <w:bCs/>
          <w:color w:val="auto"/>
          <w:sz w:val="32"/>
          <w:highlight w:val="none"/>
          <w:lang w:val="en-US" w:eastAsia="zh-CN"/>
        </w:rPr>
        <w:t xml:space="preserve"> GLZC2026-G1-990159-GXDC</w:t>
      </w:r>
      <w:r>
        <w:rPr>
          <w:rFonts w:hint="eastAsia" w:ascii="宋体" w:hAnsi="宋体" w:cs="宋体"/>
          <w:b/>
          <w:bCs/>
          <w:color w:val="auto"/>
          <w:sz w:val="32"/>
          <w:highlight w:val="none"/>
          <w:lang w:eastAsia="zh-CN"/>
        </w:rPr>
        <w:t xml:space="preserve"> </w:t>
      </w:r>
      <w:r>
        <w:rPr>
          <w:rFonts w:hint="eastAsia" w:ascii="宋体" w:hAnsi="宋体" w:cs="宋体"/>
          <w:b/>
          <w:bCs/>
          <w:color w:val="auto"/>
          <w:sz w:val="32"/>
          <w:highlight w:val="none"/>
        </w:rPr>
        <w:t xml:space="preserve"> </w:t>
      </w:r>
    </w:p>
    <w:p w14:paraId="742E81C2">
      <w:pPr>
        <w:ind w:firstLine="420"/>
        <w:jc w:val="left"/>
        <w:rPr>
          <w:rFonts w:ascii="宋体" w:hAnsi="宋体" w:cs="宋体"/>
          <w:color w:val="auto"/>
          <w:highlight w:val="none"/>
        </w:rPr>
      </w:pPr>
    </w:p>
    <w:p w14:paraId="552EEA96">
      <w:pPr>
        <w:ind w:left="840" w:firstLine="420"/>
        <w:jc w:val="left"/>
        <w:rPr>
          <w:rFonts w:ascii="宋体" w:hAnsi="宋体" w:cs="宋体"/>
          <w:b/>
          <w:bCs/>
          <w:color w:val="auto"/>
          <w:sz w:val="32"/>
          <w:highlight w:val="none"/>
        </w:rPr>
      </w:pPr>
      <w:r>
        <w:rPr>
          <w:rFonts w:hint="eastAsia" w:ascii="宋体" w:hAnsi="宋体" w:cs="宋体"/>
          <w:b/>
          <w:bCs/>
          <w:color w:val="auto"/>
          <w:sz w:val="32"/>
          <w:highlight w:val="none"/>
        </w:rPr>
        <w:t>采购代理机构：广西鼎策工程顾问有限责任公司</w:t>
      </w:r>
      <w:r>
        <w:rPr>
          <w:rFonts w:hint="eastAsia" w:ascii="宋体" w:hAnsi="宋体" w:cs="宋体"/>
          <w:b/>
          <w:bCs/>
          <w:color w:val="auto"/>
          <w:sz w:val="32"/>
          <w:highlight w:val="none"/>
        </w:rPr>
        <w:cr/>
      </w:r>
    </w:p>
    <w:p w14:paraId="202A581A">
      <w:pPr>
        <w:ind w:left="3196" w:leftChars="760" w:hanging="1600" w:hangingChars="500"/>
        <w:rPr>
          <w:rFonts w:ascii="宋体" w:hAnsi="宋体" w:cs="宋体"/>
          <w:b/>
          <w:bCs/>
          <w:color w:val="auto"/>
          <w:sz w:val="32"/>
          <w:highlight w:val="none"/>
        </w:rPr>
      </w:pPr>
    </w:p>
    <w:p w14:paraId="37859E19">
      <w:pPr>
        <w:ind w:left="3192" w:leftChars="1520" w:firstLine="320" w:firstLineChars="100"/>
        <w:rPr>
          <w:rFonts w:ascii="宋体" w:hAnsi="宋体" w:cs="宋体"/>
          <w:color w:val="auto"/>
          <w:sz w:val="32"/>
          <w:highlight w:val="none"/>
        </w:rPr>
      </w:pPr>
      <w:r>
        <w:rPr>
          <w:rFonts w:hint="eastAsia" w:ascii="宋体" w:hAnsi="宋体" w:cs="宋体"/>
          <w:b/>
          <w:bCs/>
          <w:color w:val="auto"/>
          <w:sz w:val="32"/>
          <w:highlight w:val="none"/>
        </w:rPr>
        <w:t>202</w:t>
      </w:r>
      <w:r>
        <w:rPr>
          <w:rFonts w:hint="eastAsia" w:ascii="宋体" w:hAnsi="宋体" w:cs="宋体"/>
          <w:b/>
          <w:bCs/>
          <w:color w:val="auto"/>
          <w:sz w:val="32"/>
          <w:highlight w:val="none"/>
          <w:lang w:val="en-US" w:eastAsia="zh-CN"/>
        </w:rPr>
        <w:t>6</w:t>
      </w:r>
      <w:r>
        <w:rPr>
          <w:rFonts w:hint="eastAsia" w:ascii="宋体" w:hAnsi="宋体" w:cs="宋体"/>
          <w:b/>
          <w:bCs/>
          <w:color w:val="auto"/>
          <w:sz w:val="32"/>
          <w:highlight w:val="none"/>
        </w:rPr>
        <w:t>年</w:t>
      </w:r>
      <w:r>
        <w:rPr>
          <w:rFonts w:hint="eastAsia" w:ascii="宋体" w:hAnsi="宋体" w:cs="宋体"/>
          <w:b/>
          <w:bCs/>
          <w:color w:val="auto"/>
          <w:sz w:val="32"/>
          <w:highlight w:val="none"/>
          <w:lang w:val="en-US" w:eastAsia="zh-CN"/>
        </w:rPr>
        <w:t xml:space="preserve"> 5</w:t>
      </w:r>
      <w:r>
        <w:rPr>
          <w:rFonts w:hint="eastAsia" w:ascii="宋体" w:hAnsi="宋体" w:cs="宋体"/>
          <w:b/>
          <w:bCs/>
          <w:color w:val="auto"/>
          <w:sz w:val="32"/>
          <w:highlight w:val="none"/>
        </w:rPr>
        <w:t>月</w:t>
      </w:r>
    </w:p>
    <w:p w14:paraId="2E4DC368">
      <w:pPr>
        <w:pStyle w:val="11"/>
        <w:spacing w:line="360" w:lineRule="exact"/>
        <w:jc w:val="center"/>
        <w:rPr>
          <w:rFonts w:hAnsi="宋体" w:cs="宋体"/>
          <w:color w:val="auto"/>
          <w:sz w:val="4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134" w:right="849" w:bottom="1134" w:left="1134" w:header="720" w:footer="720" w:gutter="0"/>
          <w:pgNumType w:start="1"/>
          <w:cols w:space="720" w:num="1"/>
          <w:titlePg/>
          <w:docGrid w:type="linesAndChars" w:linePitch="331" w:charSpace="0"/>
        </w:sectPr>
      </w:pPr>
    </w:p>
    <w:p w14:paraId="05646CDD">
      <w:pPr>
        <w:pStyle w:val="11"/>
        <w:spacing w:line="440" w:lineRule="exact"/>
        <w:jc w:val="center"/>
        <w:rPr>
          <w:rFonts w:hAnsi="宋体" w:cs="宋体"/>
          <w:color w:val="auto"/>
          <w:sz w:val="44"/>
          <w:highlight w:val="none"/>
        </w:rPr>
      </w:pPr>
      <w:r>
        <w:rPr>
          <w:rFonts w:hint="eastAsia" w:hAnsi="宋体" w:cs="宋体"/>
          <w:color w:val="auto"/>
          <w:sz w:val="44"/>
          <w:highlight w:val="none"/>
        </w:rPr>
        <w:t>目     录</w:t>
      </w:r>
    </w:p>
    <w:p w14:paraId="73E02074">
      <w:pPr>
        <w:pStyle w:val="11"/>
        <w:jc w:val="center"/>
        <w:rPr>
          <w:rFonts w:hAnsi="宋体" w:cs="宋体"/>
          <w:color w:val="auto"/>
          <w:highlight w:val="none"/>
        </w:rPr>
      </w:pPr>
    </w:p>
    <w:p w14:paraId="7154F11C">
      <w:pPr>
        <w:pStyle w:val="15"/>
        <w:tabs>
          <w:tab w:val="right" w:leader="dot" w:pos="9638"/>
        </w:tabs>
        <w:rPr>
          <w:rFonts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TOC \o "1-1" \h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"_Toc32427" </w:instrText>
      </w:r>
      <w:r>
        <w:rPr>
          <w:color w:val="auto"/>
          <w:highlight w:val="none"/>
        </w:rPr>
        <w:fldChar w:fldCharType="separate"/>
      </w:r>
      <w:r>
        <w:rPr>
          <w:rFonts w:hint="eastAsia" w:ascii="宋体" w:hAnsi="宋体" w:cs="宋体"/>
          <w:bCs/>
          <w:color w:val="auto"/>
          <w:szCs w:val="32"/>
          <w:highlight w:val="none"/>
        </w:rPr>
        <w:t>第一章</w:t>
      </w:r>
      <w:r>
        <w:rPr>
          <w:rFonts w:hint="eastAsia" w:ascii="宋体" w:hAnsi="宋体" w:cs="宋体"/>
          <w:bCs/>
          <w:color w:val="auto"/>
          <w:highlight w:val="none"/>
        </w:rPr>
        <w:t xml:space="preserve">  </w:t>
      </w:r>
      <w:r>
        <w:rPr>
          <w:rFonts w:hint="eastAsia" w:ascii="宋体" w:hAnsi="宋体" w:cs="宋体"/>
          <w:bCs/>
          <w:color w:val="auto"/>
          <w:szCs w:val="32"/>
          <w:highlight w:val="none"/>
        </w:rPr>
        <w:t>公开招标公告</w:t>
      </w:r>
      <w:r>
        <w:rPr>
          <w:rFonts w:hint="eastAsia" w:ascii="宋体" w:hAnsi="宋体" w:cs="宋体"/>
          <w:color w:val="auto"/>
          <w:highlight w:val="none"/>
        </w:rPr>
        <w:tab/>
      </w:r>
      <w:r>
        <w:rPr>
          <w:rFonts w:hint="eastAsia" w:ascii="宋体" w:hAnsi="宋体" w:cs="宋体"/>
          <w:color w:val="auto"/>
          <w:highlight w:val="none"/>
        </w:rPr>
        <w:t>2</w:t>
      </w:r>
      <w:r>
        <w:rPr>
          <w:rFonts w:hint="eastAsia" w:ascii="宋体" w:hAnsi="宋体" w:cs="宋体"/>
          <w:color w:val="auto"/>
          <w:highlight w:val="none"/>
        </w:rPr>
        <w:fldChar w:fldCharType="end"/>
      </w:r>
    </w:p>
    <w:p w14:paraId="4F55425B">
      <w:pPr>
        <w:pStyle w:val="15"/>
        <w:tabs>
          <w:tab w:val="right" w:leader="dot" w:pos="9638"/>
        </w:tabs>
        <w:rPr>
          <w:rFonts w:ascii="宋体" w:hAnsi="宋体" w:cs="宋体"/>
          <w:color w:val="auto"/>
          <w:highlight w:val="none"/>
        </w:rPr>
      </w:pPr>
      <w:r>
        <w:rPr>
          <w:color w:val="auto"/>
          <w:highlight w:val="none"/>
        </w:rPr>
        <w:fldChar w:fldCharType="begin"/>
      </w:r>
      <w:r>
        <w:rPr>
          <w:color w:val="auto"/>
          <w:highlight w:val="none"/>
        </w:rPr>
        <w:instrText xml:space="preserve"> HYPERLINK \l "_Toc5551" </w:instrText>
      </w:r>
      <w:r>
        <w:rPr>
          <w:color w:val="auto"/>
          <w:highlight w:val="none"/>
        </w:rPr>
        <w:fldChar w:fldCharType="separate"/>
      </w:r>
      <w:r>
        <w:rPr>
          <w:rFonts w:hint="eastAsia" w:ascii="宋体" w:hAnsi="宋体" w:cs="宋体"/>
          <w:color w:val="auto"/>
          <w:highlight w:val="none"/>
        </w:rPr>
        <w:t>第二章  投标人须知</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5</w:t>
      </w:r>
    </w:p>
    <w:p w14:paraId="6ACA19C9">
      <w:pPr>
        <w:pStyle w:val="15"/>
        <w:tabs>
          <w:tab w:val="right" w:leader="dot" w:pos="9638"/>
        </w:tabs>
        <w:rPr>
          <w:rFonts w:ascii="宋体" w:hAnsi="宋体" w:cs="宋体"/>
          <w:color w:val="auto"/>
          <w:highlight w:val="none"/>
        </w:rPr>
      </w:pPr>
      <w:r>
        <w:rPr>
          <w:color w:val="auto"/>
          <w:highlight w:val="none"/>
        </w:rPr>
        <w:fldChar w:fldCharType="begin"/>
      </w:r>
      <w:r>
        <w:rPr>
          <w:color w:val="auto"/>
          <w:highlight w:val="none"/>
        </w:rPr>
        <w:instrText xml:space="preserve"> HYPERLINK \l "_Toc24064" </w:instrText>
      </w:r>
      <w:r>
        <w:rPr>
          <w:color w:val="auto"/>
          <w:highlight w:val="none"/>
        </w:rPr>
        <w:fldChar w:fldCharType="separate"/>
      </w:r>
      <w:r>
        <w:rPr>
          <w:rFonts w:hint="eastAsia" w:ascii="宋体" w:hAnsi="宋体" w:cs="宋体"/>
          <w:color w:val="auto"/>
          <w:highlight w:val="none"/>
        </w:rPr>
        <w:t>第三章　货物采购需求</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30</w:t>
      </w:r>
    </w:p>
    <w:p w14:paraId="7DEEF0FC">
      <w:pPr>
        <w:pStyle w:val="15"/>
        <w:tabs>
          <w:tab w:val="right" w:leader="dot" w:pos="9638"/>
        </w:tabs>
        <w:rPr>
          <w:rFonts w:ascii="宋体" w:hAnsi="宋体" w:cs="宋体"/>
          <w:color w:val="auto"/>
          <w:highlight w:val="none"/>
        </w:rPr>
      </w:pPr>
      <w:r>
        <w:rPr>
          <w:color w:val="auto"/>
          <w:highlight w:val="none"/>
        </w:rPr>
        <w:fldChar w:fldCharType="begin"/>
      </w:r>
      <w:r>
        <w:rPr>
          <w:color w:val="auto"/>
          <w:highlight w:val="none"/>
        </w:rPr>
        <w:instrText xml:space="preserve"> HYPERLINK \l "_Toc13030" </w:instrText>
      </w:r>
      <w:r>
        <w:rPr>
          <w:color w:val="auto"/>
          <w:highlight w:val="none"/>
        </w:rPr>
        <w:fldChar w:fldCharType="separate"/>
      </w:r>
      <w:r>
        <w:rPr>
          <w:rFonts w:hint="eastAsia" w:ascii="宋体" w:hAnsi="宋体" w:cs="宋体"/>
          <w:color w:val="auto"/>
          <w:highlight w:val="none"/>
        </w:rPr>
        <w:t>第四章  评标办法</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46</w:t>
      </w:r>
    </w:p>
    <w:p w14:paraId="04EE7D92">
      <w:pPr>
        <w:pStyle w:val="15"/>
        <w:tabs>
          <w:tab w:val="right" w:leader="dot" w:pos="9638"/>
        </w:tabs>
        <w:rPr>
          <w:rFonts w:ascii="宋体" w:hAnsi="宋体" w:cs="宋体"/>
          <w:color w:val="auto"/>
          <w:highlight w:val="none"/>
        </w:rPr>
      </w:pPr>
      <w:r>
        <w:rPr>
          <w:color w:val="auto"/>
          <w:highlight w:val="none"/>
        </w:rPr>
        <w:fldChar w:fldCharType="begin"/>
      </w:r>
      <w:r>
        <w:rPr>
          <w:color w:val="auto"/>
          <w:highlight w:val="none"/>
        </w:rPr>
        <w:instrText xml:space="preserve"> HYPERLINK \l "_Toc26838" </w:instrText>
      </w:r>
      <w:r>
        <w:rPr>
          <w:color w:val="auto"/>
          <w:highlight w:val="none"/>
        </w:rPr>
        <w:fldChar w:fldCharType="separate"/>
      </w:r>
      <w:r>
        <w:rPr>
          <w:rFonts w:hint="eastAsia" w:ascii="宋体" w:hAnsi="宋体" w:cs="宋体"/>
          <w:bCs/>
          <w:color w:val="auto"/>
          <w:szCs w:val="32"/>
          <w:highlight w:val="none"/>
        </w:rPr>
        <w:t>第五章  采购合同（合同主要条款及格式）</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49</w:t>
      </w:r>
    </w:p>
    <w:p w14:paraId="72AFF622">
      <w:pPr>
        <w:pStyle w:val="15"/>
        <w:tabs>
          <w:tab w:val="right" w:leader="dot" w:pos="9638"/>
        </w:tabs>
        <w:rPr>
          <w:rFonts w:ascii="宋体" w:hAnsi="宋体" w:cs="宋体"/>
          <w:color w:val="auto"/>
          <w:highlight w:val="none"/>
        </w:rPr>
      </w:pPr>
      <w:r>
        <w:rPr>
          <w:color w:val="auto"/>
          <w:highlight w:val="none"/>
        </w:rPr>
        <w:fldChar w:fldCharType="begin"/>
      </w:r>
      <w:r>
        <w:rPr>
          <w:color w:val="auto"/>
          <w:highlight w:val="none"/>
        </w:rPr>
        <w:instrText xml:space="preserve"> HYPERLINK \l "_Toc11918" </w:instrText>
      </w:r>
      <w:r>
        <w:rPr>
          <w:color w:val="auto"/>
          <w:highlight w:val="none"/>
        </w:rPr>
        <w:fldChar w:fldCharType="separate"/>
      </w:r>
      <w:r>
        <w:rPr>
          <w:rFonts w:hint="eastAsia" w:ascii="宋体" w:hAnsi="宋体" w:cs="宋体"/>
          <w:color w:val="auto"/>
          <w:highlight w:val="none"/>
        </w:rPr>
        <w:t>第六章  投标文件格式</w:t>
      </w:r>
      <w:r>
        <w:rPr>
          <w:rFonts w:hint="eastAsia" w:ascii="宋体" w:hAnsi="宋体" w:cs="宋体"/>
          <w:color w:val="auto"/>
          <w:highlight w:val="none"/>
        </w:rPr>
        <w:tab/>
      </w:r>
      <w:r>
        <w:rPr>
          <w:rFonts w:hint="eastAsia" w:ascii="宋体" w:hAnsi="宋体" w:cs="宋体"/>
          <w:color w:val="auto"/>
          <w:highlight w:val="none"/>
        </w:rPr>
        <w:fldChar w:fldCharType="end"/>
      </w:r>
      <w:r>
        <w:rPr>
          <w:rFonts w:hint="eastAsia" w:ascii="宋体" w:hAnsi="宋体" w:cs="宋体"/>
          <w:color w:val="auto"/>
          <w:highlight w:val="none"/>
        </w:rPr>
        <w:t>53</w:t>
      </w:r>
    </w:p>
    <w:p w14:paraId="3D6F8E54">
      <w:pPr>
        <w:pStyle w:val="15"/>
        <w:tabs>
          <w:tab w:val="right" w:leader="dot" w:pos="9638"/>
        </w:tabs>
        <w:rPr>
          <w:rFonts w:ascii="宋体" w:hAnsi="宋体" w:cs="宋体"/>
          <w:color w:val="auto"/>
          <w:highlight w:val="none"/>
        </w:rPr>
      </w:pPr>
    </w:p>
    <w:p w14:paraId="0A206039">
      <w:pPr>
        <w:pStyle w:val="11"/>
        <w:jc w:val="center"/>
        <w:rPr>
          <w:rFonts w:hAnsi="宋体" w:cs="宋体"/>
          <w:color w:val="auto"/>
          <w:highlight w:val="none"/>
        </w:rPr>
      </w:pPr>
      <w:r>
        <w:rPr>
          <w:rFonts w:hint="eastAsia" w:hAnsi="宋体" w:cs="宋体"/>
          <w:color w:val="auto"/>
          <w:highlight w:val="none"/>
        </w:rPr>
        <w:fldChar w:fldCharType="end"/>
      </w:r>
    </w:p>
    <w:p w14:paraId="2CD597DE">
      <w:pPr>
        <w:ind w:firstLine="3640" w:firstLineChars="1300"/>
        <w:rPr>
          <w:rFonts w:ascii="宋体" w:hAnsi="宋体" w:cs="宋体"/>
          <w:color w:val="auto"/>
          <w:sz w:val="28"/>
          <w:szCs w:val="28"/>
          <w:highlight w:val="none"/>
        </w:rPr>
      </w:pPr>
    </w:p>
    <w:p w14:paraId="0786297F">
      <w:pPr>
        <w:ind w:firstLine="2730" w:firstLineChars="1300"/>
        <w:rPr>
          <w:rFonts w:ascii="宋体" w:hAnsi="宋体" w:cs="宋体"/>
          <w:color w:val="auto"/>
          <w:szCs w:val="21"/>
          <w:highlight w:val="none"/>
        </w:rPr>
      </w:pPr>
    </w:p>
    <w:p w14:paraId="4C8F5479">
      <w:pPr>
        <w:ind w:firstLine="2730" w:firstLineChars="1300"/>
        <w:rPr>
          <w:rFonts w:ascii="宋体" w:hAnsi="宋体" w:cs="宋体"/>
          <w:color w:val="auto"/>
          <w:szCs w:val="21"/>
          <w:highlight w:val="none"/>
        </w:rPr>
      </w:pPr>
    </w:p>
    <w:p w14:paraId="34BEA552">
      <w:pPr>
        <w:tabs>
          <w:tab w:val="left" w:pos="3844"/>
        </w:tabs>
        <w:ind w:firstLine="2730" w:firstLineChars="1300"/>
        <w:rPr>
          <w:rFonts w:ascii="宋体" w:hAnsi="宋体" w:cs="宋体"/>
          <w:color w:val="auto"/>
          <w:szCs w:val="21"/>
          <w:highlight w:val="none"/>
        </w:rPr>
      </w:pPr>
      <w:r>
        <w:rPr>
          <w:rFonts w:hint="eastAsia" w:ascii="宋体" w:hAnsi="宋体" w:cs="宋体"/>
          <w:color w:val="auto"/>
          <w:szCs w:val="21"/>
          <w:highlight w:val="none"/>
        </w:rPr>
        <w:tab/>
      </w:r>
    </w:p>
    <w:p w14:paraId="4C90F760">
      <w:pPr>
        <w:ind w:firstLine="2730" w:firstLineChars="1300"/>
        <w:rPr>
          <w:rFonts w:ascii="宋体" w:hAnsi="宋体" w:cs="宋体"/>
          <w:color w:val="auto"/>
          <w:szCs w:val="21"/>
          <w:highlight w:val="none"/>
        </w:rPr>
      </w:pPr>
    </w:p>
    <w:p w14:paraId="20536BE1">
      <w:pPr>
        <w:ind w:firstLine="2730" w:firstLineChars="1300"/>
        <w:rPr>
          <w:rFonts w:ascii="宋体" w:hAnsi="宋体" w:cs="宋体"/>
          <w:color w:val="auto"/>
          <w:szCs w:val="21"/>
          <w:highlight w:val="none"/>
        </w:rPr>
      </w:pPr>
    </w:p>
    <w:p w14:paraId="77BF928F">
      <w:pPr>
        <w:pStyle w:val="3"/>
        <w:spacing w:beforeAutospacing="0" w:afterAutospacing="0" w:line="560" w:lineRule="exact"/>
        <w:jc w:val="both"/>
        <w:rPr>
          <w:bCs/>
          <w:color w:val="auto"/>
          <w:szCs w:val="32"/>
          <w:highlight w:val="none"/>
        </w:rPr>
        <w:sectPr>
          <w:footerReference r:id="rId9" w:type="default"/>
          <w:pgSz w:w="11906" w:h="16838"/>
          <w:pgMar w:top="1134" w:right="1134" w:bottom="1134" w:left="1134" w:header="851" w:footer="992" w:gutter="0"/>
          <w:pgNumType w:start="1"/>
          <w:cols w:space="720" w:num="1"/>
          <w:docGrid w:type="lines" w:linePitch="312" w:charSpace="0"/>
        </w:sectPr>
      </w:pPr>
      <w:bookmarkStart w:id="0" w:name="_Toc32427"/>
      <w:bookmarkEnd w:id="0"/>
    </w:p>
    <w:p w14:paraId="4AD9AAD0">
      <w:pPr>
        <w:pStyle w:val="3"/>
        <w:spacing w:beforeAutospacing="0" w:afterAutospacing="0" w:line="560" w:lineRule="exact"/>
        <w:rPr>
          <w:b w:val="0"/>
          <w:color w:val="auto"/>
          <w:szCs w:val="32"/>
          <w:highlight w:val="none"/>
        </w:rPr>
      </w:pPr>
      <w:r>
        <w:rPr>
          <w:rFonts w:hint="eastAsia"/>
          <w:color w:val="auto"/>
          <w:highlight w:val="none"/>
        </w:rPr>
        <w:t>第一章  公开招标公告</w:t>
      </w:r>
    </w:p>
    <w:p w14:paraId="1C53E07E">
      <w:pPr>
        <w:pBdr>
          <w:top w:val="single" w:color="auto" w:sz="4" w:space="1"/>
          <w:left w:val="single" w:color="auto" w:sz="4" w:space="4"/>
          <w:bottom w:val="single" w:color="auto" w:sz="4" w:space="1"/>
          <w:right w:val="single" w:color="auto" w:sz="4" w:space="4"/>
        </w:pBdr>
        <w:spacing w:line="360" w:lineRule="auto"/>
        <w:rPr>
          <w:rFonts w:ascii="宋体" w:hAnsi="宋体" w:cs="宋体"/>
          <w:color w:val="auto"/>
          <w:szCs w:val="21"/>
          <w:highlight w:val="none"/>
        </w:rPr>
      </w:pPr>
      <w:r>
        <w:rPr>
          <w:rFonts w:hint="eastAsia" w:ascii="宋体" w:hAnsi="宋体" w:cs="宋体"/>
          <w:color w:val="auto"/>
          <w:szCs w:val="21"/>
          <w:highlight w:val="none"/>
        </w:rPr>
        <w:t>项目概况</w:t>
      </w:r>
    </w:p>
    <w:p w14:paraId="56E0E9D9">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b/>
          <w:bCs/>
          <w:color w:val="auto"/>
          <w:sz w:val="22"/>
          <w:szCs w:val="22"/>
          <w:highlight w:val="none"/>
        </w:rPr>
      </w:pP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eastAsia="zh-CN"/>
        </w:rPr>
        <w:t>血液透析机等设备采购</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招标项目的潜在投标人应在“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”（https://www.gcy.zfcg.gxzf.gov.cn/）获取招标文件，并于202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日上午 09:30（北京时间）前递交投标文件</w:t>
      </w:r>
      <w:r>
        <w:rPr>
          <w:rFonts w:hint="eastAsia" w:ascii="仿宋" w:hAnsi="仿宋" w:eastAsia="仿宋" w:cs="仿宋"/>
          <w:color w:val="auto"/>
          <w:sz w:val="24"/>
          <w:highlight w:val="none"/>
        </w:rPr>
        <w:t>。</w:t>
      </w:r>
    </w:p>
    <w:p w14:paraId="03557F6F">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一、项目基本情况</w:t>
      </w:r>
    </w:p>
    <w:p w14:paraId="5452B129">
      <w:pPr>
        <w:spacing w:line="360" w:lineRule="auto"/>
        <w:ind w:firstLine="420" w:firstLineChars="200"/>
        <w:rPr>
          <w:rFonts w:hint="default"/>
          <w:color w:val="auto"/>
          <w:highlight w:val="none"/>
          <w:lang w:val="en-US"/>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血液透析机等设备采购</w:t>
      </w:r>
      <w:r>
        <w:rPr>
          <w:rFonts w:hint="eastAsia" w:ascii="宋体" w:hAnsi="宋体" w:cs="宋体"/>
          <w:color w:val="auto"/>
          <w:szCs w:val="21"/>
          <w:highlight w:val="none"/>
          <w:lang w:val="en-US" w:eastAsia="zh-CN"/>
        </w:rPr>
        <w:t xml:space="preserve">  </w:t>
      </w:r>
    </w:p>
    <w:p w14:paraId="0081F3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预算金额：人民币</w:t>
      </w:r>
      <w:r>
        <w:rPr>
          <w:rFonts w:hint="eastAsia" w:ascii="宋体" w:hAnsi="宋体" w:cs="宋体"/>
          <w:color w:val="auto"/>
          <w:szCs w:val="21"/>
          <w:highlight w:val="none"/>
          <w:lang w:val="en-US" w:eastAsia="zh-CN"/>
        </w:rPr>
        <w:t>829000.00元</w:t>
      </w:r>
      <w:r>
        <w:rPr>
          <w:rFonts w:hint="eastAsia" w:ascii="宋体" w:hAnsi="宋体" w:cs="宋体"/>
          <w:color w:val="auto"/>
          <w:szCs w:val="21"/>
          <w:highlight w:val="none"/>
        </w:rPr>
        <w:t>。</w:t>
      </w:r>
    </w:p>
    <w:p w14:paraId="7899340F">
      <w:pPr>
        <w:pStyle w:val="31"/>
        <w:spacing w:line="360" w:lineRule="auto"/>
        <w:ind w:firstLine="420" w:firstLineChars="200"/>
        <w:rPr>
          <w:rFonts w:hint="eastAsia" w:hAnsi="宋体" w:cs="宋体"/>
          <w:color w:val="auto"/>
          <w:sz w:val="21"/>
          <w:szCs w:val="21"/>
          <w:highlight w:val="none"/>
        </w:rPr>
      </w:pPr>
      <w:r>
        <w:rPr>
          <w:rFonts w:hint="eastAsia" w:hAnsi="宋体" w:eastAsia="宋体" w:cs="宋体"/>
          <w:color w:val="auto"/>
          <w:sz w:val="21"/>
          <w:szCs w:val="21"/>
          <w:highlight w:val="none"/>
        </w:rPr>
        <w:t>最高限价：</w:t>
      </w:r>
      <w:r>
        <w:rPr>
          <w:rFonts w:hint="eastAsia" w:hAnsi="宋体" w:cs="宋体"/>
          <w:color w:val="auto"/>
          <w:sz w:val="21"/>
          <w:szCs w:val="21"/>
          <w:highlight w:val="none"/>
        </w:rPr>
        <w:t>人民</w:t>
      </w:r>
      <w:r>
        <w:rPr>
          <w:rFonts w:hint="eastAsia" w:ascii="宋体" w:hAnsi="宋体" w:eastAsia="宋体" w:cs="宋体"/>
          <w:color w:val="auto"/>
          <w:kern w:val="2"/>
          <w:sz w:val="21"/>
          <w:szCs w:val="21"/>
          <w:highlight w:val="none"/>
          <w:lang w:val="en-US" w:eastAsia="zh-CN" w:bidi="ar-SA"/>
        </w:rPr>
        <w:t>币829000</w:t>
      </w:r>
      <w:r>
        <w:rPr>
          <w:rFonts w:hint="eastAsia" w:hAnsi="宋体" w:eastAsia="宋体" w:cs="宋体"/>
          <w:color w:val="auto"/>
          <w:kern w:val="2"/>
          <w:sz w:val="21"/>
          <w:szCs w:val="21"/>
          <w:highlight w:val="none"/>
          <w:lang w:val="en-US" w:eastAsia="zh-CN" w:bidi="ar-SA"/>
        </w:rPr>
        <w:t>.00</w:t>
      </w:r>
      <w:r>
        <w:rPr>
          <w:rFonts w:hint="eastAsia" w:ascii="宋体" w:hAnsi="宋体" w:eastAsia="宋体" w:cs="宋体"/>
          <w:color w:val="auto"/>
          <w:kern w:val="2"/>
          <w:sz w:val="21"/>
          <w:szCs w:val="21"/>
          <w:highlight w:val="none"/>
          <w:lang w:val="en-US" w:eastAsia="zh-CN" w:bidi="ar-SA"/>
        </w:rPr>
        <w:t>元，投</w:t>
      </w:r>
      <w:r>
        <w:rPr>
          <w:rFonts w:hint="eastAsia" w:hAnsi="宋体" w:cs="宋体"/>
          <w:color w:val="auto"/>
          <w:sz w:val="21"/>
          <w:szCs w:val="21"/>
          <w:highlight w:val="none"/>
        </w:rPr>
        <w:t>标人投标报价不得超过最高限价，否则视为无效投标。</w:t>
      </w:r>
    </w:p>
    <w:p w14:paraId="6909F28A">
      <w:pPr>
        <w:pStyle w:val="32"/>
        <w:rPr>
          <w:color w:val="auto"/>
          <w:highlight w:val="none"/>
        </w:rPr>
      </w:pPr>
      <w:r>
        <w:rPr>
          <w:rFonts w:hint="eastAsia" w:hAnsi="宋体" w:cs="宋体"/>
          <w:color w:val="auto"/>
          <w:sz w:val="21"/>
          <w:szCs w:val="21"/>
          <w:highlight w:val="none"/>
        </w:rPr>
        <w:t>采购需求：</w:t>
      </w:r>
    </w:p>
    <w:tbl>
      <w:tblPr>
        <w:tblStyle w:val="22"/>
        <w:tblpPr w:leftFromText="180" w:rightFromText="180" w:vertAnchor="text" w:horzAnchor="page" w:tblpXSpec="center" w:tblpY="446"/>
        <w:tblOverlap w:val="never"/>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3744"/>
        <w:gridCol w:w="857"/>
        <w:gridCol w:w="1017"/>
        <w:gridCol w:w="3374"/>
      </w:tblGrid>
      <w:tr w14:paraId="600B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425" w:type="pct"/>
            <w:shd w:val="clear" w:color="auto" w:fill="auto"/>
            <w:vAlign w:val="center"/>
          </w:tcPr>
          <w:p w14:paraId="68D521E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904" w:type="pct"/>
            <w:shd w:val="clear" w:color="auto" w:fill="auto"/>
            <w:vAlign w:val="center"/>
          </w:tcPr>
          <w:p w14:paraId="63C10010">
            <w:pPr>
              <w:spacing w:line="360" w:lineRule="auto"/>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设备名称</w:t>
            </w:r>
          </w:p>
        </w:tc>
        <w:tc>
          <w:tcPr>
            <w:tcW w:w="436" w:type="pct"/>
            <w:shd w:val="clear" w:color="auto" w:fill="auto"/>
            <w:vAlign w:val="center"/>
          </w:tcPr>
          <w:p w14:paraId="7DDF035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517" w:type="pct"/>
            <w:shd w:val="clear" w:color="auto" w:fill="auto"/>
            <w:vAlign w:val="center"/>
          </w:tcPr>
          <w:p w14:paraId="263104C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1716" w:type="pct"/>
            <w:shd w:val="clear" w:color="auto" w:fill="auto"/>
            <w:vAlign w:val="center"/>
          </w:tcPr>
          <w:p w14:paraId="515D2A3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szCs w:val="21"/>
                <w:highlight w:val="none"/>
              </w:rPr>
              <w:t>简要规格描述或项目基本概况</w:t>
            </w:r>
          </w:p>
        </w:tc>
      </w:tr>
      <w:tr w14:paraId="77B6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25" w:type="pct"/>
            <w:shd w:val="clear" w:color="auto" w:fill="auto"/>
            <w:vAlign w:val="center"/>
          </w:tcPr>
          <w:p w14:paraId="4EF31C06">
            <w:pPr>
              <w:spacing w:line="360" w:lineRule="auto"/>
              <w:ind w:firstLine="210" w:firstLineChars="100"/>
              <w:jc w:val="center"/>
              <w:rPr>
                <w:rFonts w:ascii="宋体" w:hAnsi="宋体" w:cs="宋体"/>
                <w:color w:val="auto"/>
                <w:szCs w:val="21"/>
                <w:highlight w:val="none"/>
              </w:rPr>
            </w:pPr>
            <w:r>
              <w:rPr>
                <w:rFonts w:hint="eastAsia" w:ascii="宋体" w:hAnsi="宋体" w:cs="宋体"/>
                <w:color w:val="auto"/>
                <w:szCs w:val="21"/>
                <w:highlight w:val="none"/>
              </w:rPr>
              <w:t>1</w:t>
            </w:r>
          </w:p>
        </w:tc>
        <w:tc>
          <w:tcPr>
            <w:tcW w:w="1904" w:type="pct"/>
            <w:shd w:val="clear" w:color="auto" w:fill="auto"/>
            <w:vAlign w:val="center"/>
          </w:tcPr>
          <w:p w14:paraId="17D9AA98">
            <w:pPr>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血液透析机</w:t>
            </w:r>
          </w:p>
        </w:tc>
        <w:tc>
          <w:tcPr>
            <w:tcW w:w="436" w:type="pct"/>
            <w:shd w:val="clear" w:color="auto" w:fill="auto"/>
            <w:vAlign w:val="center"/>
          </w:tcPr>
          <w:p w14:paraId="08771854">
            <w:pPr>
              <w:spacing w:line="360" w:lineRule="auto"/>
              <w:ind w:firstLine="210" w:firstLineChars="10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517" w:type="pct"/>
            <w:shd w:val="clear" w:color="auto" w:fill="auto"/>
            <w:vAlign w:val="center"/>
          </w:tcPr>
          <w:p w14:paraId="2A65F443">
            <w:pPr>
              <w:spacing w:line="360" w:lineRule="auto"/>
              <w:ind w:firstLine="420" w:firstLineChars="200"/>
              <w:jc w:val="both"/>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台</w:t>
            </w:r>
          </w:p>
        </w:tc>
        <w:tc>
          <w:tcPr>
            <w:tcW w:w="1716" w:type="pct"/>
            <w:vMerge w:val="restart"/>
            <w:shd w:val="clear" w:color="auto" w:fill="auto"/>
            <w:vAlign w:val="center"/>
          </w:tcPr>
          <w:p w14:paraId="778FFEBB">
            <w:pPr>
              <w:widowControl/>
              <w:spacing w:line="360" w:lineRule="auto"/>
              <w:jc w:val="both"/>
              <w:textAlignment w:val="center"/>
              <w:rPr>
                <w:rFonts w:hint="eastAsia" w:ascii="宋体" w:hAnsi="宋体" w:cs="宋体"/>
                <w:color w:val="auto"/>
                <w:szCs w:val="21"/>
                <w:highlight w:val="none"/>
              </w:rPr>
            </w:pPr>
            <w:r>
              <w:rPr>
                <w:rFonts w:hint="eastAsia" w:hAnsi="宋体" w:eastAsia="宋体" w:cs="宋体"/>
                <w:color w:val="auto"/>
                <w:sz w:val="21"/>
                <w:szCs w:val="21"/>
                <w:highlight w:val="none"/>
              </w:rPr>
              <w:t>如需进一步了解详细内容，详见招标文件。</w:t>
            </w:r>
          </w:p>
        </w:tc>
      </w:tr>
      <w:tr w14:paraId="350F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25" w:type="pct"/>
            <w:shd w:val="clear" w:color="auto" w:fill="auto"/>
            <w:vAlign w:val="center"/>
          </w:tcPr>
          <w:p w14:paraId="10850E07">
            <w:pPr>
              <w:spacing w:line="360" w:lineRule="auto"/>
              <w:ind w:firstLine="210" w:firstLineChars="10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904" w:type="pct"/>
            <w:shd w:val="clear" w:color="auto" w:fill="auto"/>
            <w:vAlign w:val="center"/>
          </w:tcPr>
          <w:p w14:paraId="20D76751">
            <w:pPr>
              <w:spacing w:line="360" w:lineRule="auto"/>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超声诊断仪</w:t>
            </w:r>
          </w:p>
        </w:tc>
        <w:tc>
          <w:tcPr>
            <w:tcW w:w="436" w:type="pct"/>
            <w:shd w:val="clear" w:color="auto" w:fill="auto"/>
            <w:vAlign w:val="center"/>
          </w:tcPr>
          <w:p w14:paraId="5492A374">
            <w:pPr>
              <w:spacing w:line="360" w:lineRule="auto"/>
              <w:ind w:firstLine="210" w:firstLineChars="10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517" w:type="pct"/>
            <w:shd w:val="clear" w:color="auto" w:fill="auto"/>
            <w:vAlign w:val="center"/>
          </w:tcPr>
          <w:p w14:paraId="0D1DB9C8">
            <w:pPr>
              <w:spacing w:line="360" w:lineRule="auto"/>
              <w:ind w:firstLine="420" w:firstLineChars="200"/>
              <w:jc w:val="both"/>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台</w:t>
            </w:r>
          </w:p>
        </w:tc>
        <w:tc>
          <w:tcPr>
            <w:tcW w:w="1716" w:type="pct"/>
            <w:vMerge w:val="continue"/>
            <w:shd w:val="clear" w:color="auto" w:fill="auto"/>
            <w:vAlign w:val="center"/>
          </w:tcPr>
          <w:p w14:paraId="31DD7669">
            <w:pPr>
              <w:widowControl/>
              <w:spacing w:line="360" w:lineRule="auto"/>
              <w:jc w:val="center"/>
              <w:textAlignment w:val="center"/>
              <w:rPr>
                <w:rFonts w:hint="eastAsia" w:ascii="宋体" w:hAnsi="宋体" w:cs="宋体"/>
                <w:color w:val="auto"/>
                <w:szCs w:val="21"/>
                <w:highlight w:val="none"/>
              </w:rPr>
            </w:pPr>
          </w:p>
        </w:tc>
      </w:tr>
    </w:tbl>
    <w:p w14:paraId="29BCCD15">
      <w:pPr>
        <w:spacing w:line="360" w:lineRule="auto"/>
        <w:rPr>
          <w:rFonts w:hint="eastAsia" w:ascii="宋体" w:hAnsi="宋体" w:cs="宋体"/>
          <w:color w:val="auto"/>
          <w:kern w:val="0"/>
          <w:szCs w:val="21"/>
          <w:highlight w:val="none"/>
        </w:rPr>
      </w:pPr>
      <w:r>
        <w:rPr>
          <w:rFonts w:hint="eastAsia" w:ascii="宋体" w:hAnsi="宋体" w:cs="宋体"/>
          <w:color w:val="auto"/>
          <w:szCs w:val="21"/>
          <w:highlight w:val="none"/>
        </w:rPr>
        <w:t>合同履行期限</w:t>
      </w:r>
      <w:r>
        <w:rPr>
          <w:rFonts w:hint="eastAsia" w:ascii="宋体" w:hAnsi="宋体" w:cs="宋体"/>
          <w:color w:val="auto"/>
          <w:kern w:val="0"/>
          <w:szCs w:val="21"/>
          <w:highlight w:val="none"/>
        </w:rPr>
        <w:t>：自合同签订之日起</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0个日历日内安装调试完成并验收合格交付使用。</w:t>
      </w:r>
    </w:p>
    <w:p w14:paraId="1E1ADD52">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二、申请人的资格要</w:t>
      </w:r>
    </w:p>
    <w:p w14:paraId="5EF7842F">
      <w:pPr>
        <w:tabs>
          <w:tab w:val="left" w:pos="8820"/>
        </w:tabs>
        <w:spacing w:line="400" w:lineRule="exact"/>
        <w:ind w:firstLine="420"/>
        <w:rPr>
          <w:bCs/>
          <w:color w:val="auto"/>
          <w:szCs w:val="21"/>
          <w:highlight w:val="none"/>
        </w:rPr>
      </w:pPr>
      <w:r>
        <w:rPr>
          <w:rFonts w:hint="eastAsia"/>
          <w:bCs/>
          <w:color w:val="auto"/>
          <w:szCs w:val="21"/>
          <w:highlight w:val="none"/>
        </w:rPr>
        <w:t>1.满足《中华人民共和国政府采购法》第二十二条规定；</w:t>
      </w:r>
    </w:p>
    <w:p w14:paraId="3258B93F">
      <w:pPr>
        <w:tabs>
          <w:tab w:val="left" w:pos="8820"/>
        </w:tabs>
        <w:spacing w:line="400" w:lineRule="exact"/>
        <w:ind w:firstLine="420"/>
        <w:rPr>
          <w:bCs/>
          <w:color w:val="auto"/>
          <w:szCs w:val="21"/>
          <w:highlight w:val="none"/>
        </w:rPr>
      </w:pPr>
      <w:r>
        <w:rPr>
          <w:rFonts w:hint="eastAsia"/>
          <w:bCs/>
          <w:color w:val="auto"/>
          <w:szCs w:val="21"/>
          <w:highlight w:val="none"/>
        </w:rPr>
        <w:t>2.落实政府采购政策需满足的资格要求：</w:t>
      </w:r>
      <w:bookmarkStart w:id="1" w:name="OLE_LINK1"/>
      <w:r>
        <w:rPr>
          <w:rFonts w:hint="eastAsia"/>
          <w:bCs/>
          <w:color w:val="auto"/>
          <w:szCs w:val="21"/>
          <w:highlight w:val="none"/>
        </w:rPr>
        <w:t>无</w:t>
      </w:r>
    </w:p>
    <w:bookmarkEnd w:id="1"/>
    <w:p w14:paraId="4F353A41">
      <w:pPr>
        <w:tabs>
          <w:tab w:val="left" w:pos="8820"/>
        </w:tabs>
        <w:spacing w:line="400" w:lineRule="exact"/>
        <w:ind w:firstLine="420"/>
        <w:rPr>
          <w:rFonts w:hint="eastAsia" w:eastAsia="宋体"/>
          <w:bCs/>
          <w:color w:val="auto"/>
          <w:szCs w:val="21"/>
          <w:highlight w:val="none"/>
          <w:lang w:eastAsia="zh-CN"/>
        </w:rPr>
      </w:pPr>
      <w:r>
        <w:rPr>
          <w:rFonts w:hint="eastAsia"/>
          <w:bCs/>
          <w:color w:val="auto"/>
          <w:szCs w:val="21"/>
          <w:highlight w:val="none"/>
        </w:rPr>
        <w:t>3.本项目的特定资格要求：</w:t>
      </w:r>
      <w:r>
        <w:rPr>
          <w:rFonts w:hint="eastAsia" w:ascii="宋体" w:hAnsi="宋体" w:cs="宋体"/>
          <w:color w:val="auto"/>
          <w:szCs w:val="21"/>
          <w:highlight w:val="none"/>
        </w:rPr>
        <w:t>本项目投标人按《医疗器械监督管理条例》(国务院令第 739 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hint="eastAsia" w:ascii="宋体" w:hAnsi="宋体" w:cs="宋体"/>
          <w:color w:val="auto"/>
          <w:szCs w:val="21"/>
          <w:highlight w:val="none"/>
          <w:lang w:eastAsia="zh-CN"/>
        </w:rPr>
        <w:t>；</w:t>
      </w:r>
    </w:p>
    <w:p w14:paraId="668DE5E2">
      <w:pPr>
        <w:tabs>
          <w:tab w:val="left" w:pos="8820"/>
        </w:tabs>
        <w:spacing w:line="400" w:lineRule="exact"/>
        <w:ind w:firstLine="420"/>
        <w:rPr>
          <w:bCs/>
          <w:color w:val="auto"/>
          <w:szCs w:val="21"/>
          <w:highlight w:val="none"/>
        </w:rPr>
      </w:pPr>
      <w:r>
        <w:rPr>
          <w:rFonts w:hint="eastAsia"/>
          <w:bCs/>
          <w:color w:val="auto"/>
          <w:szCs w:val="21"/>
          <w:highlight w:val="none"/>
          <w:lang w:val="en-US" w:eastAsia="zh-CN"/>
        </w:rPr>
        <w:t>4.</w:t>
      </w:r>
      <w:r>
        <w:rPr>
          <w:rFonts w:hint="eastAsia"/>
          <w:bCs/>
          <w:color w:val="auto"/>
          <w:szCs w:val="21"/>
          <w:highlight w:val="none"/>
        </w:rPr>
        <w:t>本项目不接受联合体投标。</w:t>
      </w:r>
    </w:p>
    <w:p w14:paraId="66E9F5D7">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三、获取招标文件</w:t>
      </w:r>
    </w:p>
    <w:p w14:paraId="646673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时间：自本项目招标公告发布之日起至投标截止时间止。</w:t>
      </w:r>
    </w:p>
    <w:p w14:paraId="692C48D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地点及方式：潜在投标人登录</w:t>
      </w:r>
      <w:r>
        <w:rPr>
          <w:rFonts w:hint="eastAsia" w:ascii="宋体" w:hAnsi="宋体" w:cs="宋体"/>
          <w:color w:val="auto"/>
          <w:szCs w:val="21"/>
          <w:highlight w:val="none"/>
          <w:lang w:eastAsia="zh-CN"/>
        </w:rPr>
        <w:t>广西政府采购云平台https://www.gcy.zfcg.gxzf.gov.cn/</w:t>
      </w:r>
      <w:r>
        <w:rPr>
          <w:rFonts w:hint="eastAsia" w:ascii="宋体" w:hAnsi="宋体" w:cs="宋体"/>
          <w:color w:val="auto"/>
          <w:szCs w:val="21"/>
          <w:highlight w:val="none"/>
        </w:rPr>
        <w:t>在线申请获取采购文件（进入“项目采购”应用，在获取采购文件菜单中选择项目，申请获取采购文件）</w:t>
      </w:r>
    </w:p>
    <w:p w14:paraId="29B1407E">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四、</w:t>
      </w:r>
      <w:bookmarkStart w:id="2" w:name="_Toc28359005"/>
      <w:bookmarkStart w:id="3" w:name="_Toc28359082"/>
      <w:bookmarkStart w:id="4" w:name="_Toc35393624"/>
      <w:bookmarkStart w:id="5" w:name="_Toc35393793"/>
      <w:r>
        <w:rPr>
          <w:rFonts w:hint="eastAsia" w:ascii="宋体" w:hAnsi="宋体" w:cs="宋体"/>
          <w:b/>
          <w:bCs/>
          <w:color w:val="auto"/>
          <w:szCs w:val="21"/>
          <w:highlight w:val="none"/>
        </w:rPr>
        <w:t>提交投标文件</w:t>
      </w:r>
      <w:bookmarkEnd w:id="2"/>
      <w:bookmarkEnd w:id="3"/>
      <w:r>
        <w:rPr>
          <w:rFonts w:hint="eastAsia" w:ascii="宋体" w:hAnsi="宋体" w:cs="宋体"/>
          <w:b/>
          <w:bCs/>
          <w:color w:val="auto"/>
          <w:szCs w:val="21"/>
          <w:highlight w:val="none"/>
        </w:rPr>
        <w:t>截止时间、开标时间和地点</w:t>
      </w:r>
      <w:bookmarkEnd w:id="4"/>
      <w:bookmarkEnd w:id="5"/>
    </w:p>
    <w:p w14:paraId="4E4B9705">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提交投标文件截止时间：</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r>
        <w:rPr>
          <w:rFonts w:hint="eastAsia" w:ascii="宋体" w:hAnsi="宋体" w:cs="宋体"/>
          <w:bCs/>
          <w:color w:val="auto"/>
          <w:highlight w:val="none"/>
        </w:rPr>
        <w:t>上午 09:30（北京时间）</w:t>
      </w:r>
    </w:p>
    <w:p w14:paraId="3601D95D">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投标地点：通过“</w:t>
      </w:r>
      <w:r>
        <w:rPr>
          <w:rFonts w:hint="eastAsia" w:ascii="宋体" w:hAnsi="宋体" w:cs="宋体"/>
          <w:bCs/>
          <w:color w:val="auto"/>
          <w:highlight w:val="none"/>
          <w:lang w:eastAsia="zh-CN"/>
        </w:rPr>
        <w:t>广西政府采购云平台</w:t>
      </w:r>
      <w:r>
        <w:rPr>
          <w:rFonts w:hint="eastAsia" w:ascii="宋体" w:hAnsi="宋体" w:cs="宋体"/>
          <w:bCs/>
          <w:color w:val="auto"/>
          <w:highlight w:val="none"/>
        </w:rPr>
        <w:t>”在线投标</w:t>
      </w:r>
    </w:p>
    <w:p w14:paraId="2F859EC9">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开标时间：</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r>
        <w:rPr>
          <w:rFonts w:hint="eastAsia" w:ascii="宋体" w:hAnsi="宋体" w:cs="宋体"/>
          <w:bCs/>
          <w:color w:val="auto"/>
          <w:highlight w:val="none"/>
        </w:rPr>
        <w:t>上午 09:30（北京时间）</w:t>
      </w:r>
    </w:p>
    <w:p w14:paraId="0E752EF1">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开标地点：</w:t>
      </w:r>
      <w:r>
        <w:rPr>
          <w:rFonts w:hint="eastAsia" w:ascii="宋体" w:hAnsi="宋体" w:cs="宋体"/>
          <w:color w:val="auto"/>
          <w:szCs w:val="21"/>
          <w:highlight w:val="none"/>
        </w:rPr>
        <w:t>桂林市公共资源交易中心</w:t>
      </w:r>
      <w:r>
        <w:rPr>
          <w:rFonts w:hint="eastAsia" w:ascii="宋体" w:hAnsi="宋体" w:cs="宋体"/>
          <w:color w:val="auto"/>
          <w:szCs w:val="21"/>
          <w:highlight w:val="none"/>
          <w:u w:val="single"/>
          <w:lang w:val="en-US" w:eastAsia="zh-CN"/>
        </w:rPr>
        <w:t xml:space="preserve"> 1 </w:t>
      </w:r>
      <w:r>
        <w:rPr>
          <w:rFonts w:hint="eastAsia" w:ascii="宋体" w:hAnsi="宋体" w:cs="宋体"/>
          <w:color w:val="auto"/>
          <w:szCs w:val="21"/>
          <w:highlight w:val="none"/>
        </w:rPr>
        <w:t>号</w:t>
      </w:r>
      <w:r>
        <w:rPr>
          <w:rFonts w:hint="eastAsia" w:ascii="宋体" w:hAnsi="宋体" w:cs="宋体"/>
          <w:color w:val="auto"/>
          <w:szCs w:val="21"/>
          <w:highlight w:val="none"/>
          <w:lang w:eastAsia="zh-CN"/>
        </w:rPr>
        <w:t>政采开标仓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highlight w:val="none"/>
        </w:rPr>
        <w:t>通过“</w:t>
      </w:r>
      <w:r>
        <w:rPr>
          <w:rFonts w:hint="eastAsia" w:ascii="宋体" w:hAnsi="宋体" w:cs="宋体"/>
          <w:bCs/>
          <w:color w:val="auto"/>
          <w:highlight w:val="none"/>
          <w:lang w:eastAsia="zh-CN"/>
        </w:rPr>
        <w:t>广西政府采购云平台</w:t>
      </w:r>
      <w:r>
        <w:rPr>
          <w:rFonts w:hint="eastAsia" w:ascii="宋体" w:hAnsi="宋体" w:cs="宋体"/>
          <w:bCs/>
          <w:color w:val="auto"/>
          <w:highlight w:val="none"/>
        </w:rPr>
        <w:t>”在线解密开启。</w:t>
      </w:r>
    </w:p>
    <w:p w14:paraId="1939512E">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五、公告期限</w:t>
      </w:r>
    </w:p>
    <w:p w14:paraId="79C94AA8">
      <w:pPr>
        <w:spacing w:line="360" w:lineRule="auto"/>
        <w:ind w:firstLine="54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4C40DF2C">
      <w:pPr>
        <w:numPr>
          <w:ilvl w:val="0"/>
          <w:numId w:val="1"/>
        </w:numPr>
        <w:spacing w:line="360" w:lineRule="auto"/>
        <w:rPr>
          <w:color w:val="auto"/>
          <w:highlight w:val="none"/>
        </w:rPr>
      </w:pPr>
      <w:bookmarkStart w:id="6" w:name="_Toc35393626"/>
      <w:bookmarkStart w:id="7" w:name="_Toc35393795"/>
      <w:r>
        <w:rPr>
          <w:rFonts w:hint="eastAsia" w:ascii="宋体" w:hAnsi="宋体" w:cs="宋体"/>
          <w:b/>
          <w:bCs/>
          <w:color w:val="auto"/>
          <w:szCs w:val="21"/>
          <w:highlight w:val="none"/>
        </w:rPr>
        <w:t>其他补充事宜</w:t>
      </w:r>
      <w:bookmarkEnd w:id="6"/>
      <w:bookmarkEnd w:id="7"/>
    </w:p>
    <w:p w14:paraId="779719D2">
      <w:pPr>
        <w:spacing w:line="360" w:lineRule="auto"/>
        <w:ind w:firstLine="540"/>
        <w:rPr>
          <w:rFonts w:ascii="宋体" w:hAnsi="宋体" w:cs="宋体"/>
          <w:color w:val="auto"/>
          <w:szCs w:val="21"/>
          <w:highlight w:val="none"/>
        </w:rPr>
      </w:pPr>
      <w:r>
        <w:rPr>
          <w:rFonts w:hint="eastAsia" w:ascii="宋体" w:hAnsi="宋体" w:cs="宋体"/>
          <w:b/>
          <w:bCs/>
          <w:color w:val="auto"/>
          <w:szCs w:val="21"/>
          <w:highlight w:val="none"/>
        </w:rPr>
        <w:t>1.本项目需要落实的政府采购政策</w:t>
      </w:r>
      <w:r>
        <w:rPr>
          <w:rFonts w:hint="eastAsia" w:ascii="宋体" w:hAnsi="宋体" w:cs="宋体"/>
          <w:color w:val="auto"/>
          <w:szCs w:val="21"/>
          <w:highlight w:val="none"/>
        </w:rPr>
        <w:t>：</w:t>
      </w:r>
    </w:p>
    <w:p w14:paraId="5241C35B">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1.1《政府采购促进中小企业发展暂行办法》（财库[2011]181号）。</w:t>
      </w:r>
    </w:p>
    <w:p w14:paraId="7D549ADC">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1.2《关于政府采购支持监狱企业发展有关问题的通知》（财库[2014]68号）。 </w:t>
      </w:r>
    </w:p>
    <w:p w14:paraId="670B8BDF">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1.3《关于促进残疾人就业政府采购政策的通知》（财库[2017]141号）。</w:t>
      </w:r>
    </w:p>
    <w:p w14:paraId="69789A82">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1.4强制、优先采购环境标志产品、节能产品</w:t>
      </w:r>
      <w:r>
        <w:rPr>
          <w:rFonts w:hint="eastAsia" w:ascii="宋体" w:hAnsi="宋体" w:cs="宋体"/>
          <w:color w:val="auto"/>
          <w:szCs w:val="21"/>
          <w:highlight w:val="none"/>
          <w:lang w:eastAsia="zh-CN"/>
        </w:rPr>
        <w:t>。</w:t>
      </w:r>
    </w:p>
    <w:p w14:paraId="51AB0B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lang w:val="en-US" w:eastAsia="zh-CN"/>
        </w:rPr>
        <w:t>2.</w:t>
      </w:r>
      <w:r>
        <w:rPr>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color w:val="auto"/>
          <w:szCs w:val="21"/>
          <w:highlight w:val="none"/>
        </w:rPr>
        <w:t>；</w:t>
      </w:r>
    </w:p>
    <w:p w14:paraId="79311E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color w:val="auto"/>
          <w:szCs w:val="21"/>
          <w:highlight w:val="none"/>
          <w:lang w:val="en-US" w:eastAsia="zh-CN"/>
        </w:rPr>
        <w:t>3.</w:t>
      </w:r>
      <w:r>
        <w:rPr>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r>
        <w:rPr>
          <w:rFonts w:hint="eastAsia"/>
          <w:color w:val="auto"/>
          <w:szCs w:val="21"/>
          <w:highlight w:val="none"/>
        </w:rPr>
        <w:t>；</w:t>
      </w:r>
    </w:p>
    <w:p w14:paraId="18EE3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90" w:leftChars="0" w:firstLine="540" w:firstLineChars="0"/>
        <w:textAlignment w:val="auto"/>
        <w:rPr>
          <w:rFonts w:hint="eastAsia" w:ascii="宋体" w:hAnsi="宋体" w:cs="宋体"/>
          <w:b/>
          <w:bCs/>
          <w:color w:val="auto"/>
          <w:szCs w:val="21"/>
          <w:highlight w:val="none"/>
        </w:rPr>
      </w:pPr>
      <w:r>
        <w:rPr>
          <w:rFonts w:hint="eastAsia" w:ascii="宋体" w:hAnsi="宋体" w:cs="宋体"/>
          <w:b/>
          <w:bCs/>
          <w:color w:val="auto"/>
          <w:kern w:val="2"/>
          <w:sz w:val="21"/>
          <w:szCs w:val="21"/>
          <w:highlight w:val="none"/>
          <w:lang w:val="en-US" w:eastAsia="zh-CN" w:bidi="ar-SA"/>
        </w:rPr>
        <w:t>4</w:t>
      </w:r>
      <w:r>
        <w:rPr>
          <w:rFonts w:hint="eastAsia" w:ascii="宋体" w:hAnsi="宋体" w:eastAsia="宋体" w:cs="宋体"/>
          <w:b/>
          <w:bCs/>
          <w:color w:val="auto"/>
          <w:kern w:val="2"/>
          <w:sz w:val="21"/>
          <w:szCs w:val="21"/>
          <w:highlight w:val="none"/>
          <w:lang w:val="en-US" w:eastAsia="zh-CN" w:bidi="ar-SA"/>
        </w:rPr>
        <w:t>.</w:t>
      </w:r>
      <w:r>
        <w:rPr>
          <w:rFonts w:hint="eastAsia" w:ascii="宋体" w:hAnsi="宋体" w:cs="宋体"/>
          <w:b/>
          <w:bCs/>
          <w:color w:val="auto"/>
          <w:szCs w:val="21"/>
          <w:highlight w:val="none"/>
        </w:rPr>
        <w:t>本项目为非专门面向中小微企业采购。</w:t>
      </w:r>
    </w:p>
    <w:p w14:paraId="31D562A1">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宋体" w:hAnsi="宋体" w:cs="宋体"/>
          <w:b/>
          <w:color w:val="auto"/>
          <w:szCs w:val="21"/>
          <w:highlight w:val="none"/>
        </w:rPr>
      </w:pPr>
      <w:bookmarkStart w:id="8" w:name="_Toc28359085"/>
      <w:bookmarkStart w:id="9" w:name="_Toc28359008"/>
      <w:bookmarkStart w:id="10" w:name="_Toc35393627"/>
      <w:bookmarkStart w:id="11" w:name="_Toc35393796"/>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电子投标相关事宜说明：</w:t>
      </w:r>
    </w:p>
    <w:p w14:paraId="17455640">
      <w:pPr>
        <w:spacing w:line="360" w:lineRule="auto"/>
        <w:ind w:firstLine="460" w:firstLineChars="200"/>
        <w:rPr>
          <w:rFonts w:hint="eastAsia" w:ascii="宋体" w:hAnsi="宋体" w:cs="宋体"/>
          <w:b w:val="0"/>
          <w:bCs/>
          <w:color w:val="auto"/>
          <w:spacing w:val="10"/>
          <w:szCs w:val="21"/>
          <w:highlight w:val="none"/>
        </w:rPr>
      </w:pPr>
      <w:r>
        <w:rPr>
          <w:rFonts w:hint="eastAsia" w:ascii="宋体" w:hAnsi="宋体" w:cs="宋体"/>
          <w:b w:val="0"/>
          <w:bCs/>
          <w:color w:val="auto"/>
          <w:spacing w:val="10"/>
          <w:szCs w:val="21"/>
          <w:highlight w:val="none"/>
          <w:lang w:val="en-US" w:eastAsia="zh-CN"/>
        </w:rPr>
        <w:t>5</w:t>
      </w:r>
      <w:r>
        <w:rPr>
          <w:rFonts w:hint="eastAsia" w:ascii="宋体" w:hAnsi="宋体" w:cs="宋体"/>
          <w:b w:val="0"/>
          <w:bCs/>
          <w:color w:val="auto"/>
          <w:spacing w:val="10"/>
          <w:szCs w:val="21"/>
          <w:highlight w:val="none"/>
        </w:rPr>
        <w:t>.1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29E4FE38">
      <w:pPr>
        <w:spacing w:line="360" w:lineRule="auto"/>
        <w:ind w:firstLine="460" w:firstLineChars="200"/>
        <w:rPr>
          <w:rFonts w:hint="eastAsia" w:ascii="宋体" w:hAnsi="宋体" w:cs="宋体"/>
          <w:b w:val="0"/>
          <w:bCs/>
          <w:color w:val="auto"/>
          <w:spacing w:val="10"/>
          <w:szCs w:val="21"/>
          <w:highlight w:val="none"/>
        </w:rPr>
      </w:pPr>
      <w:r>
        <w:rPr>
          <w:rFonts w:hint="eastAsia" w:ascii="宋体" w:hAnsi="宋体" w:cs="宋体"/>
          <w:b w:val="0"/>
          <w:bCs/>
          <w:color w:val="auto"/>
          <w:spacing w:val="10"/>
          <w:szCs w:val="21"/>
          <w:highlight w:val="none"/>
          <w:lang w:val="en-US" w:eastAsia="zh-CN"/>
        </w:rPr>
        <w:t>5</w:t>
      </w:r>
      <w:r>
        <w:rPr>
          <w:rFonts w:hint="eastAsia" w:ascii="宋体" w:hAnsi="宋体" w:cs="宋体"/>
          <w:b w:val="0"/>
          <w:bCs/>
          <w:color w:val="auto"/>
          <w:spacing w:val="10"/>
          <w:szCs w:val="21"/>
          <w:highlight w:val="none"/>
        </w:rPr>
        <w:t>.2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170EF49F">
      <w:pPr>
        <w:spacing w:line="360" w:lineRule="auto"/>
        <w:ind w:firstLine="230" w:firstLineChars="100"/>
        <w:rPr>
          <w:rFonts w:ascii="宋体" w:hAnsi="宋体" w:cs="宋体"/>
          <w:color w:val="auto"/>
          <w:szCs w:val="21"/>
          <w:highlight w:val="none"/>
        </w:rPr>
      </w:pPr>
      <w:r>
        <w:rPr>
          <w:rFonts w:hint="eastAsia" w:ascii="宋体" w:hAnsi="宋体" w:cs="宋体"/>
          <w:b/>
          <w:color w:val="auto"/>
          <w:spacing w:val="10"/>
          <w:szCs w:val="21"/>
          <w:highlight w:val="none"/>
        </w:rPr>
        <w:t>八、信息公告发布媒体</w:t>
      </w:r>
      <w:r>
        <w:rPr>
          <w:rFonts w:hint="eastAsia" w:ascii="宋体" w:hAnsi="宋体" w:cs="宋体"/>
          <w:color w:val="auto"/>
          <w:szCs w:val="21"/>
          <w:highlight w:val="none"/>
        </w:rPr>
        <w:t>：</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Fonts w:hint="eastAsia" w:ascii="宋体" w:hAnsi="宋体" w:cs="宋体"/>
          <w:color w:val="auto"/>
          <w:szCs w:val="21"/>
          <w:highlight w:val="none"/>
        </w:rPr>
        <w:t>http://www.ccgp.gov.cn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"http://zfcg.gxzf.gov.cn/" \h </w:instrText>
      </w:r>
      <w:r>
        <w:rPr>
          <w:color w:val="auto"/>
          <w:highlight w:val="none"/>
        </w:rPr>
        <w:fldChar w:fldCharType="separate"/>
      </w:r>
      <w:r>
        <w:rPr>
          <w:rFonts w:hint="eastAsia" w:ascii="宋体" w:hAnsi="宋体" w:cs="宋体"/>
          <w:color w:val="auto"/>
          <w:szCs w:val="21"/>
          <w:highlight w:val="none"/>
        </w:rPr>
        <w:t>http://zfcg.gxzf.gov.cn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（广西壮族自治区政府采购网）、</w:t>
      </w:r>
      <w:r>
        <w:rPr>
          <w:color w:val="auto"/>
          <w:highlight w:val="none"/>
        </w:rPr>
        <w:fldChar w:fldCharType="begin"/>
      </w:r>
      <w:r>
        <w:rPr>
          <w:color w:val="auto"/>
          <w:highlight w:val="none"/>
        </w:rPr>
        <w:instrText xml:space="preserve"> HYPERLINK "http://zfcg.czj.guilin.gov.cn/" \h </w:instrText>
      </w:r>
      <w:r>
        <w:rPr>
          <w:color w:val="auto"/>
          <w:highlight w:val="none"/>
        </w:rPr>
        <w:fldChar w:fldCharType="separate"/>
      </w:r>
      <w:r>
        <w:rPr>
          <w:rFonts w:hint="eastAsia" w:ascii="宋体" w:hAnsi="宋体" w:cs="宋体"/>
          <w:color w:val="auto"/>
          <w:szCs w:val="21"/>
          <w:highlight w:val="none"/>
        </w:rPr>
        <w:t>http://zfcg.czj.guilin.gov.cn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（桂林市政府采购网）</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桂林市人民医院（https://www.glsrmyy.cn/）</w:t>
      </w:r>
      <w:r>
        <w:rPr>
          <w:rFonts w:hint="eastAsia" w:ascii="宋体" w:hAnsi="宋体" w:cs="宋体"/>
          <w:color w:val="auto"/>
          <w:szCs w:val="21"/>
          <w:highlight w:val="none"/>
        </w:rPr>
        <w:t>。</w:t>
      </w:r>
    </w:p>
    <w:p w14:paraId="43B52568">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九、对本次招标提出询问，请按以下方式联系</w:t>
      </w:r>
      <w:bookmarkEnd w:id="8"/>
      <w:bookmarkEnd w:id="9"/>
      <w:bookmarkEnd w:id="10"/>
      <w:bookmarkEnd w:id="11"/>
    </w:p>
    <w:p w14:paraId="7383904E">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1.采购人信息</w:t>
      </w:r>
    </w:p>
    <w:p w14:paraId="4F29A46C">
      <w:pPr>
        <w:spacing w:line="360" w:lineRule="auto"/>
        <w:ind w:firstLine="54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名  称：桂林市人民医院          </w:t>
      </w:r>
    </w:p>
    <w:p w14:paraId="28DFB2B8">
      <w:pPr>
        <w:spacing w:line="360" w:lineRule="auto"/>
        <w:ind w:firstLine="54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地  址：</w:t>
      </w:r>
      <w:bookmarkStart w:id="12" w:name="OLE_LINK15"/>
      <w:bookmarkStart w:id="13" w:name="OLE_LINK16"/>
      <w:r>
        <w:rPr>
          <w:rFonts w:hint="eastAsia" w:ascii="宋体" w:hAnsi="宋体" w:cs="宋体"/>
          <w:color w:val="auto"/>
          <w:szCs w:val="21"/>
          <w:highlight w:val="none"/>
          <w:lang w:val="en-US" w:eastAsia="zh-CN"/>
        </w:rPr>
        <w:t>广西桂林市文明路12号</w:t>
      </w:r>
      <w:bookmarkEnd w:id="12"/>
      <w:bookmarkEnd w:id="13"/>
      <w:r>
        <w:rPr>
          <w:rFonts w:hint="eastAsia" w:ascii="宋体" w:hAnsi="宋体" w:cs="宋体"/>
          <w:color w:val="auto"/>
          <w:szCs w:val="21"/>
          <w:highlight w:val="none"/>
          <w:lang w:val="en-US" w:eastAsia="zh-CN"/>
        </w:rPr>
        <w:t>　　　　　　　　　　</w:t>
      </w:r>
    </w:p>
    <w:p w14:paraId="107F30D2">
      <w:pPr>
        <w:keepNext w:val="0"/>
        <w:keepLines w:val="0"/>
        <w:widowControl/>
        <w:suppressLineNumbers w:val="0"/>
        <w:ind w:firstLine="630" w:firstLineChars="300"/>
        <w:jc w:val="left"/>
        <w:rPr>
          <w:rFonts w:ascii="宋体" w:hAnsi="宋体" w:cs="宋体"/>
          <w:color w:val="auto"/>
          <w:szCs w:val="21"/>
          <w:highlight w:val="none"/>
        </w:rPr>
      </w:pPr>
      <w:r>
        <w:rPr>
          <w:rFonts w:hint="eastAsia" w:ascii="宋体" w:hAnsi="宋体" w:cs="宋体"/>
          <w:color w:val="auto"/>
          <w:szCs w:val="21"/>
          <w:highlight w:val="none"/>
          <w:lang w:val="en-US" w:eastAsia="zh-CN"/>
        </w:rPr>
        <w:t>项目联系人：</w:t>
      </w:r>
      <w:bookmarkStart w:id="14" w:name="OLE_LINK7"/>
      <w:bookmarkStart w:id="15" w:name="OLE_LINK8"/>
      <w:r>
        <w:rPr>
          <w:rFonts w:hint="eastAsia" w:ascii="宋体" w:hAnsi="宋体" w:cs="宋体"/>
          <w:color w:val="auto"/>
          <w:szCs w:val="21"/>
          <w:highlight w:val="none"/>
          <w:lang w:val="en-US" w:eastAsia="zh-CN"/>
        </w:rPr>
        <w:t>戴老师</w:t>
      </w:r>
      <w:bookmarkEnd w:id="14"/>
      <w:bookmarkEnd w:id="15"/>
      <w:r>
        <w:rPr>
          <w:rFonts w:hint="eastAsia" w:ascii="宋体" w:hAnsi="宋体" w:cs="宋体"/>
          <w:color w:val="auto"/>
          <w:szCs w:val="21"/>
          <w:highlight w:val="none"/>
          <w:lang w:val="en-US" w:eastAsia="zh-CN"/>
        </w:rPr>
        <w:t xml:space="preserve">      项目联系方式：</w:t>
      </w:r>
      <w:r>
        <w:rPr>
          <w:rFonts w:hint="eastAsia" w:ascii="宋体" w:hAnsi="宋体" w:eastAsia="宋体" w:cs="宋体"/>
          <w:color w:val="auto"/>
          <w:kern w:val="0"/>
          <w:sz w:val="20"/>
          <w:szCs w:val="20"/>
          <w:highlight w:val="none"/>
          <w:lang w:val="en-US" w:eastAsia="zh-CN" w:bidi="ar"/>
        </w:rPr>
        <w:t>0773-2803316</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w:t>
      </w:r>
    </w:p>
    <w:p w14:paraId="67AEC05F">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2.采购代理机构信息</w:t>
      </w:r>
    </w:p>
    <w:p w14:paraId="6462455C">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名称：广西鼎策工程顾问有限责任公司</w:t>
      </w:r>
    </w:p>
    <w:p w14:paraId="1947856C">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桂林市七星区信息路星辰科技广场B3-</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室</w:t>
      </w:r>
      <w:r>
        <w:rPr>
          <w:rFonts w:hint="eastAsia" w:ascii="宋体" w:hAnsi="宋体" w:cs="宋体"/>
          <w:color w:val="auto"/>
          <w:szCs w:val="21"/>
          <w:highlight w:val="none"/>
        </w:rPr>
        <w:t xml:space="preserve"> </w:t>
      </w:r>
    </w:p>
    <w:p w14:paraId="13AE5ACB">
      <w:pPr>
        <w:spacing w:line="360" w:lineRule="auto"/>
        <w:ind w:firstLine="540"/>
        <w:rPr>
          <w:rFonts w:ascii="宋体" w:hAnsi="宋体" w:cs="宋体"/>
          <w:color w:val="auto"/>
          <w:szCs w:val="21"/>
          <w:highlight w:val="none"/>
        </w:rPr>
      </w:pPr>
      <w:r>
        <w:rPr>
          <w:rFonts w:hint="eastAsia" w:ascii="宋体" w:hAnsi="宋体" w:cs="宋体"/>
          <w:color w:val="auto"/>
          <w:szCs w:val="21"/>
          <w:highlight w:val="none"/>
        </w:rPr>
        <w:t>项目联系人：蒋丽英      电　话： 0773-8980919</w:t>
      </w:r>
    </w:p>
    <w:p w14:paraId="57C8D11A">
      <w:pPr>
        <w:spacing w:line="360" w:lineRule="auto"/>
        <w:ind w:firstLine="2730" w:firstLineChars="1300"/>
        <w:jc w:val="center"/>
        <w:rPr>
          <w:rFonts w:ascii="宋体" w:hAnsi="宋体" w:cs="宋体"/>
          <w:color w:val="auto"/>
          <w:szCs w:val="21"/>
          <w:highlight w:val="none"/>
        </w:rPr>
      </w:pPr>
      <w:r>
        <w:rPr>
          <w:rFonts w:hint="eastAsia" w:ascii="宋体" w:hAnsi="宋体" w:cs="宋体"/>
          <w:color w:val="auto"/>
          <w:szCs w:val="21"/>
          <w:highlight w:val="none"/>
        </w:rPr>
        <w:t xml:space="preserve">          </w:t>
      </w:r>
    </w:p>
    <w:p w14:paraId="5293A066">
      <w:pPr>
        <w:spacing w:line="360" w:lineRule="auto"/>
        <w:ind w:firstLine="2730" w:firstLineChars="1300"/>
        <w:jc w:val="right"/>
        <w:rPr>
          <w:rFonts w:ascii="宋体" w:hAnsi="宋体" w:cs="宋体"/>
          <w:color w:val="auto"/>
          <w:szCs w:val="21"/>
          <w:highlight w:val="none"/>
        </w:rPr>
      </w:pPr>
      <w:r>
        <w:rPr>
          <w:rFonts w:hint="eastAsia" w:ascii="宋体" w:hAnsi="宋体" w:cs="宋体"/>
          <w:color w:val="auto"/>
          <w:szCs w:val="21"/>
          <w:highlight w:val="none"/>
        </w:rPr>
        <w:t>广西鼎策工程顾问有限责任公司</w:t>
      </w:r>
    </w:p>
    <w:p w14:paraId="1CD5E648">
      <w:pPr>
        <w:spacing w:line="360" w:lineRule="auto"/>
        <w:jc w:val="center"/>
        <w:rPr>
          <w:rFonts w:ascii="宋体" w:hAnsi="宋体" w:cs="宋体"/>
          <w:b/>
          <w:color w:val="auto"/>
          <w:sz w:val="32"/>
          <w:szCs w:val="32"/>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日</w:t>
      </w:r>
      <w:r>
        <w:rPr>
          <w:rFonts w:hint="eastAsia" w:ascii="宋体" w:hAnsi="宋体" w:cs="宋体"/>
          <w:b/>
          <w:color w:val="auto"/>
          <w:szCs w:val="21"/>
          <w:highlight w:val="none"/>
        </w:rPr>
        <w:br w:type="page"/>
      </w:r>
      <w:bookmarkStart w:id="16" w:name="_Toc5551"/>
      <w:r>
        <w:rPr>
          <w:rStyle w:val="34"/>
          <w:rFonts w:hint="eastAsia"/>
          <w:color w:val="auto"/>
          <w:highlight w:val="none"/>
        </w:rPr>
        <w:t>第二章  投标人须知</w:t>
      </w:r>
      <w:bookmarkEnd w:id="16"/>
    </w:p>
    <w:p w14:paraId="0EC4E3D4">
      <w:pPr>
        <w:tabs>
          <w:tab w:val="left" w:pos="1065"/>
          <w:tab w:val="center" w:pos="4411"/>
        </w:tabs>
        <w:spacing w:line="440" w:lineRule="atLeast"/>
        <w:jc w:val="center"/>
        <w:rPr>
          <w:rFonts w:ascii="宋体" w:hAnsi="宋体" w:cs="宋体"/>
          <w:b/>
          <w:color w:val="auto"/>
          <w:sz w:val="24"/>
          <w:highlight w:val="none"/>
        </w:rPr>
      </w:pPr>
      <w:r>
        <w:rPr>
          <w:rFonts w:hint="eastAsia" w:ascii="宋体" w:hAnsi="宋体" w:cs="宋体"/>
          <w:b/>
          <w:color w:val="auto"/>
          <w:sz w:val="24"/>
          <w:highlight w:val="none"/>
        </w:rPr>
        <w:t>投 标 人 须 知 前 附 表</w:t>
      </w:r>
    </w:p>
    <w:tbl>
      <w:tblPr>
        <w:tblStyle w:val="22"/>
        <w:tblW w:w="10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30"/>
        <w:gridCol w:w="1556"/>
        <w:gridCol w:w="6614"/>
      </w:tblGrid>
      <w:tr w14:paraId="078E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00" w:type="dxa"/>
            <w:vAlign w:val="center"/>
          </w:tcPr>
          <w:p w14:paraId="7CD27B21">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130" w:type="dxa"/>
            <w:vAlign w:val="center"/>
          </w:tcPr>
          <w:p w14:paraId="25F60FA1">
            <w:pPr>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1556" w:type="dxa"/>
            <w:vAlign w:val="center"/>
          </w:tcPr>
          <w:p w14:paraId="4EFF2D93">
            <w:pPr>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614" w:type="dxa"/>
            <w:vAlign w:val="center"/>
          </w:tcPr>
          <w:p w14:paraId="7263B916">
            <w:pPr>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内容、要求</w:t>
            </w:r>
          </w:p>
        </w:tc>
      </w:tr>
      <w:tr w14:paraId="7FCE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00" w:type="dxa"/>
            <w:vAlign w:val="center"/>
          </w:tcPr>
          <w:p w14:paraId="41434BF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130" w:type="dxa"/>
            <w:vAlign w:val="center"/>
          </w:tcPr>
          <w:p w14:paraId="04743F11">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556" w:type="dxa"/>
            <w:vAlign w:val="center"/>
          </w:tcPr>
          <w:p w14:paraId="088F041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项目名称及</w:t>
            </w:r>
          </w:p>
          <w:p w14:paraId="65C3B7E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项目编号</w:t>
            </w:r>
          </w:p>
        </w:tc>
        <w:tc>
          <w:tcPr>
            <w:tcW w:w="6614" w:type="dxa"/>
            <w:vAlign w:val="center"/>
          </w:tcPr>
          <w:p w14:paraId="11CF381A">
            <w:pPr>
              <w:spacing w:line="360" w:lineRule="auto"/>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血液透析机等设备采购</w:t>
            </w:r>
            <w:r>
              <w:rPr>
                <w:rFonts w:hint="eastAsia" w:ascii="宋体" w:hAnsi="宋体" w:cs="宋体"/>
                <w:color w:val="auto"/>
                <w:szCs w:val="21"/>
                <w:highlight w:val="none"/>
              </w:rPr>
              <w:t xml:space="preserve">  </w:t>
            </w:r>
          </w:p>
          <w:p w14:paraId="1C438777">
            <w:pPr>
              <w:spacing w:line="460" w:lineRule="exact"/>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lang w:val="en-US" w:eastAsia="zh-CN"/>
              </w:rPr>
              <w:t xml:space="preserve">GLZC2026-G1-990159-GXDC </w:t>
            </w:r>
            <w:r>
              <w:rPr>
                <w:rFonts w:hint="eastAsia" w:ascii="宋体" w:hAnsi="宋体" w:cs="宋体"/>
                <w:color w:val="auto"/>
                <w:szCs w:val="21"/>
                <w:highlight w:val="none"/>
              </w:rPr>
              <w:t xml:space="preserve"> </w:t>
            </w:r>
          </w:p>
        </w:tc>
      </w:tr>
      <w:tr w14:paraId="36C9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Align w:val="center"/>
          </w:tcPr>
          <w:p w14:paraId="790F393D">
            <w:pPr>
              <w:spacing w:line="46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2</w:t>
            </w:r>
          </w:p>
        </w:tc>
        <w:tc>
          <w:tcPr>
            <w:tcW w:w="1130" w:type="dxa"/>
            <w:vAlign w:val="center"/>
          </w:tcPr>
          <w:p w14:paraId="098BCC4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556" w:type="dxa"/>
            <w:vAlign w:val="center"/>
          </w:tcPr>
          <w:p w14:paraId="0016C973">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投标人资格</w:t>
            </w:r>
          </w:p>
        </w:tc>
        <w:tc>
          <w:tcPr>
            <w:tcW w:w="6614" w:type="dxa"/>
            <w:vAlign w:val="center"/>
          </w:tcPr>
          <w:p w14:paraId="20597A3C">
            <w:pPr>
              <w:tabs>
                <w:tab w:val="left" w:pos="8820"/>
              </w:tabs>
              <w:spacing w:line="400" w:lineRule="exact"/>
              <w:rPr>
                <w:bCs/>
                <w:color w:val="auto"/>
                <w:szCs w:val="21"/>
                <w:highlight w:val="none"/>
              </w:rPr>
            </w:pPr>
            <w:r>
              <w:rPr>
                <w:rFonts w:hint="eastAsia"/>
                <w:bCs/>
                <w:color w:val="auto"/>
                <w:szCs w:val="21"/>
                <w:highlight w:val="none"/>
                <w:lang w:val="en-US" w:eastAsia="zh-CN"/>
              </w:rPr>
              <w:t>5.</w:t>
            </w:r>
            <w:r>
              <w:rPr>
                <w:rFonts w:hint="eastAsia"/>
                <w:bCs/>
                <w:color w:val="auto"/>
                <w:szCs w:val="21"/>
                <w:highlight w:val="none"/>
              </w:rPr>
              <w:t>1.满足《中华人民共和国政府采购法》第二十二条规定；</w:t>
            </w:r>
          </w:p>
          <w:p w14:paraId="20B0D353">
            <w:pPr>
              <w:tabs>
                <w:tab w:val="left" w:pos="8820"/>
              </w:tabs>
              <w:spacing w:line="400" w:lineRule="exact"/>
              <w:rPr>
                <w:bCs/>
                <w:color w:val="auto"/>
                <w:szCs w:val="21"/>
                <w:highlight w:val="none"/>
              </w:rPr>
            </w:pPr>
            <w:r>
              <w:rPr>
                <w:rFonts w:hint="eastAsia"/>
                <w:bCs/>
                <w:color w:val="auto"/>
                <w:szCs w:val="21"/>
                <w:highlight w:val="none"/>
                <w:lang w:val="en-US" w:eastAsia="zh-CN"/>
              </w:rPr>
              <w:t>5.</w:t>
            </w:r>
            <w:r>
              <w:rPr>
                <w:rFonts w:hint="eastAsia"/>
                <w:bCs/>
                <w:color w:val="auto"/>
                <w:szCs w:val="21"/>
                <w:highlight w:val="none"/>
              </w:rPr>
              <w:t>2.落实政府采购政策需满足的资格要求：无</w:t>
            </w:r>
          </w:p>
          <w:p w14:paraId="196F313E">
            <w:pPr>
              <w:tabs>
                <w:tab w:val="left" w:pos="8820"/>
              </w:tabs>
              <w:spacing w:line="400" w:lineRule="exact"/>
              <w:rPr>
                <w:bCs/>
                <w:color w:val="auto"/>
                <w:szCs w:val="21"/>
                <w:highlight w:val="none"/>
              </w:rPr>
            </w:pPr>
            <w:r>
              <w:rPr>
                <w:rFonts w:hint="eastAsia"/>
                <w:bCs/>
                <w:color w:val="auto"/>
                <w:szCs w:val="21"/>
                <w:highlight w:val="none"/>
                <w:lang w:val="en-US" w:eastAsia="zh-CN"/>
              </w:rPr>
              <w:t>5.</w:t>
            </w:r>
            <w:r>
              <w:rPr>
                <w:rFonts w:hint="eastAsia"/>
                <w:bCs/>
                <w:color w:val="auto"/>
                <w:szCs w:val="21"/>
                <w:highlight w:val="none"/>
              </w:rPr>
              <w:t>3.本项目的特定资格要求：</w:t>
            </w:r>
            <w:r>
              <w:rPr>
                <w:bCs/>
                <w:color w:val="auto"/>
                <w:szCs w:val="21"/>
                <w:highlight w:val="none"/>
              </w:rPr>
              <w:t>本项目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hint="eastAsia"/>
                <w:bCs/>
                <w:color w:val="auto"/>
                <w:szCs w:val="21"/>
                <w:highlight w:val="none"/>
              </w:rPr>
              <w:t>；</w:t>
            </w:r>
          </w:p>
          <w:p w14:paraId="5875F715">
            <w:pPr>
              <w:tabs>
                <w:tab w:val="left" w:pos="8820"/>
              </w:tabs>
              <w:spacing w:line="400" w:lineRule="exact"/>
              <w:rPr>
                <w:rFonts w:ascii="宋体" w:hAnsi="宋体" w:cs="宋体"/>
                <w:color w:val="auto"/>
                <w:szCs w:val="21"/>
                <w:highlight w:val="none"/>
              </w:rPr>
            </w:pPr>
            <w:r>
              <w:rPr>
                <w:rFonts w:hint="eastAsia"/>
                <w:bCs/>
                <w:color w:val="auto"/>
                <w:szCs w:val="21"/>
                <w:highlight w:val="none"/>
                <w:lang w:val="en-US" w:eastAsia="zh-CN"/>
              </w:rPr>
              <w:t>5.4.</w:t>
            </w:r>
            <w:r>
              <w:rPr>
                <w:rFonts w:hint="eastAsia"/>
                <w:bCs/>
                <w:color w:val="auto"/>
                <w:szCs w:val="21"/>
                <w:highlight w:val="none"/>
              </w:rPr>
              <w:t>本项目不接受联合体投标。</w:t>
            </w:r>
          </w:p>
        </w:tc>
      </w:tr>
      <w:tr w14:paraId="4EC9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22C8D9D0">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130" w:type="dxa"/>
            <w:vAlign w:val="center"/>
          </w:tcPr>
          <w:p w14:paraId="44ACFF0A">
            <w:pPr>
              <w:spacing w:line="46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5.</w:t>
            </w:r>
            <w:r>
              <w:rPr>
                <w:rFonts w:hint="eastAsia" w:ascii="宋体" w:hAnsi="宋体" w:cs="宋体"/>
                <w:color w:val="auto"/>
                <w:kern w:val="0"/>
                <w:szCs w:val="21"/>
                <w:highlight w:val="none"/>
                <w:lang w:val="en-US" w:eastAsia="zh-CN"/>
              </w:rPr>
              <w:t>5</w:t>
            </w:r>
          </w:p>
        </w:tc>
        <w:tc>
          <w:tcPr>
            <w:tcW w:w="1556" w:type="dxa"/>
            <w:vAlign w:val="center"/>
          </w:tcPr>
          <w:p w14:paraId="6A928441">
            <w:pPr>
              <w:spacing w:line="460" w:lineRule="exact"/>
              <w:jc w:val="center"/>
              <w:rPr>
                <w:rFonts w:hint="eastAsia" w:ascii="宋体" w:hAnsi="宋体" w:eastAsia="宋体" w:cs="宋体"/>
                <w:color w:val="auto"/>
                <w:position w:val="-2"/>
                <w:szCs w:val="21"/>
                <w:highlight w:val="none"/>
                <w:lang w:eastAsia="zh-CN"/>
              </w:rPr>
            </w:pPr>
            <w:r>
              <w:rPr>
                <w:rFonts w:hint="eastAsia" w:ascii="宋体" w:hAnsi="宋体" w:cs="宋体"/>
                <w:color w:val="auto"/>
                <w:kern w:val="0"/>
                <w:szCs w:val="21"/>
                <w:highlight w:val="none"/>
              </w:rPr>
              <w:t>参与电子投标的准备工作</w:t>
            </w:r>
            <w:r>
              <w:rPr>
                <w:rFonts w:hint="eastAsia" w:ascii="宋体" w:hAnsi="宋体" w:cs="宋体"/>
                <w:color w:val="auto"/>
                <w:kern w:val="0"/>
                <w:szCs w:val="21"/>
                <w:highlight w:val="none"/>
                <w:lang w:eastAsia="zh-CN"/>
              </w:rPr>
              <w:t>及投标费用</w:t>
            </w:r>
          </w:p>
        </w:tc>
        <w:tc>
          <w:tcPr>
            <w:tcW w:w="6614" w:type="dxa"/>
            <w:vAlign w:val="center"/>
          </w:tcPr>
          <w:p w14:paraId="37EEDA77">
            <w:pPr>
              <w:snapToGrid w:val="0"/>
              <w:spacing w:line="340" w:lineRule="exact"/>
              <w:rPr>
                <w:rFonts w:hint="eastAsia" w:ascii="宋体" w:hAnsi="宋体"/>
                <w:color w:val="auto"/>
                <w:szCs w:val="21"/>
                <w:highlight w:val="none"/>
              </w:rPr>
            </w:pPr>
            <w:r>
              <w:rPr>
                <w:rFonts w:hint="eastAsia" w:ascii="宋体" w:hAnsi="宋体" w:cs="宋体"/>
                <w:color w:val="auto"/>
                <w:kern w:val="0"/>
                <w:szCs w:val="21"/>
                <w:highlight w:val="none"/>
              </w:rPr>
              <w:t>5.</w:t>
            </w:r>
            <w:r>
              <w:rPr>
                <w:rFonts w:hint="eastAsia" w:ascii="宋体" w:hAnsi="宋体" w:cs="宋体"/>
                <w:color w:val="auto"/>
                <w:kern w:val="0"/>
                <w:szCs w:val="21"/>
                <w:highlight w:val="none"/>
                <w:lang w:val="en-US" w:eastAsia="zh-CN"/>
              </w:rPr>
              <w:t>5</w:t>
            </w:r>
            <w:r>
              <w:rPr>
                <w:rFonts w:hint="eastAsia" w:ascii="宋体" w:hAnsi="宋体"/>
                <w:color w:val="auto"/>
                <w:szCs w:val="21"/>
                <w:highlight w:val="none"/>
              </w:rPr>
              <w:t>.参与电子投标的准备工作</w:t>
            </w:r>
          </w:p>
          <w:p w14:paraId="6887CF50">
            <w:pPr>
              <w:snapToGrid w:val="0"/>
              <w:spacing w:line="340" w:lineRule="exac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2812D384">
            <w:pPr>
              <w:spacing w:line="350" w:lineRule="exact"/>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446CE511">
            <w:pPr>
              <w:spacing w:line="460" w:lineRule="exact"/>
              <w:rPr>
                <w:rFonts w:ascii="宋体" w:hAnsi="宋体" w:cs="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w:t>
            </w:r>
            <w:r>
              <w:rPr>
                <w:rFonts w:hint="eastAsia" w:ascii="宋体" w:hAnsi="宋体"/>
                <w:color w:val="auto"/>
                <w:szCs w:val="21"/>
                <w:highlight w:val="none"/>
              </w:rPr>
              <w:t>投标费用：本项目实行网上评审，采用电子投标；若投标人参与项目投标的，不论投标结果如何，均应自行承担所有与投标有关的全部费用。</w:t>
            </w:r>
          </w:p>
        </w:tc>
      </w:tr>
      <w:tr w14:paraId="25F7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2B368C9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130" w:type="dxa"/>
            <w:vAlign w:val="center"/>
          </w:tcPr>
          <w:p w14:paraId="1E3EC254">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556" w:type="dxa"/>
            <w:vAlign w:val="center"/>
          </w:tcPr>
          <w:p w14:paraId="7F1DFE1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投标报价</w:t>
            </w:r>
          </w:p>
        </w:tc>
        <w:tc>
          <w:tcPr>
            <w:tcW w:w="6614" w:type="dxa"/>
            <w:vAlign w:val="center"/>
          </w:tcPr>
          <w:p w14:paraId="4301C2D9">
            <w:pPr>
              <w:tabs>
                <w:tab w:val="left" w:pos="1305"/>
              </w:tabs>
              <w:spacing w:line="460" w:lineRule="exact"/>
              <w:rPr>
                <w:rFonts w:ascii="宋体" w:hAnsi="宋体" w:cs="宋体"/>
                <w:bCs/>
                <w:color w:val="auto"/>
                <w:szCs w:val="21"/>
                <w:highlight w:val="none"/>
              </w:rPr>
            </w:pPr>
            <w:r>
              <w:rPr>
                <w:rFonts w:hint="eastAsia" w:ascii="宋体" w:hAnsi="宋体" w:cs="宋体"/>
                <w:bCs/>
                <w:color w:val="auto"/>
                <w:szCs w:val="21"/>
                <w:highlight w:val="none"/>
              </w:rPr>
              <w:t>15.1 投标报价应按招标文件中第六章“投标文件（格式）”填写，投标报价超过采购最高限价的，投标文件按无效处理。</w:t>
            </w:r>
          </w:p>
          <w:p w14:paraId="1F8AC594">
            <w:pPr>
              <w:tabs>
                <w:tab w:val="left" w:pos="1305"/>
              </w:tabs>
              <w:spacing w:line="460" w:lineRule="exact"/>
              <w:rPr>
                <w:rFonts w:hint="eastAsia" w:ascii="宋体" w:hAnsi="宋体" w:cs="宋体"/>
                <w:bCs/>
                <w:color w:val="auto"/>
                <w:szCs w:val="21"/>
                <w:highlight w:val="none"/>
              </w:rPr>
            </w:pPr>
            <w:r>
              <w:rPr>
                <w:rFonts w:hint="eastAsia" w:ascii="宋体" w:hAnsi="宋体" w:cs="宋体"/>
                <w:bCs/>
                <w:color w:val="auto"/>
                <w:szCs w:val="21"/>
                <w:highlight w:val="none"/>
              </w:rPr>
              <w:t>15.2 投标人必须就“货物采购需求”中所有内容作完整唯一报价，否则，其投标将被拒绝；投标文件只允许有一个报价，有选择的或有条件的报价将不予接受。</w:t>
            </w:r>
          </w:p>
          <w:p w14:paraId="5D116CDD">
            <w:pPr>
              <w:tabs>
                <w:tab w:val="left" w:pos="1305"/>
              </w:tabs>
              <w:spacing w:line="460" w:lineRule="exact"/>
              <w:rPr>
                <w:rFonts w:ascii="宋体" w:hAnsi="宋体" w:cs="宋体"/>
                <w:color w:val="auto"/>
                <w:szCs w:val="21"/>
                <w:highlight w:val="none"/>
              </w:rPr>
            </w:pPr>
            <w:r>
              <w:rPr>
                <w:rFonts w:hint="eastAsia" w:ascii="宋体" w:hAnsi="宋体" w:cs="宋体"/>
                <w:bCs/>
                <w:color w:val="auto"/>
                <w:szCs w:val="21"/>
                <w:highlight w:val="none"/>
              </w:rPr>
              <w:t>15.3投标报价包含标的价款、标的随配标准附件、包装、运输（含装卸）、保险、安装调试、税费、培训、产品检测、与采购人相关信息系统对接、售后服务、验收、桂林市所属各县（区、市）检测样本运送至采购人产生的费用等全部费用。</w:t>
            </w:r>
          </w:p>
        </w:tc>
      </w:tr>
      <w:tr w14:paraId="14FF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0" w:type="dxa"/>
            <w:vAlign w:val="center"/>
          </w:tcPr>
          <w:p w14:paraId="1F0C5A2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1130" w:type="dxa"/>
            <w:vAlign w:val="center"/>
          </w:tcPr>
          <w:p w14:paraId="2FB6FC14">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1556" w:type="dxa"/>
            <w:vAlign w:val="center"/>
          </w:tcPr>
          <w:p w14:paraId="7460D85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614" w:type="dxa"/>
            <w:vAlign w:val="center"/>
          </w:tcPr>
          <w:p w14:paraId="7F86B4C3">
            <w:pPr>
              <w:tabs>
                <w:tab w:val="left" w:pos="1305"/>
              </w:tabs>
              <w:spacing w:line="460" w:lineRule="exact"/>
              <w:rPr>
                <w:rFonts w:ascii="宋体" w:hAnsi="宋体" w:cs="宋体"/>
                <w:color w:val="auto"/>
                <w:szCs w:val="21"/>
                <w:highlight w:val="none"/>
              </w:rPr>
            </w:pPr>
            <w:r>
              <w:rPr>
                <w:rFonts w:hint="eastAsia" w:ascii="宋体" w:hAnsi="宋体" w:cs="宋体"/>
                <w:color w:val="auto"/>
                <w:szCs w:val="21"/>
                <w:highlight w:val="none"/>
              </w:rPr>
              <w:t>16.1投标有效期：投标截止时间之日起90天。</w:t>
            </w:r>
          </w:p>
        </w:tc>
      </w:tr>
      <w:tr w14:paraId="0F4A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0" w:type="dxa"/>
            <w:vAlign w:val="center"/>
          </w:tcPr>
          <w:p w14:paraId="5FE45EF8">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1130" w:type="dxa"/>
            <w:vAlign w:val="center"/>
          </w:tcPr>
          <w:p w14:paraId="0C5EE55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17.1</w:t>
            </w:r>
          </w:p>
        </w:tc>
        <w:tc>
          <w:tcPr>
            <w:tcW w:w="1556" w:type="dxa"/>
            <w:vAlign w:val="center"/>
          </w:tcPr>
          <w:p w14:paraId="2AE27906">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电子投标文件的制作、加密</w:t>
            </w:r>
          </w:p>
        </w:tc>
        <w:tc>
          <w:tcPr>
            <w:tcW w:w="6614" w:type="dxa"/>
            <w:vAlign w:val="center"/>
          </w:tcPr>
          <w:p w14:paraId="7359EE76">
            <w:pPr>
              <w:spacing w:line="460" w:lineRule="exact"/>
              <w:rPr>
                <w:rFonts w:ascii="宋体" w:hAnsi="宋体" w:cs="宋体"/>
                <w:bCs/>
                <w:color w:val="auto"/>
                <w:szCs w:val="21"/>
                <w:highlight w:val="none"/>
              </w:rPr>
            </w:pPr>
            <w:r>
              <w:rPr>
                <w:rFonts w:hint="eastAsia" w:ascii="宋体" w:hAnsi="宋体" w:cs="宋体"/>
                <w:color w:val="auto"/>
                <w:kern w:val="0"/>
                <w:szCs w:val="21"/>
                <w:highlight w:val="none"/>
              </w:rPr>
              <w:t>17.1.1</w:t>
            </w:r>
            <w:r>
              <w:rPr>
                <w:rFonts w:hint="eastAsia" w:ascii="宋体" w:hAnsi="宋体" w:cs="宋体"/>
                <w:bCs/>
                <w:color w:val="auto"/>
                <w:szCs w:val="21"/>
                <w:highlight w:val="none"/>
              </w:rPr>
              <w:t>投标人制作电子投标文件前，必须登陆</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进行招标文件的获取操作。</w:t>
            </w:r>
          </w:p>
          <w:p w14:paraId="4FE5D52D">
            <w:pPr>
              <w:spacing w:line="460" w:lineRule="exact"/>
              <w:rPr>
                <w:rFonts w:ascii="宋体" w:hAnsi="宋体" w:cs="宋体"/>
                <w:bCs/>
                <w:color w:val="auto"/>
                <w:szCs w:val="21"/>
                <w:highlight w:val="none"/>
              </w:rPr>
            </w:pPr>
            <w:r>
              <w:rPr>
                <w:rFonts w:hint="eastAsia" w:ascii="宋体" w:hAnsi="宋体" w:cs="宋体"/>
                <w:bCs/>
                <w:color w:val="auto"/>
                <w:szCs w:val="21"/>
                <w:highlight w:val="none"/>
              </w:rPr>
              <w:t>17.</w:t>
            </w:r>
            <w:r>
              <w:rPr>
                <w:rFonts w:hint="eastAsia" w:ascii="宋体" w:hAnsi="宋体" w:cs="宋体"/>
                <w:color w:val="auto"/>
                <w:kern w:val="0"/>
                <w:szCs w:val="21"/>
                <w:highlight w:val="none"/>
              </w:rPr>
              <w:t>1.</w:t>
            </w:r>
            <w:r>
              <w:rPr>
                <w:rFonts w:hint="eastAsia" w:ascii="宋体" w:hAnsi="宋体" w:cs="宋体"/>
                <w:bCs/>
                <w:color w:val="auto"/>
                <w:szCs w:val="21"/>
                <w:highlight w:val="none"/>
              </w:rPr>
              <w:t>2投标人下载或获取招标文件后，登录“</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电子投标客户端”，按照本招标文件</w:t>
            </w:r>
            <w:r>
              <w:rPr>
                <w:rFonts w:hint="eastAsia" w:ascii="宋体" w:hAnsi="宋体" w:cs="宋体"/>
                <w:color w:val="auto"/>
                <w:szCs w:val="21"/>
                <w:highlight w:val="none"/>
              </w:rPr>
              <w:t>规定的投标文件格式、顺序</w:t>
            </w:r>
            <w:r>
              <w:rPr>
                <w:rFonts w:hint="eastAsia" w:ascii="宋体" w:hAnsi="宋体" w:cs="宋体"/>
                <w:bCs/>
                <w:color w:val="auto"/>
                <w:szCs w:val="21"/>
                <w:highlight w:val="none"/>
              </w:rPr>
              <w:t>以及</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的要求，通过“</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电子投标客户端”编制电子投标文件。</w:t>
            </w:r>
          </w:p>
          <w:p w14:paraId="019FB95F">
            <w:pPr>
              <w:spacing w:line="460" w:lineRule="exact"/>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3投标人应按“</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60E4C38D">
            <w:pPr>
              <w:spacing w:line="460" w:lineRule="exact"/>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4电子投标文件不得涂改，若有修改错漏处，须由法定代表人（负责人、自然人）或授权委托代理人通过“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电子投标客户端”采用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个人CA证书签章，没有办理</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的格式上传。因投标文件字迹潦草、表达不清、内容不完整、编排混乱导致投标文件被误读、漏读，或者在按招标文件规定的部位查找不到相关内容的，其不利后果由供应商自行承担。</w:t>
            </w:r>
          </w:p>
          <w:p w14:paraId="785B526C">
            <w:pPr>
              <w:tabs>
                <w:tab w:val="left" w:pos="1305"/>
              </w:tabs>
              <w:spacing w:line="460" w:lineRule="exact"/>
              <w:rPr>
                <w:rFonts w:ascii="宋体" w:hAnsi="宋体" w:cs="宋体"/>
                <w:color w:val="auto"/>
                <w:szCs w:val="21"/>
                <w:highlight w:val="none"/>
              </w:rPr>
            </w:pPr>
            <w:r>
              <w:rPr>
                <w:rFonts w:hint="eastAsia" w:ascii="宋体" w:hAnsi="宋体" w:cs="宋体"/>
                <w:color w:val="auto"/>
                <w:szCs w:val="21"/>
                <w:highlight w:val="none"/>
              </w:rPr>
              <w:t>17.</w:t>
            </w:r>
            <w:r>
              <w:rPr>
                <w:rFonts w:hint="eastAsia" w:ascii="宋体" w:hAnsi="宋体" w:cs="宋体"/>
                <w:color w:val="auto"/>
                <w:kern w:val="0"/>
                <w:szCs w:val="21"/>
                <w:highlight w:val="none"/>
              </w:rPr>
              <w:t>1.</w:t>
            </w:r>
            <w:r>
              <w:rPr>
                <w:rFonts w:hint="eastAsia" w:ascii="宋体" w:hAnsi="宋体" w:cs="宋体"/>
                <w:color w:val="auto"/>
                <w:szCs w:val="21"/>
                <w:highlight w:val="none"/>
              </w:rPr>
              <w:t>5投标人编制、生成电子投标文件后应当</w:t>
            </w:r>
            <w:r>
              <w:rPr>
                <w:rFonts w:hint="eastAsia" w:ascii="宋体" w:hAnsi="宋体" w:cs="宋体"/>
                <w:bCs/>
                <w:color w:val="auto"/>
                <w:szCs w:val="21"/>
                <w:highlight w:val="none"/>
              </w:rPr>
              <w:t>加密投标文件。</w:t>
            </w:r>
            <w:r>
              <w:rPr>
                <w:rFonts w:hint="eastAsia" w:ascii="宋体" w:hAnsi="宋体" w:cs="宋体"/>
                <w:color w:val="auto"/>
                <w:szCs w:val="21"/>
                <w:highlight w:val="none"/>
              </w:rPr>
              <w:t>投标人</w:t>
            </w:r>
            <w:r>
              <w:rPr>
                <w:rFonts w:hint="eastAsia" w:ascii="宋体" w:hAnsi="宋体" w:cs="宋体"/>
                <w:bCs/>
                <w:color w:val="auto"/>
                <w:szCs w:val="21"/>
                <w:highlight w:val="none"/>
              </w:rPr>
              <w:t>未按规定编制并加密的投标文件，“</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”将予以拒收。</w:t>
            </w:r>
          </w:p>
        </w:tc>
      </w:tr>
      <w:tr w14:paraId="2DDA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51EC602E">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1130" w:type="dxa"/>
            <w:vAlign w:val="center"/>
          </w:tcPr>
          <w:p w14:paraId="4FB47159">
            <w:pPr>
              <w:spacing w:line="4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17.2</w:t>
            </w:r>
          </w:p>
        </w:tc>
        <w:tc>
          <w:tcPr>
            <w:tcW w:w="1556" w:type="dxa"/>
            <w:vAlign w:val="center"/>
          </w:tcPr>
          <w:p w14:paraId="4CF83B22">
            <w:pPr>
              <w:spacing w:line="460" w:lineRule="exact"/>
              <w:jc w:val="center"/>
              <w:rPr>
                <w:rFonts w:ascii="宋体" w:hAnsi="宋体" w:cs="宋体"/>
                <w:color w:val="auto"/>
                <w:position w:val="10"/>
                <w:szCs w:val="21"/>
                <w:highlight w:val="none"/>
              </w:rPr>
            </w:pPr>
            <w:r>
              <w:rPr>
                <w:rFonts w:hint="eastAsia" w:ascii="宋体" w:hAnsi="宋体" w:cs="宋体"/>
                <w:color w:val="auto"/>
                <w:kern w:val="0"/>
                <w:szCs w:val="21"/>
                <w:highlight w:val="none"/>
              </w:rPr>
              <w:t>投标人公章及签字</w:t>
            </w:r>
          </w:p>
        </w:tc>
        <w:tc>
          <w:tcPr>
            <w:tcW w:w="6614" w:type="dxa"/>
            <w:vAlign w:val="center"/>
          </w:tcPr>
          <w:p w14:paraId="2B434077">
            <w:pPr>
              <w:spacing w:line="460" w:lineRule="exact"/>
              <w:jc w:val="left"/>
              <w:rPr>
                <w:rFonts w:ascii="宋体" w:hAnsi="宋体" w:cs="宋体"/>
                <w:color w:val="auto"/>
                <w:highlight w:val="none"/>
              </w:rPr>
            </w:pPr>
            <w:r>
              <w:rPr>
                <w:rFonts w:hint="eastAsia" w:ascii="宋体" w:hAnsi="宋体" w:cs="宋体"/>
                <w:color w:val="auto"/>
                <w:highlight w:val="none"/>
              </w:rPr>
              <w:t>17.2.1本招标文件中描述投标人的“公章”是指投标人通过指定电子化政府采购平台办理数字证书（CA认证证书）获得的以法定主体行为名称制作的电子印章。</w:t>
            </w:r>
          </w:p>
          <w:p w14:paraId="56B9A2CD">
            <w:pPr>
              <w:spacing w:line="460" w:lineRule="exact"/>
              <w:jc w:val="left"/>
              <w:rPr>
                <w:rFonts w:ascii="宋体" w:hAnsi="宋体" w:cs="宋体"/>
                <w:color w:val="auto"/>
                <w:highlight w:val="none"/>
              </w:rPr>
            </w:pPr>
            <w:r>
              <w:rPr>
                <w:rFonts w:hint="eastAsia" w:ascii="宋体" w:hAnsi="宋体" w:cs="宋体"/>
                <w:color w:val="auto"/>
                <w:highlight w:val="none"/>
              </w:rPr>
              <w:t>17.2.2本招标文件中要求投标人对其电子投标文件的相关内容加盖公章的，均指采用CA证书签章。</w:t>
            </w:r>
          </w:p>
          <w:p w14:paraId="5FD521CC">
            <w:pPr>
              <w:spacing w:line="460" w:lineRule="exact"/>
              <w:rPr>
                <w:rFonts w:ascii="宋体" w:hAnsi="宋体" w:cs="宋体"/>
                <w:color w:val="auto"/>
                <w:szCs w:val="21"/>
                <w:highlight w:val="none"/>
              </w:rPr>
            </w:pPr>
            <w:r>
              <w:rPr>
                <w:rFonts w:hint="eastAsia" w:ascii="宋体" w:hAnsi="宋体" w:cs="宋体"/>
                <w:color w:val="auto"/>
                <w:highlight w:val="none"/>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tc>
      </w:tr>
      <w:tr w14:paraId="4F27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0F943DEE">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1130" w:type="dxa"/>
            <w:vAlign w:val="center"/>
          </w:tcPr>
          <w:p w14:paraId="40E811F3">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1556" w:type="dxa"/>
            <w:vAlign w:val="center"/>
          </w:tcPr>
          <w:p w14:paraId="3C0D119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614" w:type="dxa"/>
            <w:vAlign w:val="center"/>
          </w:tcPr>
          <w:p w14:paraId="4C099AAB">
            <w:pPr>
              <w:spacing w:line="460" w:lineRule="exact"/>
              <w:rPr>
                <w:rFonts w:ascii="宋体" w:hAnsi="宋体" w:cs="宋体"/>
                <w:bCs/>
                <w:color w:val="auto"/>
                <w:szCs w:val="21"/>
                <w:highlight w:val="none"/>
              </w:rPr>
            </w:pPr>
            <w:r>
              <w:rPr>
                <w:rFonts w:hint="eastAsia" w:ascii="宋体" w:hAnsi="宋体" w:cs="宋体"/>
                <w:bCs/>
                <w:color w:val="auto"/>
                <w:szCs w:val="21"/>
                <w:highlight w:val="none"/>
              </w:rPr>
              <w:t>18.1投标人应当在</w:t>
            </w: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前，将生成的电子投标文件上传提交至“</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”。投标文件提交截止时间前可以补充、修改或撤回电子投标文件，补充、修改电子投标文件的，应当先行撤回原文件，补充、修改后重新传输提交。</w:t>
            </w:r>
            <w:r>
              <w:rPr>
                <w:rFonts w:hint="eastAsia" w:ascii="宋体" w:hAnsi="宋体" w:cs="宋体"/>
                <w:color w:val="auto"/>
                <w:kern w:val="0"/>
                <w:szCs w:val="21"/>
                <w:highlight w:val="none"/>
              </w:rPr>
              <w:t>在投标文件提交截止时间后的投标文件有效期内，投标人不得撤回其投标文件。</w:t>
            </w: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前未成功将电子投标文件上传</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的，视为未提交投标文件。</w:t>
            </w:r>
          </w:p>
          <w:p w14:paraId="032AA635">
            <w:pPr>
              <w:spacing w:line="460" w:lineRule="exact"/>
              <w:rPr>
                <w:rFonts w:ascii="宋体" w:hAnsi="宋体" w:cs="宋体"/>
                <w:color w:val="auto"/>
                <w:szCs w:val="21"/>
                <w:highlight w:val="none"/>
              </w:rPr>
            </w:pPr>
            <w:r>
              <w:rPr>
                <w:rFonts w:hint="eastAsia" w:ascii="宋体" w:hAnsi="宋体" w:cs="宋体"/>
                <w:bCs/>
                <w:color w:val="auto"/>
                <w:szCs w:val="21"/>
                <w:highlight w:val="none"/>
              </w:rPr>
              <w:t>18.2</w:t>
            </w:r>
            <w:r>
              <w:rPr>
                <w:rFonts w:hint="eastAsia" w:ascii="宋体" w:hAnsi="宋体" w:cs="宋体"/>
                <w:color w:val="auto"/>
                <w:szCs w:val="21"/>
                <w:highlight w:val="none"/>
              </w:rPr>
              <w:t>在投标文件递交截止时间后的投标文件有效期内，投标人不得撤回其投标文件。</w:t>
            </w:r>
          </w:p>
        </w:tc>
      </w:tr>
      <w:tr w14:paraId="75B9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1B12F49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1130" w:type="dxa"/>
            <w:vAlign w:val="center"/>
          </w:tcPr>
          <w:p w14:paraId="6F5C3460">
            <w:pPr>
              <w:spacing w:line="460" w:lineRule="exact"/>
              <w:jc w:val="center"/>
              <w:rPr>
                <w:rFonts w:ascii="宋体" w:hAnsi="宋体" w:cs="宋体"/>
                <w:bCs/>
                <w:color w:val="auto"/>
                <w:highlight w:val="none"/>
              </w:rPr>
            </w:pPr>
            <w:r>
              <w:rPr>
                <w:rFonts w:hint="eastAsia" w:ascii="宋体" w:hAnsi="宋体" w:cs="宋体"/>
                <w:bCs/>
                <w:color w:val="auto"/>
                <w:highlight w:val="none"/>
              </w:rPr>
              <w:t>19.1</w:t>
            </w:r>
          </w:p>
        </w:tc>
        <w:tc>
          <w:tcPr>
            <w:tcW w:w="1556" w:type="dxa"/>
            <w:vAlign w:val="center"/>
          </w:tcPr>
          <w:p w14:paraId="50734428">
            <w:pPr>
              <w:spacing w:line="460" w:lineRule="exact"/>
              <w:jc w:val="center"/>
              <w:rPr>
                <w:rFonts w:ascii="宋体" w:hAnsi="宋体" w:cs="宋体"/>
                <w:color w:val="auto"/>
                <w:szCs w:val="21"/>
                <w:highlight w:val="none"/>
              </w:rPr>
            </w:pPr>
            <w:r>
              <w:rPr>
                <w:rFonts w:hint="eastAsia" w:ascii="宋体" w:hAnsi="宋体" w:cs="宋体"/>
                <w:bCs/>
                <w:color w:val="auto"/>
                <w:highlight w:val="none"/>
              </w:rPr>
              <w:t>提交投标文件截止时间、地点</w:t>
            </w:r>
            <w:r>
              <w:rPr>
                <w:rFonts w:hint="eastAsia" w:ascii="宋体" w:hAnsi="宋体" w:cs="宋体"/>
                <w:color w:val="auto"/>
                <w:szCs w:val="21"/>
                <w:highlight w:val="none"/>
              </w:rPr>
              <w:t xml:space="preserve">                  </w:t>
            </w:r>
          </w:p>
        </w:tc>
        <w:tc>
          <w:tcPr>
            <w:tcW w:w="6614" w:type="dxa"/>
            <w:vAlign w:val="center"/>
          </w:tcPr>
          <w:p w14:paraId="7A2D6CAE">
            <w:pPr>
              <w:spacing w:line="460" w:lineRule="exact"/>
              <w:rPr>
                <w:rFonts w:ascii="宋体" w:hAnsi="宋体" w:cs="宋体"/>
                <w:color w:val="auto"/>
                <w:szCs w:val="21"/>
                <w:highlight w:val="none"/>
              </w:rPr>
            </w:pPr>
            <w:r>
              <w:rPr>
                <w:rFonts w:hint="eastAsia" w:ascii="宋体" w:hAnsi="宋体" w:cs="宋体"/>
                <w:color w:val="auto"/>
                <w:szCs w:val="21"/>
                <w:highlight w:val="none"/>
              </w:rPr>
              <w:t>19.1.1投标人于20</w:t>
            </w:r>
            <w:r>
              <w:rPr>
                <w:rFonts w:hint="eastAsia" w:ascii="宋体" w:hAnsi="宋体" w:cs="宋体"/>
                <w:color w:val="auto"/>
                <w:szCs w:val="21"/>
                <w:highlight w:val="none"/>
                <w:lang w:val="en-US" w:eastAsia="zh-CN"/>
              </w:rPr>
              <w:t>26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日上午9时30分之前将电子投标文件上传到</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w:t>
            </w:r>
          </w:p>
          <w:p w14:paraId="5A286A03">
            <w:pPr>
              <w:spacing w:line="460" w:lineRule="exact"/>
              <w:rPr>
                <w:rFonts w:ascii="宋体" w:hAnsi="宋体" w:cs="宋体"/>
                <w:color w:val="auto"/>
                <w:szCs w:val="21"/>
                <w:highlight w:val="none"/>
              </w:rPr>
            </w:pPr>
            <w:r>
              <w:rPr>
                <w:rFonts w:hint="eastAsia" w:ascii="宋体" w:hAnsi="宋体" w:cs="宋体"/>
                <w:color w:val="auto"/>
                <w:szCs w:val="21"/>
                <w:highlight w:val="none"/>
              </w:rPr>
              <w:t>19.1.2地点：通过“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”在线提交。</w:t>
            </w:r>
          </w:p>
        </w:tc>
      </w:tr>
      <w:tr w14:paraId="5498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00" w:type="dxa"/>
            <w:vAlign w:val="center"/>
          </w:tcPr>
          <w:p w14:paraId="1DBED626">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1130" w:type="dxa"/>
            <w:vAlign w:val="center"/>
          </w:tcPr>
          <w:p w14:paraId="104C872A">
            <w:pPr>
              <w:spacing w:line="46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19.2</w:t>
            </w:r>
          </w:p>
        </w:tc>
        <w:tc>
          <w:tcPr>
            <w:tcW w:w="1556" w:type="dxa"/>
            <w:vAlign w:val="center"/>
          </w:tcPr>
          <w:p w14:paraId="5C1AC56C">
            <w:pPr>
              <w:spacing w:line="460" w:lineRule="exact"/>
              <w:rPr>
                <w:rFonts w:ascii="宋体" w:hAnsi="宋体" w:cs="宋体"/>
                <w:color w:val="auto"/>
                <w:szCs w:val="21"/>
                <w:highlight w:val="none"/>
              </w:rPr>
            </w:pPr>
            <w:r>
              <w:rPr>
                <w:rFonts w:hint="eastAsia" w:ascii="宋体" w:hAnsi="宋体" w:cs="宋体"/>
                <w:color w:val="auto"/>
                <w:szCs w:val="21"/>
                <w:highlight w:val="none"/>
              </w:rPr>
              <w:t>投标文件解密</w:t>
            </w:r>
          </w:p>
        </w:tc>
        <w:tc>
          <w:tcPr>
            <w:tcW w:w="6614" w:type="dxa"/>
            <w:vAlign w:val="center"/>
          </w:tcPr>
          <w:p w14:paraId="0B56C059">
            <w:pPr>
              <w:spacing w:line="460" w:lineRule="exact"/>
              <w:rPr>
                <w:rFonts w:ascii="宋体" w:hAnsi="宋体" w:cs="宋体"/>
                <w:color w:val="auto"/>
                <w:szCs w:val="21"/>
                <w:highlight w:val="none"/>
              </w:rPr>
            </w:pPr>
            <w:r>
              <w:rPr>
                <w:rFonts w:hint="eastAsia" w:ascii="宋体" w:hAnsi="宋体" w:cs="宋体"/>
                <w:bCs/>
                <w:color w:val="auto"/>
                <w:highlight w:val="none"/>
              </w:rPr>
              <w:t>19.2提交投标文件截止时间</w:t>
            </w:r>
            <w:r>
              <w:rPr>
                <w:rFonts w:hint="eastAsia" w:ascii="宋体" w:hAnsi="宋体" w:cs="宋体"/>
                <w:bCs/>
                <w:color w:val="auto"/>
                <w:szCs w:val="21"/>
                <w:highlight w:val="none"/>
              </w:rPr>
              <w:t>后30分钟内（</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r>
              <w:rPr>
                <w:rFonts w:hint="eastAsia" w:ascii="宋体" w:hAnsi="宋体" w:cs="宋体"/>
                <w:bCs/>
                <w:color w:val="auto"/>
                <w:szCs w:val="21"/>
                <w:highlight w:val="none"/>
              </w:rPr>
              <w:t>上午9时30至10时00分)，投标人登录“</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通过“项目采购-开标评标”功能解密电子投标文件。若投标人在上述规定时间内无法解密或解密失败，可以提交电子备份投标文件作为评审依据，在接到无法解密或解密失败的系统通知后，投标人可根据自身实际情况按系统通知要求的时间到达桂林市公共资源交易中心</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lang w:val="en-US" w:eastAsia="zh-CN"/>
              </w:rPr>
              <w:t xml:space="preserve">  1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号</w:t>
            </w:r>
            <w:r>
              <w:rPr>
                <w:rFonts w:hint="eastAsia" w:ascii="宋体" w:hAnsi="宋体" w:cs="宋体"/>
                <w:bCs/>
                <w:color w:val="auto"/>
                <w:szCs w:val="21"/>
                <w:highlight w:val="none"/>
                <w:lang w:eastAsia="zh-CN"/>
              </w:rPr>
              <w:t>政采开标仓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szCs w:val="21"/>
                <w:highlight w:val="none"/>
              </w:rPr>
              <w:t>现场提交电子备份投标文件或以电子邮件（以系统通知时所告知的电子邮箱地址为准）的形式提交电子备份投标文件。若投标人在规定时间内无法解密或解密失败且未提供电子备份投标文件的(包含提供的电子备份文件无效或无法解密的情况)，投标文件按无效处理。</w:t>
            </w:r>
          </w:p>
        </w:tc>
      </w:tr>
      <w:tr w14:paraId="6EC7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00" w:type="dxa"/>
            <w:vAlign w:val="center"/>
          </w:tcPr>
          <w:p w14:paraId="61C1008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130" w:type="dxa"/>
            <w:vAlign w:val="center"/>
          </w:tcPr>
          <w:p w14:paraId="1BFE101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20.1</w:t>
            </w:r>
          </w:p>
        </w:tc>
        <w:tc>
          <w:tcPr>
            <w:tcW w:w="1556" w:type="dxa"/>
            <w:vAlign w:val="center"/>
          </w:tcPr>
          <w:p w14:paraId="082718A3">
            <w:pPr>
              <w:spacing w:line="460" w:lineRule="exact"/>
              <w:jc w:val="center"/>
              <w:rPr>
                <w:rFonts w:ascii="宋体" w:hAnsi="宋体" w:cs="宋体"/>
                <w:color w:val="auto"/>
                <w:position w:val="-2"/>
                <w:szCs w:val="21"/>
                <w:highlight w:val="none"/>
              </w:rPr>
            </w:pPr>
            <w:r>
              <w:rPr>
                <w:rFonts w:hint="eastAsia" w:ascii="宋体" w:hAnsi="宋体" w:cs="宋体"/>
                <w:color w:val="auto"/>
                <w:szCs w:val="21"/>
                <w:highlight w:val="none"/>
              </w:rPr>
              <w:t>开标时间及地点</w:t>
            </w:r>
          </w:p>
        </w:tc>
        <w:tc>
          <w:tcPr>
            <w:tcW w:w="6614" w:type="dxa"/>
            <w:vAlign w:val="center"/>
          </w:tcPr>
          <w:p w14:paraId="47620F37">
            <w:pPr>
              <w:spacing w:line="460" w:lineRule="exact"/>
              <w:rPr>
                <w:rFonts w:ascii="宋体" w:hAnsi="宋体" w:cs="宋体"/>
                <w:color w:val="auto"/>
                <w:szCs w:val="21"/>
                <w:highlight w:val="none"/>
              </w:rPr>
            </w:pPr>
            <w:r>
              <w:rPr>
                <w:rFonts w:hint="eastAsia" w:ascii="宋体" w:hAnsi="宋体" w:cs="宋体"/>
                <w:color w:val="auto"/>
                <w:szCs w:val="21"/>
                <w:highlight w:val="none"/>
              </w:rPr>
              <w:t>开标时间：20</w:t>
            </w:r>
            <w:r>
              <w:rPr>
                <w:rFonts w:hint="eastAsia" w:ascii="宋体" w:hAnsi="宋体" w:cs="宋体"/>
                <w:color w:val="auto"/>
                <w:szCs w:val="21"/>
                <w:highlight w:val="none"/>
                <w:lang w:val="en-US" w:eastAsia="zh-CN"/>
              </w:rPr>
              <w:t>26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日9点30分（北京时间）。</w:t>
            </w:r>
          </w:p>
          <w:p w14:paraId="0680203F">
            <w:pPr>
              <w:spacing w:line="460" w:lineRule="exact"/>
              <w:rPr>
                <w:rFonts w:ascii="宋体" w:hAnsi="宋体" w:cs="宋体"/>
                <w:color w:val="auto"/>
                <w:szCs w:val="21"/>
                <w:highlight w:val="none"/>
              </w:rPr>
            </w:pPr>
            <w:r>
              <w:rPr>
                <w:rFonts w:hint="eastAsia" w:ascii="宋体" w:hAnsi="宋体" w:cs="宋体"/>
                <w:color w:val="auto"/>
                <w:szCs w:val="21"/>
                <w:highlight w:val="none"/>
              </w:rPr>
              <w:t>开标地点：桂林市公共资源交易中心</w:t>
            </w:r>
            <w:r>
              <w:rPr>
                <w:rFonts w:hint="eastAsia" w:ascii="宋体" w:hAnsi="宋体" w:cs="宋体"/>
                <w:color w:val="auto"/>
                <w:szCs w:val="21"/>
                <w:highlight w:val="none"/>
                <w:u w:val="single"/>
                <w:lang w:val="en-US" w:eastAsia="zh-CN"/>
              </w:rPr>
              <w:t xml:space="preserve">   1  </w:t>
            </w:r>
            <w:r>
              <w:rPr>
                <w:rFonts w:hint="eastAsia" w:ascii="宋体" w:hAnsi="宋体" w:cs="宋体"/>
                <w:color w:val="auto"/>
                <w:szCs w:val="21"/>
                <w:highlight w:val="none"/>
              </w:rPr>
              <w:t>号政采开标仓通过广西政府采购云平台在线开标。</w:t>
            </w:r>
          </w:p>
          <w:p w14:paraId="4CAB9BF2">
            <w:pPr>
              <w:pStyle w:val="20"/>
              <w:spacing w:line="460" w:lineRule="exact"/>
              <w:ind w:left="0" w:firstLine="0" w:firstLineChars="0"/>
              <w:rPr>
                <w:rFonts w:ascii="宋体" w:hAnsi="宋体" w:cs="宋体"/>
                <w:color w:val="auto"/>
                <w:sz w:val="21"/>
                <w:szCs w:val="21"/>
                <w:highlight w:val="none"/>
              </w:rPr>
            </w:pPr>
            <w:r>
              <w:rPr>
                <w:rFonts w:hint="eastAsia" w:ascii="宋体" w:hAnsi="宋体" w:cs="宋体"/>
                <w:color w:val="auto"/>
                <w:kern w:val="2"/>
                <w:sz w:val="21"/>
                <w:highlight w:val="none"/>
              </w:rPr>
              <w:t>投标人可以由法定代表人（负责人、自然人）或其委托代理人出席开标会议。</w:t>
            </w:r>
          </w:p>
        </w:tc>
      </w:tr>
      <w:tr w14:paraId="5432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00" w:type="dxa"/>
            <w:vAlign w:val="center"/>
          </w:tcPr>
          <w:p w14:paraId="4D16041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1130" w:type="dxa"/>
            <w:vAlign w:val="center"/>
          </w:tcPr>
          <w:p w14:paraId="5177E849">
            <w:pPr>
              <w:pStyle w:val="11"/>
              <w:spacing w:line="460" w:lineRule="exact"/>
              <w:ind w:firstLine="315" w:firstLineChars="150"/>
              <w:rPr>
                <w:rFonts w:hAnsi="宋体" w:cs="宋体"/>
                <w:color w:val="auto"/>
                <w:sz w:val="21"/>
                <w:szCs w:val="21"/>
                <w:highlight w:val="none"/>
              </w:rPr>
            </w:pPr>
            <w:r>
              <w:rPr>
                <w:rFonts w:hint="eastAsia" w:hAnsi="宋体" w:cs="宋体"/>
                <w:color w:val="auto"/>
                <w:sz w:val="21"/>
                <w:szCs w:val="21"/>
                <w:highlight w:val="none"/>
              </w:rPr>
              <w:t>23</w:t>
            </w:r>
          </w:p>
        </w:tc>
        <w:tc>
          <w:tcPr>
            <w:tcW w:w="1556" w:type="dxa"/>
            <w:vAlign w:val="center"/>
          </w:tcPr>
          <w:p w14:paraId="0C38077C">
            <w:pPr>
              <w:pStyle w:val="11"/>
              <w:spacing w:line="460" w:lineRule="exact"/>
              <w:rPr>
                <w:rFonts w:hAnsi="宋体" w:cs="宋体"/>
                <w:color w:val="auto"/>
                <w:sz w:val="21"/>
                <w:szCs w:val="21"/>
                <w:highlight w:val="none"/>
              </w:rPr>
            </w:pPr>
            <w:r>
              <w:rPr>
                <w:rFonts w:hint="eastAsia" w:hAnsi="宋体" w:cs="宋体"/>
                <w:color w:val="auto"/>
                <w:sz w:val="21"/>
                <w:szCs w:val="21"/>
                <w:highlight w:val="none"/>
              </w:rPr>
              <w:t>评标委员会组成</w:t>
            </w:r>
          </w:p>
        </w:tc>
        <w:tc>
          <w:tcPr>
            <w:tcW w:w="6614" w:type="dxa"/>
            <w:vAlign w:val="center"/>
          </w:tcPr>
          <w:p w14:paraId="0F17D579">
            <w:pPr>
              <w:spacing w:line="460" w:lineRule="exact"/>
              <w:rPr>
                <w:rFonts w:ascii="宋体" w:hAnsi="宋体" w:cs="宋体"/>
                <w:color w:val="auto"/>
                <w:szCs w:val="21"/>
                <w:highlight w:val="none"/>
              </w:rPr>
            </w:pPr>
            <w:r>
              <w:rPr>
                <w:rFonts w:hint="eastAsia" w:ascii="宋体" w:hAnsi="宋体" w:cs="宋体"/>
                <w:color w:val="auto"/>
                <w:szCs w:val="21"/>
                <w:highlight w:val="none"/>
              </w:rPr>
              <w:t>评标委员会由采购人代表和有关技术、经济等方面的5人专家组成，其中采购人代表</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人，技术、经济等专家</w:t>
            </w:r>
            <w:r>
              <w:rPr>
                <w:rFonts w:hint="eastAsia" w:ascii="宋体" w:hAnsi="宋体" w:cs="宋体"/>
                <w:color w:val="auto"/>
                <w:szCs w:val="21"/>
                <w:highlight w:val="none"/>
                <w:u w:val="single"/>
              </w:rPr>
              <w:t xml:space="preserve"> 4 </w:t>
            </w:r>
            <w:r>
              <w:rPr>
                <w:rFonts w:hint="eastAsia" w:ascii="宋体" w:hAnsi="宋体" w:cs="宋体"/>
                <w:color w:val="auto"/>
                <w:szCs w:val="21"/>
                <w:highlight w:val="none"/>
              </w:rPr>
              <w:t>人。</w:t>
            </w:r>
          </w:p>
          <w:p w14:paraId="03638D52">
            <w:pPr>
              <w:spacing w:line="460" w:lineRule="exact"/>
              <w:rPr>
                <w:rFonts w:ascii="宋体" w:hAnsi="宋体" w:cs="宋体"/>
                <w:color w:val="auto"/>
                <w:szCs w:val="21"/>
                <w:highlight w:val="none"/>
              </w:rPr>
            </w:pPr>
            <w:r>
              <w:rPr>
                <w:rFonts w:hint="eastAsia" w:ascii="宋体" w:hAnsi="宋体" w:cs="宋体"/>
                <w:color w:val="auto"/>
                <w:szCs w:val="21"/>
                <w:highlight w:val="none"/>
              </w:rPr>
              <w:t>专家确定方式：开标前在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系统专家库中随机抽取。</w:t>
            </w:r>
          </w:p>
        </w:tc>
      </w:tr>
      <w:tr w14:paraId="704F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00" w:type="dxa"/>
            <w:vAlign w:val="center"/>
          </w:tcPr>
          <w:p w14:paraId="30672C5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1130" w:type="dxa"/>
            <w:vAlign w:val="center"/>
          </w:tcPr>
          <w:p w14:paraId="73008A3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1556" w:type="dxa"/>
            <w:vAlign w:val="center"/>
          </w:tcPr>
          <w:p w14:paraId="7C64ADB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评标办法</w:t>
            </w:r>
          </w:p>
        </w:tc>
        <w:tc>
          <w:tcPr>
            <w:tcW w:w="6614" w:type="dxa"/>
            <w:vAlign w:val="center"/>
          </w:tcPr>
          <w:p w14:paraId="7FE62130">
            <w:pPr>
              <w:spacing w:line="460" w:lineRule="exact"/>
              <w:rPr>
                <w:rFonts w:ascii="宋体" w:hAnsi="宋体" w:cs="宋体"/>
                <w:color w:val="auto"/>
                <w:szCs w:val="21"/>
                <w:highlight w:val="none"/>
              </w:rPr>
            </w:pPr>
            <w:r>
              <w:rPr>
                <w:rFonts w:hint="eastAsia" w:ascii="宋体" w:hAnsi="宋体" w:cs="宋体"/>
                <w:color w:val="auto"/>
                <w:szCs w:val="21"/>
                <w:highlight w:val="none"/>
              </w:rPr>
              <w:t>综合评分法，具体详见第四章评审办法。</w:t>
            </w:r>
          </w:p>
        </w:tc>
      </w:tr>
      <w:tr w14:paraId="5167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00" w:type="dxa"/>
            <w:vAlign w:val="center"/>
          </w:tcPr>
          <w:p w14:paraId="6DA3E60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130" w:type="dxa"/>
            <w:vAlign w:val="center"/>
          </w:tcPr>
          <w:p w14:paraId="42E399E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31</w:t>
            </w:r>
          </w:p>
        </w:tc>
        <w:tc>
          <w:tcPr>
            <w:tcW w:w="1556" w:type="dxa"/>
            <w:vAlign w:val="center"/>
          </w:tcPr>
          <w:p w14:paraId="70147F0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信用查询</w:t>
            </w:r>
          </w:p>
        </w:tc>
        <w:tc>
          <w:tcPr>
            <w:tcW w:w="6614" w:type="dxa"/>
          </w:tcPr>
          <w:p w14:paraId="67E28C47">
            <w:pPr>
              <w:spacing w:line="460" w:lineRule="exact"/>
              <w:rPr>
                <w:rFonts w:ascii="宋体" w:hAnsi="宋体" w:cs="宋体"/>
                <w:color w:val="auto"/>
                <w:szCs w:val="21"/>
                <w:highlight w:val="none"/>
              </w:rPr>
            </w:pPr>
            <w:r>
              <w:rPr>
                <w:rFonts w:hint="eastAsia" w:ascii="宋体" w:hAnsi="宋体" w:cs="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14:paraId="7EB4C9B8">
            <w:pPr>
              <w:spacing w:line="460" w:lineRule="exact"/>
              <w:rPr>
                <w:rFonts w:ascii="宋体" w:hAnsi="宋体" w:cs="宋体"/>
                <w:color w:val="auto"/>
                <w:szCs w:val="21"/>
                <w:highlight w:val="none"/>
              </w:rPr>
            </w:pPr>
            <w:r>
              <w:rPr>
                <w:rFonts w:hint="eastAsia" w:ascii="宋体" w:hAnsi="宋体" w:cs="宋体"/>
                <w:color w:val="auto"/>
                <w:szCs w:val="21"/>
                <w:highlight w:val="none"/>
              </w:rPr>
              <w:t>⑴查询渠道：“信用中国”网站(www.creditchina.gov.cn)、中国政府采购网(www.ccgp.gov.cn)等；</w:t>
            </w:r>
          </w:p>
          <w:p w14:paraId="447097BE">
            <w:pPr>
              <w:spacing w:line="460" w:lineRule="exact"/>
              <w:rPr>
                <w:rFonts w:ascii="宋体" w:hAnsi="宋体" w:cs="宋体"/>
                <w:color w:val="auto"/>
                <w:szCs w:val="21"/>
                <w:highlight w:val="none"/>
              </w:rPr>
            </w:pPr>
            <w:r>
              <w:rPr>
                <w:rFonts w:hint="eastAsia" w:ascii="宋体" w:hAnsi="宋体" w:cs="宋体"/>
                <w:color w:val="auto"/>
                <w:szCs w:val="21"/>
                <w:highlight w:val="none"/>
              </w:rPr>
              <w:t>⑵查询截止时点：中标通知书发出前；</w:t>
            </w:r>
          </w:p>
          <w:p w14:paraId="2DFFAE2E">
            <w:pPr>
              <w:spacing w:line="460" w:lineRule="exact"/>
              <w:rPr>
                <w:rFonts w:ascii="宋体" w:hAnsi="宋体" w:cs="宋体"/>
                <w:color w:val="auto"/>
                <w:szCs w:val="21"/>
                <w:highlight w:val="none"/>
              </w:rPr>
            </w:pPr>
            <w:r>
              <w:rPr>
                <w:rFonts w:hint="eastAsia" w:ascii="宋体" w:hAnsi="宋体" w:cs="宋体"/>
                <w:color w:val="auto"/>
                <w:szCs w:val="21"/>
                <w:highlight w:val="none"/>
              </w:rPr>
              <w:t>⑶信用信息查询记录和证据留存方式：在查询网站中直接打印查询记录，打印材料作为采购活动资料保存。</w:t>
            </w:r>
          </w:p>
          <w:p w14:paraId="4C44FF0F">
            <w:pPr>
              <w:pStyle w:val="35"/>
              <w:spacing w:line="460" w:lineRule="exact"/>
              <w:rPr>
                <w:rFonts w:hAnsi="宋体" w:cs="宋体"/>
                <w:color w:val="auto"/>
                <w:szCs w:val="21"/>
                <w:highlight w:val="none"/>
              </w:rPr>
            </w:pPr>
            <w:r>
              <w:rPr>
                <w:rFonts w:hint="eastAsia" w:hAnsi="宋体" w:cs="宋体"/>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取消其中标候选人资格。</w:t>
            </w:r>
          </w:p>
          <w:p w14:paraId="35A7A9FA">
            <w:pPr>
              <w:pStyle w:val="11"/>
              <w:tabs>
                <w:tab w:val="left" w:pos="455"/>
              </w:tabs>
              <w:spacing w:line="460" w:lineRule="exact"/>
              <w:ind w:firstLine="420" w:firstLineChars="200"/>
              <w:rPr>
                <w:rFonts w:hAnsi="宋体" w:cs="宋体"/>
                <w:color w:val="auto"/>
                <w:kern w:val="2"/>
                <w:sz w:val="21"/>
                <w:szCs w:val="21"/>
                <w:highlight w:val="none"/>
              </w:rPr>
            </w:pPr>
            <w:r>
              <w:rPr>
                <w:rFonts w:hint="eastAsia" w:hAnsi="宋体" w:cs="宋体"/>
                <w:color w:val="auto"/>
                <w:kern w:val="2"/>
                <w:sz w:val="21"/>
                <w:szCs w:val="21"/>
                <w:highlight w:val="none"/>
              </w:rPr>
              <w:t>两个以上的自然人、法人或者其他组织组成一个联合体，以一个投标人的身份共同参加政府采购活动的，对所有联合体成员进行信用记录查询，联合体成员存在不良信用记录的，视同联合体存在不良信用记录。</w:t>
            </w:r>
          </w:p>
        </w:tc>
      </w:tr>
      <w:tr w14:paraId="21E0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1" w:hRule="atLeast"/>
        </w:trPr>
        <w:tc>
          <w:tcPr>
            <w:tcW w:w="700" w:type="dxa"/>
            <w:vAlign w:val="center"/>
          </w:tcPr>
          <w:p w14:paraId="4096D64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1130" w:type="dxa"/>
            <w:vAlign w:val="center"/>
          </w:tcPr>
          <w:p w14:paraId="5145AC1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32</w:t>
            </w:r>
          </w:p>
        </w:tc>
        <w:tc>
          <w:tcPr>
            <w:tcW w:w="1556" w:type="dxa"/>
            <w:vAlign w:val="center"/>
          </w:tcPr>
          <w:p w14:paraId="000C7E2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中标公告及中标通知书</w:t>
            </w:r>
          </w:p>
        </w:tc>
        <w:tc>
          <w:tcPr>
            <w:tcW w:w="6614" w:type="dxa"/>
          </w:tcPr>
          <w:p w14:paraId="413C4526">
            <w:pPr>
              <w:spacing w:line="460" w:lineRule="exact"/>
              <w:rPr>
                <w:rFonts w:ascii="宋体" w:hAnsi="宋体" w:cs="宋体"/>
                <w:color w:val="auto"/>
                <w:szCs w:val="21"/>
                <w:highlight w:val="none"/>
              </w:rPr>
            </w:pPr>
            <w:r>
              <w:rPr>
                <w:rFonts w:hint="eastAsia" w:ascii="宋体" w:hAnsi="宋体" w:cs="宋体"/>
                <w:color w:val="auto"/>
                <w:szCs w:val="21"/>
                <w:highlight w:val="none"/>
              </w:rPr>
              <w:t xml:space="preserve">1.采购代理机构于评标结束后两个工作日内将评审报告送交采购人，采购人应当自收到评审报告五个工作日内在评审报告推荐的中标候选供应商中按顺序确定中标供应商，采购代理机构在中标供应商确定之日起两个工作日内发出中标通知书，并在指定媒体上公告中标信息，中标公告期限为1个工作日。 </w:t>
            </w:r>
          </w:p>
          <w:p w14:paraId="6AEA0B73">
            <w:pPr>
              <w:spacing w:line="460" w:lineRule="exact"/>
              <w:rPr>
                <w:rFonts w:ascii="宋体" w:hAnsi="宋体" w:cs="宋体"/>
                <w:color w:val="auto"/>
                <w:szCs w:val="21"/>
                <w:highlight w:val="none"/>
              </w:rPr>
            </w:pPr>
            <w:r>
              <w:rPr>
                <w:rFonts w:hint="eastAsia" w:ascii="宋体" w:hAnsi="宋体" w:cs="宋体"/>
                <w:color w:val="auto"/>
                <w:szCs w:val="21"/>
                <w:highlight w:val="none"/>
              </w:rPr>
              <w:t>2.中标供应商应自接到通知之日起七个工作日内，办理中标通知书领取手续，（逾期不办的，采购人有权取消其中标资格。）或如不按期办理领取手续，视为自动放弃中标资格。并从评标委员会推荐的中标候选供应商中按顺序重新确定中标供应商。</w:t>
            </w:r>
          </w:p>
        </w:tc>
      </w:tr>
      <w:tr w14:paraId="04E7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00" w:type="dxa"/>
            <w:vAlign w:val="center"/>
          </w:tcPr>
          <w:p w14:paraId="3C580F5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1130" w:type="dxa"/>
            <w:vAlign w:val="center"/>
          </w:tcPr>
          <w:p w14:paraId="347FF657">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33.1</w:t>
            </w:r>
          </w:p>
        </w:tc>
        <w:tc>
          <w:tcPr>
            <w:tcW w:w="1556" w:type="dxa"/>
            <w:vAlign w:val="center"/>
          </w:tcPr>
          <w:p w14:paraId="323A6BF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614" w:type="dxa"/>
            <w:vAlign w:val="center"/>
          </w:tcPr>
          <w:p w14:paraId="2B08D55E">
            <w:pPr>
              <w:spacing w:line="460" w:lineRule="exact"/>
              <w:rPr>
                <w:rFonts w:ascii="宋体" w:hAnsi="宋体" w:cs="宋体"/>
                <w:color w:val="auto"/>
                <w:szCs w:val="21"/>
                <w:highlight w:val="none"/>
              </w:rPr>
            </w:pPr>
            <w:r>
              <w:rPr>
                <w:rFonts w:hint="eastAsia" w:ascii="宋体" w:hAnsi="宋体" w:cs="宋体"/>
                <w:color w:val="auto"/>
                <w:highlight w:val="none"/>
              </w:rPr>
              <w:t>根据《自治区人民政府办公厅关于印发2021年全区优化营商环境实施方案的通知》（桂政办电【2020】42号）要求，采购人根据项目特点及供应商的诚信等情况，免收履约保证金。</w:t>
            </w:r>
          </w:p>
        </w:tc>
      </w:tr>
      <w:tr w14:paraId="6527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00" w:type="dxa"/>
            <w:vAlign w:val="center"/>
          </w:tcPr>
          <w:p w14:paraId="599E92D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1130" w:type="dxa"/>
            <w:vAlign w:val="center"/>
          </w:tcPr>
          <w:p w14:paraId="17C78CC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34.1</w:t>
            </w:r>
          </w:p>
        </w:tc>
        <w:tc>
          <w:tcPr>
            <w:tcW w:w="1556" w:type="dxa"/>
            <w:vAlign w:val="center"/>
          </w:tcPr>
          <w:p w14:paraId="7473916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签订合同时间</w:t>
            </w:r>
          </w:p>
        </w:tc>
        <w:tc>
          <w:tcPr>
            <w:tcW w:w="6614" w:type="dxa"/>
            <w:vAlign w:val="center"/>
          </w:tcPr>
          <w:p w14:paraId="6C90B0A8">
            <w:pPr>
              <w:spacing w:line="460" w:lineRule="exact"/>
              <w:rPr>
                <w:rFonts w:ascii="宋体" w:hAnsi="宋体" w:cs="宋体"/>
                <w:color w:val="auto"/>
                <w:szCs w:val="21"/>
                <w:highlight w:val="none"/>
              </w:rPr>
            </w:pPr>
            <w:r>
              <w:rPr>
                <w:rFonts w:hint="eastAsia" w:ascii="宋体" w:hAnsi="宋体" w:cs="宋体"/>
                <w:color w:val="auto"/>
                <w:szCs w:val="21"/>
                <w:highlight w:val="none"/>
              </w:rPr>
              <w:t>34.1签订合同时间：中标通知书发出之日起</w:t>
            </w:r>
            <w:r>
              <w:rPr>
                <w:rFonts w:hint="eastAsia" w:ascii="宋体" w:hAnsi="宋体" w:cs="宋体"/>
                <w:color w:val="auto"/>
                <w:szCs w:val="21"/>
                <w:highlight w:val="none"/>
                <w:lang w:val="en-US" w:eastAsia="zh-CN"/>
              </w:rPr>
              <w:t>八个工作</w:t>
            </w:r>
            <w:r>
              <w:rPr>
                <w:rFonts w:hint="eastAsia" w:ascii="宋体" w:hAnsi="宋体" w:cs="宋体"/>
                <w:color w:val="auto"/>
                <w:szCs w:val="21"/>
                <w:highlight w:val="none"/>
              </w:rPr>
              <w:t>日内。中标供应商领取中标通知书后，应按规定与采购人签订合同。</w:t>
            </w:r>
          </w:p>
        </w:tc>
      </w:tr>
      <w:tr w14:paraId="618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700" w:type="dxa"/>
            <w:vAlign w:val="center"/>
          </w:tcPr>
          <w:p w14:paraId="314F5170">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1130" w:type="dxa"/>
            <w:vAlign w:val="center"/>
          </w:tcPr>
          <w:p w14:paraId="5B285F1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34.3</w:t>
            </w:r>
          </w:p>
        </w:tc>
        <w:tc>
          <w:tcPr>
            <w:tcW w:w="1556" w:type="dxa"/>
            <w:vAlign w:val="center"/>
          </w:tcPr>
          <w:p w14:paraId="0CC4957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合同备案存档</w:t>
            </w:r>
          </w:p>
        </w:tc>
        <w:tc>
          <w:tcPr>
            <w:tcW w:w="6614" w:type="dxa"/>
            <w:vAlign w:val="center"/>
          </w:tcPr>
          <w:p w14:paraId="3AEB6B8E">
            <w:pPr>
              <w:spacing w:line="460" w:lineRule="exact"/>
              <w:rPr>
                <w:rFonts w:ascii="宋体" w:hAnsi="宋体" w:cs="宋体"/>
                <w:color w:val="auto"/>
                <w:szCs w:val="21"/>
                <w:highlight w:val="none"/>
              </w:rPr>
            </w:pPr>
            <w:r>
              <w:rPr>
                <w:rFonts w:hint="eastAsia" w:ascii="宋体" w:hAnsi="宋体" w:cs="宋体"/>
                <w:color w:val="auto"/>
                <w:szCs w:val="21"/>
                <w:highlight w:val="none"/>
              </w:rPr>
              <w:t>政府采购合同双方自签订之日起1个工作日内将合同原件两份交采购代理机构。采购代理机构将政府采购合同在省级以上人民政府财政部门指定媒体上公告并于合同签订之日起7个工作日内将一份合同原件送桂林市政府采购监督管理办公室，一份由采购代理机构存档。</w:t>
            </w:r>
          </w:p>
        </w:tc>
      </w:tr>
      <w:tr w14:paraId="0D75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700" w:type="dxa"/>
            <w:vAlign w:val="center"/>
          </w:tcPr>
          <w:p w14:paraId="508FFEC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1130" w:type="dxa"/>
            <w:vAlign w:val="center"/>
          </w:tcPr>
          <w:p w14:paraId="04840E1B">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35</w:t>
            </w:r>
          </w:p>
        </w:tc>
        <w:tc>
          <w:tcPr>
            <w:tcW w:w="1556" w:type="dxa"/>
            <w:vAlign w:val="center"/>
          </w:tcPr>
          <w:p w14:paraId="3B6765A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招标代理服务费</w:t>
            </w:r>
          </w:p>
        </w:tc>
        <w:tc>
          <w:tcPr>
            <w:tcW w:w="6614" w:type="dxa"/>
            <w:vAlign w:val="center"/>
          </w:tcPr>
          <w:p w14:paraId="7EF14C73">
            <w:pPr>
              <w:spacing w:line="460" w:lineRule="exact"/>
              <w:rPr>
                <w:rFonts w:ascii="宋体" w:hAnsi="宋体" w:cs="宋体"/>
                <w:color w:val="auto"/>
                <w:szCs w:val="21"/>
                <w:highlight w:val="none"/>
              </w:rPr>
            </w:pPr>
            <w:r>
              <w:rPr>
                <w:rFonts w:hint="eastAsia" w:ascii="宋体" w:hAnsi="宋体" w:cs="宋体"/>
                <w:color w:val="auto"/>
                <w:szCs w:val="21"/>
                <w:highlight w:val="none"/>
              </w:rPr>
              <w:t>本项目的采购代理服务收费标准按计价格[2002]1980号《招标代理服务收费管理暂行办法》货物类收费标准规定的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0%向中标供应商收取（不足</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000元按</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000元收取）。中标供应商在领取中标通知书之前向广西鼎策工程顾问有限责任公司一次性付清代理服务费。</w:t>
            </w:r>
          </w:p>
        </w:tc>
      </w:tr>
      <w:tr w14:paraId="78F2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700" w:type="dxa"/>
            <w:vAlign w:val="center"/>
          </w:tcPr>
          <w:p w14:paraId="0900558B">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1130" w:type="dxa"/>
            <w:vAlign w:val="center"/>
          </w:tcPr>
          <w:p w14:paraId="3ECB98CF">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37</w:t>
            </w:r>
          </w:p>
        </w:tc>
        <w:tc>
          <w:tcPr>
            <w:tcW w:w="1556" w:type="dxa"/>
            <w:vAlign w:val="center"/>
          </w:tcPr>
          <w:p w14:paraId="54A04B0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解释权</w:t>
            </w:r>
          </w:p>
        </w:tc>
        <w:tc>
          <w:tcPr>
            <w:tcW w:w="6614" w:type="dxa"/>
            <w:vAlign w:val="center"/>
          </w:tcPr>
          <w:p w14:paraId="2D4D5D4E">
            <w:pPr>
              <w:spacing w:line="460" w:lineRule="exact"/>
              <w:rPr>
                <w:rFonts w:ascii="宋体" w:hAnsi="宋体" w:cs="宋体"/>
                <w:color w:val="auto"/>
                <w:szCs w:val="21"/>
                <w:highlight w:val="none"/>
              </w:rPr>
            </w:pPr>
            <w:r>
              <w:rPr>
                <w:rFonts w:hint="eastAsia" w:ascii="宋体" w:hAnsi="宋体" w:cs="宋体"/>
                <w:color w:val="auto"/>
                <w:szCs w:val="21"/>
                <w:highlight w:val="none"/>
              </w:rPr>
              <w:t>本招标文件是根据《中华人民共和国政府采购法》、《中华人民共和国政府采购法实施条例》、</w:t>
            </w:r>
            <w:r>
              <w:rPr>
                <w:rStyle w:val="25"/>
                <w:rFonts w:hint="eastAsia" w:ascii="宋体" w:hAnsi="宋体" w:cs="宋体"/>
                <w:b w:val="0"/>
                <w:color w:val="auto"/>
                <w:szCs w:val="21"/>
                <w:highlight w:val="none"/>
              </w:rPr>
              <w:t>财政部令第87号</w:t>
            </w:r>
            <w:r>
              <w:rPr>
                <w:rFonts w:hint="eastAsia" w:ascii="宋体" w:hAnsi="宋体" w:cs="宋体"/>
                <w:color w:val="auto"/>
                <w:szCs w:val="21"/>
                <w:highlight w:val="none"/>
              </w:rPr>
              <w:t>《政府采购货物和服务招标投标管理办法》和政府采购管理有关规定编制，本招标文件的解释权属于采购代理机构。</w:t>
            </w:r>
          </w:p>
        </w:tc>
      </w:tr>
      <w:tr w14:paraId="12CA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0" w:type="dxa"/>
            <w:vAlign w:val="center"/>
          </w:tcPr>
          <w:p w14:paraId="11B15F3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1130" w:type="dxa"/>
            <w:vAlign w:val="center"/>
          </w:tcPr>
          <w:p w14:paraId="1E5717E8">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38</w:t>
            </w:r>
          </w:p>
        </w:tc>
        <w:tc>
          <w:tcPr>
            <w:tcW w:w="1556" w:type="dxa"/>
            <w:vAlign w:val="center"/>
          </w:tcPr>
          <w:p w14:paraId="290C93FE">
            <w:pPr>
              <w:spacing w:line="460" w:lineRule="exact"/>
              <w:jc w:val="center"/>
              <w:rPr>
                <w:rFonts w:ascii="宋体" w:hAnsi="宋体" w:cs="宋体"/>
                <w:color w:val="auto"/>
                <w:position w:val="10"/>
                <w:szCs w:val="21"/>
                <w:highlight w:val="none"/>
              </w:rPr>
            </w:pPr>
            <w:r>
              <w:rPr>
                <w:rFonts w:hint="eastAsia" w:ascii="宋体" w:hAnsi="宋体" w:cs="宋体"/>
                <w:color w:val="auto"/>
                <w:szCs w:val="21"/>
                <w:highlight w:val="none"/>
              </w:rPr>
              <w:t>监督管理部门</w:t>
            </w:r>
          </w:p>
        </w:tc>
        <w:tc>
          <w:tcPr>
            <w:tcW w:w="6614" w:type="dxa"/>
            <w:vAlign w:val="center"/>
          </w:tcPr>
          <w:p w14:paraId="7D38450F">
            <w:pPr>
              <w:spacing w:line="460" w:lineRule="exact"/>
              <w:rPr>
                <w:rFonts w:ascii="宋体" w:hAnsi="宋体" w:cs="宋体"/>
                <w:color w:val="auto"/>
                <w:szCs w:val="21"/>
                <w:highlight w:val="none"/>
              </w:rPr>
            </w:pPr>
            <w:r>
              <w:rPr>
                <w:rFonts w:hint="eastAsia" w:ascii="宋体" w:hAnsi="宋体"/>
                <w:color w:val="auto"/>
                <w:szCs w:val="21"/>
                <w:highlight w:val="none"/>
              </w:rPr>
              <w:t>桂林市政府采购监督管理办公室     电话：0773-2862142。</w:t>
            </w:r>
          </w:p>
        </w:tc>
      </w:tr>
    </w:tbl>
    <w:p w14:paraId="7F7575A7">
      <w:pPr>
        <w:spacing w:line="400" w:lineRule="exact"/>
        <w:ind w:firstLine="548" w:firstLineChars="196"/>
        <w:jc w:val="center"/>
        <w:rPr>
          <w:rFonts w:ascii="宋体" w:hAnsi="宋体" w:cs="宋体"/>
          <w:b/>
          <w:color w:val="auto"/>
          <w:szCs w:val="21"/>
          <w:highlight w:val="none"/>
        </w:rPr>
      </w:pPr>
      <w:r>
        <w:rPr>
          <w:rFonts w:hint="eastAsia" w:ascii="宋体" w:hAnsi="宋体" w:cs="宋体"/>
          <w:b/>
          <w:color w:val="auto"/>
          <w:sz w:val="28"/>
          <w:szCs w:val="28"/>
          <w:highlight w:val="none"/>
        </w:rPr>
        <w:br w:type="page"/>
      </w:r>
      <w:r>
        <w:rPr>
          <w:rFonts w:hint="eastAsia" w:ascii="宋体" w:hAnsi="宋体" w:cs="宋体"/>
          <w:b/>
          <w:color w:val="auto"/>
          <w:szCs w:val="21"/>
          <w:highlight w:val="none"/>
        </w:rPr>
        <w:t>一、总则</w:t>
      </w:r>
    </w:p>
    <w:p w14:paraId="2A0CCCED">
      <w:pPr>
        <w:spacing w:line="360" w:lineRule="auto"/>
        <w:ind w:firstLine="411" w:firstLineChars="196"/>
        <w:rPr>
          <w:rFonts w:ascii="宋体" w:hAnsi="宋体" w:cs="宋体"/>
          <w:b/>
          <w:color w:val="auto"/>
          <w:szCs w:val="21"/>
          <w:highlight w:val="none"/>
        </w:rPr>
      </w:pPr>
      <w:r>
        <w:rPr>
          <w:rFonts w:hint="eastAsia" w:ascii="宋体" w:hAnsi="宋体" w:cs="宋体"/>
          <w:b/>
          <w:color w:val="auto"/>
          <w:szCs w:val="21"/>
          <w:highlight w:val="none"/>
        </w:rPr>
        <w:t>1. 项目名称及项目编号</w:t>
      </w:r>
    </w:p>
    <w:p w14:paraId="27468EF4">
      <w:pPr>
        <w:spacing w:line="360" w:lineRule="auto"/>
        <w:ind w:firstLine="617" w:firstLineChars="294"/>
        <w:rPr>
          <w:rFonts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血液透析机等设备采购</w:t>
      </w:r>
    </w:p>
    <w:p w14:paraId="58E23F45">
      <w:pPr>
        <w:spacing w:line="360" w:lineRule="auto"/>
        <w:ind w:firstLine="617" w:firstLineChars="294"/>
        <w:rPr>
          <w:rFonts w:ascii="宋体" w:hAnsi="宋体" w:cs="宋体"/>
          <w:b/>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lang w:val="en-US" w:eastAsia="zh-CN"/>
        </w:rPr>
        <w:t xml:space="preserve">GLZC2026-G1-990159-GXDC  </w:t>
      </w:r>
      <w:r>
        <w:rPr>
          <w:rFonts w:hint="eastAsia" w:ascii="宋体" w:hAnsi="宋体" w:cs="宋体"/>
          <w:color w:val="auto"/>
          <w:szCs w:val="21"/>
          <w:highlight w:val="none"/>
        </w:rPr>
        <w:t xml:space="preserve"> </w:t>
      </w:r>
    </w:p>
    <w:p w14:paraId="0B888B4E">
      <w:pPr>
        <w:spacing w:line="360" w:lineRule="auto"/>
        <w:ind w:firstLine="411" w:firstLineChars="196"/>
        <w:rPr>
          <w:rFonts w:ascii="宋体" w:hAnsi="宋体" w:cs="宋体"/>
          <w:b/>
          <w:color w:val="auto"/>
          <w:szCs w:val="21"/>
          <w:highlight w:val="none"/>
        </w:rPr>
      </w:pPr>
      <w:r>
        <w:rPr>
          <w:rFonts w:hint="eastAsia" w:ascii="宋体" w:hAnsi="宋体" w:cs="宋体"/>
          <w:b/>
          <w:color w:val="auto"/>
          <w:szCs w:val="21"/>
          <w:highlight w:val="none"/>
        </w:rPr>
        <w:t>2. 适应范围</w:t>
      </w:r>
    </w:p>
    <w:p w14:paraId="53A7E725">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本招标文件适用本招标采购项目的招标、投标、评标、合同履约、验收、付款等行为（法律、法规另有规定的，从其规定）。</w:t>
      </w:r>
    </w:p>
    <w:p w14:paraId="03A9DB2B">
      <w:pP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3. 定义</w:t>
      </w:r>
    </w:p>
    <w:p w14:paraId="393BC918">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3.1“招标采购单位”是指组织本次招标的采购人和采购代理机构。</w:t>
      </w:r>
    </w:p>
    <w:p w14:paraId="4CD8BF2B">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3.2“投标人”是指向招标方提交投标文件的供应商。</w:t>
      </w:r>
    </w:p>
    <w:p w14:paraId="3A9B377F">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3.3“货物”系指按招标文件规定，投标人须向采购人提供的一切设备、保险、税金、备品备件、工具、手册及其它有关技术资料和材料。</w:t>
      </w:r>
    </w:p>
    <w:p w14:paraId="17B7C79A">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3.4“服务”系指招标文件规定，投标人须承担的安装、调试、技术协助、校准、培训、技术指导以及其他类似的义务。</w:t>
      </w:r>
    </w:p>
    <w:p w14:paraId="43896412">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3.5“项目”系指投标人按招标文件规定向采购人提供的货物和服务。</w:t>
      </w:r>
    </w:p>
    <w:p w14:paraId="243F444C">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3.6“书面形式”包括信函、传真、电报。</w:t>
      </w:r>
    </w:p>
    <w:p w14:paraId="68CAD6DD">
      <w:pPr>
        <w:spacing w:line="360" w:lineRule="auto"/>
        <w:ind w:firstLine="435"/>
        <w:rPr>
          <w:color w:val="auto"/>
          <w:highlight w:val="none"/>
        </w:rPr>
      </w:pPr>
      <w:r>
        <w:rPr>
          <w:rFonts w:hint="eastAsia" w:ascii="宋体" w:hAnsi="宋体" w:cs="宋体"/>
          <w:color w:val="auto"/>
          <w:szCs w:val="21"/>
          <w:highlight w:val="none"/>
        </w:rPr>
        <w:t>3.7、实质性要求：标注</w:t>
      </w:r>
      <w:r>
        <w:rPr>
          <w:rFonts w:hint="eastAsia" w:ascii="宋体" w:hAnsi="宋体" w:eastAsia="宋体" w:cs="宋体"/>
          <w:color w:val="auto"/>
          <w:kern w:val="2"/>
          <w:sz w:val="21"/>
          <w:szCs w:val="21"/>
          <w:highlight w:val="none"/>
        </w:rPr>
        <w:t>▲</w:t>
      </w:r>
      <w:r>
        <w:rPr>
          <w:rFonts w:hint="eastAsia" w:ascii="宋体" w:hAnsi="宋体" w:cs="宋体"/>
          <w:color w:val="auto"/>
          <w:szCs w:val="21"/>
          <w:highlight w:val="none"/>
        </w:rPr>
        <w:t>号项的要求为实质性要求。</w:t>
      </w:r>
    </w:p>
    <w:p w14:paraId="50E57977">
      <w:pP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4. 招标方式、评分办法</w:t>
      </w:r>
    </w:p>
    <w:p w14:paraId="1E9A8636">
      <w:pPr>
        <w:spacing w:line="360" w:lineRule="auto"/>
        <w:ind w:firstLine="435"/>
        <w:rPr>
          <w:rFonts w:ascii="宋体" w:hAnsi="宋体" w:cs="宋体"/>
          <w:color w:val="auto"/>
          <w:spacing w:val="-2"/>
          <w:szCs w:val="21"/>
          <w:highlight w:val="none"/>
        </w:rPr>
      </w:pPr>
      <w:r>
        <w:rPr>
          <w:rFonts w:hint="eastAsia" w:ascii="宋体" w:hAnsi="宋体" w:cs="宋体"/>
          <w:color w:val="auto"/>
          <w:szCs w:val="21"/>
          <w:highlight w:val="none"/>
        </w:rPr>
        <w:t>公开招标、</w:t>
      </w:r>
      <w:r>
        <w:rPr>
          <w:rFonts w:hint="eastAsia" w:ascii="宋体" w:hAnsi="宋体" w:cs="宋体"/>
          <w:color w:val="auto"/>
          <w:spacing w:val="-2"/>
          <w:szCs w:val="21"/>
          <w:highlight w:val="none"/>
        </w:rPr>
        <w:t>综合评分法</w:t>
      </w:r>
    </w:p>
    <w:p w14:paraId="259B8FF5">
      <w:pPr>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5. 投标人资格</w:t>
      </w:r>
    </w:p>
    <w:p w14:paraId="218E93ED">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1.满足《中华人民共和国政府采购法》第二十二条规定；</w:t>
      </w:r>
    </w:p>
    <w:p w14:paraId="4903269B">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2.落实政府采购政策需满足的资格要求：无</w:t>
      </w:r>
    </w:p>
    <w:p w14:paraId="53BDB82E">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5.</w:t>
      </w:r>
      <w:r>
        <w:rPr>
          <w:rFonts w:hint="eastAsia" w:ascii="宋体" w:hAnsi="宋体" w:eastAsia="宋体" w:cs="宋体"/>
          <w:bCs/>
          <w:color w:val="auto"/>
          <w:highlight w:val="none"/>
        </w:rPr>
        <w:t>3.本项目的特定资格要求：本项目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p>
    <w:p w14:paraId="7E43707E">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lang w:val="en-US" w:eastAsia="zh-CN"/>
        </w:rPr>
        <w:t>5.4.</w:t>
      </w:r>
      <w:r>
        <w:rPr>
          <w:rFonts w:hint="eastAsia" w:ascii="宋体" w:hAnsi="宋体" w:eastAsia="宋体" w:cs="宋体"/>
          <w:bCs/>
          <w:color w:val="auto"/>
          <w:highlight w:val="none"/>
        </w:rPr>
        <w:t>本项目不接受联合体投标。</w:t>
      </w:r>
    </w:p>
    <w:p w14:paraId="5F86469B">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color w:val="auto"/>
          <w:szCs w:val="21"/>
          <w:highlight w:val="none"/>
          <w:lang w:eastAsia="zh-CN"/>
        </w:rPr>
        <w:t>广西政府采购云平台</w:t>
      </w:r>
      <w:r>
        <w:rPr>
          <w:rFonts w:hint="eastAsia" w:ascii="宋体" w:hAnsi="宋体" w:cs="宋体"/>
          <w:b/>
          <w:color w:val="auto"/>
          <w:szCs w:val="21"/>
          <w:highlight w:val="none"/>
        </w:rPr>
        <w:t>”电子投标相关事宜说明：</w:t>
      </w:r>
    </w:p>
    <w:p w14:paraId="15B59E96">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w:t>
      </w:r>
      <w:r>
        <w:rPr>
          <w:rFonts w:hint="eastAsia" w:ascii="宋体" w:hAnsi="宋体" w:cs="宋体"/>
          <w:bCs/>
          <w:color w:val="auto"/>
          <w:highlight w:val="none"/>
          <w:lang w:eastAsia="zh-CN"/>
        </w:rPr>
        <w:t>）</w:t>
      </w:r>
      <w:r>
        <w:rPr>
          <w:rFonts w:hint="eastAsia" w:ascii="宋体" w:hAnsi="宋体" w:cs="宋体"/>
          <w:bCs/>
          <w:color w:val="auto"/>
          <w:highlight w:val="none"/>
        </w:rPr>
        <w:t>本项目实行全流程电子化采购，投标人通过广西政府采购云平台参与电子投标，并应做好以下相关准备工作：①在广西政府采购云平台注册成为正式供应商【操作方法详见广西政府采购网（访问地址http://zfcg.gxzf.gov.cn/）—办事服务—办事指南】；②完成CA证书申领和绑定（费用由供应商自行承担，办理流程详见广西壮族自治区政府采购网—办事服务—下载专区，完成CA证书办理预计一周左右，建议供应商尽快办理）；③下载“广西政府采购云平台新版客户端”（操作方法详见广西壮族自治区政府采购网—办事服务—下载专区）并安装成功，投标人应当在提交投标文件截止时间前在广西政府采购云平台完成身份认证，确保能够对相关数据电文进行加密和使用电子签章；④自备计算机和网络设备并确保能接入互联网（费用由投标人自行承担，设备确保可进行视频通话和读取政采云CA证书）。因投标人未做好相关准备工作等自身原因导致无法参加本项目电子投标或投标失败的，造成的一切后果，由投标人自行承担。</w:t>
      </w:r>
    </w:p>
    <w:p w14:paraId="259D78A6">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2</w:t>
      </w:r>
      <w:r>
        <w:rPr>
          <w:rFonts w:hint="eastAsia" w:ascii="宋体" w:hAnsi="宋体" w:cs="宋体"/>
          <w:bCs/>
          <w:color w:val="auto"/>
          <w:highlight w:val="none"/>
          <w:lang w:eastAsia="zh-CN"/>
        </w:rPr>
        <w:t>）</w:t>
      </w:r>
      <w:r>
        <w:rPr>
          <w:rFonts w:hint="eastAsia" w:ascii="宋体" w:hAnsi="宋体" w:cs="宋体"/>
          <w:bCs/>
          <w:color w:val="auto"/>
          <w:highlight w:val="none"/>
        </w:rPr>
        <w:t>电子投标具体操作流程参考《政府采购项目电子交易管理操作指南-供应商》【详见广西政府采购网（访问地址http://zfcg.gxzf.gov.cn/）—办事服务—下载专区-广西壮族自治区全流程电子招投标项目管理系统--供应商客户端】；如遇平台技术问题详询95763。</w:t>
      </w:r>
    </w:p>
    <w:p w14:paraId="0E2B4B2F">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3</w:t>
      </w:r>
      <w:r>
        <w:rPr>
          <w:rFonts w:hint="eastAsia" w:ascii="宋体" w:hAnsi="宋体" w:cs="宋体"/>
          <w:bCs/>
          <w:color w:val="auto"/>
          <w:highlight w:val="none"/>
          <w:lang w:eastAsia="zh-CN"/>
        </w:rPr>
        <w:t>）</w:t>
      </w:r>
      <w:r>
        <w:rPr>
          <w:rFonts w:hint="eastAsia" w:ascii="宋体" w:hAnsi="宋体" w:cs="宋体"/>
          <w:bCs/>
          <w:color w:val="auto"/>
          <w:highlight w:val="none"/>
        </w:rPr>
        <w:t>投标费用：本项目实行网上评审，采用电子投标；若投标人参与项目投标的，不论投标结果如何，均应自行承担所有与投标有关的全部费用。</w:t>
      </w:r>
    </w:p>
    <w:p w14:paraId="38A99756">
      <w:pPr>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6. 投标费用</w:t>
      </w:r>
    </w:p>
    <w:p w14:paraId="0F23940D">
      <w:pPr>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不论投标结果如何，投标人均应自行承担所有与投标有关的全部费用。</w:t>
      </w:r>
    </w:p>
    <w:p w14:paraId="0E6E2BC4">
      <w:pPr>
        <w:tabs>
          <w:tab w:val="left" w:pos="163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7、联合体投标要求</w:t>
      </w:r>
    </w:p>
    <w:p w14:paraId="0E277EE3">
      <w:pPr>
        <w:pStyle w:val="36"/>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本项目</w:t>
      </w:r>
      <w:r>
        <w:rPr>
          <w:rFonts w:hint="eastAsia" w:ascii="宋体" w:hAnsi="宋体" w:cs="宋体"/>
          <w:b/>
          <w:bCs/>
          <w:color w:val="auto"/>
          <w:szCs w:val="21"/>
          <w:highlight w:val="none"/>
          <w:u w:val="single"/>
        </w:rPr>
        <w:t>不接受</w:t>
      </w:r>
      <w:r>
        <w:rPr>
          <w:rFonts w:hint="eastAsia" w:ascii="宋体" w:hAnsi="宋体" w:cs="宋体"/>
          <w:color w:val="auto"/>
          <w:szCs w:val="21"/>
          <w:highlight w:val="none"/>
        </w:rPr>
        <w:t>联合体投标。</w:t>
      </w:r>
    </w:p>
    <w:p w14:paraId="0F7719E1">
      <w:pPr>
        <w:tabs>
          <w:tab w:val="left" w:pos="1635"/>
        </w:tabs>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8、转包与分包</w:t>
      </w:r>
    </w:p>
    <w:p w14:paraId="70212B04">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8.1本项目不允许转包。</w:t>
      </w:r>
    </w:p>
    <w:p w14:paraId="4045E47C">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 xml:space="preserve">8.2本项目不可以分包。  </w:t>
      </w:r>
    </w:p>
    <w:p w14:paraId="7940FAFA">
      <w:pPr>
        <w:tabs>
          <w:tab w:val="left" w:pos="1635"/>
        </w:tabs>
        <w:spacing w:line="360" w:lineRule="auto"/>
        <w:ind w:firstLine="435"/>
        <w:rPr>
          <w:rFonts w:ascii="宋体" w:hAnsi="宋体" w:cs="宋体"/>
          <w:b/>
          <w:color w:val="auto"/>
          <w:szCs w:val="21"/>
          <w:highlight w:val="none"/>
        </w:rPr>
      </w:pPr>
      <w:r>
        <w:rPr>
          <w:rFonts w:hint="eastAsia" w:ascii="宋体" w:hAnsi="宋体" w:cs="宋体"/>
          <w:b/>
          <w:color w:val="auto"/>
          <w:szCs w:val="21"/>
          <w:highlight w:val="none"/>
        </w:rPr>
        <w:t>9. 特别说明</w:t>
      </w:r>
    </w:p>
    <w:p w14:paraId="09BE05A7">
      <w:pPr>
        <w:tabs>
          <w:tab w:val="left" w:pos="1635"/>
        </w:tabs>
        <w:spacing w:line="380" w:lineRule="exact"/>
        <w:ind w:firstLine="435"/>
        <w:rPr>
          <w:rFonts w:hint="eastAsia" w:ascii="宋体" w:hAnsi="宋体" w:cs="Arial"/>
          <w:color w:val="auto"/>
          <w:szCs w:val="21"/>
          <w:highlight w:val="none"/>
        </w:rPr>
      </w:pPr>
      <w:r>
        <w:rPr>
          <w:rFonts w:hint="eastAsia" w:ascii="宋体" w:hAnsi="宋体" w:cs="宋体"/>
          <w:color w:val="auto"/>
          <w:szCs w:val="21"/>
          <w:highlight w:val="none"/>
        </w:rPr>
        <w:t>9.1</w:t>
      </w:r>
      <w:r>
        <w:rPr>
          <w:rFonts w:hint="eastAsia" w:ascii="宋体" w:hAnsi="宋体" w:eastAsia="宋体" w:cs="Arial"/>
          <w:b/>
          <w:color w:val="auto"/>
          <w:szCs w:val="21"/>
          <w:highlight w:val="none"/>
        </w:rPr>
        <w:t>提供相同品牌产品且通过资格审查、符合性审查的不同投标人参加同一合同项下投标的，</w:t>
      </w:r>
      <w:r>
        <w:rPr>
          <w:rFonts w:ascii="宋体" w:hAnsi="宋体" w:eastAsia="宋体" w:cs="Arial"/>
          <w:b/>
          <w:color w:val="auto"/>
          <w:szCs w:val="21"/>
          <w:highlight w:val="none"/>
        </w:rPr>
        <w:t>按一家投标人计算，评审后得分最高的同品牌投标人获得中标人推荐资格；评审得分相同的，</w:t>
      </w:r>
      <w:r>
        <w:rPr>
          <w:rFonts w:hint="eastAsia" w:ascii="宋体" w:hAnsi="宋体" w:cs="Arial"/>
          <w:b/>
          <w:color w:val="auto"/>
          <w:szCs w:val="21"/>
          <w:highlight w:val="none"/>
        </w:rPr>
        <w:t>评标价最低的同品牌投标人获得</w:t>
      </w:r>
      <w:r>
        <w:rPr>
          <w:rFonts w:ascii="宋体" w:hAnsi="宋体" w:cs="Arial"/>
          <w:b/>
          <w:color w:val="auto"/>
          <w:szCs w:val="21"/>
          <w:highlight w:val="none"/>
        </w:rPr>
        <w:t>中标人推荐资格</w:t>
      </w:r>
      <w:r>
        <w:rPr>
          <w:rFonts w:hint="eastAsia" w:ascii="宋体" w:hAnsi="宋体" w:cs="Arial"/>
          <w:b/>
          <w:color w:val="auto"/>
          <w:szCs w:val="21"/>
          <w:highlight w:val="none"/>
        </w:rPr>
        <w:t>；评标价也相同的，投标报价最低的同品牌投标人获得中标人推荐资格；投标报价也相同的，由评标委员会以抽签</w:t>
      </w:r>
      <w:r>
        <w:rPr>
          <w:rFonts w:ascii="宋体" w:hAnsi="宋体" w:cs="Arial"/>
          <w:b/>
          <w:color w:val="auto"/>
          <w:szCs w:val="21"/>
          <w:highlight w:val="none"/>
        </w:rPr>
        <w:t>方式确定</w:t>
      </w:r>
      <w:r>
        <w:rPr>
          <w:rFonts w:hint="eastAsia" w:ascii="宋体" w:hAnsi="宋体" w:cs="Arial"/>
          <w:b/>
          <w:color w:val="auto"/>
          <w:szCs w:val="21"/>
          <w:highlight w:val="none"/>
        </w:rPr>
        <w:t>一个中标人推荐资格</w:t>
      </w:r>
      <w:r>
        <w:rPr>
          <w:rFonts w:ascii="宋体" w:hAnsi="宋体" w:cs="Arial"/>
          <w:b/>
          <w:color w:val="auto"/>
          <w:szCs w:val="21"/>
          <w:highlight w:val="none"/>
        </w:rPr>
        <w:t>，其他同品牌投标人不作为中标候选人。</w:t>
      </w:r>
    </w:p>
    <w:p w14:paraId="7A2002DC">
      <w:pPr>
        <w:tabs>
          <w:tab w:val="left" w:pos="1635"/>
        </w:tabs>
        <w:spacing w:line="380" w:lineRule="exact"/>
        <w:ind w:firstLine="435"/>
        <w:rPr>
          <w:rFonts w:hint="eastAsia" w:ascii="宋体" w:hAnsi="宋体" w:cs="Arial"/>
          <w:b/>
          <w:color w:val="auto"/>
          <w:szCs w:val="21"/>
          <w:highlight w:val="none"/>
        </w:rPr>
      </w:pPr>
      <w:r>
        <w:rPr>
          <w:rFonts w:hint="eastAsia" w:ascii="宋体" w:hAnsi="宋体"/>
          <w:b/>
          <w:color w:val="auto"/>
          <w:szCs w:val="21"/>
          <w:highlight w:val="none"/>
        </w:rPr>
        <w:t>非单一产品采购项目中，多家投标人提供的核心产品品牌相同的，视为提供相同品牌产品，</w:t>
      </w:r>
      <w:r>
        <w:rPr>
          <w:rFonts w:ascii="宋体" w:hAnsi="宋体" w:cs="Arial"/>
          <w:b/>
          <w:color w:val="auto"/>
          <w:szCs w:val="21"/>
          <w:highlight w:val="none"/>
        </w:rPr>
        <w:t>按前款规定处理。</w:t>
      </w:r>
      <w:r>
        <w:rPr>
          <w:rFonts w:hint="eastAsia" w:ascii="宋体" w:hAnsi="宋体" w:cs="Arial"/>
          <w:b/>
          <w:color w:val="auto"/>
          <w:szCs w:val="21"/>
          <w:highlight w:val="none"/>
        </w:rPr>
        <w:t>本项目的核心产品详见第三章《货物采购需求》。</w:t>
      </w:r>
    </w:p>
    <w:p w14:paraId="696FD425">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9.2关联供应商不得参加同一合同项下政府采购活动，否则投标文件将被视为无效：</w:t>
      </w:r>
    </w:p>
    <w:p w14:paraId="079E12B0">
      <w:pPr>
        <w:tabs>
          <w:tab w:val="left" w:pos="16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（1）单位负责人为同一人或者存在直接控股、管理关系的不同供应商，不得参加同一合同项下的政府采购活动。</w:t>
      </w:r>
    </w:p>
    <w:p w14:paraId="74620C9F">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（2）为本采购项目提供整体设计、规范编制或者项目管理、监理、检测等服务的供应商，不得再参加本次采购活动。</w:t>
      </w:r>
    </w:p>
    <w:p w14:paraId="6673C32E">
      <w:pPr>
        <w:tabs>
          <w:tab w:val="left" w:pos="1635"/>
        </w:tabs>
        <w:spacing w:line="360" w:lineRule="auto"/>
        <w:ind w:firstLine="435"/>
        <w:rPr>
          <w:rFonts w:ascii="宋体" w:hAnsi="宋体" w:cs="宋体"/>
          <w:color w:val="auto"/>
          <w:szCs w:val="21"/>
          <w:highlight w:val="none"/>
        </w:rPr>
      </w:pPr>
      <w:r>
        <w:rPr>
          <w:rFonts w:hint="eastAsia" w:ascii="宋体" w:hAnsi="宋体" w:cs="宋体"/>
          <w:color w:val="auto"/>
          <w:szCs w:val="21"/>
          <w:highlight w:val="none"/>
        </w:rPr>
        <w:t>9.3投标人应仔细阅读招标文件的所有内容，按照招标文件的要求提交投标文件，并对所提供的全部资料的真实性承担法律责任。</w:t>
      </w:r>
    </w:p>
    <w:p w14:paraId="5A646B10">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9.4投标人在投标活动中提供任何虚假材料，其投标无效，并报监管部门查处；中标后发现的，中标人须依照《中华人民共和国消费者权益保护法》赔偿采购人，且民事赔偿并不免除违法投标人的行政与刑事责任。</w:t>
      </w:r>
    </w:p>
    <w:p w14:paraId="7A546D29">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根据财库〔2017〕141号《三部门联合发布关于促进残疾人就业政府采购政策的通知》第三条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1A8A2AA8">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.1符合条件的残疾人福利性单位在参加政府采购活动时，应当提供本通知规定的《残疾人福利性单位声明函》（见本招标文件第六章附件），并对声明的真实性负责。</w:t>
      </w:r>
    </w:p>
    <w:p w14:paraId="11CC86B3">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.2供应商提供的《残疾人福利性单位声明函》与事实不符的，依照《政府采购法》第七十七条第一款的规定追究法律责任。</w:t>
      </w:r>
    </w:p>
    <w:p w14:paraId="119ABD57">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.3享受政府采购支持政策的残疾人福利性单位应当同时满足以下条件：</w:t>
      </w:r>
    </w:p>
    <w:p w14:paraId="36F5D9EC">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（1）安置的残疾人占本单位在职职工人数的比例不低于25%（含25%），并且安置的残疾人人数不少于10人（含10人）；</w:t>
      </w:r>
    </w:p>
    <w:p w14:paraId="7E250DC8">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（2）依法与安置的每位残疾人签订了一年以上（含一年）的劳动合同或服务协议；</w:t>
      </w:r>
    </w:p>
    <w:p w14:paraId="568D737B">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（3）为安置的每位残疾人按月足额缴纳了基本养老保险、基本医疗保险、失业保险、工伤保险和生育保险等社会保险费；</w:t>
      </w:r>
    </w:p>
    <w:p w14:paraId="46436732">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（4）通过银行等金融机构向安置的每位残疾人，按月支付了不低于单位所在区县适用的经省级人民政府批准的月最低工资标准的工资；</w:t>
      </w:r>
    </w:p>
    <w:p w14:paraId="38EE767E">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1BB2294F">
      <w:pPr>
        <w:tabs>
          <w:tab w:val="left" w:pos="1635"/>
        </w:tabs>
        <w:spacing w:line="360" w:lineRule="auto"/>
        <w:ind w:firstLine="435"/>
        <w:rPr>
          <w:rFonts w:hint="eastAsia" w:ascii="宋体" w:hAnsi="宋体" w:cs="宋体"/>
          <w:color w:val="auto"/>
          <w:szCs w:val="21"/>
          <w:highlight w:val="none"/>
        </w:rPr>
      </w:pPr>
      <w:r>
        <w:rPr>
          <w:rFonts w:hint="eastAsia" w:ascii="宋体" w:hAnsi="宋体" w:cs="宋体"/>
          <w:color w:val="auto"/>
          <w:szCs w:val="21"/>
          <w:highlight w:val="none"/>
        </w:rPr>
        <w:t xml:space="preserve">本文件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 </w:t>
      </w:r>
    </w:p>
    <w:p w14:paraId="1ED45B03">
      <w:pPr>
        <w:tabs>
          <w:tab w:val="left" w:pos="2190"/>
        </w:tabs>
        <w:spacing w:line="360" w:lineRule="auto"/>
        <w:ind w:firstLine="411" w:firstLineChars="196"/>
        <w:rPr>
          <w:rFonts w:ascii="宋体" w:hAnsi="宋体" w:cs="宋体"/>
          <w:b/>
          <w:color w:val="auto"/>
          <w:szCs w:val="21"/>
          <w:highlight w:val="none"/>
        </w:rPr>
      </w:pPr>
      <w:r>
        <w:rPr>
          <w:rFonts w:hint="eastAsia" w:ascii="宋体" w:hAnsi="宋体" w:cs="宋体"/>
          <w:b/>
          <w:color w:val="auto"/>
          <w:szCs w:val="21"/>
          <w:highlight w:val="none"/>
        </w:rPr>
        <w:t>10、质疑和投诉</w:t>
      </w:r>
      <w:r>
        <w:rPr>
          <w:rFonts w:hint="eastAsia" w:ascii="宋体" w:hAnsi="宋体" w:cs="宋体"/>
          <w:b/>
          <w:color w:val="auto"/>
          <w:szCs w:val="21"/>
          <w:highlight w:val="none"/>
        </w:rPr>
        <w:tab/>
      </w:r>
    </w:p>
    <w:p w14:paraId="369B0928">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10.1 投标人认为招标文件使自己的合法权益受到损害的，应当在获取招标文件之日起7 个工作日内以书面形式向采购代理机构提出质疑。投标人认为招标过程或中标结果使自己的合法权益受到损害的，应当在采购程序环节结束之日或中标公告期限届满之日起7个工作日内，以书面形式向采购代理机构提出质疑。采购代理机构应认真做好质疑处理工作。</w:t>
      </w:r>
    </w:p>
    <w:p w14:paraId="6D8D1693">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10.2投标人对采购代理机构的答复不满意或者采购代理机构未在规定的时间内作出答复的，可以在答复期满后十五个工作日内向</w:t>
      </w:r>
      <w:r>
        <w:rPr>
          <w:rFonts w:hint="eastAsia" w:ascii="宋体" w:hAnsi="宋体"/>
          <w:color w:val="auto"/>
          <w:szCs w:val="21"/>
          <w:highlight w:val="none"/>
        </w:rPr>
        <w:t>桂林市政府采购监督管理办公室</w:t>
      </w:r>
      <w:r>
        <w:rPr>
          <w:rFonts w:hint="eastAsia" w:ascii="宋体" w:hAnsi="宋体" w:cs="宋体"/>
          <w:color w:val="auto"/>
          <w:szCs w:val="21"/>
          <w:highlight w:val="none"/>
        </w:rPr>
        <w:t>投诉。</w:t>
      </w:r>
    </w:p>
    <w:p w14:paraId="6BB7E652">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10.3 质疑、投诉应当采用书面形式，质疑书、投诉书实行实名制，均应明确阐述招标文件、招标过程或中标结果中使自己合法权益受到损害的实质性内容，并提供必要的证明材料。</w:t>
      </w:r>
      <w:r>
        <w:rPr>
          <w:rFonts w:hint="eastAsia" w:ascii="宋体" w:hAnsi="宋体"/>
          <w:b/>
          <w:color w:val="auto"/>
          <w:szCs w:val="21"/>
          <w:highlight w:val="none"/>
        </w:rPr>
        <w:t>质疑函格式详见附件1。</w:t>
      </w:r>
    </w:p>
    <w:p w14:paraId="43746AD1">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 xml:space="preserve">10.4 递交质疑函的联系事项： </w:t>
      </w:r>
    </w:p>
    <w:p w14:paraId="74B0AA29">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广西鼎策工程顾问有限责任公司</w:t>
      </w:r>
    </w:p>
    <w:p w14:paraId="10304F26">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联系电话：0773-8980919</w:t>
      </w:r>
    </w:p>
    <w:p w14:paraId="0FD0C86E">
      <w:pPr>
        <w:tabs>
          <w:tab w:val="left" w:pos="2190"/>
        </w:tabs>
        <w:spacing w:line="360" w:lineRule="auto"/>
        <w:ind w:firstLine="435"/>
        <w:jc w:val="lef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桂林市七星区信息路星辰科技广场B3-</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室</w:t>
      </w:r>
      <w:r>
        <w:rPr>
          <w:rFonts w:hint="eastAsia" w:ascii="宋体" w:hAnsi="宋体" w:cs="宋体"/>
          <w:color w:val="auto"/>
          <w:szCs w:val="21"/>
          <w:highlight w:val="none"/>
        </w:rPr>
        <w:t xml:space="preserve"> </w:t>
      </w:r>
    </w:p>
    <w:p w14:paraId="53F30C45">
      <w:pPr>
        <w:tabs>
          <w:tab w:val="left" w:pos="2190"/>
        </w:tabs>
        <w:spacing w:line="360" w:lineRule="auto"/>
        <w:ind w:firstLine="435"/>
        <w:jc w:val="center"/>
        <w:rPr>
          <w:rFonts w:ascii="宋体" w:hAnsi="宋体" w:cs="宋体"/>
          <w:b/>
          <w:color w:val="auto"/>
          <w:szCs w:val="21"/>
          <w:highlight w:val="none"/>
        </w:rPr>
      </w:pPr>
    </w:p>
    <w:p w14:paraId="46D80197">
      <w:pPr>
        <w:tabs>
          <w:tab w:val="left" w:pos="2190"/>
        </w:tabs>
        <w:spacing w:line="360" w:lineRule="auto"/>
        <w:ind w:firstLine="435"/>
        <w:jc w:val="center"/>
        <w:rPr>
          <w:rFonts w:ascii="宋体" w:hAnsi="宋体" w:cs="宋体"/>
          <w:b/>
          <w:color w:val="auto"/>
          <w:szCs w:val="21"/>
          <w:highlight w:val="none"/>
        </w:rPr>
      </w:pPr>
      <w:r>
        <w:rPr>
          <w:rFonts w:hint="eastAsia" w:ascii="宋体" w:hAnsi="宋体" w:cs="宋体"/>
          <w:b/>
          <w:color w:val="auto"/>
          <w:szCs w:val="21"/>
          <w:highlight w:val="none"/>
        </w:rPr>
        <w:t>二、招标文件</w:t>
      </w:r>
    </w:p>
    <w:p w14:paraId="21398609">
      <w:pP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11. 招标文件的构成</w:t>
      </w:r>
    </w:p>
    <w:p w14:paraId="0BDB686F">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（1）招标公告；</w:t>
      </w:r>
    </w:p>
    <w:p w14:paraId="52F32034">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（2）总则；</w:t>
      </w:r>
    </w:p>
    <w:p w14:paraId="5C410F76">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（3）货物采购需求</w:t>
      </w:r>
      <w:r>
        <w:rPr>
          <w:rFonts w:hint="eastAsia" w:ascii="宋体" w:hAnsi="宋体"/>
          <w:color w:val="auto"/>
          <w:szCs w:val="21"/>
          <w:highlight w:val="none"/>
        </w:rPr>
        <w:t>（“货物采购需求”中标注</w:t>
      </w:r>
      <w:r>
        <w:rPr>
          <w:rFonts w:hint="eastAsia" w:ascii="宋体" w:hAnsi="宋体" w:eastAsia="宋体" w:cs="宋体"/>
          <w:color w:val="auto"/>
          <w:kern w:val="2"/>
          <w:sz w:val="21"/>
          <w:szCs w:val="21"/>
          <w:highlight w:val="none"/>
        </w:rPr>
        <w:t>▲</w:t>
      </w:r>
      <w:r>
        <w:rPr>
          <w:rFonts w:hint="eastAsia" w:ascii="宋体" w:hAnsi="宋体"/>
          <w:color w:val="auto"/>
          <w:szCs w:val="21"/>
          <w:highlight w:val="none"/>
        </w:rPr>
        <w:t>号项的要求为实质性要求）；</w:t>
      </w:r>
    </w:p>
    <w:p w14:paraId="23774F78">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（4）评标办法；</w:t>
      </w:r>
    </w:p>
    <w:p w14:paraId="0B62615B">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（5）采购合同（合同主要条款及格式）；</w:t>
      </w:r>
    </w:p>
    <w:p w14:paraId="732AD5B4">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（6）投标文件（格式）。</w:t>
      </w:r>
    </w:p>
    <w:p w14:paraId="01E4A5F5">
      <w:pP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12. 招标文件的澄清与修改</w:t>
      </w:r>
    </w:p>
    <w:p w14:paraId="5A794710">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12.1投标人应认真阅读招标文件，发现其中有误或有不合理要求的，投标人在获取招标文件之日起7个工作日内以书面形式要求采购代理机构澄清。</w:t>
      </w:r>
    </w:p>
    <w:p w14:paraId="013D1DEB">
      <w:pPr>
        <w:tabs>
          <w:tab w:val="left" w:pos="2190"/>
        </w:tabs>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1812FD70">
      <w:pPr>
        <w:tabs>
          <w:tab w:val="left" w:pos="219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12.3必要的澄清、修改的内容为招标文件的组成部分。当澄清、修改通知就同一内容的表述不一致时，以最后发出的书面文件为准。</w:t>
      </w:r>
    </w:p>
    <w:p w14:paraId="5924EAF8">
      <w:pPr>
        <w:tabs>
          <w:tab w:val="left" w:pos="219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12.4招标文件的澄清、修改都应该通过采购代理机构以法定形式发布，采购人非通过本机构，不得擅自澄清、修改招标文件。</w:t>
      </w:r>
    </w:p>
    <w:p w14:paraId="130963E1">
      <w:pPr>
        <w:tabs>
          <w:tab w:val="left" w:pos="2190"/>
        </w:tabs>
        <w:spacing w:line="360" w:lineRule="auto"/>
        <w:ind w:firstLine="437"/>
        <w:rPr>
          <w:rFonts w:ascii="宋体" w:hAnsi="宋体" w:cs="宋体"/>
          <w:b/>
          <w:color w:val="auto"/>
          <w:szCs w:val="21"/>
          <w:highlight w:val="none"/>
        </w:rPr>
      </w:pPr>
      <w:r>
        <w:rPr>
          <w:rFonts w:hint="eastAsia" w:ascii="宋体" w:hAnsi="宋体" w:cs="宋体"/>
          <w:b/>
          <w:color w:val="auto"/>
          <w:szCs w:val="21"/>
          <w:highlight w:val="none"/>
        </w:rPr>
        <w:t>12.5、投标人获取招标文件后应实时关注相关网站了解澄清、修改等与项目有关的内容，如因投标人未及时登录相关网站了解澄清、修改等与项目有关的内容，从而导致投标无效的，由投标人自行承担责任。</w:t>
      </w:r>
    </w:p>
    <w:p w14:paraId="68F623BE">
      <w:pPr>
        <w:tabs>
          <w:tab w:val="left" w:pos="2190"/>
        </w:tabs>
        <w:spacing w:line="360" w:lineRule="auto"/>
        <w:rPr>
          <w:rFonts w:ascii="宋体" w:hAnsi="宋体" w:cs="宋体"/>
          <w:color w:val="auto"/>
          <w:szCs w:val="21"/>
          <w:highlight w:val="none"/>
        </w:rPr>
      </w:pPr>
    </w:p>
    <w:p w14:paraId="6796376E">
      <w:pPr>
        <w:tabs>
          <w:tab w:val="left" w:pos="2190"/>
        </w:tabs>
        <w:spacing w:line="360" w:lineRule="auto"/>
        <w:ind w:firstLine="435"/>
        <w:jc w:val="center"/>
        <w:rPr>
          <w:rFonts w:ascii="宋体" w:hAnsi="宋体" w:cs="宋体"/>
          <w:b/>
          <w:color w:val="auto"/>
          <w:szCs w:val="21"/>
          <w:highlight w:val="none"/>
        </w:rPr>
      </w:pPr>
      <w:r>
        <w:rPr>
          <w:rFonts w:hint="eastAsia" w:ascii="宋体" w:hAnsi="宋体" w:cs="宋体"/>
          <w:b/>
          <w:color w:val="auto"/>
          <w:szCs w:val="21"/>
          <w:highlight w:val="none"/>
        </w:rPr>
        <w:t>三、投标文件的编制</w:t>
      </w:r>
    </w:p>
    <w:p w14:paraId="49A83F98">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13、投标文件的组成及要求</w:t>
      </w:r>
    </w:p>
    <w:p w14:paraId="0D6A2C0D">
      <w:pPr>
        <w:tabs>
          <w:tab w:val="left" w:pos="2190"/>
        </w:tabs>
        <w:spacing w:line="360" w:lineRule="auto"/>
        <w:ind w:firstLine="435"/>
        <w:rPr>
          <w:rFonts w:ascii="宋体" w:hAnsi="宋体" w:cs="宋体"/>
          <w:b/>
          <w:color w:val="auto"/>
          <w:szCs w:val="21"/>
          <w:highlight w:val="none"/>
        </w:rPr>
      </w:pPr>
      <w:r>
        <w:rPr>
          <w:rFonts w:hint="eastAsia" w:ascii="宋体" w:hAnsi="宋体" w:cs="宋体"/>
          <w:color w:val="auto"/>
          <w:szCs w:val="21"/>
          <w:highlight w:val="none"/>
        </w:rPr>
        <w:t>13.1</w:t>
      </w:r>
      <w:r>
        <w:rPr>
          <w:rFonts w:hint="eastAsia" w:ascii="宋体" w:hAnsi="宋体" w:cs="宋体"/>
          <w:b/>
          <w:color w:val="auto"/>
          <w:szCs w:val="21"/>
          <w:highlight w:val="none"/>
        </w:rPr>
        <w:t>投标文件组成</w:t>
      </w:r>
      <w:r>
        <w:rPr>
          <w:rFonts w:hint="eastAsia" w:ascii="宋体" w:hAnsi="宋体" w:cs="宋体"/>
          <w:bCs/>
          <w:color w:val="auto"/>
          <w:szCs w:val="21"/>
          <w:highlight w:val="none"/>
        </w:rPr>
        <w:t>【（</w:t>
      </w:r>
      <w:r>
        <w:rPr>
          <w:rFonts w:hint="eastAsia" w:ascii="宋体" w:hAnsi="宋体" w:cs="宋体"/>
          <w:b/>
          <w:color w:val="auto"/>
          <w:szCs w:val="21"/>
          <w:highlight w:val="none"/>
        </w:rPr>
        <w:t>格式见第六章“投标文件（格式）”</w:t>
      </w:r>
      <w:r>
        <w:rPr>
          <w:rFonts w:hint="eastAsia" w:ascii="宋体" w:hAnsi="宋体" w:cs="宋体"/>
          <w:bCs/>
          <w:color w:val="auto"/>
          <w:szCs w:val="21"/>
          <w:highlight w:val="none"/>
        </w:rPr>
        <w:t>】</w:t>
      </w:r>
    </w:p>
    <w:p w14:paraId="78792BCA">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13.1.1报价文件（格式见附件）</w:t>
      </w:r>
    </w:p>
    <w:p w14:paraId="177F2763">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w:t>
      </w:r>
    </w:p>
    <w:p w14:paraId="3029633B">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（2）投标报价表</w:t>
      </w:r>
      <w:r>
        <w:rPr>
          <w:rFonts w:hint="eastAsia" w:ascii="宋体" w:hAnsi="宋体" w:cs="宋体"/>
          <w:b/>
          <w:color w:val="auto"/>
          <w:szCs w:val="21"/>
          <w:highlight w:val="none"/>
        </w:rPr>
        <w:t>（必须提供）；</w:t>
      </w:r>
    </w:p>
    <w:p w14:paraId="0F2102A3">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13.1.2资格性响应证明材料：</w:t>
      </w:r>
    </w:p>
    <w:p w14:paraId="6D54E7E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（1）投标人的法定代表人、负责人、自然人身份证正反两面复印件</w:t>
      </w:r>
      <w:r>
        <w:rPr>
          <w:rFonts w:hint="eastAsia" w:ascii="宋体" w:hAnsi="宋体" w:cs="宋体"/>
          <w:b/>
          <w:bCs/>
          <w:color w:val="auto"/>
          <w:szCs w:val="21"/>
          <w:highlight w:val="none"/>
        </w:rPr>
        <w:t>（必须提供）；</w:t>
      </w:r>
    </w:p>
    <w:p w14:paraId="096F18A7">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（2）投标人的授权委托书原件、委托代理人身份证正反面复印件以及由县级以上（含县级）社会养老保险经办机构出具的投标人为委托代理人交纳的近三个月社保证明复印件</w:t>
      </w:r>
      <w:r>
        <w:rPr>
          <w:rFonts w:hint="eastAsia" w:ascii="宋体" w:hAnsi="宋体" w:cs="宋体"/>
          <w:b/>
          <w:bCs/>
          <w:color w:val="auto"/>
          <w:szCs w:val="21"/>
          <w:highlight w:val="none"/>
        </w:rPr>
        <w:t xml:space="preserve">（委托代理时必须提供）； </w:t>
      </w:r>
    </w:p>
    <w:p w14:paraId="5BD17E5F">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3789C5D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（4）投标人的法人或者其他组织营业执照等证明文件</w:t>
      </w:r>
      <w:r>
        <w:rPr>
          <w:rFonts w:hint="eastAsia" w:ascii="宋体" w:hAnsi="宋体" w:cs="宋体"/>
          <w:b/>
          <w:bCs/>
          <w:color w:val="auto"/>
          <w:szCs w:val="21"/>
          <w:highlight w:val="none"/>
        </w:rPr>
        <w:t>（必须提供，自然人除外）</w:t>
      </w:r>
      <w:r>
        <w:rPr>
          <w:rFonts w:hint="eastAsia" w:ascii="宋体" w:hAnsi="宋体" w:cs="宋体"/>
          <w:color w:val="auto"/>
          <w:szCs w:val="21"/>
          <w:highlight w:val="none"/>
        </w:rPr>
        <w:t>；</w:t>
      </w:r>
    </w:p>
    <w:p w14:paraId="27EE90BD">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r>
        <w:rPr>
          <w:rFonts w:hint="eastAsia" w:ascii="宋体" w:hAnsi="宋体" w:cs="宋体"/>
          <w:color w:val="auto"/>
          <w:szCs w:val="21"/>
          <w:highlight w:val="none"/>
        </w:rPr>
        <w:t xml:space="preserve"> </w:t>
      </w:r>
    </w:p>
    <w:p w14:paraId="34BA6490">
      <w:pPr>
        <w:pStyle w:val="2"/>
        <w:numPr>
          <w:ilvl w:val="0"/>
          <w:numId w:val="0"/>
        </w:numPr>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（5）</w:t>
      </w:r>
      <w:r>
        <w:rPr>
          <w:rFonts w:hint="eastAsia" w:ascii="宋体" w:hAnsi="宋体" w:eastAsia="宋体" w:cs="宋体"/>
          <w:color w:val="auto"/>
          <w:sz w:val="21"/>
          <w:szCs w:val="21"/>
          <w:highlight w:val="none"/>
        </w:rPr>
        <w:t>投标人按要求提供医疗器械的有关证明材料扫描件。</w:t>
      </w:r>
      <w:r>
        <w:rPr>
          <w:rFonts w:hint="eastAsia" w:ascii="宋体" w:hAnsi="宋体" w:eastAsia="宋体" w:cs="宋体"/>
          <w:b/>
          <w:bCs/>
          <w:color w:val="auto"/>
          <w:kern w:val="2"/>
          <w:sz w:val="21"/>
          <w:szCs w:val="21"/>
          <w:highlight w:val="none"/>
        </w:rPr>
        <w:t>（必须提供）</w:t>
      </w:r>
      <w:r>
        <w:rPr>
          <w:rFonts w:hint="eastAsia" w:ascii="宋体" w:hAnsi="宋体" w:eastAsia="宋体" w:cs="宋体"/>
          <w:color w:val="auto"/>
          <w:sz w:val="21"/>
          <w:szCs w:val="21"/>
          <w:highlight w:val="none"/>
        </w:rPr>
        <w:t>。</w:t>
      </w:r>
    </w:p>
    <w:p w14:paraId="1440B6B3">
      <w:pPr>
        <w:spacing w:line="380" w:lineRule="exact"/>
        <w:ind w:firstLine="392" w:firstLineChars="196"/>
        <w:rPr>
          <w:color w:val="auto"/>
          <w:sz w:val="20"/>
          <w:szCs w:val="22"/>
          <w:highlight w:val="none"/>
        </w:rPr>
      </w:pPr>
      <w:r>
        <w:rPr>
          <w:rFonts w:hint="eastAsia" w:ascii="宋体" w:hAnsi="宋体" w:cs="宋体"/>
          <w:b/>
          <w:color w:val="auto"/>
          <w:kern w:val="0"/>
          <w:sz w:val="20"/>
          <w:szCs w:val="20"/>
          <w:highlight w:val="none"/>
        </w:rPr>
        <w:t>注</w:t>
      </w:r>
      <w:r>
        <w:rPr>
          <w:rFonts w:ascii="宋体" w:hAnsi="宋体" w:cs="宋体"/>
          <w:b/>
          <w:color w:val="auto"/>
          <w:kern w:val="0"/>
          <w:sz w:val="20"/>
          <w:szCs w:val="20"/>
          <w:highlight w:val="none"/>
        </w:rPr>
        <w:t>：</w:t>
      </w:r>
      <w:r>
        <w:rPr>
          <w:rFonts w:hint="eastAsia" w:ascii="宋体" w:hAnsi="宋体" w:cs="宋体"/>
          <w:b/>
          <w:color w:val="auto"/>
          <w:kern w:val="0"/>
          <w:sz w:val="20"/>
          <w:szCs w:val="20"/>
          <w:highlight w:val="none"/>
        </w:rPr>
        <w:t>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37F8AC56">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kern w:val="0"/>
          <w:szCs w:val="21"/>
          <w:highlight w:val="none"/>
        </w:rPr>
      </w:pPr>
      <w:r>
        <w:rPr>
          <w:rFonts w:hint="eastAsia" w:ascii="宋体" w:hAnsi="宋体" w:eastAsia="宋体" w:cs="宋体"/>
          <w:color w:val="auto"/>
          <w:szCs w:val="21"/>
          <w:highlight w:val="none"/>
          <w:lang w:val="en-US" w:eastAsia="zh-CN"/>
        </w:rPr>
        <w:t>（6）无串通投标行为的承诺函</w:t>
      </w:r>
      <w:r>
        <w:rPr>
          <w:rFonts w:hint="eastAsia" w:ascii="宋体" w:hAnsi="宋体" w:eastAsia="宋体" w:cs="宋体"/>
          <w:b/>
          <w:bCs/>
          <w:color w:val="auto"/>
          <w:kern w:val="0"/>
          <w:sz w:val="21"/>
          <w:szCs w:val="21"/>
          <w:highlight w:val="none"/>
          <w:lang w:val="en-US" w:eastAsia="zh-CN" w:bidi="ar-SA"/>
        </w:rPr>
        <w:t>（必须提供）</w:t>
      </w:r>
    </w:p>
    <w:p w14:paraId="1ECEACCE">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w:t>
      </w:r>
      <w:r>
        <w:rPr>
          <w:rFonts w:hint="eastAsia" w:ascii="宋体" w:hAnsi="宋体" w:cs="宋体"/>
          <w:color w:val="auto"/>
          <w:szCs w:val="21"/>
          <w:highlight w:val="none"/>
        </w:rPr>
        <w:t>供应商依法缴纳税收的相关材料（2025年任意1个月的依法缴纳税收的证明材料复印件；依法免税的供应商，必须提供符合免税条件的证明材料。从成立之日起到响应文件提交截止时间止不足要求月数的，只需提供从成立之日起的依法缴纳税收相应证明文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0C6B7304">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供应商依法缴纳社会保障资金的相关材料【2025年任意1个月的依法缴纳社会保障资金的缴费证明材料（如：专用收据、社会保险缴纳清单或者社保部门的证明）复印件或依法缴纳社会保障资金的承诺函；依法不需要缴纳社会保障资金的供应商，必须提供相应文件证明不需要缴纳社会保障资金。从成立之日起到响应文件提交截止时间止不足要求月数的只需提供从成立之日起的依法缴纳社会保障资金的相应证明文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71B1C82B">
      <w:pPr>
        <w:pStyle w:val="3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）供应商财务状况报告【202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度以来任意年度内的财务报表复印件，或者2025年以来银行出具的资信证明，或者中国人民银行征信中心出具的信用报告（企业参与投标的提供企业信用报告，自然人参与投标的提供个人信用报告，供应商属于成立时间在规定年度之后的法人或其他组织，需提供成立之日起至响应文件递交截止时间前的月报表或银行出具的资信证明或者中国人民银行征信中心出具的企业信用报告；资信证明应在有效期内】</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274A4C08">
      <w:pPr>
        <w:pStyle w:val="36"/>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13.1.3符合性及其他证明材料：</w:t>
      </w:r>
    </w:p>
    <w:p w14:paraId="5F4E2830">
      <w:pPr>
        <w:snapToGrid w:val="0"/>
        <w:spacing w:line="360" w:lineRule="auto"/>
        <w:ind w:firstLine="630" w:firstLineChars="300"/>
        <w:outlineLvl w:val="4"/>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bookmarkStart w:id="17" w:name="OLE_LINK27"/>
      <w:bookmarkStart w:id="18" w:name="OLE_LINK26"/>
      <w:r>
        <w:rPr>
          <w:rFonts w:hint="eastAsia" w:ascii="宋体" w:hAnsi="宋体" w:cs="宋体"/>
          <w:color w:val="auto"/>
          <w:szCs w:val="21"/>
          <w:highlight w:val="none"/>
        </w:rPr>
        <w:t>技术响应偏离表</w:t>
      </w:r>
      <w:bookmarkEnd w:id="17"/>
      <w:bookmarkEnd w:id="18"/>
      <w:r>
        <w:rPr>
          <w:rFonts w:hint="eastAsia" w:ascii="宋体" w:hAnsi="宋体" w:cs="宋体"/>
          <w:b/>
          <w:bCs/>
          <w:color w:val="auto"/>
          <w:szCs w:val="21"/>
          <w:highlight w:val="none"/>
        </w:rPr>
        <w:t>（必须提供）；</w:t>
      </w:r>
    </w:p>
    <w:p w14:paraId="0BC06FF2">
      <w:pPr>
        <w:snapToGrid w:val="0"/>
        <w:spacing w:line="360" w:lineRule="auto"/>
        <w:ind w:firstLine="630" w:firstLineChars="300"/>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bookmarkStart w:id="19" w:name="OLE_LINK29"/>
      <w:bookmarkStart w:id="20" w:name="OLE_LINK28"/>
      <w:r>
        <w:rPr>
          <w:rFonts w:hint="eastAsia" w:ascii="宋体" w:hAnsi="宋体" w:cs="宋体"/>
          <w:color w:val="auto"/>
          <w:szCs w:val="21"/>
          <w:highlight w:val="none"/>
        </w:rPr>
        <w:t>商务响应偏离表</w:t>
      </w:r>
      <w:bookmarkEnd w:id="19"/>
      <w:bookmarkEnd w:id="20"/>
      <w:r>
        <w:rPr>
          <w:rFonts w:hint="eastAsia" w:ascii="宋体" w:hAnsi="宋体" w:cs="宋体"/>
          <w:b/>
          <w:bCs/>
          <w:color w:val="auto"/>
          <w:szCs w:val="21"/>
          <w:highlight w:val="none"/>
        </w:rPr>
        <w:t>（必须提供）；</w:t>
      </w:r>
    </w:p>
    <w:p w14:paraId="3277044C">
      <w:pPr>
        <w:snapToGrid w:val="0"/>
        <w:spacing w:line="360" w:lineRule="auto"/>
        <w:ind w:firstLine="539" w:firstLineChars="257"/>
        <w:outlineLvl w:val="4"/>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w:t>
      </w:r>
      <w:r>
        <w:rPr>
          <w:rFonts w:hint="eastAsia" w:ascii="宋体" w:hAnsi="宋体" w:cs="宋体"/>
          <w:b w:val="0"/>
          <w:bCs/>
          <w:color w:val="auto"/>
          <w:kern w:val="0"/>
          <w:szCs w:val="21"/>
          <w:highlight w:val="none"/>
        </w:rPr>
        <w:t>安装调试方案</w:t>
      </w:r>
      <w:r>
        <w:rPr>
          <w:rFonts w:hint="eastAsia" w:ascii="宋体" w:hAnsi="宋体" w:cs="宋体"/>
          <w:b/>
          <w:bCs/>
          <w:color w:val="auto"/>
          <w:kern w:val="0"/>
          <w:szCs w:val="21"/>
          <w:highlight w:val="none"/>
        </w:rPr>
        <w:t>（必须提供）</w:t>
      </w:r>
    </w:p>
    <w:p w14:paraId="7C07D056">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）售后服务方案</w:t>
      </w:r>
      <w:r>
        <w:rPr>
          <w:rFonts w:hint="eastAsia" w:ascii="宋体" w:hAnsi="宋体" w:cs="宋体"/>
          <w:b w:val="0"/>
          <w:bCs/>
          <w:color w:val="auto"/>
          <w:kern w:val="0"/>
          <w:szCs w:val="21"/>
          <w:highlight w:val="none"/>
        </w:rPr>
        <w:t>【包含但不限于：①到达故障现场时间、故障出现解决方案、②定期维护 （注明时间）、③售后服务承诺、④保修期（免费软件升级期）外维修方案、⑤其他增值售后服务或其它实质性优惠措施等】</w:t>
      </w:r>
      <w:r>
        <w:rPr>
          <w:rFonts w:hint="eastAsia" w:ascii="宋体" w:hAnsi="宋体" w:cs="宋体"/>
          <w:b/>
          <w:bCs/>
          <w:color w:val="auto"/>
          <w:szCs w:val="21"/>
          <w:highlight w:val="none"/>
        </w:rPr>
        <w:t>（必须提供）；</w:t>
      </w:r>
    </w:p>
    <w:p w14:paraId="43F0A25D">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）中小企业有效证明材料</w:t>
      </w:r>
    </w:p>
    <w:p w14:paraId="74D8A395">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.1中小企业声明函（见附件）【如投标人所提供的产品为小、微型企业的产品，中标结果将同时公告企业《中小企业声明函》】</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29C556DA">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.2监狱企业由省级以上监狱管理局、戒毒管理局（含新疆生产建设兵团）出具的属于监狱企业的证明文件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CA29D46">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.3符合条件的残疾人福利性单位在参加政府采购活动时，应当提供《残疾人福利性单位声明函》（见附件），并对声明的真实性负责。</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AD7A494">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）节能方面的证书复印件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A88FBA9">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）环保方面的证书复印件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041CFEA8">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）投标人 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年以来具有同类产品的销售业绩的相关证明材料（无不良记录，以中标、</w:t>
      </w:r>
      <w:r>
        <w:rPr>
          <w:rFonts w:hint="eastAsia" w:ascii="宋体" w:hAnsi="宋体" w:cs="宋体"/>
          <w:color w:val="auto"/>
          <w:szCs w:val="21"/>
          <w:highlight w:val="none"/>
          <w:lang w:eastAsia="zh-CN"/>
        </w:rPr>
        <w:t>中标通知书</w:t>
      </w:r>
      <w:r>
        <w:rPr>
          <w:rFonts w:hint="eastAsia" w:ascii="宋体" w:hAnsi="宋体" w:cs="宋体"/>
          <w:color w:val="auto"/>
          <w:szCs w:val="21"/>
          <w:highlight w:val="none"/>
        </w:rPr>
        <w:t>或签订的销售合同为准，并能清晰反映所销售的货物名称、种类、金额）</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36A5328D">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）投标人相关获奖证书、认证证书等复印件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72E310B4">
      <w:pPr>
        <w:ind w:firstLine="630" w:firstLineChars="300"/>
        <w:rPr>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）投标人可结合本项目的评标办法视自身情况自行提交相关证明材料</w:t>
      </w:r>
      <w:r>
        <w:rPr>
          <w:rFonts w:hint="eastAsia" w:ascii="宋体" w:hAnsi="宋体" w:cs="宋体"/>
          <w:b/>
          <w:bCs/>
          <w:color w:val="auto"/>
          <w:szCs w:val="21"/>
          <w:highlight w:val="none"/>
        </w:rPr>
        <w:t>（如有，请提供）</w:t>
      </w:r>
      <w:r>
        <w:rPr>
          <w:rFonts w:hint="eastAsia" w:ascii="宋体" w:hAnsi="宋体" w:cs="宋体"/>
          <w:b/>
          <w:color w:val="auto"/>
          <w:kern w:val="0"/>
          <w:szCs w:val="21"/>
          <w:highlight w:val="none"/>
        </w:rPr>
        <w:t>。</w:t>
      </w:r>
    </w:p>
    <w:p w14:paraId="0834D3DE">
      <w:pPr>
        <w:spacing w:line="360" w:lineRule="auto"/>
        <w:rPr>
          <w:rFonts w:ascii="宋体" w:hAnsi="宋体" w:cs="宋体"/>
          <w:color w:val="auto"/>
          <w:szCs w:val="21"/>
          <w:highlight w:val="none"/>
        </w:rPr>
      </w:pPr>
      <w:r>
        <w:rPr>
          <w:rFonts w:hint="eastAsia" w:ascii="宋体" w:hAnsi="宋体" w:cs="宋体"/>
          <w:b/>
          <w:color w:val="auto"/>
          <w:kern w:val="0"/>
          <w:szCs w:val="21"/>
          <w:highlight w:val="none"/>
        </w:rPr>
        <w:t>投标人提供的以上相关证明材料必须真实有效，属于“必须提供”的文件应加盖投标人CA证书签章，否则投标无效；其中“必须提供”的文件“投标文件（格式）”中有要求法定代表人(负责人、自然人)或相应的授权委托代理人在规定位置签字的，可使用法定代表人(负责人、自然人)或相应的授权委托代理人个人CA证书签章，没有办理</w:t>
      </w:r>
      <w:r>
        <w:rPr>
          <w:rFonts w:hint="eastAsia" w:ascii="宋体" w:hAnsi="宋体" w:cs="宋体"/>
          <w:b/>
          <w:color w:val="auto"/>
          <w:kern w:val="0"/>
          <w:szCs w:val="21"/>
          <w:highlight w:val="none"/>
          <w:lang w:eastAsia="zh-CN"/>
        </w:rPr>
        <w:t>广西政府采购云平台</w:t>
      </w:r>
      <w:r>
        <w:rPr>
          <w:rFonts w:hint="eastAsia" w:ascii="宋体" w:hAnsi="宋体" w:cs="宋体"/>
          <w:b/>
          <w:color w:val="auto"/>
          <w:kern w:val="0"/>
          <w:szCs w:val="21"/>
          <w:highlight w:val="none"/>
        </w:rPr>
        <w:t>个人CA证书签章的可在投标文件中涉及到签字的位置手写签字后扫描或者拍照做成 PDF 的格式上传，无个人CA证书签章及手写签字的，投标文件按无效处理。</w:t>
      </w:r>
    </w:p>
    <w:p w14:paraId="00B3FB66">
      <w:pPr>
        <w:snapToGrid w:val="0"/>
        <w:spacing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13.2投标人应按招标文件第六章“投标文件（格式）”编制投标文件。</w:t>
      </w:r>
    </w:p>
    <w:p w14:paraId="6D995771">
      <w:pPr>
        <w:snapToGrid w:val="0"/>
        <w:spacing w:line="360" w:lineRule="auto"/>
        <w:ind w:firstLine="420" w:firstLineChars="200"/>
        <w:outlineLvl w:val="4"/>
        <w:rPr>
          <w:rFonts w:ascii="宋体" w:hAnsi="宋体" w:cs="宋体"/>
          <w:color w:val="auto"/>
          <w:szCs w:val="21"/>
          <w:highlight w:val="none"/>
        </w:rPr>
      </w:pPr>
      <w:r>
        <w:rPr>
          <w:rFonts w:hint="eastAsia" w:ascii="宋体" w:hAnsi="宋体" w:cs="宋体"/>
          <w:color w:val="auto"/>
          <w:szCs w:val="21"/>
          <w:highlight w:val="none"/>
        </w:rPr>
        <w:t>13.3投标文件应当对招标文件提出的要求和条件做出明确响应。</w:t>
      </w:r>
    </w:p>
    <w:p w14:paraId="1F98B492">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14、投标文件的语言及计量</w:t>
      </w:r>
    </w:p>
    <w:p w14:paraId="38DAA028">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 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14:paraId="1797430A">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14.2投标计量单位，招标文件已有明确规定的，使用招标文件规定的计量单位；招标文件没有规定的，应采用中华人民共和国法定计量单位（货币单位：元人民币），否则视同未响应。</w:t>
      </w:r>
    </w:p>
    <w:p w14:paraId="4F90F9CA">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15、投标报价</w:t>
      </w:r>
    </w:p>
    <w:p w14:paraId="271D595C">
      <w:pPr>
        <w:tabs>
          <w:tab w:val="left" w:pos="1305"/>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15.1 投标报价应按招标文件中第六章“投标文件（格式）”填写，投标报价超过采购最高限价的，投标文件按无效处理。</w:t>
      </w:r>
    </w:p>
    <w:p w14:paraId="67B8470A">
      <w:pPr>
        <w:tabs>
          <w:tab w:val="left" w:pos="1305"/>
        </w:tabs>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15.2 投标人必须就“货物采购需求”中所有内容作完整唯一报价，否则，其投标将被拒绝；投标文件只允许有一个报价，有选择的或有条件的报价将不予接受。</w:t>
      </w:r>
    </w:p>
    <w:p w14:paraId="5E8F9498">
      <w:pPr>
        <w:tabs>
          <w:tab w:val="left" w:pos="1305"/>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15.3投标报价包含标的价款、标的随配标准附件、包装、运输（含装卸）、保险、安装调试、税费、培训、产品检测、与采购人相关信息系统对接、售后服务、验收、桂林市所属各县（区、市）检测样本运送至采购人产生的费用等全部费用。</w:t>
      </w:r>
    </w:p>
    <w:p w14:paraId="65234A68">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16、投标有效期</w:t>
      </w:r>
    </w:p>
    <w:p w14:paraId="58CF03C9">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16.1投标有效期：投标截止时间之日起90天。</w:t>
      </w:r>
    </w:p>
    <w:p w14:paraId="5F35C72A">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16.2出现特殊情况下，需要延长投标有效期的，采购代理机构以书面形式通知所有投标人延长投标有效期。投标人同意延长的，但不能修改投标文件。投标人拒绝延长的，其投标无效。</w:t>
      </w:r>
    </w:p>
    <w:p w14:paraId="59E554D6">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17、电子投标文件的制作、加密、供应商公章及签字</w:t>
      </w:r>
    </w:p>
    <w:p w14:paraId="7407A5F3">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w:t>
      </w:r>
      <w:r>
        <w:rPr>
          <w:rFonts w:hint="eastAsia" w:ascii="宋体" w:hAnsi="宋体" w:cs="宋体"/>
          <w:b/>
          <w:bCs/>
          <w:color w:val="auto"/>
          <w:szCs w:val="21"/>
          <w:highlight w:val="none"/>
        </w:rPr>
        <w:t>电子投标文件的制作、加密</w:t>
      </w:r>
    </w:p>
    <w:p w14:paraId="42E75BE0">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17.1.1投标人制作电子投标文件前，必须登陆</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进行招标文件的获取操作。</w:t>
      </w:r>
    </w:p>
    <w:p w14:paraId="2EFE07BA">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17.1.2投标人下载或获取招标文件后，登录“</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电子投标客户端”，按照本招标文件规定的投标文件格式、顺序以及</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的要求，通过“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电子投标客户端”编制电子投标文件。</w:t>
      </w:r>
    </w:p>
    <w:p w14:paraId="76801E32">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17.1.3投标人应按“</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7C3EE2B4">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17.1.4电子投标文件不得涂改，若有修改错漏处，须由法定代表人（负责人、自然人）或授权委托代理人通过“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电子投标客户端”采用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个人CA证书签章，没有办理</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的格式上传。因投标文件字迹潦草、表达不清、内容不完整、编排混乱导致投标文件被误读、漏读，或者在按招标文件规定的部位查找不到相关内容的，其不利后果由供应商自行承担。</w:t>
      </w:r>
    </w:p>
    <w:p w14:paraId="4A40326B">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17.1.5投标人编制、生成电子投标文件后应当加密投标文件。投标人未按规定编制并加密的投标文件，</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将予以拒收。</w:t>
      </w:r>
    </w:p>
    <w:p w14:paraId="00260619">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17.2</w:t>
      </w:r>
      <w:r>
        <w:rPr>
          <w:rFonts w:hint="eastAsia" w:ascii="宋体" w:hAnsi="宋体" w:cs="宋体"/>
          <w:b/>
          <w:color w:val="auto"/>
          <w:szCs w:val="21"/>
          <w:highlight w:val="none"/>
        </w:rPr>
        <w:t>投标人公章及签字</w:t>
      </w:r>
    </w:p>
    <w:p w14:paraId="7FBD4C33">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17.2.1本招标文件中描述投标人的“公章”是指投标人通过指定电子化政府采购平台办理数字证书（CA认证证书）获得的以法定主体行为名称制作的电子印章。</w:t>
      </w:r>
    </w:p>
    <w:p w14:paraId="78AEC93E">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17.2.2本招标文件中要求投标人对其电子投标文件的相关内容加盖公章的，均指采用CA证书签章。</w:t>
      </w:r>
    </w:p>
    <w:p w14:paraId="308FCDB0">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17.2.3本招标文件中描述投标人的“签字”是指投标人通过指定电子化政府采购平台办理数字证书（CA认证证书）获得的以投标人法定代表人（自负责人、自然人）或者委托代理人姓名制作的个人电子印章或手写签字。没有办理个人CA证书的，可以为手写签字的形式。</w:t>
      </w:r>
    </w:p>
    <w:p w14:paraId="62C0FEAC">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bCs/>
          <w:color w:val="auto"/>
          <w:szCs w:val="21"/>
          <w:highlight w:val="none"/>
        </w:rPr>
        <w:t>18.</w:t>
      </w:r>
      <w:r>
        <w:rPr>
          <w:rFonts w:hint="eastAsia" w:ascii="宋体" w:hAnsi="宋体" w:cs="宋体"/>
          <w:b/>
          <w:color w:val="auto"/>
          <w:szCs w:val="21"/>
          <w:highlight w:val="none"/>
        </w:rPr>
        <w:t>投标文件的补充、修改和撤回</w:t>
      </w:r>
    </w:p>
    <w:p w14:paraId="16D20767">
      <w:pPr>
        <w:pStyle w:val="5"/>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rPr>
        <w:t>8</w:t>
      </w:r>
      <w:r>
        <w:rPr>
          <w:rFonts w:hint="eastAsia" w:ascii="宋体" w:hAnsi="宋体" w:cs="宋体"/>
          <w:color w:val="auto"/>
          <w:sz w:val="21"/>
          <w:szCs w:val="21"/>
          <w:highlight w:val="none"/>
        </w:rPr>
        <w:t>.1投标人应当在提交投标文件截止时间前，将生成的电子投标文件上传提交至</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投标文件提交截止时间前可以补充、修改或撤回电子投标文件，补充、修改电子投标文件的，应当先行撤回原文件，补充、修改后重新传输提交。在投标文件提交截止时间后的投标文件有效期内，投标人不得撤回其投标文件。提交投标文件截止时间前未成功将电子投标文件上传</w:t>
      </w:r>
      <w:r>
        <w:rPr>
          <w:rFonts w:hint="eastAsia" w:ascii="宋体" w:hAnsi="宋体" w:cs="宋体"/>
          <w:color w:val="auto"/>
          <w:sz w:val="21"/>
          <w:szCs w:val="21"/>
          <w:highlight w:val="none"/>
          <w:lang w:eastAsia="zh-CN"/>
        </w:rPr>
        <w:t>“广西政府采购云平台”</w:t>
      </w:r>
      <w:r>
        <w:rPr>
          <w:rFonts w:hint="eastAsia" w:ascii="宋体" w:hAnsi="宋体" w:cs="宋体"/>
          <w:color w:val="auto"/>
          <w:sz w:val="21"/>
          <w:szCs w:val="21"/>
          <w:highlight w:val="none"/>
        </w:rPr>
        <w:t>的，视为未提交投标文件。</w:t>
      </w:r>
    </w:p>
    <w:p w14:paraId="69389A45">
      <w:pPr>
        <w:pStyle w:val="5"/>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rPr>
        <w:t>8</w:t>
      </w:r>
      <w:r>
        <w:rPr>
          <w:rFonts w:hint="eastAsia" w:ascii="宋体" w:hAnsi="宋体" w:cs="宋体"/>
          <w:color w:val="auto"/>
          <w:sz w:val="21"/>
          <w:szCs w:val="21"/>
          <w:highlight w:val="none"/>
        </w:rPr>
        <w:t>.2在投标文件递交截止时间后的投标文件有效期内，投标人不得撤回其投标文件。</w:t>
      </w:r>
    </w:p>
    <w:p w14:paraId="17FFD4F5">
      <w:pPr>
        <w:pStyle w:val="5"/>
        <w:spacing w:line="360" w:lineRule="auto"/>
        <w:ind w:firstLine="420" w:firstLineChars="200"/>
        <w:rPr>
          <w:rFonts w:ascii="宋体" w:hAnsi="宋体" w:cs="宋体"/>
          <w:b/>
          <w:color w:val="auto"/>
          <w:sz w:val="21"/>
          <w:szCs w:val="21"/>
          <w:highlight w:val="none"/>
        </w:rPr>
      </w:pPr>
      <w:r>
        <w:rPr>
          <w:rFonts w:hint="eastAsia" w:ascii="宋体" w:hAnsi="宋体" w:cs="宋体"/>
          <w:b/>
          <w:color w:val="auto"/>
          <w:sz w:val="21"/>
          <w:szCs w:val="21"/>
          <w:highlight w:val="none"/>
          <w:lang w:val="en-US"/>
        </w:rPr>
        <w:t>19.</w:t>
      </w:r>
      <w:r>
        <w:rPr>
          <w:rFonts w:hint="eastAsia" w:ascii="宋体" w:hAnsi="宋体" w:cs="宋体"/>
          <w:b/>
          <w:color w:val="auto"/>
          <w:sz w:val="21"/>
          <w:szCs w:val="21"/>
          <w:highlight w:val="none"/>
        </w:rPr>
        <w:t>提交投标文件截止时间、地点；投标文件解密</w:t>
      </w:r>
    </w:p>
    <w:p w14:paraId="7FA2CEB6">
      <w:pPr>
        <w:pStyle w:val="5"/>
        <w:spacing w:line="360" w:lineRule="auto"/>
        <w:ind w:firstLine="420" w:firstLineChars="200"/>
        <w:rPr>
          <w:rFonts w:ascii="宋体" w:hAnsi="宋体" w:cs="宋体"/>
          <w:b/>
          <w:color w:val="auto"/>
          <w:sz w:val="21"/>
          <w:szCs w:val="21"/>
          <w:highlight w:val="none"/>
        </w:rPr>
      </w:pPr>
      <w:r>
        <w:rPr>
          <w:rFonts w:hint="eastAsia" w:ascii="宋体" w:hAnsi="宋体" w:cs="宋体"/>
          <w:b/>
          <w:color w:val="auto"/>
          <w:sz w:val="21"/>
          <w:szCs w:val="21"/>
          <w:highlight w:val="none"/>
          <w:lang w:val="en-US"/>
        </w:rPr>
        <w:t>19.1</w:t>
      </w:r>
      <w:r>
        <w:rPr>
          <w:rFonts w:hint="eastAsia" w:ascii="宋体" w:hAnsi="宋体" w:cs="宋体"/>
          <w:b/>
          <w:color w:val="auto"/>
          <w:sz w:val="21"/>
          <w:szCs w:val="21"/>
          <w:highlight w:val="none"/>
        </w:rPr>
        <w:t>提交投标文件截止时间、地点</w:t>
      </w:r>
    </w:p>
    <w:p w14:paraId="38EBB103">
      <w:pPr>
        <w:spacing w:line="360" w:lineRule="auto"/>
        <w:ind w:firstLine="630" w:firstLineChars="300"/>
        <w:rPr>
          <w:rFonts w:ascii="宋体" w:hAnsi="宋体" w:cs="宋体"/>
          <w:color w:val="auto"/>
          <w:szCs w:val="21"/>
          <w:highlight w:val="none"/>
        </w:rPr>
      </w:pPr>
      <w:r>
        <w:rPr>
          <w:rFonts w:hint="eastAsia" w:ascii="宋体" w:hAnsi="宋体" w:cs="宋体"/>
          <w:bCs/>
          <w:color w:val="auto"/>
          <w:szCs w:val="21"/>
          <w:highlight w:val="none"/>
        </w:rPr>
        <w:t>19</w:t>
      </w:r>
      <w:r>
        <w:rPr>
          <w:rFonts w:hint="eastAsia" w:ascii="宋体" w:hAnsi="宋体" w:cs="宋体"/>
          <w:color w:val="auto"/>
          <w:szCs w:val="21"/>
          <w:highlight w:val="none"/>
        </w:rPr>
        <w:t>.1.1投标人于202</w:t>
      </w:r>
      <w:r>
        <w:rPr>
          <w:rFonts w:hint="eastAsia" w:ascii="宋体" w:hAnsi="宋体" w:cs="宋体"/>
          <w:color w:val="auto"/>
          <w:szCs w:val="21"/>
          <w:highlight w:val="none"/>
          <w:lang w:val="en-US" w:eastAsia="zh-CN"/>
        </w:rPr>
        <w:t xml:space="preserve">6 </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日上午9时30分之前将电子投标文件上传到</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w:t>
      </w:r>
    </w:p>
    <w:p w14:paraId="2C52873F">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19.1.2地点：通过</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在线提交。</w:t>
      </w:r>
    </w:p>
    <w:p w14:paraId="71C9C101">
      <w:pPr>
        <w:tabs>
          <w:tab w:val="left" w:pos="1305"/>
        </w:tabs>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 1.3除招标文件另有规定外，投标人所递交的电子投标文件不予退还。</w:t>
      </w:r>
    </w:p>
    <w:p w14:paraId="2C26DC80">
      <w:pPr>
        <w:tabs>
          <w:tab w:val="left" w:pos="1305"/>
        </w:tabs>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19. 1.4如有特殊情况，采购代理机构延长截止时间和开标时间，采购代理机构和投标人的权利和义务将受到新的截止时间和开标时间的约束。</w:t>
      </w:r>
    </w:p>
    <w:p w14:paraId="456CAF06">
      <w:pPr>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19.2投标文件解密</w:t>
      </w:r>
    </w:p>
    <w:p w14:paraId="48E1F0C2">
      <w:pPr>
        <w:tabs>
          <w:tab w:val="left" w:pos="1305"/>
        </w:tabs>
        <w:spacing w:line="360" w:lineRule="auto"/>
        <w:ind w:firstLine="420" w:firstLineChars="200"/>
        <w:rPr>
          <w:rFonts w:ascii="宋体" w:hAnsi="宋体" w:cs="宋体"/>
          <w:color w:val="auto"/>
          <w:highlight w:val="none"/>
        </w:rPr>
      </w:pPr>
      <w:r>
        <w:rPr>
          <w:rFonts w:hint="eastAsia" w:ascii="宋体" w:hAnsi="宋体" w:cs="宋体"/>
          <w:bCs/>
          <w:color w:val="auto"/>
          <w:highlight w:val="none"/>
        </w:rPr>
        <w:t>提交投标文件截止时间</w:t>
      </w:r>
      <w:r>
        <w:rPr>
          <w:rFonts w:hint="eastAsia" w:ascii="宋体" w:hAnsi="宋体" w:cs="宋体"/>
          <w:bCs/>
          <w:color w:val="auto"/>
          <w:szCs w:val="21"/>
          <w:highlight w:val="none"/>
        </w:rPr>
        <w:t>后30分钟内（</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r>
        <w:rPr>
          <w:rFonts w:hint="eastAsia" w:ascii="宋体" w:hAnsi="宋体" w:cs="宋体"/>
          <w:bCs/>
          <w:color w:val="auto"/>
          <w:szCs w:val="21"/>
          <w:highlight w:val="none"/>
        </w:rPr>
        <w:t>上午9时30至10时00分)，投标人登录</w:t>
      </w:r>
      <w:r>
        <w:rPr>
          <w:rFonts w:hint="eastAsia" w:ascii="宋体" w:hAnsi="宋体" w:cs="宋体"/>
          <w:bCs/>
          <w:color w:val="auto"/>
          <w:szCs w:val="21"/>
          <w:highlight w:val="none"/>
          <w:lang w:eastAsia="zh-CN"/>
        </w:rPr>
        <w:t>“广西政府采购云平台”</w:t>
      </w:r>
      <w:r>
        <w:rPr>
          <w:rFonts w:hint="eastAsia" w:ascii="宋体" w:hAnsi="宋体" w:cs="宋体"/>
          <w:bCs/>
          <w:color w:val="auto"/>
          <w:szCs w:val="21"/>
          <w:highlight w:val="none"/>
        </w:rPr>
        <w:t>，通过“项目采购-开标评标”功能解密电子投标文件。若投标人在上述规定时间内无法解密或解密失败，可以提交电子备份投标文件作为评审依据，在接到无法解密或解密失败的系统通知后，投标人可根据自身实际情况按系统通知要求的时间到达桂林市公共资源交易中心</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lang w:val="en-US" w:eastAsia="zh-CN"/>
        </w:rPr>
        <w:t xml:space="preserve"> 1</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号</w:t>
      </w:r>
      <w:r>
        <w:rPr>
          <w:rFonts w:hint="eastAsia" w:ascii="宋体" w:hAnsi="宋体" w:cs="宋体"/>
          <w:bCs/>
          <w:color w:val="auto"/>
          <w:szCs w:val="21"/>
          <w:highlight w:val="none"/>
          <w:lang w:eastAsia="zh-CN"/>
        </w:rPr>
        <w:t>政采开标仓</w:t>
      </w:r>
      <w:r>
        <w:rPr>
          <w:rFonts w:hint="eastAsia" w:ascii="宋体" w:hAnsi="宋体" w:cs="宋体"/>
          <w:color w:val="auto"/>
          <w:szCs w:val="21"/>
          <w:highlight w:val="none"/>
        </w:rPr>
        <w:t>（广西桂林市临桂区西城中路69号创业大厦西辅楼4楼北区）</w:t>
      </w:r>
      <w:r>
        <w:rPr>
          <w:rFonts w:hint="eastAsia" w:ascii="宋体" w:hAnsi="宋体" w:cs="宋体"/>
          <w:bCs/>
          <w:color w:val="auto"/>
          <w:szCs w:val="21"/>
          <w:highlight w:val="none"/>
        </w:rPr>
        <w:t>现场提交电子备份投标文件或以电子邮件（以系统通知时所告知的电子邮箱地址为准）的形式提交电子备份投标文件。若投标人在规定时间内无法解密或解密失败且未提供电子备份投标文件的(包含提供的电子备份文件无效或无法解密的情况)，投标文件按无效处理。</w:t>
      </w:r>
    </w:p>
    <w:p w14:paraId="4BCC0DBA">
      <w:pPr>
        <w:pStyle w:val="13"/>
        <w:spacing w:line="360" w:lineRule="auto"/>
        <w:rPr>
          <w:rFonts w:ascii="宋体" w:hAnsi="宋体" w:cs="宋体"/>
          <w:color w:val="auto"/>
          <w:highlight w:val="none"/>
        </w:rPr>
      </w:pPr>
    </w:p>
    <w:p w14:paraId="47B602B6">
      <w:pPr>
        <w:tabs>
          <w:tab w:val="left" w:pos="1305"/>
        </w:tabs>
        <w:spacing w:line="360" w:lineRule="auto"/>
        <w:ind w:firstLine="420" w:firstLineChars="200"/>
        <w:jc w:val="center"/>
        <w:rPr>
          <w:rFonts w:ascii="宋体" w:hAnsi="宋体" w:cs="宋体"/>
          <w:b/>
          <w:color w:val="auto"/>
          <w:szCs w:val="21"/>
          <w:highlight w:val="none"/>
        </w:rPr>
      </w:pPr>
      <w:r>
        <w:rPr>
          <w:rFonts w:hint="eastAsia" w:ascii="宋体" w:hAnsi="宋体" w:cs="宋体"/>
          <w:b/>
          <w:color w:val="auto"/>
          <w:szCs w:val="21"/>
          <w:highlight w:val="none"/>
        </w:rPr>
        <w:t>四、开标</w:t>
      </w:r>
    </w:p>
    <w:p w14:paraId="74B867DC">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20、开标的时间和地点</w:t>
      </w:r>
    </w:p>
    <w:p w14:paraId="550AD2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20.1开标时间及地点：</w:t>
      </w:r>
    </w:p>
    <w:p w14:paraId="491AC661">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（1）开标时间：202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6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2 </w:t>
      </w:r>
      <w:r>
        <w:rPr>
          <w:rFonts w:hint="eastAsia" w:ascii="宋体" w:hAnsi="宋体" w:cs="宋体"/>
          <w:color w:val="auto"/>
          <w:szCs w:val="21"/>
          <w:highlight w:val="none"/>
        </w:rPr>
        <w:t>日上午9时30分（北京时间）；</w:t>
      </w:r>
    </w:p>
    <w:p w14:paraId="5F11D69D">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（2）开标地点：桂林市公共资源交易中心</w:t>
      </w:r>
      <w:r>
        <w:rPr>
          <w:rFonts w:hint="eastAsia" w:ascii="宋体" w:hAnsi="宋体" w:cs="宋体"/>
          <w:color w:val="auto"/>
          <w:szCs w:val="21"/>
          <w:highlight w:val="none"/>
          <w:u w:val="single"/>
          <w:lang w:val="en-US" w:eastAsia="zh-CN"/>
        </w:rPr>
        <w:t xml:space="preserve">  1  </w:t>
      </w:r>
      <w:r>
        <w:rPr>
          <w:rFonts w:hint="eastAsia" w:ascii="宋体" w:hAnsi="宋体" w:cs="宋体"/>
          <w:color w:val="auto"/>
          <w:szCs w:val="21"/>
          <w:highlight w:val="none"/>
        </w:rPr>
        <w:t>号政采开标仓通过广西政府采购云平台在线开标。</w:t>
      </w:r>
    </w:p>
    <w:p w14:paraId="212A482D">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（3）投标人可以由法定代表人（负责人、自然人）或其委托代理人出席开标会议。</w:t>
      </w:r>
    </w:p>
    <w:p w14:paraId="6BF7502F">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20.2投标人不足3家的，不得开标，采购人或者采购代理机构应当重新组织采购。</w:t>
      </w:r>
    </w:p>
    <w:p w14:paraId="68320164">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21. 开标准备及开标程序</w:t>
      </w:r>
    </w:p>
    <w:p w14:paraId="090578F5">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21.1开标准备</w:t>
      </w:r>
    </w:p>
    <w:p w14:paraId="795F6E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21.1.1开标的准备工作由采购代理机构负责落实；</w:t>
      </w:r>
    </w:p>
    <w:p w14:paraId="601A6F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21.1.2采购代理机构将按照招标文件规定的时间通过“</w:t>
      </w:r>
      <w:r>
        <w:rPr>
          <w:rFonts w:hint="eastAsia" w:ascii="宋体" w:hAnsi="宋体" w:cs="宋体"/>
          <w:color w:val="auto"/>
          <w:szCs w:val="21"/>
          <w:highlight w:val="none"/>
          <w:lang w:eastAsia="zh-CN"/>
        </w:rPr>
        <w:t>广西</w:t>
      </w:r>
      <w:r>
        <w:rPr>
          <w:rFonts w:hint="eastAsia" w:ascii="宋体" w:hAnsi="宋体" w:cs="宋体"/>
          <w:color w:val="auto"/>
          <w:szCs w:val="21"/>
          <w:highlight w:val="none"/>
        </w:rPr>
        <w:t>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14:paraId="762DCC55">
      <w:pPr>
        <w:tabs>
          <w:tab w:val="left" w:pos="1305"/>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21.2开标程序</w:t>
      </w:r>
    </w:p>
    <w:p w14:paraId="1D28FA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21.2.1系统向各投标人发出电子加密投标文件【开始解密】通知，由投标人按招标文件规定的时间内自行进行投标文件解密。投标人在规定的时间内无法完成已递交的“电子加密投标文件”解密，如已按规定递交了电子备份投标文件的，将由采购组织机构按“</w:t>
      </w:r>
      <w:r>
        <w:rPr>
          <w:rFonts w:hint="eastAsia" w:ascii="宋体" w:hAnsi="宋体" w:cs="宋体"/>
          <w:color w:val="auto"/>
          <w:szCs w:val="21"/>
          <w:highlight w:val="none"/>
          <w:lang w:eastAsia="zh-CN"/>
        </w:rPr>
        <w:t>广西</w:t>
      </w:r>
      <w:r>
        <w:rPr>
          <w:rFonts w:hint="eastAsia" w:ascii="宋体" w:hAnsi="宋体" w:cs="宋体"/>
          <w:color w:val="auto"/>
          <w:szCs w:val="21"/>
          <w:highlight w:val="none"/>
        </w:rPr>
        <w:t>政府采购云平台”操作规范将备份投标文件上传至“</w:t>
      </w:r>
      <w:r>
        <w:rPr>
          <w:rFonts w:hint="eastAsia" w:ascii="宋体" w:hAnsi="宋体"/>
          <w:color w:val="auto"/>
          <w:szCs w:val="21"/>
          <w:highlight w:val="none"/>
        </w:rPr>
        <w:t>广西政府采购云平台</w:t>
      </w:r>
      <w:r>
        <w:rPr>
          <w:rFonts w:hint="eastAsia" w:ascii="宋体" w:hAnsi="宋体" w:cs="宋体"/>
          <w:color w:val="auto"/>
          <w:szCs w:val="21"/>
          <w:highlight w:val="none"/>
        </w:rPr>
        <w:t>”，上传成功后，“电子加密投标文件”自动失效。如未提供备份电子投标文件，将不进行再次解密程序。无法在线解密视为投标人放弃投标。在线解密时间为30分钟。</w:t>
      </w:r>
    </w:p>
    <w:p w14:paraId="0A9347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21.2.2投标文件解密结束后，开标活动组织人员在线开启投标文件。</w:t>
      </w:r>
    </w:p>
    <w:p w14:paraId="259994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21.2.3开启投标人报价文件，电子开标大厅记录显示并记录投标人投标报价表的投标报价、折扣等。</w:t>
      </w:r>
    </w:p>
    <w:p w14:paraId="17C90E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21.2.4开标结束后，投标人线上确认投标报价。</w:t>
      </w:r>
    </w:p>
    <w:p w14:paraId="425F36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21.2.5如发现开标结果与所提交的投标文件不一致的，由评标委员会根据投标文件内容进行修正。</w:t>
      </w:r>
    </w:p>
    <w:p w14:paraId="0BA59B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21.2.6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138F0E3">
      <w:pPr>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特别说明：如遇“广西政府采购云平台”电子化开标或评审程序调整的，按调整后程序执行。</w:t>
      </w:r>
      <w:r>
        <w:rPr>
          <w:rFonts w:hint="eastAsia" w:ascii="宋体" w:hAnsi="宋体" w:cs="宋体"/>
          <w:b/>
          <w:color w:val="auto"/>
          <w:szCs w:val="21"/>
          <w:highlight w:val="none"/>
        </w:rPr>
        <w:br w:type="page"/>
      </w:r>
    </w:p>
    <w:p w14:paraId="412E5A91">
      <w:pPr>
        <w:tabs>
          <w:tab w:val="left" w:pos="1305"/>
        </w:tabs>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五、资格性审查</w:t>
      </w:r>
    </w:p>
    <w:p w14:paraId="79C64C2A">
      <w:pPr>
        <w:tabs>
          <w:tab w:val="center" w:pos="4411"/>
          <w:tab w:val="left" w:pos="5475"/>
        </w:tabs>
        <w:spacing w:line="360" w:lineRule="auto"/>
        <w:ind w:firstLine="420" w:firstLineChars="200"/>
        <w:jc w:val="left"/>
        <w:rPr>
          <w:rFonts w:ascii="宋体" w:hAnsi="宋体" w:cs="宋体"/>
          <w:b/>
          <w:color w:val="auto"/>
          <w:szCs w:val="21"/>
          <w:highlight w:val="none"/>
        </w:rPr>
      </w:pPr>
      <w:r>
        <w:rPr>
          <w:rFonts w:hint="eastAsia" w:ascii="宋体" w:hAnsi="宋体" w:cs="宋体"/>
          <w:b/>
          <w:color w:val="auto"/>
          <w:szCs w:val="21"/>
          <w:highlight w:val="none"/>
        </w:rPr>
        <w:t xml:space="preserve">22. 资格性审查 </w:t>
      </w:r>
    </w:p>
    <w:p w14:paraId="56A2B917">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22.1 公开招标采购项目开标结束后，采购人或者采购代理机构应当依法对投标人的资格进行审查。 </w:t>
      </w:r>
    </w:p>
    <w:p w14:paraId="0CF2F9A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投标人不足 3 家的，不得评标。 </w:t>
      </w:r>
    </w:p>
    <w:p w14:paraId="55E663AC">
      <w:pPr>
        <w:widowControl/>
        <w:spacing w:line="360" w:lineRule="auto"/>
        <w:ind w:firstLine="420" w:firstLineChars="200"/>
        <w:jc w:val="left"/>
        <w:rPr>
          <w:rFonts w:ascii="宋体" w:hAnsi="宋体" w:cs="宋体"/>
          <w:color w:val="auto"/>
          <w:szCs w:val="21"/>
          <w:highlight w:val="none"/>
        </w:rPr>
      </w:pPr>
      <w:r>
        <w:rPr>
          <w:rFonts w:hint="eastAsia" w:ascii="宋体" w:hAnsi="宋体" w:cs="宋体"/>
          <w:b/>
          <w:color w:val="auto"/>
          <w:kern w:val="0"/>
          <w:szCs w:val="21"/>
          <w:highlight w:val="none"/>
        </w:rPr>
        <w:t xml:space="preserve">22.2 采购人或者采购代理机构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 </w:t>
      </w:r>
    </w:p>
    <w:p w14:paraId="0591AB6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查询渠道：《国家企业信用信息公示系统》（网址：http://www.gsxt.gov.cn/index.html） </w:t>
      </w:r>
    </w:p>
    <w:p w14:paraId="3BC19624">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审查流程： </w:t>
      </w:r>
    </w:p>
    <w:p w14:paraId="1EBC9AB9">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（1）进入《国家企业信用信息公示系统》（网址：http://www.gsxt.gov.cn/index.html），输入企业名称，进入企业信息主页面； </w:t>
      </w:r>
    </w:p>
    <w:p w14:paraId="0393D1DB">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（2）查看主页“股东及出资信息”栏，或年报中的“股东及出资信息”栏信息； </w:t>
      </w:r>
    </w:p>
    <w:p w14:paraId="0AEC374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（3）将各投标人的股东及出资信息进行比对，得出审查结论； </w:t>
      </w:r>
    </w:p>
    <w:p w14:paraId="4C224545">
      <w:pPr>
        <w:widowControl/>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（4）将相关资料作为评审资料打印存档。 </w:t>
      </w:r>
    </w:p>
    <w:p w14:paraId="1710F69B">
      <w:pPr>
        <w:pStyle w:val="5"/>
        <w:spacing w:line="360" w:lineRule="auto"/>
        <w:rPr>
          <w:rFonts w:ascii="宋体" w:hAnsi="宋体" w:cs="宋体"/>
          <w:b/>
          <w:bCs/>
          <w:color w:val="auto"/>
          <w:kern w:val="2"/>
          <w:sz w:val="21"/>
          <w:szCs w:val="21"/>
          <w:highlight w:val="none"/>
          <w:lang w:val="en-US"/>
        </w:rPr>
      </w:pPr>
      <w:r>
        <w:rPr>
          <w:rFonts w:hint="eastAsia" w:ascii="宋体" w:hAnsi="宋体" w:cs="宋体"/>
          <w:b/>
          <w:bCs/>
          <w:color w:val="auto"/>
          <w:kern w:val="2"/>
          <w:sz w:val="21"/>
          <w:szCs w:val="21"/>
          <w:highlight w:val="none"/>
          <w:lang w:val="en-US"/>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7953DAD3">
      <w:pPr>
        <w:tabs>
          <w:tab w:val="center" w:pos="4411"/>
          <w:tab w:val="left" w:pos="5475"/>
        </w:tabs>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六、评标</w:t>
      </w:r>
    </w:p>
    <w:p w14:paraId="0B29FC6E">
      <w:pPr>
        <w:tabs>
          <w:tab w:val="center" w:pos="4411"/>
          <w:tab w:val="left" w:pos="5475"/>
        </w:tabs>
        <w:spacing w:line="360" w:lineRule="auto"/>
        <w:ind w:firstLine="420" w:firstLineChars="200"/>
        <w:jc w:val="left"/>
        <w:rPr>
          <w:rFonts w:ascii="宋体" w:hAnsi="宋体" w:cs="宋体"/>
          <w:b/>
          <w:color w:val="auto"/>
          <w:szCs w:val="21"/>
          <w:highlight w:val="none"/>
        </w:rPr>
      </w:pPr>
      <w:r>
        <w:rPr>
          <w:rFonts w:hint="eastAsia" w:ascii="宋体" w:hAnsi="宋体" w:cs="宋体"/>
          <w:b/>
          <w:color w:val="auto"/>
          <w:szCs w:val="21"/>
          <w:highlight w:val="none"/>
        </w:rPr>
        <w:t>23. 评标委员会组成</w:t>
      </w:r>
    </w:p>
    <w:p w14:paraId="2D20B9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评标工作由采购代理机构负责组织，具体评标工作由依法组建的评标委员会负责，评标委员会由采购人代表和有关技术、经济等方面的专家5人组成，其中采购人代表</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人，技术、经济等专家</w:t>
      </w:r>
      <w:r>
        <w:rPr>
          <w:rFonts w:hint="eastAsia" w:ascii="宋体" w:hAnsi="宋体" w:cs="宋体"/>
          <w:color w:val="auto"/>
          <w:szCs w:val="21"/>
          <w:highlight w:val="none"/>
          <w:u w:val="single"/>
        </w:rPr>
        <w:t xml:space="preserve"> 4</w:t>
      </w:r>
      <w:r>
        <w:rPr>
          <w:rFonts w:hint="eastAsia" w:ascii="宋体" w:hAnsi="宋体" w:cs="宋体"/>
          <w:color w:val="auto"/>
          <w:szCs w:val="21"/>
          <w:highlight w:val="none"/>
        </w:rPr>
        <w:t xml:space="preserve">人。 </w:t>
      </w:r>
    </w:p>
    <w:p w14:paraId="0461818E">
      <w:pPr>
        <w:tabs>
          <w:tab w:val="left" w:pos="1140"/>
        </w:tabs>
        <w:spacing w:line="360" w:lineRule="auto"/>
        <w:ind w:left="419" w:leftChars="172" w:hanging="58" w:hangingChars="28"/>
        <w:rPr>
          <w:rFonts w:ascii="宋体" w:hAnsi="宋体" w:cs="宋体"/>
          <w:b/>
          <w:color w:val="auto"/>
          <w:szCs w:val="21"/>
          <w:highlight w:val="none"/>
        </w:rPr>
      </w:pPr>
      <w:r>
        <w:rPr>
          <w:rFonts w:hint="eastAsia" w:ascii="宋体" w:hAnsi="宋体" w:cs="宋体"/>
          <w:b/>
          <w:color w:val="auto"/>
          <w:szCs w:val="21"/>
          <w:highlight w:val="none"/>
        </w:rPr>
        <w:t>24. 评标原则和评标办法</w:t>
      </w:r>
    </w:p>
    <w:p w14:paraId="73AE8CF1">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24.1评标委员会必须坚持公平、公正、科学和择优的原则。</w:t>
      </w:r>
    </w:p>
    <w:p w14:paraId="4A9E61D7">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24.2评标办法：</w:t>
      </w:r>
      <w:r>
        <w:rPr>
          <w:rFonts w:hint="eastAsia" w:ascii="宋体" w:hAnsi="宋体" w:cs="宋体"/>
          <w:color w:val="auto"/>
          <w:szCs w:val="21"/>
          <w:highlight w:val="none"/>
          <w:u w:val="single"/>
        </w:rPr>
        <w:t>综合评分法</w:t>
      </w:r>
      <w:r>
        <w:rPr>
          <w:rFonts w:hint="eastAsia" w:ascii="宋体" w:hAnsi="宋体" w:cs="宋体"/>
          <w:color w:val="auto"/>
          <w:szCs w:val="21"/>
          <w:highlight w:val="none"/>
        </w:rPr>
        <w:t>，具体评标内容及标准详见第四章：评标办法。</w:t>
      </w:r>
    </w:p>
    <w:p w14:paraId="577893C3">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24.3评标委员会应按招标文件进行评标，不得擅自更改评标办法。</w:t>
      </w:r>
    </w:p>
    <w:p w14:paraId="3A6AB542">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24.4在评标过程中，评标委员会任何人不得对某个投标人发表任何倾向性意见，不得向其他专家评委明示或者暗示自己的评审意见。</w:t>
      </w:r>
    </w:p>
    <w:p w14:paraId="2CB05C15">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24.5 评标委员会成员对需要共同认定的事项存在争议的，按照少数服从多数的原则作出结论。持不同意见的评标委员会成员应当在评标报告上签署不同意见并说明理由，否则视为同意。　　　　　　　　　　　　　　　　　　　　　　　　　　　　　　　　　　　　　　　　　　　　　　　　　　　　　　　　　　　　　　　　</w:t>
      </w:r>
    </w:p>
    <w:p w14:paraId="5BD58A65">
      <w:pPr>
        <w:tabs>
          <w:tab w:val="left" w:pos="1140"/>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25. 评标</w:t>
      </w:r>
    </w:p>
    <w:p w14:paraId="528AF4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573BA224">
      <w:pPr>
        <w:pStyle w:val="16"/>
        <w:shd w:val="clear" w:color="auto" w:fill="FFFFFF"/>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528B5890">
      <w:pPr>
        <w:pStyle w:val="16"/>
        <w:shd w:val="clear" w:color="auto" w:fill="FFFFFF"/>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25.3在评标过程中，评标委员会任何人不得对某个投标人发表任何倾向性意见，不得向其他专家评委明示或者暗示自己的评审意见。</w:t>
      </w:r>
    </w:p>
    <w:p w14:paraId="299C6A45">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25.4评标委员会应当对符合资格的投标人的投标文件进行符合性审查，以确定其是否满足招标文件的实质性要求。</w:t>
      </w:r>
    </w:p>
    <w:p w14:paraId="4D337E51">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25.5对于投标文件中含义不明确、同类问题表述不一致或者有明显文字和计算错误的内容，评标委员会应当以书面形式要求投标人作出必要的澄清、说明或者补正。</w:t>
      </w:r>
    </w:p>
    <w:p w14:paraId="70B38F36">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澄清、说明或者补正应当采用书面形式，并加盖公章（CA证书签章），或者由法定代表人或其授权委托代理人签字（或个人CA证书签章）。投标人的澄清、说明或者补正不得超出投标文件的范围或者改变投标文件的实质性内容。</w:t>
      </w:r>
    </w:p>
    <w:p w14:paraId="36293AD0">
      <w:pPr>
        <w:tabs>
          <w:tab w:val="left" w:pos="114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25.6评标委员会应当按照招标文件中规定的评标方法和标准，对符合性审查合格的投标文件进行商务和技术评估，综合比较与评价。</w:t>
      </w:r>
    </w:p>
    <w:p w14:paraId="3260D27B">
      <w:pPr>
        <w:pStyle w:val="16"/>
        <w:shd w:val="clear" w:color="auto" w:fill="FFFFFF"/>
        <w:spacing w:before="0" w:beforeAutospacing="0" w:after="0" w:afterAutospacing="0" w:line="360" w:lineRule="auto"/>
        <w:ind w:firstLine="420" w:firstLineChars="200"/>
        <w:rPr>
          <w:color w:val="auto"/>
          <w:kern w:val="2"/>
          <w:sz w:val="21"/>
          <w:szCs w:val="21"/>
          <w:highlight w:val="none"/>
        </w:rPr>
      </w:pPr>
      <w:r>
        <w:rPr>
          <w:rFonts w:hint="eastAsia"/>
          <w:color w:val="auto"/>
          <w:kern w:val="2"/>
          <w:sz w:val="21"/>
          <w:szCs w:val="21"/>
          <w:highlight w:val="none"/>
        </w:rPr>
        <w:t>25.7投标文件报价出现前后不一致的，除招标文件另有规定外，按照下列规定修正：</w:t>
      </w:r>
    </w:p>
    <w:p w14:paraId="08D487E1">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（1）投标文件中投标报价表内容与投标文件中相应内容不一致的，以投标报价表为准；</w:t>
      </w:r>
    </w:p>
    <w:p w14:paraId="42165178">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（2）大写金额和小写金额不一致的，以大写金额为准；</w:t>
      </w:r>
    </w:p>
    <w:p w14:paraId="55FD8C23">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（3）单价金额小数点或者百分比有明显错位的，以报价表的总价为准，并修改单价；</w:t>
      </w:r>
    </w:p>
    <w:p w14:paraId="1925030D">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（4）总价金额与按单价汇总金额不一致的，以单价金额计算结果为准。</w:t>
      </w:r>
    </w:p>
    <w:p w14:paraId="31074B44">
      <w:pPr>
        <w:pStyle w:val="16"/>
        <w:shd w:val="clear" w:color="auto" w:fill="FFFFFF"/>
        <w:spacing w:before="0" w:beforeAutospacing="0" w:after="0" w:afterAutospacing="0" w:line="360" w:lineRule="auto"/>
        <w:rPr>
          <w:color w:val="auto"/>
          <w:kern w:val="2"/>
          <w:sz w:val="21"/>
          <w:szCs w:val="21"/>
          <w:highlight w:val="none"/>
        </w:rPr>
      </w:pPr>
      <w:r>
        <w:rPr>
          <w:rFonts w:hint="eastAsia"/>
          <w:color w:val="auto"/>
          <w:kern w:val="2"/>
          <w:sz w:val="21"/>
          <w:szCs w:val="21"/>
          <w:highlight w:val="none"/>
        </w:rPr>
        <w:t>　　同时出现两种以上不一致的，按照前款规定的顺序修正。修正后的报价（不得超出投标文件的范围或者改变投标文件的实质性内容）经投标人确认后产生约束力，投标人不确认的，其投标无效。</w:t>
      </w:r>
    </w:p>
    <w:p w14:paraId="43A5A213">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szCs w:val="21"/>
          <w:highlight w:val="none"/>
        </w:rPr>
        <w:t>25.8</w:t>
      </w:r>
      <w:r>
        <w:rPr>
          <w:rFonts w:hint="eastAsia" w:ascii="宋体" w:hAnsi="宋体" w:cs="宋体"/>
          <w:b/>
          <w:bCs/>
          <w:color w:val="auto"/>
          <w:kern w:val="0"/>
          <w:szCs w:val="21"/>
          <w:highlight w:val="none"/>
        </w:rPr>
        <w:t>其他说明：</w:t>
      </w:r>
    </w:p>
    <w:p w14:paraId="2D2E7064">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1.货物采购需求中的“</w:t>
      </w:r>
      <w:r>
        <w:rPr>
          <w:rFonts w:hint="eastAsia" w:ascii="宋体" w:hAnsi="宋体" w:eastAsia="宋体" w:cs="宋体"/>
          <w:color w:val="auto"/>
          <w:kern w:val="2"/>
          <w:sz w:val="21"/>
          <w:szCs w:val="21"/>
          <w:highlight w:val="none"/>
        </w:rPr>
        <w:t>▲</w:t>
      </w:r>
      <w:r>
        <w:rPr>
          <w:rFonts w:hint="eastAsia" w:ascii="宋体" w:hAnsi="宋体" w:cs="宋体"/>
          <w:b/>
          <w:bCs/>
          <w:color w:val="auto"/>
          <w:kern w:val="0"/>
          <w:szCs w:val="21"/>
          <w:highlight w:val="none"/>
        </w:rPr>
        <w:t>”为实质性要求，投标时必须满足，若有任意一项负偏离作无效投标处理。</w:t>
      </w:r>
    </w:p>
    <w:p w14:paraId="566F7FBB">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2.评标委员会认为投标人的报价明显低于其他通过符合性审查投标人的报价，有可能影响产品质量或者不能诚信履约的，</w:t>
      </w:r>
      <w:r>
        <w:rPr>
          <w:rFonts w:hint="eastAsia" w:ascii="宋体" w:hAnsi="宋体" w:cs="宋体"/>
          <w:b/>
          <w:bCs/>
          <w:color w:val="auto"/>
          <w:kern w:val="0"/>
          <w:szCs w:val="21"/>
          <w:highlight w:val="none"/>
          <w:lang w:val="en-US" w:eastAsia="zh-CN"/>
        </w:rPr>
        <w:t>可根据评标办法采取</w:t>
      </w:r>
      <w:r>
        <w:rPr>
          <w:rFonts w:hint="eastAsia" w:ascii="宋体" w:hAnsi="宋体" w:cs="宋体"/>
          <w:b/>
          <w:bCs/>
          <w:color w:val="auto"/>
          <w:kern w:val="0"/>
          <w:szCs w:val="21"/>
          <w:highlight w:val="none"/>
        </w:rPr>
        <w:t>异常低价投标审查。</w:t>
      </w:r>
    </w:p>
    <w:p w14:paraId="16D7C3C6">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3.如要求提供证明材料的，证明材料内容中若涉及外文说明，必须同时提供对应中文翻译说明，评标依据以中文翻译内容为准，外文说明仅供参考；证明材料的尺寸和清晰度应该能够在电脑上被阅读、识别和判断。</w:t>
      </w:r>
    </w:p>
    <w:p w14:paraId="520F8BCB">
      <w:pPr>
        <w:pStyle w:val="11"/>
        <w:spacing w:line="360" w:lineRule="auto"/>
        <w:ind w:firstLine="411" w:firstLineChars="196"/>
        <w:rPr>
          <w:rFonts w:hAnsi="宋体" w:cs="宋体"/>
          <w:color w:val="auto"/>
          <w:sz w:val="21"/>
          <w:szCs w:val="21"/>
          <w:highlight w:val="none"/>
        </w:rPr>
      </w:pPr>
      <w:r>
        <w:rPr>
          <w:rFonts w:hint="eastAsia" w:hAnsi="宋体" w:cs="宋体"/>
          <w:color w:val="auto"/>
          <w:sz w:val="21"/>
          <w:szCs w:val="21"/>
          <w:highlight w:val="none"/>
        </w:rPr>
        <w:t>25.9评标委员会成员对需要共同认定的事项存在争议的，应当按照少数服从多数的原则作出结论。持不同意见的评标委员会成员应当在评标报告上签署不同意见及理由，否则视为同意评标报告。</w:t>
      </w:r>
    </w:p>
    <w:p w14:paraId="7B3BAC6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25.10评标结果汇总完成后，除下列情形外，任何人不得修改评标结果：</w:t>
      </w:r>
    </w:p>
    <w:p w14:paraId="4C8477E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（一）分值汇总计算错误的；</w:t>
      </w:r>
    </w:p>
    <w:p w14:paraId="6E34E72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（二）分项评分超出评分标准范围的；</w:t>
      </w:r>
    </w:p>
    <w:p w14:paraId="696C2BD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（三）评标委员会成员对客观评审因素评分不一致的；</w:t>
      </w:r>
    </w:p>
    <w:p w14:paraId="6E34919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（四）经评标委员会认定评分畸高、畸低的。</w:t>
      </w:r>
    </w:p>
    <w:p w14:paraId="1590C53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评标报告签署前，经复核发现存在以上情形之一的，评标委员会应当当场修改评标结果，并在评标</w:t>
      </w:r>
    </w:p>
    <w:p w14:paraId="5E5582B4">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3B326E0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58C757DF">
      <w:pPr>
        <w:pStyle w:val="11"/>
        <w:spacing w:line="360" w:lineRule="auto"/>
        <w:ind w:firstLine="411" w:firstLineChars="196"/>
        <w:rPr>
          <w:rFonts w:hAnsi="宋体" w:cs="宋体"/>
          <w:color w:val="auto"/>
          <w:sz w:val="21"/>
          <w:szCs w:val="21"/>
          <w:highlight w:val="none"/>
        </w:rPr>
      </w:pPr>
      <w:r>
        <w:rPr>
          <w:rFonts w:hint="eastAsia" w:hAnsi="宋体" w:cs="宋体"/>
          <w:color w:val="auto"/>
          <w:sz w:val="21"/>
          <w:szCs w:val="21"/>
          <w:highlight w:val="none"/>
        </w:rPr>
        <w:t>25.11采购代理机构发现评标委员会有明显的违规倾向或歧视现象，或不按评标办法进行，或其他不正常行为的，应当及时制止。如制止无效，应及时向桂林市政府采购监督管理办公室报告。</w:t>
      </w:r>
    </w:p>
    <w:p w14:paraId="25F0D257">
      <w:pPr>
        <w:pStyle w:val="11"/>
        <w:tabs>
          <w:tab w:val="left" w:pos="4214"/>
        </w:tabs>
        <w:spacing w:line="360" w:lineRule="auto"/>
        <w:ind w:firstLine="420" w:firstLineChars="200"/>
        <w:rPr>
          <w:rFonts w:hAnsi="宋体" w:cs="宋体"/>
          <w:b/>
          <w:color w:val="auto"/>
          <w:sz w:val="21"/>
          <w:szCs w:val="21"/>
          <w:highlight w:val="none"/>
        </w:rPr>
      </w:pPr>
      <w:r>
        <w:rPr>
          <w:rFonts w:hint="eastAsia" w:hAnsi="宋体" w:cs="宋体"/>
          <w:b/>
          <w:color w:val="auto"/>
          <w:sz w:val="21"/>
          <w:szCs w:val="21"/>
          <w:highlight w:val="none"/>
        </w:rPr>
        <w:t>26. 推荐中标候选供应商原则</w:t>
      </w:r>
    </w:p>
    <w:p w14:paraId="152EDC0E">
      <w:pPr>
        <w:pStyle w:val="11"/>
        <w:tabs>
          <w:tab w:val="left" w:pos="4214"/>
        </w:tabs>
        <w:spacing w:line="40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715E79F9">
      <w:pPr>
        <w:pStyle w:val="11"/>
        <w:keepNext w:val="0"/>
        <w:keepLines w:val="0"/>
        <w:pageBreakBefore w:val="0"/>
        <w:widowControl w:val="0"/>
        <w:tabs>
          <w:tab w:val="left" w:pos="4214"/>
        </w:tab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Cs/>
          <w:color w:val="auto"/>
          <w:kern w:val="0"/>
          <w:sz w:val="21"/>
          <w:szCs w:val="21"/>
          <w:highlight w:val="none"/>
          <w:lang w:val="en-NZ" w:eastAsia="zh-CN" w:bidi="ar-SA"/>
        </w:rPr>
      </w:pPr>
      <w:r>
        <w:rPr>
          <w:rFonts w:hint="eastAsia" w:hAnsi="宋体" w:cs="宋体"/>
          <w:bCs/>
          <w:color w:val="auto"/>
          <w:kern w:val="0"/>
          <w:sz w:val="21"/>
          <w:szCs w:val="21"/>
          <w:highlight w:val="none"/>
          <w:lang w:val="en-US" w:eastAsia="zh-CN" w:bidi="ar-SA"/>
        </w:rPr>
        <w:t>2.</w:t>
      </w:r>
      <w:bookmarkStart w:id="36" w:name="_GoBack"/>
      <w:bookmarkEnd w:id="36"/>
      <w:r>
        <w:rPr>
          <w:rFonts w:hint="eastAsia" w:ascii="宋体" w:hAnsi="宋体" w:eastAsia="宋体" w:cs="宋体"/>
          <w:bCs/>
          <w:color w:val="auto"/>
          <w:kern w:val="0"/>
          <w:sz w:val="21"/>
          <w:szCs w:val="21"/>
          <w:highlight w:val="none"/>
          <w:lang w:val="en-NZ" w:eastAsia="zh-CN" w:bidi="ar-SA"/>
        </w:rPr>
        <w:t>采购人应当自收到评标报告之日起5个工作日内，在评标报告确定的中标候选人名单中按顺序确定中标人。中标候选人并列的，采购人按以下的方式确定中标人：依次按</w:t>
      </w:r>
      <w:r>
        <w:rPr>
          <w:rFonts w:hint="eastAsia" w:hAnsi="宋体" w:cs="宋体"/>
          <w:bCs/>
          <w:color w:val="auto"/>
          <w:kern w:val="0"/>
          <w:sz w:val="21"/>
          <w:szCs w:val="21"/>
          <w:highlight w:val="none"/>
          <w:lang w:val="en-US" w:eastAsia="zh-CN" w:bidi="ar-SA"/>
        </w:rPr>
        <w:t>价格</w:t>
      </w:r>
      <w:r>
        <w:rPr>
          <w:rFonts w:hint="eastAsia" w:ascii="宋体" w:hAnsi="宋体" w:eastAsia="宋体" w:cs="宋体"/>
          <w:bCs/>
          <w:color w:val="auto"/>
          <w:kern w:val="0"/>
          <w:sz w:val="21"/>
          <w:szCs w:val="21"/>
          <w:highlight w:val="none"/>
          <w:lang w:val="en-NZ" w:eastAsia="zh-CN" w:bidi="ar-SA"/>
        </w:rPr>
        <w:t>分高的优先、安装调试方案分高的优先、售后服务方案分高的优先、信誉业绩分高的优先、政策功能分（节能、环保）高的优先顺序确定中标人。</w:t>
      </w:r>
    </w:p>
    <w:p w14:paraId="363507AC">
      <w:pPr>
        <w:pStyle w:val="11"/>
        <w:keepNext w:val="0"/>
        <w:keepLines w:val="0"/>
        <w:pageBreakBefore w:val="0"/>
        <w:widowControl w:val="0"/>
        <w:tabs>
          <w:tab w:val="left" w:pos="4214"/>
        </w:tab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2F985B4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4"/>
        <w:rPr>
          <w:rFonts w:ascii="宋体" w:hAnsi="宋体" w:cs="宋体"/>
          <w:b/>
          <w:color w:val="auto"/>
          <w:szCs w:val="21"/>
          <w:highlight w:val="none"/>
        </w:rPr>
      </w:pPr>
      <w:r>
        <w:rPr>
          <w:rFonts w:hint="eastAsia" w:ascii="宋体" w:hAnsi="宋体" w:cs="宋体"/>
          <w:b/>
          <w:bCs/>
          <w:color w:val="auto"/>
          <w:szCs w:val="21"/>
          <w:highlight w:val="none"/>
        </w:rPr>
        <w:t>27</w:t>
      </w:r>
      <w:r>
        <w:rPr>
          <w:rFonts w:hint="eastAsia" w:ascii="宋体" w:hAnsi="宋体" w:cs="宋体"/>
          <w:b/>
          <w:color w:val="auto"/>
          <w:szCs w:val="21"/>
          <w:highlight w:val="none"/>
        </w:rPr>
        <w:t>. 属于下列情况之一者，投标无效：</w:t>
      </w:r>
    </w:p>
    <w:p w14:paraId="51D9D7F2">
      <w:pPr>
        <w:pStyle w:val="11"/>
        <w:keepNext w:val="0"/>
        <w:keepLines w:val="0"/>
        <w:pageBreakBefore w:val="0"/>
        <w:widowControl w:val="0"/>
        <w:kinsoku/>
        <w:wordWrap/>
        <w:overflowPunct/>
        <w:topLinePunct w:val="0"/>
        <w:autoSpaceDE/>
        <w:autoSpaceDN/>
        <w:bidi w:val="0"/>
        <w:adjustRightInd/>
        <w:spacing w:line="360" w:lineRule="auto"/>
        <w:ind w:firstLine="447" w:firstLineChars="213"/>
        <w:textAlignment w:val="auto"/>
        <w:rPr>
          <w:rFonts w:hAnsi="宋体" w:cs="宋体"/>
          <w:color w:val="auto"/>
          <w:sz w:val="21"/>
          <w:szCs w:val="21"/>
          <w:highlight w:val="none"/>
        </w:rPr>
      </w:pPr>
      <w:r>
        <w:rPr>
          <w:rFonts w:hint="eastAsia" w:hAnsi="宋体" w:cs="宋体"/>
          <w:color w:val="auto"/>
          <w:sz w:val="21"/>
          <w:szCs w:val="21"/>
          <w:highlight w:val="none"/>
        </w:rPr>
        <w:t xml:space="preserve">（1）未按照招标文件规定要求签字、盖章的； </w:t>
      </w:r>
    </w:p>
    <w:p w14:paraId="6099553A">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（2）报价超过招标文件中规定的最高限价的； </w:t>
      </w:r>
    </w:p>
    <w:p w14:paraId="392ABD2A">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（3）不具备招标文件中规定的资格要求的； </w:t>
      </w:r>
    </w:p>
    <w:p w14:paraId="51E02D60">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（4）投标文件含有采购人不能接受的附加条件的； </w:t>
      </w:r>
    </w:p>
    <w:p w14:paraId="4CDFA1F4">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（5）投标文件未按招标文件的内容和要求编制，或提供虚假或无效材料的； </w:t>
      </w:r>
    </w:p>
    <w:p w14:paraId="29E8A633">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（6）投标人未就“货物采购需求”中的所有内容作完整唯一报价的； </w:t>
      </w:r>
    </w:p>
    <w:p w14:paraId="044488DC">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 xml:space="preserve">（7）未完全响应招标文件实质性要求的； </w:t>
      </w:r>
    </w:p>
    <w:p w14:paraId="4CF0AB00">
      <w:pPr>
        <w:pStyle w:val="11"/>
        <w:spacing w:line="360" w:lineRule="auto"/>
        <w:ind w:firstLine="447" w:firstLineChars="213"/>
        <w:rPr>
          <w:rFonts w:hAnsi="宋体" w:cs="宋体"/>
          <w:color w:val="auto"/>
          <w:sz w:val="21"/>
          <w:szCs w:val="21"/>
          <w:highlight w:val="none"/>
        </w:rPr>
      </w:pPr>
      <w:r>
        <w:rPr>
          <w:rFonts w:hint="eastAsia" w:hAnsi="宋体" w:cs="宋体"/>
          <w:color w:val="auto"/>
          <w:sz w:val="21"/>
          <w:szCs w:val="21"/>
          <w:highlight w:val="none"/>
        </w:rPr>
        <w:t>（8）法律、法规和招标文件规定的其他无效情形。</w:t>
      </w:r>
    </w:p>
    <w:p w14:paraId="47235253">
      <w:pPr>
        <w:pStyle w:val="11"/>
        <w:spacing w:line="360" w:lineRule="auto"/>
        <w:ind w:firstLine="411" w:firstLineChars="196"/>
        <w:rPr>
          <w:rFonts w:hAnsi="宋体" w:cs="宋体"/>
          <w:b/>
          <w:color w:val="auto"/>
          <w:sz w:val="21"/>
          <w:szCs w:val="21"/>
          <w:highlight w:val="none"/>
        </w:rPr>
      </w:pPr>
      <w:r>
        <w:rPr>
          <w:rFonts w:hint="eastAsia" w:hAnsi="宋体" w:cs="宋体"/>
          <w:b/>
          <w:color w:val="auto"/>
          <w:sz w:val="21"/>
          <w:szCs w:val="21"/>
          <w:highlight w:val="none"/>
        </w:rPr>
        <w:t xml:space="preserve">28.投标人有下列情形之一的，视为串通投标，投标文件将被视为无效： </w:t>
      </w:r>
    </w:p>
    <w:p w14:paraId="5D7CDA4A">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（1）不同投标人的投标文件由同一单位或者个人编制； </w:t>
      </w:r>
    </w:p>
    <w:p w14:paraId="68D82B33">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（2）不同投标人委托同一单位或者个人办理投标事宜； </w:t>
      </w:r>
    </w:p>
    <w:p w14:paraId="1803116D">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（3）不同的投标人的投标文件载明的项目管理员或者联系人员为同一个人；</w:t>
      </w:r>
    </w:p>
    <w:p w14:paraId="649E1D9A">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（4）不同投标人的投标文件异常一致或投标报价呈规律性差异； </w:t>
      </w:r>
    </w:p>
    <w:p w14:paraId="1C58A951">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（5）不同投标人的投标文件相互混装；</w:t>
      </w:r>
    </w:p>
    <w:p w14:paraId="33F432E1">
      <w:pPr>
        <w:pStyle w:val="11"/>
        <w:spacing w:line="360" w:lineRule="auto"/>
        <w:ind w:firstLine="411" w:firstLineChars="196"/>
        <w:rPr>
          <w:rFonts w:hAnsi="宋体" w:cs="宋体"/>
          <w:bCs/>
          <w:color w:val="auto"/>
          <w:sz w:val="21"/>
          <w:szCs w:val="21"/>
          <w:highlight w:val="none"/>
        </w:rPr>
      </w:pPr>
      <w:r>
        <w:rPr>
          <w:rFonts w:hint="eastAsia" w:hAnsi="宋体" w:cs="宋体"/>
          <w:b/>
          <w:color w:val="auto"/>
          <w:sz w:val="21"/>
          <w:szCs w:val="21"/>
          <w:highlight w:val="none"/>
        </w:rPr>
        <w:t>29. 属于下列情形之一的，应予废标：</w:t>
      </w:r>
      <w:r>
        <w:rPr>
          <w:rFonts w:hint="eastAsia" w:hAnsi="宋体" w:cs="宋体"/>
          <w:bCs/>
          <w:color w:val="auto"/>
          <w:sz w:val="21"/>
          <w:szCs w:val="21"/>
          <w:highlight w:val="none"/>
        </w:rPr>
        <w:t xml:space="preserve"> </w:t>
      </w:r>
    </w:p>
    <w:p w14:paraId="54A244A6">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（1）符合专业条件的供应商或者对招标文件作实质响应的供应商不足 3 家的； </w:t>
      </w:r>
    </w:p>
    <w:p w14:paraId="6D9CC593">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（2）出现影响采购公正的违法、违规行为的；</w:t>
      </w:r>
    </w:p>
    <w:p w14:paraId="7EFACE7C">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（3）采购文件内容违反国家有关强制性规定的； </w:t>
      </w:r>
    </w:p>
    <w:p w14:paraId="07A11BE7">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（4）因重大变故，采购任务取消的。</w:t>
      </w:r>
    </w:p>
    <w:p w14:paraId="630BCF49">
      <w:pPr>
        <w:autoSpaceDE w:val="0"/>
        <w:autoSpaceDN w:val="0"/>
        <w:snapToGrid w:val="0"/>
        <w:spacing w:line="360" w:lineRule="auto"/>
        <w:ind w:firstLine="420" w:firstLineChars="200"/>
        <w:textAlignment w:val="bottom"/>
        <w:rPr>
          <w:rFonts w:ascii="宋体" w:hAnsi="宋体" w:cs="宋体"/>
          <w:b/>
          <w:color w:val="auto"/>
          <w:szCs w:val="21"/>
          <w:highlight w:val="none"/>
        </w:rPr>
      </w:pPr>
      <w:r>
        <w:rPr>
          <w:rFonts w:hint="eastAsia" w:ascii="宋体" w:hAnsi="宋体" w:cs="宋体"/>
          <w:b/>
          <w:color w:val="auto"/>
          <w:szCs w:val="21"/>
          <w:highlight w:val="none"/>
        </w:rPr>
        <w:t xml:space="preserve">30. 开标、评标过程的监控 </w:t>
      </w:r>
    </w:p>
    <w:p w14:paraId="3F1DE3F7">
      <w:pPr>
        <w:autoSpaceDE w:val="0"/>
        <w:autoSpaceDN w:val="0"/>
        <w:snapToGrid w:val="0"/>
        <w:spacing w:line="360" w:lineRule="auto"/>
        <w:ind w:firstLine="420" w:firstLineChars="200"/>
        <w:textAlignment w:val="bottom"/>
        <w:rPr>
          <w:rFonts w:ascii="宋体" w:hAnsi="宋体" w:cs="宋体"/>
          <w:bCs/>
          <w:color w:val="auto"/>
          <w:szCs w:val="21"/>
          <w:highlight w:val="none"/>
        </w:rPr>
      </w:pPr>
      <w:r>
        <w:rPr>
          <w:rFonts w:hint="eastAsia" w:ascii="宋体" w:hAnsi="宋体" w:cs="宋体"/>
          <w:bCs/>
          <w:color w:val="auto"/>
          <w:szCs w:val="21"/>
          <w:highlight w:val="none"/>
        </w:rPr>
        <w:t>本项目开标、评标过程实行全程录音、录像监控，投标人在评标过程中所进行的试图影响评标结果的不公正活动，可能导致其投标被拒绝。</w:t>
      </w:r>
    </w:p>
    <w:p w14:paraId="2572C91E">
      <w:pPr>
        <w:autoSpaceDE w:val="0"/>
        <w:autoSpaceDN w:val="0"/>
        <w:snapToGrid w:val="0"/>
        <w:spacing w:line="360" w:lineRule="auto"/>
        <w:ind w:firstLine="420" w:firstLineChars="200"/>
        <w:textAlignment w:val="bottom"/>
        <w:rPr>
          <w:rFonts w:ascii="宋体" w:hAnsi="宋体" w:cs="宋体"/>
          <w:b/>
          <w:color w:val="auto"/>
          <w:szCs w:val="21"/>
          <w:highlight w:val="none"/>
        </w:rPr>
      </w:pPr>
      <w:r>
        <w:rPr>
          <w:rFonts w:hint="eastAsia" w:ascii="宋体" w:hAnsi="宋体" w:cs="宋体"/>
          <w:b/>
          <w:color w:val="auto"/>
          <w:szCs w:val="21"/>
          <w:highlight w:val="none"/>
        </w:rPr>
        <w:t xml:space="preserve">31. 信用查询 </w:t>
      </w:r>
    </w:p>
    <w:p w14:paraId="6EA7BA15">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根据《关于做好政府采购有关信用主体标识码登记及在政府采购活动中查询使用信用记录有关问题的通知》桂财采〔2016〕37 号的通知，中标通知书发出前，由采购代理机构对第一中标候选供应商进行信用查询： </w:t>
      </w:r>
    </w:p>
    <w:p w14:paraId="65368C74">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⑴查询渠道：“信用中国”网站(www.creditchina.gov.cn)、中国政府采购网(www.ccgp.gov.cn)等； </w:t>
      </w:r>
    </w:p>
    <w:p w14:paraId="700ADF82">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⑵查询截止时间：中标通知书发出前； </w:t>
      </w:r>
    </w:p>
    <w:p w14:paraId="27A27944">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 xml:space="preserve">⑶信用信息查询记录和证据留存方式：在查询网站中直接打印查询记录，打印材料作为采购活动资料保存； </w:t>
      </w:r>
    </w:p>
    <w:p w14:paraId="27B4584C">
      <w:pPr>
        <w:pStyle w:val="11"/>
        <w:spacing w:line="360" w:lineRule="auto"/>
        <w:ind w:firstLine="411" w:firstLineChars="196"/>
        <w:rPr>
          <w:rFonts w:hAnsi="宋体" w:cs="宋体"/>
          <w:bCs/>
          <w:color w:val="auto"/>
          <w:sz w:val="21"/>
          <w:szCs w:val="21"/>
          <w:highlight w:val="none"/>
        </w:rPr>
      </w:pPr>
      <w:r>
        <w:rPr>
          <w:rFonts w:hint="eastAsia" w:hAnsi="宋体" w:cs="宋体"/>
          <w:bCs/>
          <w:color w:val="auto"/>
          <w:sz w:val="21"/>
          <w:szCs w:val="21"/>
          <w:highlight w:val="none"/>
        </w:rPr>
        <w:t>⑷信用信息使用规则：对在“ 信用中国 ” 网站 (www.creditchina.gov.cn) 、 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14:paraId="34E180AD">
      <w:pPr>
        <w:pStyle w:val="11"/>
        <w:spacing w:line="360" w:lineRule="auto"/>
        <w:ind w:firstLine="411" w:firstLineChars="196"/>
        <w:rPr>
          <w:rFonts w:hAnsi="宋体" w:cs="宋体"/>
          <w:bCs/>
          <w:color w:val="auto"/>
          <w:sz w:val="21"/>
          <w:szCs w:val="21"/>
          <w:highlight w:val="none"/>
        </w:rPr>
      </w:pPr>
      <w:r>
        <w:rPr>
          <w:rFonts w:hint="eastAsia" w:hAnsi="宋体" w:cs="宋体"/>
          <w:color w:val="auto"/>
          <w:sz w:val="21"/>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487870A0">
      <w:pPr>
        <w:widowControl/>
        <w:spacing w:line="360" w:lineRule="auto"/>
        <w:ind w:firstLine="420" w:firstLineChars="200"/>
        <w:jc w:val="left"/>
        <w:rPr>
          <w:rFonts w:ascii="宋体" w:hAnsi="宋体" w:cs="宋体"/>
          <w:color w:val="auto"/>
          <w:szCs w:val="21"/>
          <w:highlight w:val="none"/>
        </w:rPr>
      </w:pPr>
      <w:r>
        <w:rPr>
          <w:rFonts w:hint="eastAsia" w:ascii="宋体" w:hAnsi="宋体" w:cs="宋体"/>
          <w:b/>
          <w:color w:val="auto"/>
          <w:kern w:val="0"/>
          <w:szCs w:val="21"/>
          <w:highlight w:val="none"/>
        </w:rPr>
        <w:t xml:space="preserve">32. 中标公告及中标通知书 </w:t>
      </w:r>
    </w:p>
    <w:p w14:paraId="335B5A95">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32.1 采购代理机构于评标结束后两个工作日内将评审报告送交采购人，采购人应当自收到评审报告五个工作日内在评审报告推荐的中标候选供应商中按顺序确定中标供应商，采购代理机构在中标供应商确定之日起两个工作日内发出中标通知书，并在指定媒体上公告中标信息，中标公告期限为1个工作日。 </w:t>
      </w:r>
    </w:p>
    <w:p w14:paraId="56DE7011">
      <w:pPr>
        <w:widowControl/>
        <w:spacing w:line="360" w:lineRule="auto"/>
        <w:ind w:firstLine="420" w:firstLineChars="200"/>
        <w:jc w:val="left"/>
        <w:rPr>
          <w:rFonts w:ascii="宋体" w:hAnsi="宋体" w:cs="宋体"/>
          <w:b/>
          <w:bCs/>
          <w:color w:val="auto"/>
          <w:kern w:val="0"/>
          <w:szCs w:val="21"/>
          <w:highlight w:val="none"/>
        </w:rPr>
      </w:pPr>
      <w:r>
        <w:rPr>
          <w:rFonts w:hint="eastAsia" w:ascii="宋体" w:hAnsi="宋体" w:cs="宋体"/>
          <w:color w:val="auto"/>
          <w:kern w:val="0"/>
          <w:szCs w:val="21"/>
          <w:highlight w:val="none"/>
        </w:rPr>
        <w:t>32.2 中标公告发布同时，采购代理机构在线向中标供应商发出中标通知书，中标供应商应自接到通知之日起七个工作日内，办理中标通知书领取手续。</w:t>
      </w:r>
    </w:p>
    <w:p w14:paraId="43F3AA3B">
      <w:pPr>
        <w:tabs>
          <w:tab w:val="left" w:pos="1140"/>
        </w:tabs>
        <w:spacing w:line="360" w:lineRule="auto"/>
        <w:ind w:left="420" w:leftChars="200"/>
        <w:rPr>
          <w:rFonts w:ascii="宋体" w:hAnsi="宋体" w:cs="宋体"/>
          <w:b/>
          <w:color w:val="auto"/>
          <w:szCs w:val="21"/>
          <w:highlight w:val="none"/>
        </w:rPr>
      </w:pPr>
    </w:p>
    <w:p w14:paraId="31853342">
      <w:pPr>
        <w:tabs>
          <w:tab w:val="left" w:pos="1140"/>
        </w:tabs>
        <w:spacing w:line="360" w:lineRule="auto"/>
        <w:ind w:left="420" w:leftChars="200"/>
        <w:jc w:val="center"/>
        <w:rPr>
          <w:rFonts w:ascii="宋体" w:hAnsi="宋体" w:cs="宋体"/>
          <w:b/>
          <w:color w:val="auto"/>
          <w:szCs w:val="21"/>
          <w:highlight w:val="none"/>
        </w:rPr>
      </w:pPr>
      <w:r>
        <w:rPr>
          <w:rFonts w:hint="eastAsia" w:ascii="宋体" w:hAnsi="宋体" w:cs="宋体"/>
          <w:b/>
          <w:color w:val="auto"/>
          <w:szCs w:val="21"/>
          <w:highlight w:val="none"/>
        </w:rPr>
        <w:t>七、履约保证金及签订合同</w:t>
      </w:r>
    </w:p>
    <w:p w14:paraId="1809FF3C">
      <w:pPr>
        <w:tabs>
          <w:tab w:val="left" w:pos="1305"/>
        </w:tabs>
        <w:spacing w:line="360" w:lineRule="auto"/>
        <w:ind w:firstLine="315" w:firstLineChars="150"/>
        <w:rPr>
          <w:rFonts w:ascii="宋体" w:hAnsi="宋体" w:cs="宋体"/>
          <w:color w:val="auto"/>
          <w:szCs w:val="21"/>
          <w:highlight w:val="none"/>
        </w:rPr>
      </w:pPr>
      <w:r>
        <w:rPr>
          <w:rFonts w:hint="eastAsia" w:ascii="宋体" w:hAnsi="宋体" w:cs="宋体"/>
          <w:b/>
          <w:color w:val="auto"/>
          <w:szCs w:val="21"/>
          <w:highlight w:val="none"/>
        </w:rPr>
        <w:t>33. 履约保证金</w:t>
      </w:r>
    </w:p>
    <w:p w14:paraId="06F204D8">
      <w:pPr>
        <w:pStyle w:val="11"/>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33.1根据《自治区人民政府办公厅关于印发2021年全区优化营商环境实施方案的通知》（桂政办电【2020】42号）要求，采购人根据项目特点及供应商的诚信等情况，免收履约保证金。</w:t>
      </w:r>
    </w:p>
    <w:p w14:paraId="5131610A">
      <w:pPr>
        <w:tabs>
          <w:tab w:val="left" w:pos="1140"/>
        </w:tabs>
        <w:spacing w:line="360" w:lineRule="auto"/>
        <w:ind w:firstLine="420" w:firstLineChars="200"/>
        <w:rPr>
          <w:rFonts w:ascii="宋体" w:hAnsi="宋体" w:cs="宋体"/>
          <w:b/>
          <w:color w:val="auto"/>
          <w:szCs w:val="21"/>
          <w:highlight w:val="none"/>
        </w:rPr>
      </w:pPr>
      <w:r>
        <w:rPr>
          <w:rFonts w:hint="eastAsia" w:ascii="宋体" w:hAnsi="宋体" w:cs="宋体"/>
          <w:b/>
          <w:color w:val="auto"/>
          <w:szCs w:val="21"/>
          <w:highlight w:val="none"/>
        </w:rPr>
        <w:t>34. 签订合同</w:t>
      </w:r>
    </w:p>
    <w:p w14:paraId="7B9842F5">
      <w:pPr>
        <w:pStyle w:val="11"/>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34.1签订合同时间：</w:t>
      </w:r>
      <w:r>
        <w:rPr>
          <w:rFonts w:hint="eastAsia" w:ascii="宋体" w:hAnsi="宋体" w:cs="宋体"/>
          <w:color w:val="auto"/>
          <w:szCs w:val="21"/>
          <w:highlight w:val="none"/>
        </w:rPr>
        <w:t>中标通知书发出之日起</w:t>
      </w:r>
      <w:r>
        <w:rPr>
          <w:rFonts w:hint="eastAsia" w:ascii="宋体" w:hAnsi="宋体" w:cs="宋体"/>
          <w:color w:val="auto"/>
          <w:szCs w:val="21"/>
          <w:highlight w:val="none"/>
          <w:lang w:val="en-US" w:eastAsia="zh-CN"/>
        </w:rPr>
        <w:t>八个工作</w:t>
      </w:r>
      <w:r>
        <w:rPr>
          <w:rFonts w:hint="eastAsia" w:ascii="宋体" w:hAnsi="宋体" w:cs="宋体"/>
          <w:color w:val="auto"/>
          <w:szCs w:val="21"/>
          <w:highlight w:val="none"/>
        </w:rPr>
        <w:t>日内。中标供应商领取中标通知书后，应按规定与采购人签订合同。</w:t>
      </w:r>
    </w:p>
    <w:p w14:paraId="3E202591">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34.2 如中标供应商有下列情形之一的，情节严重的，由财政部门将其列入不良行为记录名单，在一至三年内禁止参加政府采购活动，并予以通报。招标采购单位可从评标委员会推荐的中标候选供应商中按顺序重新确定中标供应商或重新组织招标。 </w:t>
      </w:r>
    </w:p>
    <w:p w14:paraId="316F8D4E">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（1）中标后不与采购人签订合同的（不可抗力除外）； </w:t>
      </w:r>
    </w:p>
    <w:p w14:paraId="2A898AAD">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（2）将中标项目转让给他人，或者在投标文件中未说明，且未经采购人同意，将中标项目分包给他人的； </w:t>
      </w:r>
    </w:p>
    <w:p w14:paraId="29506C85">
      <w:pPr>
        <w:widowControl/>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（3）拒绝履行合同义务的。 </w:t>
      </w:r>
    </w:p>
    <w:p w14:paraId="4D23925B">
      <w:pPr>
        <w:pStyle w:val="11"/>
        <w:spacing w:line="360" w:lineRule="auto"/>
        <w:ind w:left="2" w:leftChars="1" w:firstLine="420" w:firstLineChars="200"/>
        <w:rPr>
          <w:rFonts w:hAnsi="宋体" w:cs="宋体"/>
          <w:color w:val="auto"/>
          <w:sz w:val="21"/>
          <w:szCs w:val="21"/>
          <w:highlight w:val="none"/>
        </w:rPr>
      </w:pPr>
      <w:r>
        <w:rPr>
          <w:rFonts w:hint="eastAsia" w:hAnsi="宋体" w:cs="宋体"/>
          <w:color w:val="auto"/>
          <w:sz w:val="21"/>
          <w:szCs w:val="21"/>
          <w:highlight w:val="none"/>
        </w:rPr>
        <w:t xml:space="preserve"> 34.3政府采购合同双方自签订之日起1个工作日内将合同原件两份交采购代理机构。采购代理机构将政府采购合同在省级以上人民政府财政部门指定媒体上公告并于合同签订之日起7个工作日内将一份合同原件送桂林市政府采购监督管理办公室备案，一份由采购代理机构存档。</w:t>
      </w:r>
    </w:p>
    <w:p w14:paraId="279EDAF3">
      <w:pPr>
        <w:widowControl/>
        <w:spacing w:line="360" w:lineRule="auto"/>
        <w:ind w:firstLine="420"/>
        <w:jc w:val="left"/>
        <w:rPr>
          <w:rFonts w:ascii="宋体" w:hAnsi="宋体" w:cs="宋体"/>
          <w:color w:val="auto"/>
          <w:szCs w:val="21"/>
          <w:highlight w:val="none"/>
        </w:rPr>
      </w:pPr>
    </w:p>
    <w:p w14:paraId="463BAD17">
      <w:pPr>
        <w:pStyle w:val="11"/>
        <w:spacing w:line="360" w:lineRule="auto"/>
        <w:ind w:left="3"/>
        <w:jc w:val="center"/>
        <w:rPr>
          <w:rFonts w:hAnsi="宋体" w:cs="宋体"/>
          <w:b/>
          <w:color w:val="auto"/>
          <w:sz w:val="21"/>
          <w:szCs w:val="21"/>
          <w:highlight w:val="none"/>
        </w:rPr>
      </w:pPr>
      <w:r>
        <w:rPr>
          <w:rFonts w:hint="eastAsia" w:hAnsi="宋体" w:cs="宋体"/>
          <w:b/>
          <w:color w:val="auto"/>
          <w:sz w:val="21"/>
          <w:szCs w:val="21"/>
          <w:highlight w:val="none"/>
        </w:rPr>
        <w:t>八、其他事项</w:t>
      </w:r>
    </w:p>
    <w:p w14:paraId="1026D4AD">
      <w:pPr>
        <w:pStyle w:val="11"/>
        <w:spacing w:line="360" w:lineRule="auto"/>
        <w:ind w:firstLine="210" w:firstLineChars="100"/>
        <w:rPr>
          <w:rFonts w:hAnsi="宋体" w:cs="宋体"/>
          <w:b/>
          <w:color w:val="auto"/>
          <w:sz w:val="21"/>
          <w:szCs w:val="21"/>
          <w:highlight w:val="none"/>
        </w:rPr>
      </w:pPr>
      <w:r>
        <w:rPr>
          <w:rFonts w:hint="eastAsia" w:hAnsi="宋体" w:cs="宋体"/>
          <w:b/>
          <w:color w:val="auto"/>
          <w:sz w:val="21"/>
          <w:szCs w:val="21"/>
          <w:highlight w:val="none"/>
        </w:rPr>
        <w:t>35. 招标代理服务费</w:t>
      </w:r>
    </w:p>
    <w:p w14:paraId="1616F193">
      <w:pPr>
        <w:spacing w:line="360" w:lineRule="auto"/>
        <w:rPr>
          <w:rFonts w:ascii="宋体" w:hAnsi="宋体" w:cs="宋体"/>
          <w:color w:val="auto"/>
          <w:szCs w:val="21"/>
          <w:highlight w:val="none"/>
        </w:rPr>
      </w:pPr>
      <w:r>
        <w:rPr>
          <w:rFonts w:hint="eastAsia" w:ascii="宋体" w:hAnsi="宋体" w:cs="宋体"/>
          <w:color w:val="auto"/>
          <w:szCs w:val="21"/>
          <w:highlight w:val="none"/>
        </w:rPr>
        <w:t>中标供应商领取中标通知书前，向广西鼎策工程顾问有限责任公司一次性付清招标代理服务费，本项目的采购代理服务收费标准按计价格[2002]1980号《招标代理服务收费管理暂行办法》货物类收费规定的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0%向中标供应商收取（不足</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000元按</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000元收取）。</w:t>
      </w:r>
    </w:p>
    <w:p w14:paraId="26863B4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招标代理服务收费标准</w:t>
      </w:r>
    </w:p>
    <w:tbl>
      <w:tblPr>
        <w:tblStyle w:val="22"/>
        <w:tblW w:w="937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2085"/>
        <w:gridCol w:w="2075"/>
        <w:gridCol w:w="2387"/>
      </w:tblGrid>
      <w:tr w14:paraId="2345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831" w:type="dxa"/>
          </w:tcPr>
          <w:p w14:paraId="1067E9FE">
            <w:pPr>
              <w:pStyle w:val="11"/>
              <w:spacing w:line="360" w:lineRule="auto"/>
              <w:ind w:left="25"/>
              <w:rPr>
                <w:rFonts w:hAnsi="宋体" w:cs="宋体"/>
                <w:color w:val="auto"/>
                <w:sz w:val="21"/>
                <w:szCs w:val="21"/>
                <w:highlight w:val="none"/>
              </w:rPr>
            </w:pPr>
            <w:r>
              <w:rPr>
                <w:rFonts w:hAnsi="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328930</wp:posOffset>
                      </wp:positionH>
                      <wp:positionV relativeFrom="paragraph">
                        <wp:posOffset>3175</wp:posOffset>
                      </wp:positionV>
                      <wp:extent cx="1352550" cy="631190"/>
                      <wp:effectExtent l="1905" t="4445" r="17145" b="12065"/>
                      <wp:wrapNone/>
                      <wp:docPr id="15" name="直接连接符 15"/>
                      <wp:cNvGraphicFramePr/>
                      <a:graphic xmlns:a="http://schemas.openxmlformats.org/drawingml/2006/main">
                        <a:graphicData uri="http://schemas.microsoft.com/office/word/2010/wordprocessingShape">
                          <wps:wsp>
                            <wps:cNvCnPr/>
                            <wps:spPr>
                              <a:xfrm>
                                <a:off x="0" y="0"/>
                                <a:ext cx="1352550" cy="63119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5.9pt;margin-top:0.25pt;height:49.7pt;width:106.5pt;z-index:251660288;mso-width-relative:page;mso-height-relative:page;" filled="f" stroked="t" coordsize="21600,21600" o:gfxdata="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cBl9QAAAAGAQAADwAAAAAAAAABACAAAAAiAAAAZHJzL2Rvd25yZXYu&#10;eG1sUEsBAhQAFAAAAAgAh07iQAAZ0cz/AQAA+QMAAA4AAAAAAAAAAQAgAAAAIwEAAGRycy9lMm9E&#10;b2MueG1sUEsFBgAAAAAGAAYAWQEAAJQFAAAAAA==&#10;">
                      <v:fill on="f" focussize="0,0"/>
                      <v:stroke color="#000000" joinstyle="round"/>
                      <v:imagedata o:title=""/>
                      <o:lock v:ext="edit" aspectratio="f"/>
                    </v:line>
                  </w:pict>
                </mc:Fallback>
              </mc:AlternateContent>
            </w:r>
            <w:r>
              <w:rPr>
                <w:rFonts w:hint="eastAsia" w:hAnsi="宋体" w:cs="宋体"/>
                <w:color w:val="auto"/>
                <w:sz w:val="21"/>
                <w:szCs w:val="21"/>
                <w:highlight w:val="none"/>
              </w:rPr>
              <w:t>费率           服务类型</w:t>
            </w:r>
          </w:p>
          <w:p w14:paraId="3AAC2E62">
            <w:pPr>
              <w:pStyle w:val="11"/>
              <w:spacing w:line="360" w:lineRule="auto"/>
              <w:ind w:left="25"/>
              <w:rPr>
                <w:rFonts w:hAnsi="宋体" w:cs="宋体"/>
                <w:color w:val="auto"/>
                <w:sz w:val="21"/>
                <w:szCs w:val="21"/>
                <w:highlight w:val="none"/>
              </w:rPr>
            </w:pPr>
            <w:r>
              <w:rPr>
                <w:rFonts w:hAnsi="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-67945</wp:posOffset>
                      </wp:positionH>
                      <wp:positionV relativeFrom="paragraph">
                        <wp:posOffset>45085</wp:posOffset>
                      </wp:positionV>
                      <wp:extent cx="1714500" cy="396240"/>
                      <wp:effectExtent l="1270" t="4445" r="17780" b="18415"/>
                      <wp:wrapNone/>
                      <wp:docPr id="3" name="直接连接符 3"/>
                      <wp:cNvGraphicFramePr/>
                      <a:graphic xmlns:a="http://schemas.openxmlformats.org/drawingml/2006/main">
                        <a:graphicData uri="http://schemas.microsoft.com/office/word/2010/wordprocessingShape">
                          <wps:wsp>
                            <wps:cNvCnPr/>
                            <wps:spPr>
                              <a:xfrm>
                                <a:off x="0" y="0"/>
                                <a:ext cx="171450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35pt;margin-top:3.55pt;height:31.2pt;width:135pt;z-index:251661312;mso-width-relative:page;mso-height-relative:page;" filled="f" stroked="t" coordsize="21600,21600" o:gfxdata="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6xid2AAAAAgBAAAPAAAAAAAAAAEAIAAAACIAAABkcnMvZG93&#10;bnJldi54bWxQSwECFAAUAAAACACHTuJAHbPsuAACAAD3AwAADgAAAAAAAAABACAAAAAnAQAAZHJz&#10;L2Uyb0RvYy54bWxQSwUGAAAAAAYABgBZAQAAmQUAAAAA&#10;">
                      <v:fill on="f" focussize="0,0"/>
                      <v:stroke color="#000000" joinstyle="round"/>
                      <v:imagedata o:title=""/>
                      <o:lock v:ext="edit" aspectratio="f"/>
                    </v:line>
                  </w:pict>
                </mc:Fallback>
              </mc:AlternateContent>
            </w:r>
          </w:p>
          <w:p w14:paraId="7B22ACD6">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成交金额（万元）</w:t>
            </w:r>
          </w:p>
        </w:tc>
        <w:tc>
          <w:tcPr>
            <w:tcW w:w="2085" w:type="dxa"/>
            <w:vAlign w:val="center"/>
          </w:tcPr>
          <w:p w14:paraId="458F34EF">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货物招标</w:t>
            </w:r>
          </w:p>
        </w:tc>
        <w:tc>
          <w:tcPr>
            <w:tcW w:w="2075" w:type="dxa"/>
            <w:vAlign w:val="center"/>
          </w:tcPr>
          <w:p w14:paraId="359EE9D6">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服务招标</w:t>
            </w:r>
          </w:p>
        </w:tc>
        <w:tc>
          <w:tcPr>
            <w:tcW w:w="2387" w:type="dxa"/>
            <w:vAlign w:val="center"/>
          </w:tcPr>
          <w:p w14:paraId="6D23F59F">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工程招标</w:t>
            </w:r>
          </w:p>
        </w:tc>
      </w:tr>
      <w:tr w14:paraId="0D3B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4F79E257">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100以下</w:t>
            </w:r>
          </w:p>
        </w:tc>
        <w:tc>
          <w:tcPr>
            <w:tcW w:w="2085" w:type="dxa"/>
          </w:tcPr>
          <w:p w14:paraId="3DA11D35">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1.5%</w:t>
            </w:r>
          </w:p>
        </w:tc>
        <w:tc>
          <w:tcPr>
            <w:tcW w:w="2075" w:type="dxa"/>
          </w:tcPr>
          <w:p w14:paraId="36DF538F">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1.5%</w:t>
            </w:r>
          </w:p>
        </w:tc>
        <w:tc>
          <w:tcPr>
            <w:tcW w:w="2387" w:type="dxa"/>
          </w:tcPr>
          <w:p w14:paraId="2E52693C">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1.0%</w:t>
            </w:r>
          </w:p>
        </w:tc>
      </w:tr>
      <w:tr w14:paraId="2815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6E0A9CC1">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100-500</w:t>
            </w:r>
          </w:p>
        </w:tc>
        <w:tc>
          <w:tcPr>
            <w:tcW w:w="2085" w:type="dxa"/>
          </w:tcPr>
          <w:p w14:paraId="09F4AED0">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1.1%</w:t>
            </w:r>
          </w:p>
        </w:tc>
        <w:tc>
          <w:tcPr>
            <w:tcW w:w="2075" w:type="dxa"/>
          </w:tcPr>
          <w:p w14:paraId="414BB8F0">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0.8%</w:t>
            </w:r>
          </w:p>
        </w:tc>
        <w:tc>
          <w:tcPr>
            <w:tcW w:w="2387" w:type="dxa"/>
          </w:tcPr>
          <w:p w14:paraId="1DE72B22">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0.7%</w:t>
            </w:r>
          </w:p>
        </w:tc>
      </w:tr>
      <w:tr w14:paraId="64B8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7BC439B9">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500-1000</w:t>
            </w:r>
          </w:p>
        </w:tc>
        <w:tc>
          <w:tcPr>
            <w:tcW w:w="2085" w:type="dxa"/>
          </w:tcPr>
          <w:p w14:paraId="00FDA924">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0.8%</w:t>
            </w:r>
          </w:p>
        </w:tc>
        <w:tc>
          <w:tcPr>
            <w:tcW w:w="2075" w:type="dxa"/>
          </w:tcPr>
          <w:p w14:paraId="331F7893">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0.45%</w:t>
            </w:r>
          </w:p>
        </w:tc>
        <w:tc>
          <w:tcPr>
            <w:tcW w:w="2387" w:type="dxa"/>
          </w:tcPr>
          <w:p w14:paraId="4459EE13">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0.55%</w:t>
            </w:r>
          </w:p>
        </w:tc>
      </w:tr>
      <w:tr w14:paraId="078C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276BF149">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1000-5000</w:t>
            </w:r>
          </w:p>
        </w:tc>
        <w:tc>
          <w:tcPr>
            <w:tcW w:w="2085" w:type="dxa"/>
          </w:tcPr>
          <w:p w14:paraId="1CDBFEDB">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0.5%</w:t>
            </w:r>
          </w:p>
        </w:tc>
        <w:tc>
          <w:tcPr>
            <w:tcW w:w="2075" w:type="dxa"/>
          </w:tcPr>
          <w:p w14:paraId="18D554C8">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0.25%</w:t>
            </w:r>
          </w:p>
        </w:tc>
        <w:tc>
          <w:tcPr>
            <w:tcW w:w="2387" w:type="dxa"/>
          </w:tcPr>
          <w:p w14:paraId="11E82DB7">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0.35%</w:t>
            </w:r>
          </w:p>
        </w:tc>
      </w:tr>
      <w:tr w14:paraId="6689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2C00F717">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5000-10000</w:t>
            </w:r>
          </w:p>
        </w:tc>
        <w:tc>
          <w:tcPr>
            <w:tcW w:w="2085" w:type="dxa"/>
          </w:tcPr>
          <w:p w14:paraId="1F8BE875">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0.25%</w:t>
            </w:r>
          </w:p>
        </w:tc>
        <w:tc>
          <w:tcPr>
            <w:tcW w:w="2075" w:type="dxa"/>
          </w:tcPr>
          <w:p w14:paraId="688826A7">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0.1%</w:t>
            </w:r>
          </w:p>
        </w:tc>
        <w:tc>
          <w:tcPr>
            <w:tcW w:w="2387" w:type="dxa"/>
          </w:tcPr>
          <w:p w14:paraId="0956D9D3">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0.2%</w:t>
            </w:r>
          </w:p>
        </w:tc>
      </w:tr>
      <w:tr w14:paraId="4C64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31" w:type="dxa"/>
          </w:tcPr>
          <w:p w14:paraId="0B37B7B1">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10000-100000</w:t>
            </w:r>
          </w:p>
        </w:tc>
        <w:tc>
          <w:tcPr>
            <w:tcW w:w="2085" w:type="dxa"/>
          </w:tcPr>
          <w:p w14:paraId="26ACC442">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c>
          <w:tcPr>
            <w:tcW w:w="2075" w:type="dxa"/>
          </w:tcPr>
          <w:p w14:paraId="313E3308">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c>
          <w:tcPr>
            <w:tcW w:w="2387" w:type="dxa"/>
          </w:tcPr>
          <w:p w14:paraId="0C6DD8D6">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0.05%</w:t>
            </w:r>
          </w:p>
        </w:tc>
      </w:tr>
      <w:tr w14:paraId="15A0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31" w:type="dxa"/>
          </w:tcPr>
          <w:p w14:paraId="00D84E90">
            <w:pPr>
              <w:pStyle w:val="11"/>
              <w:spacing w:line="360" w:lineRule="auto"/>
              <w:ind w:left="25"/>
              <w:rPr>
                <w:rFonts w:hAnsi="宋体" w:cs="宋体"/>
                <w:color w:val="auto"/>
                <w:sz w:val="21"/>
                <w:szCs w:val="21"/>
                <w:highlight w:val="none"/>
              </w:rPr>
            </w:pPr>
            <w:r>
              <w:rPr>
                <w:rFonts w:hint="eastAsia" w:hAnsi="宋体" w:cs="宋体"/>
                <w:color w:val="auto"/>
                <w:sz w:val="21"/>
                <w:szCs w:val="21"/>
                <w:highlight w:val="none"/>
              </w:rPr>
              <w:t>100000以上</w:t>
            </w:r>
          </w:p>
        </w:tc>
        <w:tc>
          <w:tcPr>
            <w:tcW w:w="2085" w:type="dxa"/>
          </w:tcPr>
          <w:p w14:paraId="3F7C029D">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c>
          <w:tcPr>
            <w:tcW w:w="2075" w:type="dxa"/>
          </w:tcPr>
          <w:p w14:paraId="329B6D69">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c>
          <w:tcPr>
            <w:tcW w:w="2387" w:type="dxa"/>
          </w:tcPr>
          <w:p w14:paraId="7D530689">
            <w:pPr>
              <w:pStyle w:val="11"/>
              <w:spacing w:line="360" w:lineRule="auto"/>
              <w:ind w:left="25"/>
              <w:jc w:val="center"/>
              <w:rPr>
                <w:rFonts w:hAnsi="宋体" w:cs="宋体"/>
                <w:color w:val="auto"/>
                <w:sz w:val="21"/>
                <w:szCs w:val="21"/>
                <w:highlight w:val="none"/>
              </w:rPr>
            </w:pPr>
            <w:r>
              <w:rPr>
                <w:rFonts w:hint="eastAsia" w:hAnsi="宋体" w:cs="宋体"/>
                <w:color w:val="auto"/>
                <w:sz w:val="21"/>
                <w:szCs w:val="21"/>
                <w:highlight w:val="none"/>
              </w:rPr>
              <w:t>0.01%</w:t>
            </w:r>
          </w:p>
        </w:tc>
      </w:tr>
    </w:tbl>
    <w:p w14:paraId="63BBA811">
      <w:pPr>
        <w:pStyle w:val="11"/>
        <w:spacing w:line="360" w:lineRule="auto"/>
        <w:rPr>
          <w:rFonts w:hAnsi="宋体" w:cs="宋体"/>
          <w:color w:val="auto"/>
          <w:sz w:val="21"/>
          <w:szCs w:val="21"/>
          <w:highlight w:val="none"/>
        </w:rPr>
      </w:pPr>
      <w:r>
        <w:rPr>
          <w:rFonts w:hint="eastAsia" w:hAnsi="宋体" w:cs="宋体"/>
          <w:b/>
          <w:color w:val="auto"/>
          <w:sz w:val="21"/>
          <w:szCs w:val="21"/>
          <w:highlight w:val="none"/>
        </w:rPr>
        <w:t>注：</w:t>
      </w:r>
      <w:r>
        <w:rPr>
          <w:rFonts w:hint="eastAsia" w:hAnsi="宋体" w:cs="宋体"/>
          <w:color w:val="auto"/>
          <w:sz w:val="21"/>
          <w:szCs w:val="21"/>
          <w:highlight w:val="none"/>
        </w:rPr>
        <w:t>招标代理服务收费按差额定率累进法计算。</w:t>
      </w:r>
    </w:p>
    <w:p w14:paraId="17DB02D9">
      <w:pPr>
        <w:pStyle w:val="11"/>
        <w:spacing w:line="360" w:lineRule="auto"/>
        <w:ind w:firstLine="420" w:firstLineChars="200"/>
        <w:rPr>
          <w:rFonts w:hAnsi="宋体" w:cs="宋体"/>
          <w:b/>
          <w:color w:val="auto"/>
          <w:sz w:val="21"/>
          <w:szCs w:val="21"/>
          <w:highlight w:val="none"/>
        </w:rPr>
      </w:pPr>
      <w:r>
        <w:rPr>
          <w:rFonts w:hint="eastAsia" w:hAnsi="宋体" w:cs="宋体"/>
          <w:b/>
          <w:color w:val="auto"/>
          <w:sz w:val="21"/>
          <w:szCs w:val="21"/>
          <w:highlight w:val="none"/>
        </w:rPr>
        <w:t>36．招标代理服务费银行账户：</w:t>
      </w:r>
    </w:p>
    <w:p w14:paraId="6A15CCE5">
      <w:pPr>
        <w:pStyle w:val="11"/>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账户名称：广西鼎策工程顾问有限责任公司</w:t>
      </w:r>
    </w:p>
    <w:p w14:paraId="39B35261">
      <w:pPr>
        <w:pStyle w:val="11"/>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开户银行：建行南宁金湖北路支行</w:t>
      </w:r>
    </w:p>
    <w:p w14:paraId="50785C3E">
      <w:pPr>
        <w:pStyle w:val="11"/>
        <w:snapToGrid w:val="0"/>
        <w:spacing w:line="360" w:lineRule="auto"/>
        <w:ind w:firstLine="420" w:firstLineChars="200"/>
        <w:rPr>
          <w:rFonts w:hAnsi="宋体" w:cs="宋体"/>
          <w:bCs/>
          <w:color w:val="auto"/>
          <w:sz w:val="21"/>
          <w:szCs w:val="21"/>
          <w:highlight w:val="none"/>
        </w:rPr>
      </w:pPr>
      <w:r>
        <w:rPr>
          <w:rFonts w:hint="eastAsia" w:hAnsi="宋体" w:cs="宋体"/>
          <w:bCs/>
          <w:color w:val="auto"/>
          <w:sz w:val="21"/>
          <w:szCs w:val="21"/>
          <w:highlight w:val="none"/>
        </w:rPr>
        <w:t>银行账号：4500 1604 2640 5070 0796</w:t>
      </w:r>
    </w:p>
    <w:p w14:paraId="53A4FBBF">
      <w:pPr>
        <w:pStyle w:val="11"/>
        <w:snapToGrid w:val="0"/>
        <w:spacing w:line="360" w:lineRule="auto"/>
        <w:ind w:firstLine="420" w:firstLineChars="200"/>
        <w:rPr>
          <w:rFonts w:hAnsi="宋体" w:cs="宋体"/>
          <w:color w:val="auto"/>
          <w:sz w:val="21"/>
          <w:szCs w:val="21"/>
          <w:highlight w:val="none"/>
        </w:rPr>
      </w:pPr>
      <w:r>
        <w:rPr>
          <w:rFonts w:hint="eastAsia" w:hAnsi="宋体" w:cs="宋体"/>
          <w:b/>
          <w:color w:val="auto"/>
          <w:sz w:val="21"/>
          <w:szCs w:val="21"/>
          <w:highlight w:val="none"/>
        </w:rPr>
        <w:t>37. 解释权：</w:t>
      </w:r>
      <w:r>
        <w:rPr>
          <w:rFonts w:hint="eastAsia" w:hAnsi="宋体" w:cs="宋体"/>
          <w:color w:val="auto"/>
          <w:sz w:val="21"/>
          <w:szCs w:val="21"/>
          <w:highlight w:val="none"/>
        </w:rPr>
        <w:t>本招标文件是根据《中华人民共和国政府采购法》、《中华人民共和国政府采购法实施条例》及</w:t>
      </w:r>
      <w:r>
        <w:rPr>
          <w:rStyle w:val="25"/>
          <w:rFonts w:hint="eastAsia" w:hAnsi="宋体" w:cs="宋体"/>
          <w:b w:val="0"/>
          <w:bCs w:val="0"/>
          <w:color w:val="auto"/>
          <w:sz w:val="21"/>
          <w:szCs w:val="21"/>
          <w:highlight w:val="none"/>
        </w:rPr>
        <w:t>财政部令第87号</w:t>
      </w:r>
      <w:r>
        <w:rPr>
          <w:rFonts w:hint="eastAsia" w:hAnsi="宋体" w:cs="宋体"/>
          <w:color w:val="auto"/>
          <w:sz w:val="21"/>
          <w:szCs w:val="21"/>
          <w:highlight w:val="none"/>
        </w:rPr>
        <w:t>《政府采购货物和服务招标投标管理办法》和政府采购管理有关规定编制，本招标文件的解释权属于采购代理机构。</w:t>
      </w:r>
    </w:p>
    <w:p w14:paraId="501333AE">
      <w:pPr>
        <w:pStyle w:val="11"/>
        <w:snapToGrid w:val="0"/>
        <w:spacing w:line="360" w:lineRule="auto"/>
        <w:ind w:firstLine="420" w:firstLineChars="200"/>
        <w:rPr>
          <w:rFonts w:hAnsi="宋体" w:cs="宋体"/>
          <w:color w:val="auto"/>
          <w:sz w:val="21"/>
          <w:szCs w:val="21"/>
          <w:highlight w:val="none"/>
        </w:rPr>
      </w:pPr>
      <w:r>
        <w:rPr>
          <w:rFonts w:hint="eastAsia" w:hAnsi="宋体" w:cs="宋体"/>
          <w:b/>
          <w:color w:val="auto"/>
          <w:sz w:val="21"/>
          <w:szCs w:val="21"/>
          <w:highlight w:val="none"/>
        </w:rPr>
        <w:t>38. 监督管理机构：桂林市政府采购监督管理办公室     电话：0773-2862142</w:t>
      </w:r>
      <w:r>
        <w:rPr>
          <w:rFonts w:hint="eastAsia" w:hAnsi="宋体" w:cs="宋体"/>
          <w:color w:val="auto"/>
          <w:sz w:val="21"/>
          <w:szCs w:val="21"/>
          <w:highlight w:val="none"/>
        </w:rPr>
        <w:t>。</w:t>
      </w:r>
    </w:p>
    <w:p w14:paraId="20598C16">
      <w:pPr>
        <w:spacing w:line="360" w:lineRule="auto"/>
        <w:ind w:firstLine="420"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39.《广西线上“政采贷”政策告知函》详见附表3。</w:t>
      </w:r>
    </w:p>
    <w:p w14:paraId="5EBDB782">
      <w:pPr>
        <w:pStyle w:val="20"/>
        <w:tabs>
          <w:tab w:val="left" w:pos="512"/>
        </w:tabs>
        <w:ind w:firstLine="0" w:firstLineChars="0"/>
        <w:rPr>
          <w:rFonts w:hint="eastAsia" w:hAnsi="宋体" w:cs="宋体"/>
          <w:b/>
          <w:color w:val="auto"/>
          <w:highlight w:val="none"/>
        </w:rPr>
      </w:pPr>
    </w:p>
    <w:p w14:paraId="3C0E45CD">
      <w:pPr>
        <w:pStyle w:val="20"/>
        <w:tabs>
          <w:tab w:val="left" w:pos="512"/>
        </w:tabs>
        <w:ind w:firstLine="0" w:firstLineChars="0"/>
        <w:rPr>
          <w:rFonts w:hint="eastAsia" w:hAnsi="宋体" w:cs="宋体"/>
          <w:b/>
          <w:color w:val="auto"/>
          <w:highlight w:val="none"/>
        </w:rPr>
      </w:pPr>
    </w:p>
    <w:p w14:paraId="7DE425AA">
      <w:pPr>
        <w:pStyle w:val="20"/>
        <w:tabs>
          <w:tab w:val="left" w:pos="512"/>
        </w:tabs>
        <w:ind w:firstLine="0" w:firstLineChars="0"/>
        <w:rPr>
          <w:rFonts w:hint="eastAsia" w:hAnsi="宋体" w:cs="宋体"/>
          <w:b/>
          <w:color w:val="auto"/>
          <w:highlight w:val="none"/>
        </w:rPr>
      </w:pPr>
    </w:p>
    <w:p w14:paraId="0AAAF275">
      <w:pPr>
        <w:pStyle w:val="20"/>
        <w:tabs>
          <w:tab w:val="left" w:pos="512"/>
        </w:tabs>
        <w:ind w:firstLine="0" w:firstLineChars="0"/>
        <w:rPr>
          <w:rFonts w:hint="eastAsia" w:hAnsi="宋体" w:cs="宋体"/>
          <w:b/>
          <w:color w:val="auto"/>
          <w:highlight w:val="none"/>
        </w:rPr>
      </w:pPr>
    </w:p>
    <w:p w14:paraId="6BC55DDE">
      <w:pPr>
        <w:pStyle w:val="20"/>
        <w:tabs>
          <w:tab w:val="left" w:pos="512"/>
        </w:tabs>
        <w:ind w:firstLine="0" w:firstLineChars="0"/>
        <w:rPr>
          <w:rFonts w:hint="eastAsia" w:hAnsi="宋体" w:cs="宋体"/>
          <w:b/>
          <w:color w:val="auto"/>
          <w:highlight w:val="none"/>
        </w:rPr>
      </w:pPr>
    </w:p>
    <w:p w14:paraId="5EB896B7">
      <w:pPr>
        <w:pStyle w:val="20"/>
        <w:tabs>
          <w:tab w:val="left" w:pos="512"/>
        </w:tabs>
        <w:ind w:firstLine="0" w:firstLineChars="0"/>
        <w:rPr>
          <w:rFonts w:hint="eastAsia" w:hAnsi="宋体" w:cs="宋体"/>
          <w:b/>
          <w:color w:val="auto"/>
          <w:highlight w:val="none"/>
        </w:rPr>
      </w:pPr>
    </w:p>
    <w:p w14:paraId="5057FD56">
      <w:pPr>
        <w:pStyle w:val="20"/>
        <w:tabs>
          <w:tab w:val="left" w:pos="512"/>
        </w:tabs>
        <w:ind w:firstLine="0" w:firstLineChars="0"/>
        <w:rPr>
          <w:rFonts w:hint="eastAsia" w:hAnsi="宋体" w:cs="宋体"/>
          <w:b/>
          <w:color w:val="auto"/>
          <w:highlight w:val="none"/>
        </w:rPr>
      </w:pPr>
    </w:p>
    <w:p w14:paraId="1A36BD18">
      <w:pPr>
        <w:pStyle w:val="20"/>
        <w:tabs>
          <w:tab w:val="left" w:pos="512"/>
        </w:tabs>
        <w:ind w:firstLine="0" w:firstLineChars="0"/>
        <w:rPr>
          <w:rFonts w:hint="eastAsia" w:hAnsi="宋体" w:cs="宋体"/>
          <w:b/>
          <w:color w:val="auto"/>
          <w:highlight w:val="none"/>
        </w:rPr>
      </w:pPr>
    </w:p>
    <w:p w14:paraId="08EE4B82">
      <w:pPr>
        <w:pStyle w:val="20"/>
        <w:tabs>
          <w:tab w:val="left" w:pos="512"/>
        </w:tabs>
        <w:ind w:firstLine="0" w:firstLineChars="0"/>
        <w:rPr>
          <w:rFonts w:hint="eastAsia" w:hAnsi="宋体" w:cs="宋体"/>
          <w:b/>
          <w:color w:val="auto"/>
          <w:highlight w:val="none"/>
        </w:rPr>
      </w:pPr>
    </w:p>
    <w:p w14:paraId="0E2522D9">
      <w:pPr>
        <w:pStyle w:val="20"/>
        <w:tabs>
          <w:tab w:val="left" w:pos="512"/>
        </w:tabs>
        <w:ind w:firstLine="0" w:firstLineChars="0"/>
        <w:rPr>
          <w:rFonts w:hint="eastAsia" w:hAnsi="宋体" w:cs="宋体"/>
          <w:b/>
          <w:color w:val="auto"/>
          <w:highlight w:val="none"/>
        </w:rPr>
      </w:pPr>
    </w:p>
    <w:p w14:paraId="7FC500CA">
      <w:pPr>
        <w:pStyle w:val="20"/>
        <w:tabs>
          <w:tab w:val="left" w:pos="512"/>
        </w:tabs>
        <w:ind w:firstLine="0" w:firstLineChars="0"/>
        <w:rPr>
          <w:rFonts w:hint="eastAsia" w:hAnsi="宋体" w:cs="宋体"/>
          <w:b/>
          <w:color w:val="auto"/>
          <w:highlight w:val="none"/>
        </w:rPr>
      </w:pPr>
    </w:p>
    <w:p w14:paraId="7E8CDB30">
      <w:pPr>
        <w:pStyle w:val="20"/>
        <w:tabs>
          <w:tab w:val="left" w:pos="512"/>
        </w:tabs>
        <w:ind w:firstLine="0" w:firstLineChars="0"/>
        <w:rPr>
          <w:rFonts w:hint="eastAsia" w:hAnsi="宋体" w:cs="宋体"/>
          <w:b/>
          <w:color w:val="auto"/>
          <w:highlight w:val="none"/>
        </w:rPr>
      </w:pPr>
    </w:p>
    <w:p w14:paraId="79869B85">
      <w:pPr>
        <w:pStyle w:val="20"/>
        <w:tabs>
          <w:tab w:val="left" w:pos="512"/>
        </w:tabs>
        <w:ind w:firstLine="0" w:firstLineChars="0"/>
        <w:rPr>
          <w:rFonts w:hint="eastAsia" w:hAnsi="宋体" w:cs="宋体"/>
          <w:b/>
          <w:color w:val="auto"/>
          <w:highlight w:val="none"/>
        </w:rPr>
      </w:pPr>
    </w:p>
    <w:p w14:paraId="4BD96DBA">
      <w:pPr>
        <w:pStyle w:val="20"/>
        <w:tabs>
          <w:tab w:val="left" w:pos="512"/>
        </w:tabs>
        <w:ind w:firstLine="0" w:firstLineChars="0"/>
        <w:rPr>
          <w:rFonts w:hint="eastAsia" w:hAnsi="宋体" w:cs="宋体"/>
          <w:b/>
          <w:color w:val="auto"/>
          <w:highlight w:val="none"/>
        </w:rPr>
      </w:pPr>
    </w:p>
    <w:p w14:paraId="2AB31173">
      <w:pPr>
        <w:pStyle w:val="20"/>
        <w:tabs>
          <w:tab w:val="left" w:pos="512"/>
        </w:tabs>
        <w:ind w:firstLine="0" w:firstLineChars="0"/>
        <w:rPr>
          <w:rFonts w:hint="eastAsia" w:hAnsi="宋体" w:cs="宋体"/>
          <w:b/>
          <w:color w:val="auto"/>
          <w:highlight w:val="none"/>
        </w:rPr>
      </w:pPr>
    </w:p>
    <w:p w14:paraId="35C8A67F">
      <w:pPr>
        <w:pStyle w:val="20"/>
        <w:tabs>
          <w:tab w:val="left" w:pos="512"/>
        </w:tabs>
        <w:ind w:firstLine="0" w:firstLineChars="0"/>
        <w:rPr>
          <w:rFonts w:hint="eastAsia" w:hAnsi="宋体" w:cs="宋体"/>
          <w:b/>
          <w:color w:val="auto"/>
          <w:highlight w:val="none"/>
        </w:rPr>
      </w:pPr>
    </w:p>
    <w:p w14:paraId="2FF43E2F">
      <w:pPr>
        <w:pStyle w:val="20"/>
        <w:tabs>
          <w:tab w:val="left" w:pos="512"/>
        </w:tabs>
        <w:ind w:firstLine="0" w:firstLineChars="0"/>
        <w:rPr>
          <w:rFonts w:hint="eastAsia" w:hAnsi="宋体" w:cs="宋体"/>
          <w:b/>
          <w:color w:val="auto"/>
          <w:highlight w:val="none"/>
        </w:rPr>
      </w:pPr>
    </w:p>
    <w:p w14:paraId="1652BF84">
      <w:pPr>
        <w:pStyle w:val="20"/>
        <w:tabs>
          <w:tab w:val="left" w:pos="512"/>
        </w:tabs>
        <w:ind w:firstLine="0" w:firstLineChars="0"/>
        <w:rPr>
          <w:rFonts w:hint="eastAsia" w:hAnsi="宋体" w:cs="宋体"/>
          <w:b/>
          <w:color w:val="auto"/>
          <w:highlight w:val="none"/>
        </w:rPr>
      </w:pPr>
    </w:p>
    <w:p w14:paraId="5090DEEC">
      <w:pPr>
        <w:pStyle w:val="20"/>
        <w:tabs>
          <w:tab w:val="left" w:pos="512"/>
        </w:tabs>
        <w:ind w:firstLine="0" w:firstLineChars="0"/>
        <w:rPr>
          <w:rFonts w:hint="eastAsia" w:hAnsi="宋体" w:cs="宋体"/>
          <w:b/>
          <w:color w:val="auto"/>
          <w:highlight w:val="none"/>
        </w:rPr>
      </w:pPr>
    </w:p>
    <w:p w14:paraId="001DCAC3">
      <w:pPr>
        <w:pStyle w:val="20"/>
        <w:tabs>
          <w:tab w:val="left" w:pos="512"/>
        </w:tabs>
        <w:ind w:firstLine="0" w:firstLineChars="0"/>
        <w:rPr>
          <w:rFonts w:hint="eastAsia" w:hAnsi="宋体" w:cs="宋体"/>
          <w:b/>
          <w:color w:val="auto"/>
          <w:highlight w:val="none"/>
        </w:rPr>
      </w:pPr>
    </w:p>
    <w:p w14:paraId="4E1EA700">
      <w:pPr>
        <w:pStyle w:val="20"/>
        <w:tabs>
          <w:tab w:val="left" w:pos="512"/>
        </w:tabs>
        <w:ind w:firstLine="0" w:firstLineChars="0"/>
        <w:rPr>
          <w:rFonts w:hint="eastAsia" w:hAnsi="宋体" w:cs="宋体"/>
          <w:b/>
          <w:color w:val="auto"/>
          <w:highlight w:val="none"/>
        </w:rPr>
      </w:pPr>
    </w:p>
    <w:p w14:paraId="124516E5">
      <w:pPr>
        <w:pStyle w:val="20"/>
        <w:tabs>
          <w:tab w:val="left" w:pos="512"/>
        </w:tabs>
        <w:ind w:firstLine="0" w:firstLineChars="0"/>
        <w:rPr>
          <w:rFonts w:hint="eastAsia" w:hAnsi="宋体" w:cs="宋体"/>
          <w:b/>
          <w:color w:val="auto"/>
          <w:highlight w:val="none"/>
        </w:rPr>
      </w:pPr>
    </w:p>
    <w:p w14:paraId="2EE4C81D">
      <w:pPr>
        <w:pStyle w:val="20"/>
        <w:tabs>
          <w:tab w:val="left" w:pos="512"/>
        </w:tabs>
        <w:ind w:firstLine="0" w:firstLineChars="0"/>
        <w:rPr>
          <w:rFonts w:hint="eastAsia" w:hAnsi="宋体" w:cs="宋体"/>
          <w:b/>
          <w:color w:val="auto"/>
          <w:highlight w:val="none"/>
        </w:rPr>
      </w:pPr>
    </w:p>
    <w:p w14:paraId="563936FC">
      <w:pPr>
        <w:pStyle w:val="20"/>
        <w:tabs>
          <w:tab w:val="left" w:pos="512"/>
        </w:tabs>
        <w:ind w:firstLine="0" w:firstLineChars="0"/>
        <w:rPr>
          <w:rFonts w:hint="eastAsia" w:hAnsi="宋体" w:cs="宋体"/>
          <w:b/>
          <w:color w:val="auto"/>
          <w:highlight w:val="none"/>
        </w:rPr>
      </w:pPr>
    </w:p>
    <w:p w14:paraId="6D85D4FA">
      <w:pPr>
        <w:pStyle w:val="20"/>
        <w:tabs>
          <w:tab w:val="left" w:pos="512"/>
        </w:tabs>
        <w:ind w:firstLine="0" w:firstLineChars="0"/>
        <w:rPr>
          <w:rFonts w:hint="eastAsia" w:hAnsi="宋体" w:cs="宋体"/>
          <w:b/>
          <w:color w:val="auto"/>
          <w:highlight w:val="none"/>
        </w:rPr>
      </w:pPr>
    </w:p>
    <w:p w14:paraId="21EC9248">
      <w:pPr>
        <w:pStyle w:val="20"/>
        <w:tabs>
          <w:tab w:val="left" w:pos="512"/>
        </w:tabs>
        <w:ind w:firstLine="0" w:firstLineChars="0"/>
        <w:rPr>
          <w:rFonts w:hint="eastAsia" w:hAnsi="宋体" w:cs="宋体"/>
          <w:b/>
          <w:color w:val="auto"/>
          <w:highlight w:val="none"/>
        </w:rPr>
      </w:pPr>
    </w:p>
    <w:p w14:paraId="28D53509">
      <w:pPr>
        <w:pStyle w:val="20"/>
        <w:tabs>
          <w:tab w:val="left" w:pos="512"/>
        </w:tabs>
        <w:ind w:firstLine="0" w:firstLineChars="0"/>
        <w:rPr>
          <w:rFonts w:hint="eastAsia" w:hAnsi="宋体" w:cs="宋体"/>
          <w:b/>
          <w:color w:val="auto"/>
          <w:highlight w:val="none"/>
        </w:rPr>
      </w:pPr>
    </w:p>
    <w:p w14:paraId="791A835D">
      <w:pPr>
        <w:pStyle w:val="20"/>
        <w:tabs>
          <w:tab w:val="left" w:pos="512"/>
        </w:tabs>
        <w:ind w:firstLine="0" w:firstLineChars="0"/>
        <w:rPr>
          <w:rFonts w:hAnsi="宋体" w:cs="宋体"/>
          <w:b/>
          <w:color w:val="auto"/>
          <w:highlight w:val="none"/>
        </w:rPr>
      </w:pPr>
      <w:r>
        <w:rPr>
          <w:rFonts w:hint="eastAsia" w:hAnsi="宋体" w:cs="宋体"/>
          <w:b/>
          <w:color w:val="auto"/>
          <w:highlight w:val="none"/>
        </w:rPr>
        <w:t>附表1：</w:t>
      </w:r>
    </w:p>
    <w:p w14:paraId="4C9FB90D">
      <w:pPr>
        <w:spacing w:line="460" w:lineRule="exact"/>
        <w:jc w:val="center"/>
        <w:rPr>
          <w:rFonts w:ascii="宋体" w:hAnsi="宋体" w:cs="宋体"/>
          <w:color w:val="auto"/>
          <w:sz w:val="44"/>
          <w:highlight w:val="none"/>
        </w:rPr>
      </w:pPr>
      <w:r>
        <w:rPr>
          <w:rFonts w:hint="eastAsia" w:ascii="宋体" w:hAnsi="宋体" w:cs="宋体"/>
          <w:color w:val="auto"/>
          <w:sz w:val="44"/>
          <w:highlight w:val="none"/>
        </w:rPr>
        <w:t>质疑函（格式）</w:t>
      </w:r>
    </w:p>
    <w:p w14:paraId="445F4174">
      <w:pPr>
        <w:pStyle w:val="11"/>
        <w:snapToGrid w:val="0"/>
        <w:spacing w:line="360" w:lineRule="exact"/>
        <w:ind w:firstLine="400" w:firstLineChars="200"/>
        <w:rPr>
          <w:rFonts w:hAnsi="宋体" w:cs="宋体"/>
          <w:b/>
          <w:bCs/>
          <w:color w:val="auto"/>
          <w:highlight w:val="none"/>
        </w:rPr>
      </w:pPr>
      <w:r>
        <w:rPr>
          <w:rFonts w:hint="eastAsia" w:hAnsi="宋体" w:cs="宋体"/>
          <w:b/>
          <w:bCs/>
          <w:color w:val="auto"/>
          <w:highlight w:val="none"/>
        </w:rPr>
        <w:t>一、质疑供应商基本信息：</w:t>
      </w:r>
    </w:p>
    <w:p w14:paraId="1A6BFA74">
      <w:pPr>
        <w:pStyle w:val="11"/>
        <w:snapToGrid w:val="0"/>
        <w:spacing w:line="360" w:lineRule="exact"/>
        <w:ind w:firstLine="400" w:firstLineChars="200"/>
        <w:rPr>
          <w:rFonts w:hAnsi="宋体" w:cs="宋体"/>
          <w:bCs/>
          <w:color w:val="auto"/>
          <w:highlight w:val="none"/>
          <w:u w:val="single"/>
        </w:rPr>
      </w:pPr>
      <w:r>
        <w:rPr>
          <w:rFonts w:hint="eastAsia" w:hAnsi="宋体" w:cs="宋体"/>
          <w:bCs/>
          <w:color w:val="auto"/>
          <w:highlight w:val="none"/>
        </w:rPr>
        <w:t>质疑供应商：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7FC5CFBF">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690A2D11">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65456F63">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授权代表：</w:t>
      </w:r>
      <w:r>
        <w:rPr>
          <w:rFonts w:hint="eastAsia" w:hAnsi="宋体" w:cs="宋体"/>
          <w:bCs/>
          <w:color w:val="auto"/>
          <w:highlight w:val="none"/>
          <w:u w:val="single"/>
        </w:rPr>
        <w:t xml:space="preserve">                      </w:t>
      </w:r>
    </w:p>
    <w:p w14:paraId="56F76B95">
      <w:pPr>
        <w:pStyle w:val="11"/>
        <w:snapToGrid w:val="0"/>
        <w:spacing w:line="360" w:lineRule="exact"/>
        <w:ind w:firstLine="400" w:firstLineChars="200"/>
        <w:rPr>
          <w:rFonts w:hAnsi="宋体" w:cs="宋体"/>
          <w:bCs/>
          <w:color w:val="auto"/>
          <w:highlight w:val="none"/>
          <w:u w:val="singl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28573572">
      <w:pPr>
        <w:pStyle w:val="11"/>
        <w:snapToGrid w:val="0"/>
        <w:spacing w:line="36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4167005D">
      <w:pPr>
        <w:pStyle w:val="11"/>
        <w:snapToGrid w:val="0"/>
        <w:spacing w:line="360" w:lineRule="exact"/>
        <w:ind w:firstLine="400" w:firstLineChars="200"/>
        <w:rPr>
          <w:rFonts w:hAnsi="宋体" w:cs="宋体"/>
          <w:b/>
          <w:bCs/>
          <w:color w:val="auto"/>
          <w:highlight w:val="none"/>
        </w:rPr>
      </w:pPr>
      <w:r>
        <w:rPr>
          <w:rFonts w:hint="eastAsia" w:hAnsi="宋体" w:cs="宋体"/>
          <w:b/>
          <w:bCs/>
          <w:color w:val="auto"/>
          <w:highlight w:val="none"/>
        </w:rPr>
        <w:t>二、质疑项目基本情况：</w:t>
      </w:r>
    </w:p>
    <w:p w14:paraId="122281E5">
      <w:pPr>
        <w:pStyle w:val="11"/>
        <w:spacing w:line="360" w:lineRule="exact"/>
        <w:ind w:left="25" w:leftChars="12" w:firstLine="394" w:firstLineChars="197"/>
        <w:rPr>
          <w:rFonts w:hAnsi="宋体" w:cs="宋体"/>
          <w:color w:val="auto"/>
          <w:szCs w:val="21"/>
          <w:highlight w:val="none"/>
        </w:rPr>
      </w:pPr>
      <w:r>
        <w:rPr>
          <w:rFonts w:hint="eastAsia" w:hAnsi="宋体" w:cs="宋体"/>
          <w:bCs/>
          <w:color w:val="auto"/>
          <w:highlight w:val="none"/>
        </w:rPr>
        <w:t>质疑</w:t>
      </w:r>
      <w:r>
        <w:rPr>
          <w:rFonts w:hint="eastAsia" w:hAnsi="宋体" w:cs="宋体"/>
          <w:color w:val="auto"/>
          <w:szCs w:val="21"/>
          <w:highlight w:val="none"/>
        </w:rPr>
        <w:t>项目的名称：</w:t>
      </w:r>
      <w:r>
        <w:rPr>
          <w:rFonts w:hint="eastAsia" w:hAnsi="宋体" w:cs="宋体"/>
          <w:bCs/>
          <w:color w:val="auto"/>
          <w:highlight w:val="none"/>
          <w:u w:val="single"/>
        </w:rPr>
        <w:t xml:space="preserve">                                     </w:t>
      </w:r>
    </w:p>
    <w:p w14:paraId="38F442E7">
      <w:pPr>
        <w:pStyle w:val="11"/>
        <w:spacing w:line="360" w:lineRule="exact"/>
        <w:ind w:left="25" w:leftChars="12" w:firstLine="394" w:firstLineChars="197"/>
        <w:rPr>
          <w:rFonts w:hAnsi="宋体" w:cs="宋体"/>
          <w:color w:val="auto"/>
          <w:szCs w:val="21"/>
          <w:highlight w:val="none"/>
        </w:rPr>
      </w:pPr>
      <w:r>
        <w:rPr>
          <w:rFonts w:hint="eastAsia" w:hAnsi="宋体" w:cs="宋体"/>
          <w:bCs/>
          <w:color w:val="auto"/>
          <w:highlight w:val="none"/>
        </w:rPr>
        <w:t>质疑</w:t>
      </w:r>
      <w:r>
        <w:rPr>
          <w:rFonts w:hint="eastAsia" w:hAnsi="宋体" w:cs="宋体"/>
          <w:color w:val="auto"/>
          <w:szCs w:val="21"/>
          <w:highlight w:val="none"/>
        </w:rPr>
        <w:t>项目的编号：</w:t>
      </w:r>
      <w:r>
        <w:rPr>
          <w:rFonts w:hint="eastAsia" w:hAnsi="宋体" w:cs="宋体"/>
          <w:bCs/>
          <w:color w:val="auto"/>
          <w:highlight w:val="none"/>
          <w:u w:val="single"/>
        </w:rPr>
        <w:t xml:space="preserve">                                     </w:t>
      </w:r>
      <w:r>
        <w:rPr>
          <w:rFonts w:hint="eastAsia" w:hAnsi="宋体" w:cs="宋体"/>
          <w:color w:val="auto"/>
          <w:szCs w:val="21"/>
          <w:highlight w:val="none"/>
        </w:rPr>
        <w:t xml:space="preserve"> </w:t>
      </w:r>
    </w:p>
    <w:p w14:paraId="586C456A">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采购人名称：</w:t>
      </w:r>
      <w:r>
        <w:rPr>
          <w:rFonts w:hint="eastAsia" w:hAnsi="宋体" w:cs="宋体"/>
          <w:bCs/>
          <w:color w:val="auto"/>
          <w:highlight w:val="none"/>
          <w:u w:val="single"/>
        </w:rPr>
        <w:t xml:space="preserve">                                         </w:t>
      </w:r>
    </w:p>
    <w:p w14:paraId="5539F6AE">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质疑事项：</w:t>
      </w:r>
    </w:p>
    <w:p w14:paraId="1B1D35E9">
      <w:pPr>
        <w:pStyle w:val="11"/>
        <w:spacing w:line="360" w:lineRule="exact"/>
        <w:ind w:left="25" w:leftChars="12" w:firstLine="441" w:firstLineChars="147"/>
        <w:rPr>
          <w:rFonts w:hAnsi="宋体" w:cs="宋体"/>
          <w:color w:val="auto"/>
          <w:szCs w:val="21"/>
          <w:highlight w:val="none"/>
        </w:rPr>
      </w:pPr>
      <w:r>
        <w:rPr>
          <w:rFonts w:hint="eastAsia" w:hAnsi="宋体" w:cs="宋体"/>
          <w:color w:val="auto"/>
          <w:sz w:val="30"/>
          <w:szCs w:val="30"/>
          <w:highlight w:val="none"/>
        </w:rPr>
        <w:t>□</w:t>
      </w:r>
      <w:r>
        <w:rPr>
          <w:rFonts w:hint="eastAsia" w:hAnsi="宋体" w:cs="宋体"/>
          <w:color w:val="auto"/>
          <w:szCs w:val="21"/>
          <w:highlight w:val="none"/>
        </w:rPr>
        <w:t>磋商文件   采购文件获取日期：</w:t>
      </w:r>
      <w:r>
        <w:rPr>
          <w:rFonts w:hint="eastAsia" w:hAnsi="宋体" w:cs="宋体"/>
          <w:bCs/>
          <w:color w:val="auto"/>
          <w:highlight w:val="none"/>
          <w:u w:val="single"/>
        </w:rPr>
        <w:t xml:space="preserve">                                   </w:t>
      </w:r>
    </w:p>
    <w:p w14:paraId="1D7F4834">
      <w:pPr>
        <w:pStyle w:val="11"/>
        <w:spacing w:line="360" w:lineRule="exact"/>
        <w:ind w:left="25" w:leftChars="12" w:firstLine="441" w:firstLineChars="147"/>
        <w:rPr>
          <w:rFonts w:hAnsi="宋体" w:cs="宋体"/>
          <w:color w:val="auto"/>
          <w:szCs w:val="21"/>
          <w:highlight w:val="none"/>
        </w:rPr>
      </w:pPr>
      <w:r>
        <w:rPr>
          <w:rFonts w:hint="eastAsia" w:hAnsi="宋体" w:cs="宋体"/>
          <w:color w:val="auto"/>
          <w:sz w:val="30"/>
          <w:szCs w:val="30"/>
          <w:highlight w:val="none"/>
        </w:rPr>
        <w:t>□</w:t>
      </w:r>
      <w:r>
        <w:rPr>
          <w:rFonts w:hint="eastAsia" w:hAnsi="宋体" w:cs="宋体"/>
          <w:color w:val="auto"/>
          <w:szCs w:val="21"/>
          <w:highlight w:val="none"/>
        </w:rPr>
        <w:t xml:space="preserve">采购过程   </w:t>
      </w:r>
    </w:p>
    <w:p w14:paraId="7D357E2C">
      <w:pPr>
        <w:pStyle w:val="11"/>
        <w:spacing w:line="360" w:lineRule="exact"/>
        <w:ind w:left="25" w:leftChars="12" w:firstLine="441" w:firstLineChars="147"/>
        <w:rPr>
          <w:rFonts w:hAnsi="宋体" w:cs="宋体"/>
          <w:bCs/>
          <w:color w:val="auto"/>
          <w:highlight w:val="none"/>
          <w:u w:val="single"/>
        </w:rPr>
      </w:pPr>
      <w:r>
        <w:rPr>
          <w:rFonts w:hint="eastAsia" w:hAnsi="宋体" w:cs="宋体"/>
          <w:color w:val="auto"/>
          <w:sz w:val="30"/>
          <w:szCs w:val="30"/>
          <w:highlight w:val="none"/>
        </w:rPr>
        <w:t>□</w:t>
      </w:r>
      <w:r>
        <w:rPr>
          <w:rFonts w:hint="eastAsia" w:hAnsi="宋体" w:cs="宋体"/>
          <w:color w:val="auto"/>
          <w:szCs w:val="21"/>
          <w:highlight w:val="none"/>
        </w:rPr>
        <w:t xml:space="preserve">成交结果   </w:t>
      </w:r>
    </w:p>
    <w:p w14:paraId="450FADF6">
      <w:pPr>
        <w:pStyle w:val="11"/>
        <w:spacing w:line="36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三、质疑事项具体内容</w:t>
      </w:r>
    </w:p>
    <w:p w14:paraId="06E483A1">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质疑事项1：</w:t>
      </w:r>
      <w:r>
        <w:rPr>
          <w:rFonts w:hint="eastAsia" w:hAnsi="宋体" w:cs="宋体"/>
          <w:bCs/>
          <w:color w:val="auto"/>
          <w:highlight w:val="none"/>
          <w:u w:val="single"/>
        </w:rPr>
        <w:t xml:space="preserve">                                                                    </w:t>
      </w:r>
    </w:p>
    <w:p w14:paraId="3A2C1640">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事实依据：</w:t>
      </w:r>
      <w:r>
        <w:rPr>
          <w:rFonts w:hint="eastAsia" w:hAnsi="宋体" w:cs="宋体"/>
          <w:bCs/>
          <w:color w:val="auto"/>
          <w:highlight w:val="none"/>
          <w:u w:val="single"/>
        </w:rPr>
        <w:t xml:space="preserve">                                                                      </w:t>
      </w:r>
    </w:p>
    <w:p w14:paraId="408A2B72">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法律依据：</w:t>
      </w:r>
      <w:r>
        <w:rPr>
          <w:rFonts w:hint="eastAsia" w:hAnsi="宋体" w:cs="宋体"/>
          <w:color w:val="auto"/>
          <w:szCs w:val="21"/>
          <w:highlight w:val="none"/>
          <w:u w:val="single"/>
        </w:rPr>
        <w:t xml:space="preserve">                                                        </w:t>
      </w:r>
      <w:r>
        <w:rPr>
          <w:rFonts w:hint="eastAsia" w:hAnsi="宋体" w:cs="宋体"/>
          <w:bCs/>
          <w:color w:val="auto"/>
          <w:highlight w:val="none"/>
          <w:u w:val="single"/>
        </w:rPr>
        <w:t xml:space="preserve">               </w:t>
      </w:r>
    </w:p>
    <w:p w14:paraId="55157CAA">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质疑事项2</w:t>
      </w:r>
    </w:p>
    <w:p w14:paraId="5C120E5A">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w:t>
      </w:r>
    </w:p>
    <w:p w14:paraId="4CD8D7F5">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四、与质疑事项相关的质疑请求：</w:t>
      </w:r>
    </w:p>
    <w:p w14:paraId="03905685">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请求：</w:t>
      </w:r>
      <w:r>
        <w:rPr>
          <w:rFonts w:hint="eastAsia" w:hAnsi="宋体" w:cs="宋体"/>
          <w:bCs/>
          <w:color w:val="auto"/>
          <w:highlight w:val="none"/>
          <w:u w:val="single"/>
        </w:rPr>
        <w:t xml:space="preserve">                                                                </w:t>
      </w:r>
    </w:p>
    <w:p w14:paraId="6D3E67B6">
      <w:pPr>
        <w:pStyle w:val="11"/>
        <w:spacing w:line="360" w:lineRule="exact"/>
        <w:ind w:left="25" w:leftChars="12" w:firstLine="294" w:firstLineChars="147"/>
        <w:rPr>
          <w:rFonts w:hAnsi="宋体" w:cs="宋体"/>
          <w:color w:val="auto"/>
          <w:szCs w:val="21"/>
          <w:highlight w:val="none"/>
        </w:rPr>
      </w:pPr>
    </w:p>
    <w:p w14:paraId="64C81CD0">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签字（签章）：                                       公章：</w:t>
      </w:r>
    </w:p>
    <w:p w14:paraId="619F64AC">
      <w:pPr>
        <w:pStyle w:val="11"/>
        <w:spacing w:line="360" w:lineRule="exact"/>
        <w:ind w:left="25" w:leftChars="12" w:firstLine="294" w:firstLineChars="147"/>
        <w:rPr>
          <w:rFonts w:hAnsi="宋体" w:cs="宋体"/>
          <w:color w:val="auto"/>
          <w:szCs w:val="21"/>
          <w:highlight w:val="none"/>
        </w:rPr>
      </w:pPr>
    </w:p>
    <w:p w14:paraId="13506E3E">
      <w:pPr>
        <w:pStyle w:val="11"/>
        <w:spacing w:line="36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日期：</w:t>
      </w:r>
    </w:p>
    <w:p w14:paraId="2DF7B8E8">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说明：</w:t>
      </w:r>
    </w:p>
    <w:p w14:paraId="440DA606">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1.供应商提出质疑时，应提交质疑函和必要的证明材料。</w:t>
      </w:r>
    </w:p>
    <w:p w14:paraId="1002E85F">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6B02831">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3.质疑函的质疑事项应具体、明确，并有必要的事实依据和法律依据。</w:t>
      </w:r>
    </w:p>
    <w:p w14:paraId="5072D90D">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4.质疑函的质疑请求应与质疑事项相关。</w:t>
      </w:r>
    </w:p>
    <w:p w14:paraId="0BF02BB7">
      <w:pPr>
        <w:pStyle w:val="11"/>
        <w:snapToGrid w:val="0"/>
        <w:spacing w:line="340" w:lineRule="exact"/>
        <w:rPr>
          <w:rFonts w:hAnsi="宋体" w:cs="宋体"/>
          <w:b/>
          <w:color w:val="auto"/>
          <w:szCs w:val="21"/>
          <w:highlight w:val="none"/>
        </w:rPr>
      </w:pPr>
      <w:r>
        <w:rPr>
          <w:rFonts w:hint="eastAsia" w:hAnsi="宋体" w:cs="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7982244F">
      <w:pPr>
        <w:pStyle w:val="11"/>
        <w:snapToGrid w:val="0"/>
        <w:spacing w:line="340" w:lineRule="exact"/>
        <w:rPr>
          <w:rFonts w:hAnsi="宋体" w:cs="宋体"/>
          <w:b/>
          <w:color w:val="auto"/>
          <w:sz w:val="24"/>
          <w:szCs w:val="24"/>
          <w:highlight w:val="none"/>
        </w:rPr>
      </w:pPr>
      <w:r>
        <w:rPr>
          <w:rFonts w:hAnsi="宋体" w:cs="宋体"/>
          <w:b/>
          <w:color w:val="auto"/>
          <w:sz w:val="24"/>
          <w:szCs w:val="24"/>
          <w:highlight w:val="none"/>
        </w:rPr>
        <w:br w:type="page"/>
      </w:r>
      <w:r>
        <w:rPr>
          <w:rFonts w:hint="eastAsia" w:hAnsi="宋体" w:cs="宋体"/>
          <w:b/>
          <w:color w:val="auto"/>
          <w:sz w:val="24"/>
          <w:szCs w:val="24"/>
          <w:highlight w:val="none"/>
        </w:rPr>
        <w:t>附表2：</w:t>
      </w:r>
    </w:p>
    <w:p w14:paraId="1D626F10">
      <w:pPr>
        <w:spacing w:line="460" w:lineRule="exact"/>
        <w:jc w:val="center"/>
        <w:rPr>
          <w:rFonts w:ascii="宋体" w:hAnsi="宋体" w:cs="宋体"/>
          <w:color w:val="auto"/>
          <w:sz w:val="44"/>
          <w:highlight w:val="none"/>
        </w:rPr>
      </w:pPr>
    </w:p>
    <w:p w14:paraId="2F1D7718">
      <w:pPr>
        <w:spacing w:line="460" w:lineRule="exact"/>
        <w:jc w:val="center"/>
        <w:rPr>
          <w:rFonts w:ascii="宋体" w:hAnsi="宋体" w:cs="宋体"/>
          <w:color w:val="auto"/>
          <w:sz w:val="44"/>
          <w:highlight w:val="none"/>
        </w:rPr>
      </w:pPr>
      <w:r>
        <w:rPr>
          <w:rFonts w:hint="eastAsia" w:ascii="宋体" w:hAnsi="宋体" w:cs="宋体"/>
          <w:color w:val="auto"/>
          <w:sz w:val="44"/>
          <w:highlight w:val="none"/>
        </w:rPr>
        <w:t>投诉书（格式）</w:t>
      </w:r>
    </w:p>
    <w:p w14:paraId="642F5462">
      <w:pPr>
        <w:pStyle w:val="11"/>
        <w:snapToGrid w:val="0"/>
        <w:spacing w:line="400" w:lineRule="exact"/>
        <w:ind w:firstLine="400" w:firstLineChars="200"/>
        <w:rPr>
          <w:rFonts w:hAnsi="宋体" w:cs="宋体"/>
          <w:b/>
          <w:bCs/>
          <w:color w:val="auto"/>
          <w:highlight w:val="none"/>
        </w:rPr>
      </w:pPr>
      <w:r>
        <w:rPr>
          <w:rFonts w:hint="eastAsia" w:hAnsi="宋体" w:cs="宋体"/>
          <w:b/>
          <w:bCs/>
          <w:color w:val="auto"/>
          <w:highlight w:val="none"/>
        </w:rPr>
        <w:t>一、投诉相关主体基本情况：</w:t>
      </w:r>
    </w:p>
    <w:p w14:paraId="31C8D741">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供应商：</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17A5CA93">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3CA4F0B2">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法定代表人/主要负责人：</w:t>
      </w:r>
      <w:r>
        <w:rPr>
          <w:rFonts w:hint="eastAsia" w:hAnsi="宋体" w:cs="宋体"/>
          <w:bCs/>
          <w:color w:val="auto"/>
          <w:highlight w:val="none"/>
          <w:u w:val="single"/>
        </w:rPr>
        <w:t xml:space="preserve">                                                         </w:t>
      </w:r>
    </w:p>
    <w:p w14:paraId="20E20677">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联系电话：</w:t>
      </w:r>
      <w:r>
        <w:rPr>
          <w:rFonts w:hint="eastAsia" w:hAnsi="宋体" w:cs="宋体"/>
          <w:bCs/>
          <w:color w:val="auto"/>
          <w:highlight w:val="none"/>
          <w:u w:val="single"/>
        </w:rPr>
        <w:t xml:space="preserve">                                         </w:t>
      </w:r>
    </w:p>
    <w:p w14:paraId="0F00DBB0">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授权代表：</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4B1E8A3C">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2EF02BA2">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被投诉人1：</w:t>
      </w:r>
    </w:p>
    <w:p w14:paraId="21DF2C7A">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623465CC">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p>
    <w:p w14:paraId="6EA34A31">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被投诉人2：</w:t>
      </w:r>
    </w:p>
    <w:p w14:paraId="71AC0B51">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w:t>
      </w:r>
    </w:p>
    <w:p w14:paraId="7A46E333">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相关供应商：</w:t>
      </w:r>
      <w:r>
        <w:rPr>
          <w:rFonts w:hint="eastAsia" w:hAnsi="宋体" w:cs="宋体"/>
          <w:bCs/>
          <w:color w:val="auto"/>
          <w:highlight w:val="none"/>
          <w:u w:val="single"/>
        </w:rPr>
        <w:t xml:space="preserve">                                                                       </w:t>
      </w:r>
    </w:p>
    <w:p w14:paraId="66E5B7B0">
      <w:pPr>
        <w:pStyle w:val="11"/>
        <w:snapToGrid w:val="0"/>
        <w:spacing w:line="400" w:lineRule="exact"/>
        <w:ind w:firstLine="400" w:firstLineChars="200"/>
        <w:rPr>
          <w:rFonts w:hAnsi="宋体" w:cs="宋体"/>
          <w:bCs/>
          <w:color w:val="auto"/>
          <w:highlight w:val="none"/>
          <w:u w:val="single"/>
        </w:rPr>
      </w:pPr>
      <w:r>
        <w:rPr>
          <w:rFonts w:hint="eastAsia" w:hAnsi="宋体" w:cs="宋体"/>
          <w:bCs/>
          <w:color w:val="auto"/>
          <w:highlight w:val="none"/>
        </w:rPr>
        <w:t>地址：</w:t>
      </w:r>
      <w:r>
        <w:rPr>
          <w:rFonts w:hint="eastAsia" w:hAnsi="宋体" w:cs="宋体"/>
          <w:bCs/>
          <w:color w:val="auto"/>
          <w:highlight w:val="none"/>
          <w:u w:val="single"/>
        </w:rPr>
        <w:t xml:space="preserve">                                              </w:t>
      </w:r>
      <w:r>
        <w:rPr>
          <w:rFonts w:hint="eastAsia" w:hAnsi="宋体" w:cs="宋体"/>
          <w:bCs/>
          <w:color w:val="auto"/>
          <w:highlight w:val="none"/>
        </w:rPr>
        <w:t>邮编：</w:t>
      </w:r>
      <w:r>
        <w:rPr>
          <w:rFonts w:hint="eastAsia" w:hAnsi="宋体" w:cs="宋体"/>
          <w:bCs/>
          <w:color w:val="auto"/>
          <w:highlight w:val="none"/>
          <w:u w:val="single"/>
        </w:rPr>
        <w:t xml:space="preserve">                         </w:t>
      </w:r>
    </w:p>
    <w:p w14:paraId="65CC5D11">
      <w:pPr>
        <w:pStyle w:val="11"/>
        <w:snapToGrid w:val="0"/>
        <w:spacing w:line="400" w:lineRule="exact"/>
        <w:ind w:firstLine="400" w:firstLineChars="200"/>
        <w:rPr>
          <w:rFonts w:hAnsi="宋体" w:cs="宋体"/>
          <w:bCs/>
          <w:color w:val="auto"/>
          <w:highlight w:val="none"/>
        </w:rPr>
      </w:pPr>
      <w:r>
        <w:rPr>
          <w:rFonts w:hint="eastAsia" w:hAnsi="宋体" w:cs="宋体"/>
          <w:bCs/>
          <w:color w:val="auto"/>
          <w:highlight w:val="none"/>
        </w:rPr>
        <w:t>联系人：</w:t>
      </w:r>
      <w:r>
        <w:rPr>
          <w:rFonts w:hint="eastAsia" w:hAnsi="宋体" w:cs="宋体"/>
          <w:bCs/>
          <w:color w:val="auto"/>
          <w:highlight w:val="none"/>
          <w:u w:val="single"/>
        </w:rPr>
        <w:t xml:space="preserve">                                            </w:t>
      </w:r>
      <w:r>
        <w:rPr>
          <w:rFonts w:hint="eastAsia" w:hAnsi="宋体" w:cs="宋体"/>
          <w:bCs/>
          <w:color w:val="auto"/>
          <w:highlight w:val="none"/>
        </w:rPr>
        <w:t>联系电话：</w:t>
      </w:r>
      <w:r>
        <w:rPr>
          <w:rFonts w:hint="eastAsia" w:hAnsi="宋体" w:cs="宋体"/>
          <w:bCs/>
          <w:color w:val="auto"/>
          <w:highlight w:val="none"/>
          <w:u w:val="single"/>
        </w:rPr>
        <w:t xml:space="preserve">                     </w:t>
      </w:r>
      <w:r>
        <w:rPr>
          <w:rFonts w:hint="eastAsia" w:hAnsi="宋体" w:cs="宋体"/>
          <w:bCs/>
          <w:color w:val="auto"/>
          <w:highlight w:val="none"/>
        </w:rPr>
        <w:t xml:space="preserve">                </w:t>
      </w:r>
    </w:p>
    <w:p w14:paraId="1F575F91">
      <w:pPr>
        <w:pStyle w:val="11"/>
        <w:snapToGrid w:val="0"/>
        <w:spacing w:line="400" w:lineRule="exact"/>
        <w:ind w:firstLine="400" w:firstLineChars="200"/>
        <w:rPr>
          <w:rFonts w:hAnsi="宋体" w:cs="宋体"/>
          <w:b/>
          <w:bCs/>
          <w:color w:val="auto"/>
          <w:highlight w:val="none"/>
        </w:rPr>
      </w:pPr>
      <w:r>
        <w:rPr>
          <w:rFonts w:hint="eastAsia" w:hAnsi="宋体" w:cs="宋体"/>
          <w:b/>
          <w:bCs/>
          <w:color w:val="auto"/>
          <w:highlight w:val="none"/>
        </w:rPr>
        <w:t>二、投诉项目基本情况：</w:t>
      </w:r>
    </w:p>
    <w:p w14:paraId="61C26EC2">
      <w:pPr>
        <w:pStyle w:val="11"/>
        <w:spacing w:line="400" w:lineRule="exact"/>
        <w:ind w:left="25" w:leftChars="12" w:firstLine="394" w:firstLineChars="197"/>
        <w:rPr>
          <w:rFonts w:hAnsi="宋体" w:cs="宋体"/>
          <w:color w:val="auto"/>
          <w:szCs w:val="21"/>
          <w:highlight w:val="none"/>
        </w:rPr>
      </w:pPr>
      <w:r>
        <w:rPr>
          <w:rFonts w:hint="eastAsia" w:hAnsi="宋体" w:cs="宋体"/>
          <w:bCs/>
          <w:color w:val="auto"/>
          <w:highlight w:val="none"/>
        </w:rPr>
        <w:t>采购</w:t>
      </w:r>
      <w:r>
        <w:rPr>
          <w:rFonts w:hint="eastAsia" w:hAnsi="宋体" w:cs="宋体"/>
          <w:color w:val="auto"/>
          <w:szCs w:val="21"/>
          <w:highlight w:val="none"/>
        </w:rPr>
        <w:t>项目的名称：</w:t>
      </w:r>
      <w:r>
        <w:rPr>
          <w:rFonts w:hint="eastAsia" w:hAnsi="宋体" w:cs="宋体"/>
          <w:bCs/>
          <w:color w:val="auto"/>
          <w:highlight w:val="none"/>
          <w:u w:val="single"/>
        </w:rPr>
        <w:t xml:space="preserve">                                                                   </w:t>
      </w:r>
    </w:p>
    <w:p w14:paraId="4D8DB293">
      <w:pPr>
        <w:pStyle w:val="11"/>
        <w:spacing w:line="400" w:lineRule="exact"/>
        <w:ind w:left="25" w:leftChars="12" w:firstLine="394" w:firstLineChars="197"/>
        <w:rPr>
          <w:rFonts w:hAnsi="宋体" w:cs="宋体"/>
          <w:color w:val="auto"/>
          <w:szCs w:val="21"/>
          <w:highlight w:val="none"/>
        </w:rPr>
      </w:pPr>
      <w:r>
        <w:rPr>
          <w:rFonts w:hint="eastAsia" w:hAnsi="宋体" w:cs="宋体"/>
          <w:bCs/>
          <w:color w:val="auto"/>
          <w:highlight w:val="none"/>
        </w:rPr>
        <w:t>采购</w:t>
      </w:r>
      <w:r>
        <w:rPr>
          <w:rFonts w:hint="eastAsia" w:hAnsi="宋体" w:cs="宋体"/>
          <w:color w:val="auto"/>
          <w:szCs w:val="21"/>
          <w:highlight w:val="none"/>
        </w:rPr>
        <w:t>项目的编号：</w:t>
      </w:r>
      <w:r>
        <w:rPr>
          <w:rFonts w:hint="eastAsia" w:hAnsi="宋体" w:cs="宋体"/>
          <w:bCs/>
          <w:color w:val="auto"/>
          <w:highlight w:val="none"/>
          <w:u w:val="single"/>
        </w:rPr>
        <w:t xml:space="preserve">                                        </w:t>
      </w:r>
    </w:p>
    <w:p w14:paraId="5B0E553D">
      <w:pPr>
        <w:pStyle w:val="11"/>
        <w:spacing w:line="400" w:lineRule="exact"/>
        <w:ind w:left="25" w:leftChars="12" w:firstLine="394" w:firstLineChars="197"/>
        <w:rPr>
          <w:rFonts w:hAnsi="宋体" w:cs="宋体"/>
          <w:bCs/>
          <w:color w:val="auto"/>
          <w:highlight w:val="none"/>
          <w:u w:val="single"/>
        </w:rPr>
      </w:pPr>
      <w:r>
        <w:rPr>
          <w:rFonts w:hint="eastAsia" w:hAnsi="宋体" w:cs="宋体"/>
          <w:color w:val="auto"/>
          <w:szCs w:val="21"/>
          <w:highlight w:val="none"/>
        </w:rPr>
        <w:t>采购人名称：</w:t>
      </w:r>
      <w:r>
        <w:rPr>
          <w:rFonts w:hint="eastAsia" w:hAnsi="宋体" w:cs="宋体"/>
          <w:bCs/>
          <w:color w:val="auto"/>
          <w:highlight w:val="none"/>
          <w:u w:val="single"/>
        </w:rPr>
        <w:t xml:space="preserve">                                                                        </w:t>
      </w:r>
    </w:p>
    <w:p w14:paraId="43D2B899">
      <w:pPr>
        <w:pStyle w:val="11"/>
        <w:spacing w:line="400" w:lineRule="exact"/>
        <w:ind w:left="25" w:leftChars="12" w:firstLine="394" w:firstLineChars="197"/>
        <w:rPr>
          <w:rFonts w:hAnsi="宋体" w:cs="宋体"/>
          <w:bCs/>
          <w:color w:val="auto"/>
          <w:highlight w:val="none"/>
          <w:u w:val="single"/>
        </w:rPr>
      </w:pPr>
      <w:r>
        <w:rPr>
          <w:rFonts w:hint="eastAsia" w:hAnsi="宋体" w:cs="宋体"/>
          <w:color w:val="auto"/>
          <w:szCs w:val="21"/>
          <w:highlight w:val="none"/>
        </w:rPr>
        <w:t>代理机构名称：</w:t>
      </w:r>
      <w:r>
        <w:rPr>
          <w:rFonts w:hint="eastAsia" w:hAnsi="宋体" w:cs="宋体"/>
          <w:bCs/>
          <w:color w:val="auto"/>
          <w:highlight w:val="none"/>
          <w:u w:val="single"/>
        </w:rPr>
        <w:t xml:space="preserve">                                                                      </w:t>
      </w:r>
    </w:p>
    <w:p w14:paraId="53BF560D">
      <w:pPr>
        <w:pStyle w:val="11"/>
        <w:spacing w:line="400" w:lineRule="exact"/>
        <w:ind w:left="25" w:leftChars="12" w:firstLine="394" w:firstLineChars="197"/>
        <w:rPr>
          <w:rFonts w:hAnsi="宋体" w:cs="宋体"/>
          <w:bCs/>
          <w:color w:val="auto"/>
          <w:highlight w:val="none"/>
          <w:u w:val="single"/>
        </w:rPr>
      </w:pPr>
      <w:r>
        <w:rPr>
          <w:rFonts w:hint="eastAsia" w:hAnsi="宋体" w:cs="宋体"/>
          <w:bCs/>
          <w:color w:val="auto"/>
          <w:highlight w:val="none"/>
        </w:rPr>
        <w:t>采购文件公告：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225B88D2">
      <w:pPr>
        <w:pStyle w:val="11"/>
        <w:spacing w:line="400" w:lineRule="exact"/>
        <w:ind w:left="25" w:leftChars="12" w:firstLine="394" w:firstLineChars="197"/>
        <w:rPr>
          <w:rFonts w:hAnsi="宋体" w:cs="宋体"/>
          <w:b/>
          <w:color w:val="auto"/>
          <w:szCs w:val="21"/>
          <w:highlight w:val="none"/>
        </w:rPr>
      </w:pPr>
      <w:r>
        <w:rPr>
          <w:rFonts w:hint="eastAsia" w:hAnsi="宋体" w:cs="宋体"/>
          <w:bCs/>
          <w:color w:val="auto"/>
          <w:highlight w:val="none"/>
        </w:rPr>
        <w:t>采购结果公告：</w:t>
      </w:r>
      <w:r>
        <w:rPr>
          <w:rFonts w:hint="eastAsia" w:hAnsi="宋体" w:cs="宋体"/>
          <w:bCs/>
          <w:color w:val="auto"/>
          <w:highlight w:val="none"/>
          <w:u w:val="single"/>
        </w:rPr>
        <w:t>是/否</w:t>
      </w:r>
      <w:r>
        <w:rPr>
          <w:rFonts w:hint="eastAsia" w:hAnsi="宋体" w:cs="宋体"/>
          <w:bCs/>
          <w:color w:val="auto"/>
          <w:highlight w:val="none"/>
        </w:rPr>
        <w:t>公告期限：</w:t>
      </w:r>
      <w:r>
        <w:rPr>
          <w:rFonts w:hint="eastAsia" w:hAnsi="宋体" w:cs="宋体"/>
          <w:bCs/>
          <w:color w:val="auto"/>
          <w:highlight w:val="none"/>
          <w:u w:val="single"/>
        </w:rPr>
        <w:t xml:space="preserve">                                                       </w:t>
      </w:r>
    </w:p>
    <w:p w14:paraId="2A029456">
      <w:pPr>
        <w:pStyle w:val="11"/>
        <w:spacing w:line="40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三、质疑基本情况</w:t>
      </w:r>
    </w:p>
    <w:p w14:paraId="07A49B96">
      <w:pPr>
        <w:pStyle w:val="11"/>
        <w:spacing w:line="400" w:lineRule="exact"/>
        <w:ind w:left="25" w:leftChars="12" w:firstLine="794" w:firstLineChars="397"/>
        <w:rPr>
          <w:rFonts w:hAnsi="宋体" w:cs="宋体"/>
          <w:color w:val="auto"/>
          <w:szCs w:val="21"/>
          <w:highlight w:val="none"/>
        </w:rPr>
      </w:pPr>
      <w:r>
        <w:rPr>
          <w:rFonts w:hint="eastAsia" w:hAnsi="宋体" w:cs="宋体"/>
          <w:color w:val="auto"/>
          <w:szCs w:val="21"/>
          <w:highlight w:val="none"/>
        </w:rPr>
        <w:t>投诉人于</w:t>
      </w:r>
      <w:r>
        <w:rPr>
          <w:rFonts w:hint="eastAsia" w:hAnsi="宋体" w:cs="宋体"/>
          <w:color w:val="auto"/>
          <w:szCs w:val="21"/>
          <w:highlight w:val="none"/>
          <w:u w:val="single"/>
        </w:rPr>
        <w:t xml:space="preserve">      </w:t>
      </w:r>
      <w:r>
        <w:rPr>
          <w:rFonts w:hint="eastAsia" w:hAnsi="宋体" w:cs="宋体"/>
          <w:color w:val="auto"/>
          <w:szCs w:val="21"/>
          <w:highlight w:val="none"/>
        </w:rPr>
        <w:t>年</w:t>
      </w:r>
      <w:r>
        <w:rPr>
          <w:rFonts w:hint="eastAsia" w:hAnsi="宋体" w:cs="宋体"/>
          <w:color w:val="auto"/>
          <w:szCs w:val="21"/>
          <w:highlight w:val="none"/>
          <w:u w:val="single"/>
        </w:rPr>
        <w:t xml:space="preserve">   </w:t>
      </w:r>
      <w:r>
        <w:rPr>
          <w:rFonts w:hint="eastAsia" w:hAnsi="宋体" w:cs="宋体"/>
          <w:color w:val="auto"/>
          <w:szCs w:val="21"/>
          <w:highlight w:val="none"/>
        </w:rPr>
        <w:t>月</w:t>
      </w:r>
      <w:r>
        <w:rPr>
          <w:rFonts w:hint="eastAsia" w:hAnsi="宋体" w:cs="宋体"/>
          <w:color w:val="auto"/>
          <w:szCs w:val="21"/>
          <w:highlight w:val="none"/>
          <w:u w:val="single"/>
        </w:rPr>
        <w:t xml:space="preserve">   </w:t>
      </w:r>
      <w:r>
        <w:rPr>
          <w:rFonts w:hint="eastAsia" w:hAnsi="宋体" w:cs="宋体"/>
          <w:color w:val="auto"/>
          <w:szCs w:val="21"/>
          <w:highlight w:val="none"/>
        </w:rPr>
        <w:t>日，向</w:t>
      </w:r>
      <w:r>
        <w:rPr>
          <w:rFonts w:hint="eastAsia" w:hAnsi="宋体" w:cs="宋体"/>
          <w:color w:val="auto"/>
          <w:szCs w:val="21"/>
          <w:highlight w:val="none"/>
          <w:u w:val="single"/>
        </w:rPr>
        <w:t xml:space="preserve">                                </w:t>
      </w:r>
      <w:r>
        <w:rPr>
          <w:rFonts w:hint="eastAsia" w:hAnsi="宋体" w:cs="宋体"/>
          <w:color w:val="auto"/>
          <w:szCs w:val="21"/>
          <w:highlight w:val="none"/>
        </w:rPr>
        <w:t>提出质疑，质疑事项为：</w:t>
      </w:r>
    </w:p>
    <w:p w14:paraId="53411733">
      <w:pPr>
        <w:pStyle w:val="11"/>
        <w:spacing w:line="400" w:lineRule="exact"/>
        <w:rPr>
          <w:rFonts w:hAnsi="宋体" w:cs="宋体"/>
          <w:bCs/>
          <w:color w:val="auto"/>
          <w:highlight w:val="none"/>
          <w:u w:val="single"/>
        </w:rPr>
      </w:pP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43026335">
      <w:pPr>
        <w:pStyle w:val="11"/>
        <w:spacing w:line="400" w:lineRule="exact"/>
        <w:rPr>
          <w:rFonts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12E9E694">
      <w:pPr>
        <w:pStyle w:val="11"/>
        <w:spacing w:line="400" w:lineRule="exact"/>
        <w:rPr>
          <w:rFonts w:hAnsi="宋体" w:cs="宋体"/>
          <w:color w:val="auto"/>
          <w:szCs w:val="21"/>
          <w:highlight w:val="none"/>
        </w:rPr>
      </w:pPr>
      <w:r>
        <w:rPr>
          <w:rFonts w:hint="eastAsia" w:hAnsi="宋体" w:cs="宋体"/>
          <w:bCs/>
          <w:color w:val="auto"/>
          <w:highlight w:val="none"/>
        </w:rPr>
        <w:t xml:space="preserve">        </w:t>
      </w:r>
      <w:r>
        <w:rPr>
          <w:rFonts w:hint="eastAsia" w:hAnsi="宋体" w:cs="宋体"/>
          <w:bCs/>
          <w:color w:val="auto"/>
          <w:highlight w:val="none"/>
          <w:u w:val="single"/>
        </w:rPr>
        <w:t>采购人/代理机构</w:t>
      </w:r>
      <w:r>
        <w:rPr>
          <w:rFonts w:hint="eastAsia" w:hAnsi="宋体" w:cs="宋体"/>
          <w:bCs/>
          <w:color w:val="auto"/>
          <w:highlight w:val="none"/>
        </w:rPr>
        <w:t>于</w:t>
      </w:r>
      <w:r>
        <w:rPr>
          <w:rFonts w:hint="eastAsia" w:hAnsi="宋体" w:cs="宋体"/>
          <w:color w:val="auto"/>
          <w:szCs w:val="21"/>
          <w:highlight w:val="none"/>
          <w:u w:val="single"/>
        </w:rPr>
        <w:t xml:space="preserve">      </w:t>
      </w:r>
      <w:r>
        <w:rPr>
          <w:rFonts w:hint="eastAsia" w:hAnsi="宋体" w:cs="宋体"/>
          <w:color w:val="auto"/>
          <w:szCs w:val="21"/>
          <w:highlight w:val="none"/>
        </w:rPr>
        <w:t>年</w:t>
      </w:r>
      <w:r>
        <w:rPr>
          <w:rFonts w:hint="eastAsia" w:hAnsi="宋体" w:cs="宋体"/>
          <w:color w:val="auto"/>
          <w:szCs w:val="21"/>
          <w:highlight w:val="none"/>
          <w:u w:val="single"/>
        </w:rPr>
        <w:t xml:space="preserve">   </w:t>
      </w:r>
      <w:r>
        <w:rPr>
          <w:rFonts w:hint="eastAsia" w:hAnsi="宋体" w:cs="宋体"/>
          <w:color w:val="auto"/>
          <w:szCs w:val="21"/>
          <w:highlight w:val="none"/>
        </w:rPr>
        <w:t>月</w:t>
      </w:r>
      <w:r>
        <w:rPr>
          <w:rFonts w:hint="eastAsia" w:hAnsi="宋体" w:cs="宋体"/>
          <w:color w:val="auto"/>
          <w:szCs w:val="21"/>
          <w:highlight w:val="none"/>
          <w:u w:val="single"/>
        </w:rPr>
        <w:t xml:space="preserve">   </w:t>
      </w:r>
      <w:r>
        <w:rPr>
          <w:rFonts w:hint="eastAsia" w:hAnsi="宋体" w:cs="宋体"/>
          <w:color w:val="auto"/>
          <w:szCs w:val="21"/>
          <w:highlight w:val="none"/>
        </w:rPr>
        <w:t>日，</w:t>
      </w:r>
      <w:r>
        <w:rPr>
          <w:rFonts w:hint="eastAsia" w:hAnsi="宋体" w:cs="宋体"/>
          <w:bCs/>
          <w:color w:val="auto"/>
          <w:highlight w:val="none"/>
        </w:rPr>
        <w:t xml:space="preserve">就质疑事项作出了答复/没有在法定期限内作出答复。                                                                                             </w:t>
      </w:r>
    </w:p>
    <w:p w14:paraId="29651715">
      <w:pPr>
        <w:pStyle w:val="11"/>
        <w:spacing w:line="40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四、投诉事项具体内容</w:t>
      </w:r>
    </w:p>
    <w:p w14:paraId="6D9E6498">
      <w:pPr>
        <w:pStyle w:val="11"/>
        <w:spacing w:line="400" w:lineRule="exact"/>
        <w:ind w:left="25" w:leftChars="12" w:firstLine="394" w:firstLineChars="197"/>
        <w:rPr>
          <w:rFonts w:hAnsi="宋体" w:cs="宋体"/>
          <w:bCs/>
          <w:color w:val="auto"/>
          <w:highlight w:val="none"/>
          <w:u w:val="single"/>
        </w:rPr>
      </w:pPr>
      <w:r>
        <w:rPr>
          <w:rFonts w:hint="eastAsia" w:hAnsi="宋体" w:cs="宋体"/>
          <w:color w:val="auto"/>
          <w:szCs w:val="21"/>
          <w:highlight w:val="none"/>
        </w:rPr>
        <w:t>投诉事项1：</w:t>
      </w:r>
      <w:r>
        <w:rPr>
          <w:rFonts w:hint="eastAsia" w:hAnsi="宋体" w:cs="宋体"/>
          <w:bCs/>
          <w:color w:val="auto"/>
          <w:highlight w:val="none"/>
          <w:u w:val="single"/>
        </w:rPr>
        <w:t xml:space="preserve">                                                                           </w:t>
      </w:r>
    </w:p>
    <w:p w14:paraId="695EB217">
      <w:pPr>
        <w:pStyle w:val="11"/>
        <w:spacing w:line="400" w:lineRule="exact"/>
        <w:ind w:firstLine="400" w:firstLineChars="200"/>
        <w:rPr>
          <w:rFonts w:hAnsi="宋体" w:cs="宋体"/>
          <w:bCs/>
          <w:color w:val="auto"/>
          <w:highlight w:val="none"/>
          <w:u w:val="single"/>
        </w:rPr>
      </w:pPr>
      <w:r>
        <w:rPr>
          <w:rFonts w:hint="eastAsia" w:hAnsi="宋体" w:cs="宋体"/>
          <w:bCs/>
          <w:color w:val="auto"/>
          <w:highlight w:val="none"/>
        </w:rPr>
        <w:t>事实依据：</w:t>
      </w: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0827E15A">
      <w:pPr>
        <w:pStyle w:val="11"/>
        <w:spacing w:line="400" w:lineRule="exact"/>
        <w:ind w:left="25" w:leftChars="12" w:firstLine="394" w:firstLineChars="197"/>
        <w:rPr>
          <w:rFonts w:hAnsi="宋体" w:cs="宋体"/>
          <w:color w:val="auto"/>
          <w:szCs w:val="21"/>
          <w:highlight w:val="none"/>
        </w:rPr>
      </w:pPr>
      <w:r>
        <w:rPr>
          <w:rFonts w:hint="eastAsia" w:hAnsi="宋体" w:cs="宋体"/>
          <w:bCs/>
          <w:color w:val="auto"/>
          <w:highlight w:val="none"/>
          <w:u w:val="single"/>
        </w:rPr>
        <w:t xml:space="preserve">                                                                                        </w:t>
      </w:r>
    </w:p>
    <w:p w14:paraId="4792F4D9">
      <w:pPr>
        <w:pStyle w:val="11"/>
        <w:spacing w:line="400" w:lineRule="exact"/>
        <w:ind w:firstLine="400" w:firstLineChars="200"/>
        <w:rPr>
          <w:rFonts w:hAnsi="宋体" w:cs="宋体"/>
          <w:bCs/>
          <w:color w:val="auto"/>
          <w:highlight w:val="none"/>
          <w:u w:val="single"/>
        </w:rPr>
      </w:pPr>
      <w:r>
        <w:rPr>
          <w:rFonts w:hint="eastAsia" w:hAnsi="宋体" w:cs="宋体"/>
          <w:bCs/>
          <w:color w:val="auto"/>
          <w:highlight w:val="none"/>
        </w:rPr>
        <w:t>法律依据：</w:t>
      </w:r>
      <w:r>
        <w:rPr>
          <w:rFonts w:hint="eastAsia" w:hAnsi="宋体" w:cs="宋体"/>
          <w:color w:val="auto"/>
          <w:szCs w:val="21"/>
          <w:highlight w:val="none"/>
        </w:rPr>
        <w:t xml:space="preserve"> </w:t>
      </w:r>
      <w:r>
        <w:rPr>
          <w:rFonts w:hint="eastAsia" w:hAnsi="宋体" w:cs="宋体"/>
          <w:bCs/>
          <w:color w:val="auto"/>
          <w:highlight w:val="none"/>
          <w:u w:val="single"/>
        </w:rPr>
        <w:t xml:space="preserve">                                                                                      </w:t>
      </w:r>
    </w:p>
    <w:p w14:paraId="3288ECC6">
      <w:pPr>
        <w:pStyle w:val="11"/>
        <w:spacing w:line="400" w:lineRule="exact"/>
        <w:ind w:left="25" w:leftChars="12" w:firstLine="294" w:firstLineChars="147"/>
        <w:rPr>
          <w:rFonts w:hAnsi="宋体" w:cs="宋体"/>
          <w:bCs/>
          <w:color w:val="auto"/>
          <w:highlight w:val="none"/>
          <w:u w:val="single"/>
        </w:rPr>
      </w:pPr>
      <w:r>
        <w:rPr>
          <w:rFonts w:hint="eastAsia" w:hAnsi="宋体" w:cs="宋体"/>
          <w:bCs/>
          <w:color w:val="auto"/>
          <w:highlight w:val="none"/>
        </w:rPr>
        <w:t xml:space="preserve"> </w:t>
      </w:r>
      <w:r>
        <w:rPr>
          <w:rFonts w:hint="eastAsia" w:hAnsi="宋体" w:cs="宋体"/>
          <w:bCs/>
          <w:color w:val="auto"/>
          <w:highlight w:val="none"/>
          <w:u w:val="single"/>
        </w:rPr>
        <w:t xml:space="preserve">                                                                                        </w:t>
      </w:r>
    </w:p>
    <w:p w14:paraId="28CC3600">
      <w:pPr>
        <w:pStyle w:val="11"/>
        <w:spacing w:line="400" w:lineRule="exact"/>
        <w:ind w:left="25" w:leftChars="12" w:firstLine="394" w:firstLineChars="197"/>
        <w:rPr>
          <w:rFonts w:hAnsi="宋体" w:cs="宋体"/>
          <w:bCs/>
          <w:color w:val="auto"/>
          <w:highlight w:val="none"/>
        </w:rPr>
      </w:pPr>
      <w:r>
        <w:rPr>
          <w:rFonts w:hint="eastAsia" w:hAnsi="宋体" w:cs="宋体"/>
          <w:color w:val="auto"/>
          <w:szCs w:val="21"/>
          <w:highlight w:val="none"/>
        </w:rPr>
        <w:t xml:space="preserve">投诉事项2  </w:t>
      </w:r>
      <w:r>
        <w:rPr>
          <w:rFonts w:hint="eastAsia" w:hAnsi="宋体" w:cs="宋体"/>
          <w:bCs/>
          <w:color w:val="auto"/>
          <w:highlight w:val="none"/>
        </w:rPr>
        <w:t xml:space="preserve">   </w:t>
      </w:r>
    </w:p>
    <w:p w14:paraId="0A5E8AF5">
      <w:pPr>
        <w:pStyle w:val="11"/>
        <w:spacing w:line="400" w:lineRule="exact"/>
        <w:ind w:left="25" w:leftChars="12" w:firstLine="394" w:firstLineChars="197"/>
        <w:rPr>
          <w:rFonts w:hAnsi="宋体" w:cs="宋体"/>
          <w:bCs/>
          <w:color w:val="auto"/>
          <w:highlight w:val="none"/>
        </w:rPr>
      </w:pPr>
      <w:r>
        <w:rPr>
          <w:rFonts w:hint="eastAsia" w:hAnsi="宋体" w:cs="宋体"/>
          <w:bCs/>
          <w:color w:val="auto"/>
          <w:highlight w:val="none"/>
        </w:rPr>
        <w:t>……</w:t>
      </w:r>
    </w:p>
    <w:p w14:paraId="759A3EA3">
      <w:pPr>
        <w:pStyle w:val="11"/>
        <w:spacing w:line="400" w:lineRule="exact"/>
        <w:ind w:left="25" w:leftChars="12" w:firstLine="392" w:firstLineChars="196"/>
        <w:rPr>
          <w:rFonts w:hAnsi="宋体" w:cs="宋体"/>
          <w:b/>
          <w:color w:val="auto"/>
          <w:szCs w:val="21"/>
          <w:highlight w:val="none"/>
        </w:rPr>
      </w:pPr>
      <w:r>
        <w:rPr>
          <w:rFonts w:hint="eastAsia" w:hAnsi="宋体" w:cs="宋体"/>
          <w:b/>
          <w:color w:val="auto"/>
          <w:szCs w:val="21"/>
          <w:highlight w:val="none"/>
        </w:rPr>
        <w:t>五、与投诉事项相关的投诉请求：</w:t>
      </w:r>
    </w:p>
    <w:p w14:paraId="1FB039C5">
      <w:pPr>
        <w:pStyle w:val="11"/>
        <w:spacing w:line="40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请求：</w:t>
      </w:r>
      <w:r>
        <w:rPr>
          <w:rFonts w:hint="eastAsia" w:hAnsi="宋体" w:cs="宋体"/>
          <w:bCs/>
          <w:color w:val="auto"/>
          <w:highlight w:val="none"/>
          <w:u w:val="single"/>
        </w:rPr>
        <w:t xml:space="preserve">                                                                                 </w:t>
      </w:r>
    </w:p>
    <w:p w14:paraId="1C037832">
      <w:pPr>
        <w:pStyle w:val="11"/>
        <w:spacing w:line="400" w:lineRule="exact"/>
        <w:ind w:left="25" w:leftChars="12" w:firstLine="294" w:firstLineChars="147"/>
        <w:rPr>
          <w:rFonts w:hAnsi="宋体" w:cs="宋体"/>
          <w:color w:val="auto"/>
          <w:szCs w:val="21"/>
          <w:highlight w:val="none"/>
        </w:rPr>
      </w:pPr>
    </w:p>
    <w:p w14:paraId="7EA3C3A9">
      <w:pPr>
        <w:pStyle w:val="11"/>
        <w:spacing w:line="40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签字（签章）：                                       公章：</w:t>
      </w:r>
    </w:p>
    <w:p w14:paraId="3F493F81">
      <w:pPr>
        <w:pStyle w:val="11"/>
        <w:spacing w:line="400" w:lineRule="exact"/>
        <w:ind w:left="25" w:leftChars="12" w:firstLine="294" w:firstLineChars="147"/>
        <w:rPr>
          <w:rFonts w:hAnsi="宋体" w:cs="宋体"/>
          <w:color w:val="auto"/>
          <w:szCs w:val="21"/>
          <w:highlight w:val="none"/>
        </w:rPr>
      </w:pPr>
    </w:p>
    <w:p w14:paraId="543ADEA7">
      <w:pPr>
        <w:pStyle w:val="11"/>
        <w:spacing w:line="400" w:lineRule="exact"/>
        <w:ind w:left="25" w:leftChars="12" w:firstLine="394" w:firstLineChars="197"/>
        <w:rPr>
          <w:rFonts w:hAnsi="宋体" w:cs="宋体"/>
          <w:color w:val="auto"/>
          <w:szCs w:val="21"/>
          <w:highlight w:val="none"/>
        </w:rPr>
      </w:pPr>
      <w:r>
        <w:rPr>
          <w:rFonts w:hint="eastAsia" w:hAnsi="宋体" w:cs="宋体"/>
          <w:color w:val="auto"/>
          <w:szCs w:val="21"/>
          <w:highlight w:val="none"/>
        </w:rPr>
        <w:t>日期：</w:t>
      </w:r>
    </w:p>
    <w:p w14:paraId="4D9396FC">
      <w:pPr>
        <w:pStyle w:val="11"/>
        <w:spacing w:line="360" w:lineRule="exact"/>
        <w:ind w:left="25" w:leftChars="12" w:firstLine="394" w:firstLineChars="197"/>
        <w:rPr>
          <w:rFonts w:hAnsi="宋体" w:cs="宋体"/>
          <w:color w:val="auto"/>
          <w:szCs w:val="21"/>
          <w:highlight w:val="none"/>
        </w:rPr>
      </w:pPr>
      <w:r>
        <w:rPr>
          <w:rFonts w:hint="eastAsia" w:hAnsi="宋体" w:cs="宋体"/>
          <w:bCs/>
          <w:color w:val="auto"/>
          <w:highlight w:val="none"/>
        </w:rPr>
        <w:t xml:space="preserve">                                                                                 </w:t>
      </w:r>
    </w:p>
    <w:p w14:paraId="61805E88">
      <w:pPr>
        <w:pStyle w:val="11"/>
        <w:snapToGrid w:val="0"/>
        <w:spacing w:line="340" w:lineRule="exact"/>
        <w:rPr>
          <w:rFonts w:hAnsi="宋体" w:cs="宋体"/>
          <w:b/>
          <w:color w:val="auto"/>
          <w:szCs w:val="21"/>
          <w:highlight w:val="none"/>
        </w:rPr>
      </w:pPr>
    </w:p>
    <w:p w14:paraId="3793D8A0">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说明：</w:t>
      </w:r>
    </w:p>
    <w:p w14:paraId="763D4C10">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1.投诉人提起投诉时，应当提交投诉书和必要的证明材料，并按照被投诉人和与投诉事项有关的供应商数量提供投诉书副本。</w:t>
      </w:r>
    </w:p>
    <w:p w14:paraId="13074EC8">
      <w:pPr>
        <w:pStyle w:val="11"/>
        <w:spacing w:line="340" w:lineRule="exact"/>
        <w:ind w:left="25" w:leftChars="12" w:firstLine="294" w:firstLineChars="147"/>
        <w:rPr>
          <w:rFonts w:hAnsi="宋体"/>
          <w:b/>
          <w:color w:val="auto"/>
          <w:highlight w:val="none"/>
        </w:rPr>
      </w:pPr>
      <w:r>
        <w:rPr>
          <w:rFonts w:hint="eastAsia" w:hAnsi="宋体" w:cs="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1862012">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3.投诉书应简要列明质疑事项，质疑函、质疑答复等作为附件材料提供。</w:t>
      </w:r>
    </w:p>
    <w:p w14:paraId="00A6F4BD">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4.投诉书的投诉事项应具体、明确，并有必要的事实依据和法律依据。</w:t>
      </w:r>
    </w:p>
    <w:p w14:paraId="3126F50A">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5.投诉书的投诉请求应与投诉事项相关。</w:t>
      </w:r>
    </w:p>
    <w:p w14:paraId="32941D2D">
      <w:pPr>
        <w:pStyle w:val="11"/>
        <w:spacing w:line="340" w:lineRule="exact"/>
        <w:ind w:left="25" w:leftChars="12" w:firstLine="294" w:firstLineChars="147"/>
        <w:rPr>
          <w:rFonts w:hAnsi="宋体" w:cs="宋体"/>
          <w:b/>
          <w:color w:val="auto"/>
          <w:szCs w:val="21"/>
          <w:highlight w:val="none"/>
        </w:rPr>
      </w:pPr>
      <w:r>
        <w:rPr>
          <w:rFonts w:hint="eastAsia" w:hAnsi="宋体" w:cs="宋体"/>
          <w:b/>
          <w:color w:val="auto"/>
          <w:szCs w:val="21"/>
          <w:highlight w:val="none"/>
        </w:rPr>
        <w:t>6.投诉人为自然人的，投诉书应由本人签字；投诉人为法人或者其他组织的，投诉书应由法定代表人、主要负责人，或者其授权代表签字或者盖章，并加盖公章。</w:t>
      </w:r>
    </w:p>
    <w:p w14:paraId="1364D989">
      <w:pPr>
        <w:pStyle w:val="11"/>
        <w:spacing w:line="340" w:lineRule="exact"/>
        <w:ind w:left="25" w:leftChars="12" w:firstLine="294" w:firstLineChars="147"/>
        <w:rPr>
          <w:rFonts w:hAnsi="宋体" w:cs="宋体"/>
          <w:b/>
          <w:color w:val="auto"/>
          <w:szCs w:val="21"/>
          <w:highlight w:val="none"/>
        </w:rPr>
      </w:pPr>
    </w:p>
    <w:p w14:paraId="3F3F5320">
      <w:pPr>
        <w:pStyle w:val="11"/>
        <w:snapToGrid w:val="0"/>
        <w:spacing w:line="340" w:lineRule="exact"/>
        <w:rPr>
          <w:rFonts w:hAnsi="宋体" w:cs="宋体"/>
          <w:b/>
          <w:color w:val="auto"/>
          <w:sz w:val="24"/>
          <w:szCs w:val="24"/>
          <w:highlight w:val="none"/>
        </w:rPr>
      </w:pPr>
    </w:p>
    <w:p w14:paraId="0142DF6F">
      <w:pPr>
        <w:pStyle w:val="11"/>
        <w:snapToGrid w:val="0"/>
        <w:spacing w:line="340" w:lineRule="exact"/>
        <w:rPr>
          <w:rFonts w:hAnsi="宋体" w:cs="宋体"/>
          <w:b/>
          <w:color w:val="auto"/>
          <w:sz w:val="24"/>
          <w:szCs w:val="24"/>
          <w:highlight w:val="none"/>
        </w:rPr>
      </w:pPr>
      <w:r>
        <w:rPr>
          <w:rFonts w:hint="eastAsia" w:hAnsi="宋体" w:cs="宋体"/>
          <w:b/>
          <w:color w:val="auto"/>
          <w:sz w:val="24"/>
          <w:szCs w:val="24"/>
          <w:highlight w:val="none"/>
        </w:rPr>
        <w:t>附表3：</w:t>
      </w:r>
      <w:r>
        <w:rPr>
          <w:rFonts w:hAnsi="宋体" w:cs="宋体"/>
          <w:b/>
          <w:color w:val="auto"/>
          <w:sz w:val="24"/>
          <w:szCs w:val="24"/>
          <w:highlight w:val="none"/>
        </w:rPr>
        <w:t>《广西线上“政采贷”政策告知函》</w:t>
      </w:r>
    </w:p>
    <w:p w14:paraId="6014C369">
      <w:pPr>
        <w:pStyle w:val="7"/>
        <w:rPr>
          <w:color w:val="auto"/>
          <w:highlight w:val="none"/>
        </w:rPr>
      </w:pPr>
    </w:p>
    <w:p w14:paraId="07B23AED">
      <w:pPr>
        <w:jc w:val="center"/>
        <w:rPr>
          <w:rFonts w:ascii="宋体" w:hAnsi="宋体" w:cs="宋体"/>
          <w:b/>
          <w:bCs/>
          <w:color w:val="auto"/>
          <w:sz w:val="32"/>
          <w:szCs w:val="40"/>
          <w:highlight w:val="none"/>
        </w:rPr>
      </w:pPr>
      <w:r>
        <w:rPr>
          <w:rFonts w:ascii="宋体" w:hAnsi="宋体" w:cs="宋体"/>
          <w:color w:val="auto"/>
          <w:kern w:val="0"/>
          <w:sz w:val="32"/>
          <w:szCs w:val="32"/>
          <w:highlight w:val="none"/>
        </w:rPr>
        <w:drawing>
          <wp:inline distT="0" distB="0" distL="114300" distR="114300">
            <wp:extent cx="5902960" cy="8350885"/>
            <wp:effectExtent l="0" t="0" r="2540"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cstate="print"/>
                    <a:stretch>
                      <a:fillRect/>
                    </a:stretch>
                  </pic:blipFill>
                  <pic:spPr>
                    <a:xfrm>
                      <a:off x="0" y="0"/>
                      <a:ext cx="5902960" cy="8350885"/>
                    </a:xfrm>
                    <a:prstGeom prst="rect">
                      <a:avLst/>
                    </a:prstGeom>
                    <a:noFill/>
                    <a:ln>
                      <a:noFill/>
                    </a:ln>
                  </pic:spPr>
                </pic:pic>
              </a:graphicData>
            </a:graphic>
          </wp:inline>
        </w:drawing>
      </w:r>
      <w:r>
        <w:rPr>
          <w:rFonts w:hint="eastAsia" w:ascii="宋体" w:hAnsi="宋体" w:cs="宋体"/>
          <w:color w:val="auto"/>
          <w:szCs w:val="21"/>
          <w:highlight w:val="none"/>
        </w:rPr>
        <w:br w:type="page"/>
      </w:r>
      <w:bookmarkStart w:id="21" w:name="_Toc24064"/>
      <w:r>
        <w:rPr>
          <w:rFonts w:hint="eastAsia" w:ascii="宋体" w:hAnsi="宋体" w:cs="宋体"/>
          <w:b/>
          <w:bCs/>
          <w:color w:val="auto"/>
          <w:sz w:val="32"/>
          <w:szCs w:val="40"/>
          <w:highlight w:val="none"/>
        </w:rPr>
        <w:t>第三章　</w:t>
      </w:r>
      <w:r>
        <w:rPr>
          <w:rFonts w:hint="eastAsia" w:ascii="宋体" w:hAnsi="宋体" w:cs="宋体"/>
          <w:b/>
          <w:bCs/>
          <w:color w:val="auto"/>
          <w:sz w:val="32"/>
          <w:szCs w:val="40"/>
          <w:highlight w:val="none"/>
          <w:lang w:eastAsia="zh-CN"/>
        </w:rPr>
        <w:t>货物</w:t>
      </w:r>
      <w:r>
        <w:rPr>
          <w:rFonts w:hint="eastAsia" w:ascii="宋体" w:hAnsi="宋体" w:cs="宋体"/>
          <w:b/>
          <w:bCs/>
          <w:color w:val="auto"/>
          <w:sz w:val="32"/>
          <w:szCs w:val="40"/>
          <w:highlight w:val="none"/>
        </w:rPr>
        <w:t>采购需求</w:t>
      </w:r>
      <w:bookmarkEnd w:id="21"/>
    </w:p>
    <w:p w14:paraId="45456B83">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说明：</w:t>
      </w:r>
    </w:p>
    <w:p w14:paraId="2467B2B8">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1、本一览表中的品牌型号、技术参数及其性能（配置）仅起参考作用，投标人可选用其他品牌型号替代，但这些替代的品牌型号要实质上相当于或优于参考品牌型号及其技术参数性能（配置）要求。</w:t>
      </w:r>
    </w:p>
    <w:p w14:paraId="5D4EF362">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2、本一览表中参考品牌型号及技术参数性能（配置）不明确或有误的，或投标人选用其他品牌型号替代的，请以详细的品牌型号、技术参数性能（配置）同时填写投标报价表和技术规格偏离表。</w:t>
      </w:r>
    </w:p>
    <w:p w14:paraId="1031DB2A">
      <w:pPr>
        <w:spacing w:line="360" w:lineRule="auto"/>
        <w:rPr>
          <w:rFonts w:ascii="宋体" w:hAnsi="宋体" w:cs="宋体"/>
          <w:b/>
          <w:bCs/>
          <w:color w:val="auto"/>
          <w:kern w:val="0"/>
          <w:szCs w:val="21"/>
          <w:highlight w:val="none"/>
        </w:rPr>
      </w:pPr>
      <w:r>
        <w:rPr>
          <w:rFonts w:hint="eastAsia" w:ascii="宋体" w:hAnsi="宋体" w:cs="宋体"/>
          <w:b/>
          <w:bCs/>
          <w:color w:val="auto"/>
          <w:kern w:val="0"/>
          <w:szCs w:val="21"/>
          <w:highlight w:val="none"/>
        </w:rPr>
        <w:t>3、凡在"技术参数及性能（配置）要求"中表述为"标配"或"标准配置"的设备，投标人应在投标报价表中将其标配参数详细列明，否则该投标无效。</w:t>
      </w:r>
    </w:p>
    <w:p w14:paraId="45600EAE">
      <w:pPr>
        <w:spacing w:line="360" w:lineRule="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4、提供相同品牌产品且通过资格审查、符合性审查的不同投标人参加同一合同项下投标的，按一家投标人计算，评审后得分最高的同品牌投标人获得中标人推荐资格；评审得分相同的，评标价最低的同品牌投标人获得中标人推荐资格，评标价也相同的，由评标委员会以抽签方式确定中标候选人，其他同品牌投标人不作为中标候选人。</w:t>
      </w:r>
    </w:p>
    <w:p w14:paraId="465926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5、</w:t>
      </w:r>
      <w:r>
        <w:rPr>
          <w:rFonts w:hint="eastAsia" w:ascii="宋体" w:hAnsi="宋体" w:cs="宋体"/>
          <w:b/>
          <w:bCs/>
          <w:color w:val="auto"/>
          <w:kern w:val="0"/>
          <w:szCs w:val="21"/>
          <w:highlight w:val="none"/>
          <w:lang w:val="en-US" w:eastAsia="zh-CN"/>
        </w:rPr>
        <w:t>采购</w:t>
      </w:r>
      <w:r>
        <w:rPr>
          <w:rFonts w:hint="eastAsia" w:ascii="宋体" w:hAnsi="宋体" w:cs="宋体"/>
          <w:b/>
          <w:bCs/>
          <w:color w:val="auto"/>
          <w:kern w:val="0"/>
          <w:szCs w:val="21"/>
          <w:highlight w:val="none"/>
        </w:rPr>
        <w:t>需求一览表中带"</w:t>
      </w:r>
      <w:r>
        <w:rPr>
          <w:rFonts w:hint="eastAsia" w:ascii="宋体" w:hAnsi="宋体" w:eastAsia="宋体" w:cs="宋体"/>
          <w:color w:val="auto"/>
          <w:kern w:val="2"/>
          <w:sz w:val="21"/>
          <w:szCs w:val="21"/>
          <w:highlight w:val="none"/>
        </w:rPr>
        <w:t>▲</w:t>
      </w:r>
      <w:r>
        <w:rPr>
          <w:rFonts w:hint="eastAsia" w:ascii="宋体" w:hAnsi="宋体" w:cs="宋体"/>
          <w:b/>
          <w:bCs/>
          <w:color w:val="auto"/>
          <w:kern w:val="0"/>
          <w:szCs w:val="21"/>
          <w:highlight w:val="none"/>
        </w:rPr>
        <w:t>"的技术参数为实质性参数，必须提供注册证、说明书、设备铭牌或国家药监局认可的第三方机构出具的检验报告作为证明材料</w:t>
      </w:r>
      <w:r>
        <w:rPr>
          <w:rFonts w:hint="eastAsia" w:ascii="宋体" w:hAnsi="宋体" w:cs="宋体"/>
          <w:b/>
          <w:bCs/>
          <w:color w:val="auto"/>
          <w:kern w:val="0"/>
          <w:szCs w:val="21"/>
          <w:highlight w:val="none"/>
          <w:lang w:eastAsia="zh-CN"/>
        </w:rPr>
        <w:t>，若</w:t>
      </w:r>
      <w:r>
        <w:rPr>
          <w:rFonts w:hint="eastAsia" w:ascii="宋体" w:hAnsi="宋体" w:cs="宋体"/>
          <w:b/>
          <w:bCs/>
          <w:color w:val="auto"/>
          <w:kern w:val="0"/>
          <w:szCs w:val="21"/>
          <w:highlight w:val="none"/>
        </w:rPr>
        <w:t>有一项（或以上）未响应或不满足的，投标无效。未标注“</w:t>
      </w:r>
      <w:r>
        <w:rPr>
          <w:rFonts w:hint="eastAsia" w:ascii="宋体" w:hAnsi="宋体" w:eastAsia="宋体" w:cs="宋体"/>
          <w:color w:val="auto"/>
          <w:kern w:val="2"/>
          <w:sz w:val="21"/>
          <w:szCs w:val="21"/>
          <w:highlight w:val="none"/>
        </w:rPr>
        <w:t>▲</w:t>
      </w:r>
      <w:r>
        <w:rPr>
          <w:rFonts w:hint="eastAsia" w:ascii="宋体" w:hAnsi="宋体" w:cs="宋体"/>
          <w:b/>
          <w:bCs/>
          <w:color w:val="auto"/>
          <w:kern w:val="0"/>
          <w:szCs w:val="21"/>
          <w:highlight w:val="none"/>
        </w:rPr>
        <w:t>”号的条款响应存在负偏离的按第四章“评标办法”的规定扣分。</w:t>
      </w:r>
    </w:p>
    <w:p w14:paraId="302C5509">
      <w:pPr>
        <w:pStyle w:val="2"/>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6、中小企业划分标准所属行业：</w:t>
      </w:r>
      <w:r>
        <w:rPr>
          <w:rFonts w:hint="eastAsia" w:ascii="宋体" w:hAnsi="宋体" w:eastAsia="宋体" w:cs="宋体"/>
          <w:b/>
          <w:bCs/>
          <w:color w:val="auto"/>
          <w:sz w:val="21"/>
          <w:szCs w:val="21"/>
          <w:highlight w:val="none"/>
          <w:lang w:val="en-US" w:eastAsia="zh-CN"/>
        </w:rPr>
        <w:t>工</w:t>
      </w:r>
      <w:r>
        <w:rPr>
          <w:rFonts w:hint="eastAsia" w:ascii="宋体" w:hAnsi="宋体" w:eastAsia="宋体" w:cs="宋体"/>
          <w:b/>
          <w:bCs/>
          <w:color w:val="auto"/>
          <w:sz w:val="21"/>
          <w:szCs w:val="21"/>
          <w:highlight w:val="none"/>
        </w:rPr>
        <w:t xml:space="preserve">业 </w:t>
      </w:r>
      <w:r>
        <w:rPr>
          <w:rFonts w:hint="eastAsia" w:ascii="宋体" w:hAnsi="宋体" w:eastAsia="宋体" w:cs="宋体"/>
          <w:color w:val="auto"/>
          <w:sz w:val="21"/>
          <w:szCs w:val="21"/>
          <w:highlight w:val="none"/>
          <w:lang w:eastAsia="zh-CN"/>
        </w:rPr>
        <w:t>。</w:t>
      </w:r>
    </w:p>
    <w:p w14:paraId="373C1957">
      <w:pPr>
        <w:pStyle w:val="31"/>
        <w:rPr>
          <w:color w:val="auto"/>
          <w:highlight w:val="none"/>
        </w:rPr>
      </w:pPr>
    </w:p>
    <w:p w14:paraId="245C0DC0">
      <w:pPr>
        <w:pStyle w:val="31"/>
        <w:rPr>
          <w:color w:val="auto"/>
          <w:highlight w:val="none"/>
        </w:rPr>
      </w:pPr>
    </w:p>
    <w:p w14:paraId="5D30F871">
      <w:pPr>
        <w:pStyle w:val="31"/>
        <w:rPr>
          <w:color w:val="auto"/>
          <w:highlight w:val="none"/>
        </w:rPr>
      </w:pPr>
    </w:p>
    <w:p w14:paraId="6CF081CF">
      <w:pPr>
        <w:pStyle w:val="31"/>
        <w:rPr>
          <w:color w:val="auto"/>
          <w:highlight w:val="none"/>
        </w:rPr>
      </w:pPr>
    </w:p>
    <w:p w14:paraId="101DDB80">
      <w:pPr>
        <w:pStyle w:val="31"/>
        <w:rPr>
          <w:color w:val="auto"/>
          <w:highlight w:val="none"/>
        </w:rPr>
      </w:pPr>
    </w:p>
    <w:p w14:paraId="4EEF9D59">
      <w:pPr>
        <w:pStyle w:val="31"/>
        <w:rPr>
          <w:color w:val="auto"/>
          <w:highlight w:val="none"/>
        </w:rPr>
      </w:pPr>
    </w:p>
    <w:p w14:paraId="5A1F248A">
      <w:pPr>
        <w:pStyle w:val="31"/>
        <w:rPr>
          <w:color w:val="auto"/>
          <w:highlight w:val="none"/>
        </w:rPr>
      </w:pPr>
    </w:p>
    <w:p w14:paraId="4BC0C345">
      <w:pPr>
        <w:pStyle w:val="31"/>
        <w:rPr>
          <w:color w:val="auto"/>
          <w:highlight w:val="none"/>
        </w:rPr>
      </w:pPr>
    </w:p>
    <w:p w14:paraId="2CBC0553">
      <w:pPr>
        <w:pStyle w:val="31"/>
        <w:rPr>
          <w:color w:val="auto"/>
          <w:highlight w:val="none"/>
        </w:rPr>
      </w:pPr>
    </w:p>
    <w:p w14:paraId="5FB71646">
      <w:pPr>
        <w:pStyle w:val="31"/>
        <w:rPr>
          <w:color w:val="auto"/>
          <w:highlight w:val="none"/>
        </w:rPr>
      </w:pPr>
    </w:p>
    <w:p w14:paraId="15CF7EB2">
      <w:pPr>
        <w:pStyle w:val="31"/>
        <w:rPr>
          <w:color w:val="auto"/>
          <w:highlight w:val="none"/>
        </w:rPr>
      </w:pPr>
    </w:p>
    <w:p w14:paraId="4958C67E">
      <w:pPr>
        <w:pStyle w:val="31"/>
        <w:rPr>
          <w:color w:val="auto"/>
          <w:highlight w:val="none"/>
        </w:rPr>
      </w:pPr>
    </w:p>
    <w:p w14:paraId="291BE4F5">
      <w:pPr>
        <w:pStyle w:val="31"/>
        <w:rPr>
          <w:color w:val="auto"/>
          <w:highlight w:val="none"/>
        </w:rPr>
      </w:pPr>
    </w:p>
    <w:p w14:paraId="662C48ED">
      <w:pPr>
        <w:pStyle w:val="31"/>
        <w:rPr>
          <w:color w:val="auto"/>
          <w:highlight w:val="none"/>
        </w:rPr>
      </w:pPr>
    </w:p>
    <w:p w14:paraId="564A62AA">
      <w:pPr>
        <w:pStyle w:val="31"/>
        <w:rPr>
          <w:color w:val="auto"/>
          <w:highlight w:val="none"/>
        </w:rPr>
      </w:pPr>
    </w:p>
    <w:p w14:paraId="2A49C28B">
      <w:pPr>
        <w:pStyle w:val="31"/>
        <w:rPr>
          <w:color w:val="auto"/>
          <w:highlight w:val="none"/>
        </w:rPr>
      </w:pPr>
    </w:p>
    <w:p w14:paraId="155B2056">
      <w:pPr>
        <w:pStyle w:val="31"/>
        <w:rPr>
          <w:color w:val="auto"/>
          <w:highlight w:val="none"/>
        </w:rPr>
      </w:pPr>
    </w:p>
    <w:p w14:paraId="2C848D2B">
      <w:pPr>
        <w:pStyle w:val="31"/>
        <w:rPr>
          <w:color w:val="auto"/>
          <w:highlight w:val="none"/>
        </w:rPr>
      </w:pPr>
    </w:p>
    <w:p w14:paraId="2ABD5097">
      <w:pPr>
        <w:pStyle w:val="31"/>
        <w:rPr>
          <w:color w:val="auto"/>
          <w:highlight w:val="none"/>
        </w:rPr>
      </w:pPr>
    </w:p>
    <w:tbl>
      <w:tblPr>
        <w:tblStyle w:val="22"/>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080"/>
        <w:gridCol w:w="662"/>
        <w:gridCol w:w="5593"/>
        <w:gridCol w:w="533"/>
        <w:gridCol w:w="547"/>
        <w:gridCol w:w="997"/>
      </w:tblGrid>
      <w:tr w14:paraId="2DC2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40" w:type="dxa"/>
            <w:gridSpan w:val="7"/>
            <w:tcBorders>
              <w:top w:val="single" w:color="auto" w:sz="4" w:space="0"/>
              <w:left w:val="single" w:color="auto" w:sz="4" w:space="0"/>
              <w:bottom w:val="single" w:color="auto" w:sz="4" w:space="0"/>
              <w:right w:val="single" w:color="auto" w:sz="4" w:space="0"/>
            </w:tcBorders>
            <w:noWrap w:val="0"/>
            <w:vAlign w:val="center"/>
          </w:tcPr>
          <w:p w14:paraId="4EE7FC94">
            <w:pPr>
              <w:keepNext w:val="0"/>
              <w:keepLines w:val="0"/>
              <w:pageBreakBefore w:val="0"/>
              <w:kinsoku/>
              <w:wordWrap/>
              <w:overflowPunct/>
              <w:topLinePunct w:val="0"/>
              <w:autoSpaceDE/>
              <w:autoSpaceDN/>
              <w:bidi w:val="0"/>
              <w:adjustRightInd w:val="0"/>
              <w:snapToGrid w:val="0"/>
              <w:spacing w:line="380" w:lineRule="exact"/>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一、采购内容及技术要求</w:t>
            </w:r>
          </w:p>
        </w:tc>
      </w:tr>
      <w:tr w14:paraId="3F9C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628" w:type="dxa"/>
            <w:tcBorders>
              <w:top w:val="single" w:color="auto" w:sz="4" w:space="0"/>
              <w:left w:val="single" w:color="auto" w:sz="4" w:space="0"/>
              <w:bottom w:val="single" w:color="auto" w:sz="4" w:space="0"/>
              <w:right w:val="single" w:color="auto" w:sz="4" w:space="0"/>
            </w:tcBorders>
            <w:noWrap w:val="0"/>
            <w:vAlign w:val="center"/>
          </w:tcPr>
          <w:p w14:paraId="418B581C">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仿宋" w:hAnsi="仿宋" w:eastAsia="仿宋" w:cs="仿宋"/>
                <w:b/>
                <w:bCs/>
                <w:color w:val="auto"/>
                <w:sz w:val="21"/>
                <w:szCs w:val="21"/>
                <w:highlight w:val="none"/>
              </w:rPr>
            </w:pPr>
            <w:r>
              <w:rPr>
                <w:rFonts w:hint="eastAsia" w:ascii="仿宋" w:hAnsi="仿宋" w:eastAsia="仿宋" w:cs="仿宋"/>
                <w:b/>
                <w:color w:val="auto"/>
                <w:sz w:val="21"/>
                <w:szCs w:val="21"/>
                <w:highlight w:val="none"/>
              </w:rPr>
              <w:t>项号</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7053B6A">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标的名称</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18A6F577">
            <w:pPr>
              <w:keepNext w:val="0"/>
              <w:keepLines w:val="0"/>
              <w:pageBreakBefore w:val="0"/>
              <w:widowControl/>
              <w:kinsoku/>
              <w:wordWrap/>
              <w:overflowPunct/>
              <w:topLinePunct w:val="0"/>
              <w:autoSpaceDE/>
              <w:autoSpaceDN/>
              <w:bidi w:val="0"/>
              <w:adjustRightInd w:val="0"/>
              <w:snapToGrid w:val="0"/>
              <w:spacing w:line="38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标的所属行业</w:t>
            </w:r>
          </w:p>
        </w:tc>
        <w:tc>
          <w:tcPr>
            <w:tcW w:w="5593" w:type="dxa"/>
            <w:tcBorders>
              <w:top w:val="single" w:color="auto" w:sz="4" w:space="0"/>
              <w:left w:val="single" w:color="auto" w:sz="4" w:space="0"/>
              <w:bottom w:val="single" w:color="auto" w:sz="4" w:space="0"/>
              <w:right w:val="single" w:color="auto" w:sz="4" w:space="0"/>
            </w:tcBorders>
            <w:noWrap w:val="0"/>
            <w:vAlign w:val="center"/>
          </w:tcPr>
          <w:p w14:paraId="5E460249">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技术要求</w:t>
            </w:r>
          </w:p>
        </w:tc>
        <w:tc>
          <w:tcPr>
            <w:tcW w:w="533" w:type="dxa"/>
            <w:tcBorders>
              <w:top w:val="single" w:color="auto" w:sz="4" w:space="0"/>
              <w:left w:val="single" w:color="auto" w:sz="4" w:space="0"/>
              <w:bottom w:val="single" w:color="auto" w:sz="4" w:space="0"/>
              <w:right w:val="single" w:color="auto" w:sz="4" w:space="0"/>
            </w:tcBorders>
            <w:noWrap w:val="0"/>
            <w:vAlign w:val="center"/>
          </w:tcPr>
          <w:p w14:paraId="1E4A1DBE">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数量</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19FF2F5F">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单位</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5E08736A">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单价</w:t>
            </w:r>
          </w:p>
          <w:p w14:paraId="1CE2E650">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（万元）</w:t>
            </w:r>
          </w:p>
        </w:tc>
      </w:tr>
      <w:tr w14:paraId="53E6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28" w:type="dxa"/>
            <w:tcBorders>
              <w:top w:val="single" w:color="auto" w:sz="4" w:space="0"/>
              <w:left w:val="single" w:color="auto" w:sz="4" w:space="0"/>
              <w:bottom w:val="single" w:color="auto" w:sz="4" w:space="0"/>
              <w:right w:val="single" w:color="auto" w:sz="4" w:space="0"/>
            </w:tcBorders>
            <w:noWrap w:val="0"/>
            <w:vAlign w:val="center"/>
          </w:tcPr>
          <w:p w14:paraId="7860A177">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66F013E">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血液透析机</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3A8754FE">
            <w:pPr>
              <w:keepNext w:val="0"/>
              <w:keepLines w:val="0"/>
              <w:pageBreakBefore w:val="0"/>
              <w:widowControl/>
              <w:kinsoku/>
              <w:wordWrap/>
              <w:overflowPunct/>
              <w:topLinePunct w:val="0"/>
              <w:autoSpaceDE/>
              <w:autoSpaceDN/>
              <w:bidi w:val="0"/>
              <w:adjustRightInd w:val="0"/>
              <w:snapToGrid w:val="0"/>
              <w:spacing w:line="38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工业</w:t>
            </w:r>
          </w:p>
        </w:tc>
        <w:tc>
          <w:tcPr>
            <w:tcW w:w="5593" w:type="dxa"/>
            <w:tcBorders>
              <w:top w:val="single" w:color="auto" w:sz="4" w:space="0"/>
              <w:left w:val="single" w:color="auto" w:sz="4" w:space="0"/>
              <w:bottom w:val="single" w:color="auto" w:sz="4" w:space="0"/>
              <w:right w:val="single" w:color="auto" w:sz="4" w:space="0"/>
            </w:tcBorders>
            <w:noWrap w:val="0"/>
            <w:vAlign w:val="center"/>
          </w:tcPr>
          <w:p w14:paraId="2C635F45">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一、主要技术参数</w:t>
            </w:r>
          </w:p>
          <w:p w14:paraId="7FF93AD1">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设备使用年限：≥10年</w:t>
            </w:r>
          </w:p>
          <w:p w14:paraId="6F00A904">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机身尺寸（mm）：机身宽度≤450  深度≤520</w:t>
            </w:r>
          </w:p>
          <w:p w14:paraId="5D41D764">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供水: 压力范围：1-6.5bar；温度范围：5 ℃~30 ℃。</w:t>
            </w:r>
          </w:p>
          <w:p w14:paraId="2C8481DE">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透析液流速：300~700 mL/min </w:t>
            </w:r>
          </w:p>
          <w:p w14:paraId="0621503B">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透析液温度：33.0~40.0°C，实时监测，有超温保护装置。</w:t>
            </w:r>
          </w:p>
          <w:p w14:paraId="3624737B">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超滤速度：0.50~4.00L/h。</w:t>
            </w:r>
          </w:p>
          <w:p w14:paraId="397819D6">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漏血检测器：具备光学检测的漏血检测器。</w:t>
            </w:r>
          </w:p>
          <w:p w14:paraId="2C269A6F">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动脉血泵：40~600mL/min。</w:t>
            </w:r>
          </w:p>
          <w:p w14:paraId="5AFA55D5">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肝素泵：设置范围：0.0~9.0mL/h。</w:t>
            </w:r>
          </w:p>
          <w:p w14:paraId="1DD89FA5">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空气监测器：超声波检测；检测精度：≤0.03mL。</w:t>
            </w:r>
          </w:p>
          <w:p w14:paraId="7CDEFE4A">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动脉压：测量范围：-300~+480mmHg；测量精确度：±10mmHg。</w:t>
            </w:r>
          </w:p>
          <w:p w14:paraId="779C2A41">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▲静脉压：测量范围：:-180~+400mmHg;。</w:t>
            </w:r>
          </w:p>
          <w:p w14:paraId="30C83C57">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TMP：测量范围：-100~+480mmHg；测量精确度：±10mmHg。</w:t>
            </w:r>
          </w:p>
          <w:p w14:paraId="4D7FF66C">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透析液浓度：12.0 ~16.0mS/cm。</w:t>
            </w:r>
          </w:p>
          <w:p w14:paraId="4BDCD3A8">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治疗模式：用于血液净化治疗，支持血液透析、单纯超滤、序贯透析。</w:t>
            </w:r>
          </w:p>
          <w:p w14:paraId="5313DF7E">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人机交互：≥15英寸彩色液晶显示器，可旋转。</w:t>
            </w:r>
          </w:p>
          <w:p w14:paraId="0BBF43EF">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报警提示功能：多种颜色报警指示灯，具有声光报警指示,可帮助医护及时准确判断报警提示内容。 </w:t>
            </w:r>
          </w:p>
          <w:p w14:paraId="4222695D">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消毒模式：具备过氧乙酸消毒和热消毒等方式，热水柠檬酸消毒温度最高可达90℃。</w:t>
            </w:r>
          </w:p>
          <w:p w14:paraId="1A8C4BF3">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▲设备支持使用柠檬酸、次氯酸钠、过氧乙酸消毒</w:t>
            </w:r>
          </w:p>
          <w:p w14:paraId="36D2726F">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后备电池：停电时自动跳转后备电池供电，支持体外循环监测，报警系统。运行时间不少于20分钟 </w:t>
            </w:r>
          </w:p>
          <w:p w14:paraId="65D0BC1D">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设备内部可同时存储多种不同原液配方</w:t>
            </w:r>
          </w:p>
          <w:p w14:paraId="02B3EF57">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超滤系统：采用</w:t>
            </w:r>
            <w:r>
              <w:rPr>
                <w:rFonts w:hint="eastAsia" w:ascii="仿宋" w:hAnsi="仿宋" w:eastAsia="仿宋" w:cs="仿宋"/>
                <w:color w:val="auto"/>
                <w:sz w:val="21"/>
                <w:szCs w:val="21"/>
                <w:highlight w:val="none"/>
                <w:lang w:val="en-US" w:eastAsia="zh-CN"/>
              </w:rPr>
              <w:t>流量计或复式泵平衡与超滤</w:t>
            </w:r>
            <w:r>
              <w:rPr>
                <w:rFonts w:hint="eastAsia" w:ascii="仿宋" w:hAnsi="仿宋" w:eastAsia="仿宋" w:cs="仿宋"/>
                <w:color w:val="auto"/>
                <w:sz w:val="21"/>
                <w:szCs w:val="21"/>
                <w:highlight w:val="none"/>
                <w:lang w:eastAsia="zh-CN"/>
              </w:rPr>
              <w:t>系统。</w:t>
            </w:r>
          </w:p>
          <w:p w14:paraId="4FAE90A8">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浓度曲线：可进行透析液浓度曲线治疗，可预存不少于8条曲线。</w:t>
            </w:r>
          </w:p>
          <w:p w14:paraId="34F93C91">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超滤曲线：可进行可调超滤曲线治疗，可预存不少于8条曲线。</w:t>
            </w:r>
          </w:p>
          <w:p w14:paraId="0D37CDC7">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B粉筒支架组件：标配碳酸氢盐干粉自动配制系统 。</w:t>
            </w:r>
          </w:p>
          <w:p w14:paraId="1D7708B1">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透析液过滤：标配透析液过滤器支架组件。机身深度≤520 mm，过滤器更换空间更大、更便捷。</w:t>
            </w:r>
          </w:p>
          <w:p w14:paraId="3339B62D">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标</w:t>
            </w:r>
            <w:r>
              <w:rPr>
                <w:rFonts w:hint="eastAsia" w:ascii="仿宋" w:hAnsi="仿宋" w:eastAsia="仿宋" w:cs="仿宋"/>
                <w:color w:val="auto"/>
                <w:sz w:val="21"/>
                <w:szCs w:val="21"/>
                <w:highlight w:val="none"/>
                <w:lang w:eastAsia="zh-CN"/>
              </w:rPr>
              <w:t>配通讯组件，</w:t>
            </w:r>
            <w:r>
              <w:rPr>
                <w:rFonts w:hint="eastAsia" w:ascii="仿宋" w:hAnsi="仿宋" w:eastAsia="仿宋" w:cs="仿宋"/>
                <w:color w:val="auto"/>
                <w:sz w:val="21"/>
                <w:szCs w:val="21"/>
                <w:highlight w:val="none"/>
                <w:lang w:val="en-US" w:eastAsia="zh-CN"/>
              </w:rPr>
              <w:t>能连接血透信息系统。</w:t>
            </w:r>
          </w:p>
          <w:p w14:paraId="2393A058">
            <w:pPr>
              <w:keepNext w:val="0"/>
              <w:keepLines w:val="0"/>
              <w:pageBreakBefore w:val="0"/>
              <w:kinsoku/>
              <w:wordWrap/>
              <w:overflowPunct/>
              <w:topLinePunct w:val="0"/>
              <w:autoSpaceDE/>
              <w:autoSpaceDN/>
              <w:bidi w:val="0"/>
              <w:adjustRightInd/>
              <w:snapToGrid/>
              <w:spacing w:line="380" w:lineRule="exact"/>
              <w:ind w:firstLine="210" w:firstLineChars="1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标</w:t>
            </w:r>
            <w:r>
              <w:rPr>
                <w:rFonts w:hint="eastAsia" w:ascii="仿宋" w:hAnsi="仿宋" w:eastAsia="仿宋" w:cs="仿宋"/>
                <w:color w:val="auto"/>
                <w:sz w:val="21"/>
                <w:szCs w:val="21"/>
                <w:highlight w:val="none"/>
                <w:lang w:eastAsia="zh-CN"/>
              </w:rPr>
              <w:t>配在线</w:t>
            </w:r>
            <w:r>
              <w:rPr>
                <w:rFonts w:hint="eastAsia" w:ascii="仿宋" w:hAnsi="仿宋" w:eastAsia="仿宋" w:cs="仿宋"/>
                <w:color w:val="auto"/>
                <w:sz w:val="21"/>
                <w:szCs w:val="21"/>
                <w:highlight w:val="none"/>
                <w:lang w:val="en-US" w:eastAsia="zh-CN"/>
              </w:rPr>
              <w:t>尿素监测功能</w:t>
            </w:r>
            <w:r>
              <w:rPr>
                <w:rFonts w:hint="eastAsia" w:ascii="仿宋" w:hAnsi="仿宋" w:eastAsia="仿宋" w:cs="仿宋"/>
                <w:color w:val="auto"/>
                <w:sz w:val="21"/>
                <w:szCs w:val="21"/>
                <w:highlight w:val="none"/>
                <w:lang w:eastAsia="zh-CN"/>
              </w:rPr>
              <w:t>。</w:t>
            </w:r>
          </w:p>
        </w:tc>
        <w:tc>
          <w:tcPr>
            <w:tcW w:w="533" w:type="dxa"/>
            <w:tcBorders>
              <w:top w:val="single" w:color="auto" w:sz="4" w:space="0"/>
              <w:left w:val="single" w:color="auto" w:sz="4" w:space="0"/>
              <w:bottom w:val="single" w:color="auto" w:sz="4" w:space="0"/>
              <w:right w:val="single" w:color="auto" w:sz="4" w:space="0"/>
            </w:tcBorders>
            <w:noWrap w:val="0"/>
            <w:vAlign w:val="center"/>
          </w:tcPr>
          <w:p w14:paraId="2D6643EB">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421D5BF0">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台</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8A2860E">
            <w:pPr>
              <w:keepNext w:val="0"/>
              <w:keepLines w:val="0"/>
              <w:pageBreakBefore w:val="0"/>
              <w:widowControl w:val="0"/>
              <w:suppressLineNumbers w:val="0"/>
              <w:kinsoku/>
              <w:wordWrap/>
              <w:overflowPunct/>
              <w:topLinePunct w:val="0"/>
              <w:autoSpaceDE/>
              <w:autoSpaceDN/>
              <w:bidi w:val="0"/>
              <w:adjustRightInd w:val="0"/>
              <w:snapToGrid w:val="0"/>
              <w:spacing w:line="38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r>
      <w:tr w14:paraId="5537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8" w:type="dxa"/>
            <w:tcBorders>
              <w:top w:val="single" w:color="auto" w:sz="4" w:space="0"/>
              <w:left w:val="single" w:color="auto" w:sz="4" w:space="0"/>
              <w:bottom w:val="single" w:color="auto" w:sz="4" w:space="0"/>
              <w:right w:val="single" w:color="auto" w:sz="4" w:space="0"/>
            </w:tcBorders>
            <w:noWrap w:val="0"/>
            <w:vAlign w:val="center"/>
          </w:tcPr>
          <w:p w14:paraId="1FA72BFD">
            <w:pPr>
              <w:keepNext w:val="0"/>
              <w:keepLines w:val="0"/>
              <w:pageBreakBefore w:val="0"/>
              <w:kinsoku/>
              <w:wordWrap/>
              <w:overflowPunct/>
              <w:topLinePunct w:val="0"/>
              <w:autoSpaceDE/>
              <w:autoSpaceDN/>
              <w:bidi w:val="0"/>
              <w:adjustRightInd w:val="0"/>
              <w:snapToGrid w:val="0"/>
              <w:spacing w:line="38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5B89E9E">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rPr>
              <w:t>超声诊断仪</w:t>
            </w:r>
          </w:p>
        </w:tc>
        <w:tc>
          <w:tcPr>
            <w:tcW w:w="662" w:type="dxa"/>
            <w:tcBorders>
              <w:top w:val="single" w:color="auto" w:sz="4" w:space="0"/>
              <w:left w:val="single" w:color="auto" w:sz="4" w:space="0"/>
              <w:bottom w:val="single" w:color="auto" w:sz="4" w:space="0"/>
              <w:right w:val="single" w:color="auto" w:sz="4" w:space="0"/>
            </w:tcBorders>
            <w:noWrap w:val="0"/>
            <w:vAlign w:val="center"/>
          </w:tcPr>
          <w:p w14:paraId="41F3A85D">
            <w:pPr>
              <w:keepNext w:val="0"/>
              <w:keepLines w:val="0"/>
              <w:pageBreakBefore w:val="0"/>
              <w:widowControl/>
              <w:kinsoku/>
              <w:wordWrap/>
              <w:overflowPunct/>
              <w:topLinePunct w:val="0"/>
              <w:autoSpaceDE/>
              <w:autoSpaceDN/>
              <w:bidi w:val="0"/>
              <w:adjustRightInd w:val="0"/>
              <w:snapToGrid w:val="0"/>
              <w:spacing w:line="380" w:lineRule="exact"/>
              <w:jc w:val="center"/>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工业</w:t>
            </w:r>
          </w:p>
        </w:tc>
        <w:tc>
          <w:tcPr>
            <w:tcW w:w="5593" w:type="dxa"/>
            <w:tcBorders>
              <w:top w:val="single" w:color="auto" w:sz="4" w:space="0"/>
              <w:left w:val="single" w:color="auto" w:sz="4" w:space="0"/>
              <w:bottom w:val="single" w:color="auto" w:sz="4" w:space="0"/>
              <w:right w:val="single" w:color="auto" w:sz="4" w:space="0"/>
            </w:tcBorders>
            <w:noWrap w:val="0"/>
            <w:vAlign w:val="center"/>
          </w:tcPr>
          <w:p w14:paraId="56EF4AC9">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货物名称：</w:t>
            </w:r>
            <w:r>
              <w:rPr>
                <w:rFonts w:hint="eastAsia" w:ascii="仿宋" w:hAnsi="仿宋" w:eastAsia="仿宋" w:cs="仿宋"/>
                <w:color w:val="auto"/>
                <w:kern w:val="2"/>
                <w:sz w:val="21"/>
                <w:szCs w:val="21"/>
                <w:highlight w:val="none"/>
                <w:lang w:val="en-US" w:eastAsia="zh-CN" w:bidi="ar-SA"/>
              </w:rPr>
              <w:t>全数字化高端平板便携式彩色多谱勒超声诊断系统</w:t>
            </w:r>
          </w:p>
          <w:p w14:paraId="2E732430">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用途说明：</w:t>
            </w:r>
            <w:r>
              <w:rPr>
                <w:rFonts w:hint="eastAsia" w:ascii="仿宋" w:hAnsi="仿宋" w:eastAsia="仿宋" w:cs="仿宋"/>
                <w:color w:val="auto"/>
                <w:kern w:val="2"/>
                <w:sz w:val="21"/>
                <w:szCs w:val="21"/>
                <w:highlight w:val="none"/>
                <w:lang w:val="en-US" w:eastAsia="zh-CN" w:bidi="ar-SA"/>
              </w:rPr>
              <w:t>腹部、小器官、浅表、儿科、心脏、血管、泌尿、急诊、介入等全身应用</w:t>
            </w:r>
          </w:p>
          <w:p w14:paraId="7A25C34D">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系统技术规格及概述：</w:t>
            </w:r>
          </w:p>
          <w:p w14:paraId="3DE935D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▲≥15英寸无缝纯平投射式电容触摸屏，支持单点、多点、滑动、缩放操作。</w:t>
            </w:r>
          </w:p>
          <w:p w14:paraId="07C4853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▲机器内置3个探头接口，可同时激活</w:t>
            </w:r>
          </w:p>
          <w:p w14:paraId="08AA59A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数字波束增强器、多倍波束合成、二维灰阶模式、组织谐波成像模式、宽带频移谐波</w:t>
            </w:r>
          </w:p>
          <w:p w14:paraId="5FF736F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组织特异性成像、频率复合成像、空间复合成像</w:t>
            </w:r>
          </w:p>
          <w:p w14:paraId="78B9194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斑点抑制成像</w:t>
            </w:r>
          </w:p>
          <w:p w14:paraId="7BAA7EE1">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彩色多普勒成像（包括彩色、能量、方向能量多普勒模式）、频谱多普勒成像：脉冲多普勒、高脉冲重复频率</w:t>
            </w:r>
          </w:p>
          <w:p w14:paraId="389AE3D7">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M型模式</w:t>
            </w:r>
          </w:p>
          <w:p w14:paraId="5AE071E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独立角度偏转、扩展成像</w:t>
            </w:r>
          </w:p>
          <w:p w14:paraId="191AF06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实时双幅对比成像</w:t>
            </w:r>
          </w:p>
          <w:p w14:paraId="39C62507">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一键自动优化（包括应用于二维、彩色及频谱模式，彩色多普勒自动识别，包括ROI框位置、角度自动改变）</w:t>
            </w:r>
          </w:p>
          <w:p w14:paraId="79D4A40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全屏放大、局部放大（支持前端、后端放大）</w:t>
            </w:r>
          </w:p>
          <w:p w14:paraId="0D94B4C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回波增强技术</w:t>
            </w:r>
          </w:p>
          <w:p w14:paraId="13786427">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智能血流跟踪（自动随探头移动，取样框自动角度偏转、自动跟踪血流显示情况，无需手动调节）</w:t>
            </w:r>
          </w:p>
          <w:p w14:paraId="113635EA">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支持锁屏功能、自动唤醒功能</w:t>
            </w:r>
          </w:p>
          <w:p w14:paraId="50142A9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常规测量软件包、全科测量软件包</w:t>
            </w:r>
          </w:p>
          <w:p w14:paraId="187DD05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图像后处理，可处理参数≥26种</w:t>
            </w:r>
          </w:p>
          <w:p w14:paraId="72CD50D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支持手动触摸屏上包络测量</w:t>
            </w:r>
          </w:p>
          <w:p w14:paraId="427EE9B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▲支持手势操作（图像调整、测量和注释、图像浏览）</w:t>
            </w:r>
          </w:p>
          <w:p w14:paraId="0A301CB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▲标配穿刺针增强技术，可跟随进针角度随时改变声束偏转角度，支持双屏实时对比显示增强前后效果，支持线阵和凸阵探头</w:t>
            </w:r>
          </w:p>
          <w:p w14:paraId="48AB965D">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支持语言，英语,中文, 德语, 西班牙语, 法语, 意大利语, 葡萄牙语, 俄语, 捷克语, 波兰语, 土耳其语, 挪威语, 塞尔维亚语（包括键盘输入、注释、操作面板等）</w:t>
            </w:r>
          </w:p>
          <w:p w14:paraId="5A8D5BE6">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内置超声教学软件，解剖图谱，标准的超声图像，扫查位置参考图，以及扫查技巧图文解析，覆盖神经、腹部、甲状腺、乳腺、睾丸和妇产等应用，为用户提供在线指导</w:t>
            </w:r>
          </w:p>
          <w:p w14:paraId="71863F65">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智能追踪探头信息，探头内置记忆芯片，可自动记录设备序列号等信息，自动写入病例，便于设备管理与追溯</w:t>
            </w:r>
          </w:p>
          <w:p w14:paraId="118DBEE4">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测量/分析和报告</w:t>
            </w:r>
          </w:p>
          <w:p w14:paraId="72127F71">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常规测量：距离测量、椭圆及描迹测量面积周长、体积测量</w:t>
            </w:r>
          </w:p>
          <w:p w14:paraId="2C452C91">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多普勒测量（自动或手动包络测量，自动计算测量参数）</w:t>
            </w:r>
          </w:p>
          <w:p w14:paraId="15F4213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全科测量包，自动生成报告：急诊、神经、肌骨、腹部、儿科、小器官、泌尿、血管</w:t>
            </w:r>
          </w:p>
          <w:p w14:paraId="50475D01">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电影回放和原始数据处理</w:t>
            </w:r>
          </w:p>
          <w:p w14:paraId="06925FE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所有模式下可用</w:t>
            </w:r>
          </w:p>
          <w:p w14:paraId="79C92142">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支持手动、自动回放</w:t>
            </w:r>
          </w:p>
          <w:p w14:paraId="3199B41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支持同步存储(支持单帧图像文件包含： DCM、TIFF、BMP、JEPG单帧，电影文件包括： AVI)，即后台存储或导出图像数据的同时前台可以完成实时扫描。直接一键存储至硬盘，突然关机或未结束检查关机资料不丢失</w:t>
            </w:r>
          </w:p>
          <w:p w14:paraId="0240C570">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检查存储和管理（内置超声工作站）</w:t>
            </w:r>
          </w:p>
          <w:p w14:paraId="3FD49E8C">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≥120GB SSD硬盘、内置超声工作站</w:t>
            </w:r>
          </w:p>
          <w:p w14:paraId="78C212C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多种导出图像格式：动态图像、静态图像以PC格式直接导出，无需特殊软件即能在普通PC 机上直接观看图像。导出、备份图像数据资料同时，可进行实时检查，不影响检查操作</w:t>
            </w:r>
          </w:p>
          <w:p w14:paraId="12ED8E2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iStation专用于病人信息管理</w:t>
            </w:r>
          </w:p>
          <w:p w14:paraId="4DD96B94">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连通性要求</w:t>
            </w:r>
          </w:p>
          <w:p w14:paraId="3D8AB54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支持网络连接：有线网络、无线网络</w:t>
            </w:r>
          </w:p>
          <w:p w14:paraId="33337684">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iStorage网络存储</w:t>
            </w:r>
          </w:p>
          <w:p w14:paraId="4A6A6E8F">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安全和认证：</w:t>
            </w:r>
            <w:r>
              <w:rPr>
                <w:rFonts w:hint="eastAsia" w:ascii="仿宋" w:hAnsi="仿宋" w:eastAsia="仿宋" w:cs="仿宋"/>
                <w:color w:val="auto"/>
                <w:kern w:val="2"/>
                <w:sz w:val="21"/>
                <w:szCs w:val="21"/>
                <w:highlight w:val="none"/>
                <w:lang w:val="en-US" w:eastAsia="zh-CN" w:bidi="ar-SA"/>
              </w:rPr>
              <w:t>经CE、FDA及SFDA认证</w:t>
            </w:r>
          </w:p>
          <w:p w14:paraId="7D89B809">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系统技术参数及要求</w:t>
            </w:r>
          </w:p>
          <w:p w14:paraId="537682D8">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▲主机重量≤6.2Kg </w:t>
            </w:r>
          </w:p>
          <w:p w14:paraId="4F71DD2C">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扫描线：每帧线密度≥512超声线</w:t>
            </w:r>
          </w:p>
          <w:p w14:paraId="684B3B29">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发射声束聚焦：发射≥8段</w:t>
            </w:r>
          </w:p>
          <w:p w14:paraId="6E962053">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预设条件：针对不同的检查脏器，预置最佳图像检查条件</w:t>
            </w:r>
          </w:p>
          <w:p w14:paraId="7EB74AF7">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▲最大显示深度:≥39cm</w:t>
            </w:r>
          </w:p>
          <w:p w14:paraId="3302D62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频谱多普勒模式：包括脉冲多普勒、高脉冲重复频率</w:t>
            </w:r>
          </w:p>
          <w:p w14:paraId="193377B2">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最大速度: ≥8.89m/s（连续多普勒速度: ≥37.35m/s）</w:t>
            </w:r>
          </w:p>
          <w:p w14:paraId="75E1511E">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最小速度: ≤0.5mm /s（非噪声信号）</w:t>
            </w:r>
          </w:p>
          <w:p w14:paraId="2065B006">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取样容积: 0.5-20mm </w:t>
            </w:r>
          </w:p>
          <w:p w14:paraId="0E9FA17D">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偏转角度: ≥±30度 (线阵探头)</w:t>
            </w:r>
          </w:p>
          <w:p w14:paraId="7AB61159">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零位移动：≥8 级</w:t>
            </w:r>
          </w:p>
          <w:p w14:paraId="26A5FD5F">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快速角度校正</w:t>
            </w:r>
          </w:p>
          <w:p w14:paraId="60595B6E">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探头规格</w:t>
            </w:r>
          </w:p>
          <w:p w14:paraId="2035F5F1">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Hans" w:bidi="ar-SA"/>
              </w:rPr>
              <w:t>配置</w:t>
            </w:r>
            <w:r>
              <w:rPr>
                <w:rFonts w:hint="eastAsia" w:ascii="仿宋" w:hAnsi="仿宋" w:eastAsia="仿宋" w:cs="仿宋"/>
                <w:color w:val="auto"/>
                <w:kern w:val="2"/>
                <w:sz w:val="21"/>
                <w:szCs w:val="21"/>
                <w:highlight w:val="none"/>
                <w:lang w:val="en-US" w:eastAsia="zh-CN" w:bidi="ar-SA"/>
              </w:rPr>
              <w:t>线阵探头</w:t>
            </w:r>
            <w:r>
              <w:rPr>
                <w:rFonts w:hint="eastAsia" w:ascii="仿宋" w:hAnsi="仿宋" w:eastAsia="仿宋" w:cs="仿宋"/>
                <w:color w:val="auto"/>
                <w:kern w:val="2"/>
                <w:sz w:val="21"/>
                <w:szCs w:val="21"/>
                <w:highlight w:val="none"/>
                <w:lang w:val="en-US" w:eastAsia="zh-Hans" w:bidi="ar-SA"/>
              </w:rPr>
              <w:t>1把，满足浅表、血管、小器官、肌骨、神经、儿科检查</w:t>
            </w:r>
            <w:r>
              <w:rPr>
                <w:rFonts w:hint="eastAsia" w:ascii="仿宋" w:hAnsi="仿宋" w:eastAsia="仿宋" w:cs="仿宋"/>
                <w:color w:val="auto"/>
                <w:kern w:val="2"/>
                <w:sz w:val="21"/>
                <w:szCs w:val="21"/>
                <w:highlight w:val="none"/>
                <w:lang w:val="en-US" w:eastAsia="zh-CN" w:bidi="ar-SA"/>
              </w:rPr>
              <w:t xml:space="preserve">，频率范围：3.0-12.0MHz </w:t>
            </w:r>
            <w:r>
              <w:rPr>
                <w:rFonts w:hint="eastAsia" w:ascii="仿宋" w:hAnsi="仿宋" w:eastAsia="仿宋" w:cs="仿宋"/>
                <w:color w:val="auto"/>
                <w:kern w:val="2"/>
                <w:sz w:val="21"/>
                <w:szCs w:val="21"/>
                <w:highlight w:val="none"/>
                <w:lang w:val="en-US" w:eastAsia="zh-Hans" w:bidi="ar-SA"/>
              </w:rPr>
              <w:t>；</w:t>
            </w:r>
          </w:p>
          <w:p w14:paraId="43BAA889">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▲线阵探头采用按键设计，探头上按键具有防误触设计和盲点设计，操作简单，并可以自定义功能，如增益、冻结、解冻等功能；</w:t>
            </w:r>
          </w:p>
          <w:p w14:paraId="7659FDE9">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B/M、彩色、能量多普勒、组织多普勒输出功率可选择分级调节</w:t>
            </w:r>
          </w:p>
          <w:p w14:paraId="305CA855">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系统输入和输出</w:t>
            </w:r>
          </w:p>
          <w:p w14:paraId="2852948D">
            <w:pPr>
              <w:keepNext w:val="0"/>
              <w:keepLines w:val="0"/>
              <w:pageBreakBefore w:val="0"/>
              <w:kinsoku/>
              <w:wordWrap/>
              <w:overflowPunct/>
              <w:topLinePunct w:val="0"/>
              <w:autoSpaceDE/>
              <w:autoSpaceDN/>
              <w:bidi w:val="0"/>
              <w:spacing w:line="3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.1. HDMI: 1个</w:t>
            </w:r>
          </w:p>
          <w:p w14:paraId="188ECE20">
            <w:pPr>
              <w:keepNext w:val="0"/>
              <w:keepLines w:val="0"/>
              <w:pageBreakBefore w:val="0"/>
              <w:kinsoku/>
              <w:wordWrap/>
              <w:overflowPunct/>
              <w:topLinePunct w:val="0"/>
              <w:autoSpaceDE/>
              <w:autoSpaceDN/>
              <w:bidi w:val="0"/>
              <w:spacing w:line="3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 xml:space="preserve">.2. ▲USB:USB 3.0 </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接口不少于</w:t>
            </w:r>
            <w:r>
              <w:rPr>
                <w:rFonts w:hint="eastAsia" w:ascii="仿宋" w:hAnsi="仿宋" w:eastAsia="仿宋" w:cs="仿宋"/>
                <w:color w:val="auto"/>
                <w:sz w:val="21"/>
                <w:szCs w:val="21"/>
                <w:highlight w:val="none"/>
              </w:rPr>
              <w:t>4个</w:t>
            </w:r>
          </w:p>
          <w:p w14:paraId="42A868C5">
            <w:pPr>
              <w:keepNext w:val="0"/>
              <w:keepLines w:val="0"/>
              <w:pageBreakBefore w:val="0"/>
              <w:kinsoku/>
              <w:wordWrap/>
              <w:overflowPunct/>
              <w:topLinePunct w:val="0"/>
              <w:autoSpaceDE/>
              <w:autoSpaceDN/>
              <w:bidi w:val="0"/>
              <w:spacing w:line="38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 网口: 1个</w:t>
            </w:r>
          </w:p>
          <w:p w14:paraId="4BEF1BA7">
            <w:pPr>
              <w:keepNext w:val="0"/>
              <w:keepLines w:val="0"/>
              <w:pageBreakBefore w:val="0"/>
              <w:widowControl w:val="0"/>
              <w:numPr>
                <w:ilvl w:val="0"/>
                <w:numId w:val="2"/>
              </w:numPr>
              <w:kinsoku/>
              <w:wordWrap/>
              <w:overflowPunct/>
              <w:topLinePunct w:val="0"/>
              <w:autoSpaceDE/>
              <w:autoSpaceDN/>
              <w:bidi w:val="0"/>
              <w:spacing w:line="380" w:lineRule="exact"/>
              <w:ind w:left="425" w:hanging="425" w:firstLineChars="0"/>
              <w:jc w:val="lef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外设和附件</w:t>
            </w:r>
          </w:p>
          <w:p w14:paraId="348A6460">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台车（包括：耦合剂杯套组、储物篮、AC电源及电源线、辅助输出电源线、纸巾架）</w:t>
            </w:r>
          </w:p>
          <w:p w14:paraId="228E5375">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支持机器防盗锁控制</w:t>
            </w:r>
          </w:p>
          <w:p w14:paraId="6A61ACBB">
            <w:pPr>
              <w:keepNext w:val="0"/>
              <w:keepLines w:val="0"/>
              <w:pageBreakBefore w:val="0"/>
              <w:widowControl w:val="0"/>
              <w:numPr>
                <w:ilvl w:val="1"/>
                <w:numId w:val="2"/>
              </w:numPr>
              <w:kinsoku/>
              <w:wordWrap/>
              <w:overflowPunct/>
              <w:topLinePunct w:val="0"/>
              <w:autoSpaceDE/>
              <w:autoSpaceDN/>
              <w:bidi w:val="0"/>
              <w:spacing w:line="380" w:lineRule="exact"/>
              <w:ind w:left="567" w:hanging="567" w:firstLineChars="0"/>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可支持数字黑白、数字彩色、文本及无线打印机</w:t>
            </w:r>
          </w:p>
          <w:p w14:paraId="2167957A">
            <w:pPr>
              <w:pStyle w:val="42"/>
              <w:keepNext w:val="0"/>
              <w:keepLines w:val="0"/>
              <w:pageBreakBefore w:val="0"/>
              <w:widowControl w:val="0"/>
              <w:numPr>
                <w:ilvl w:val="0"/>
                <w:numId w:val="0"/>
              </w:numPr>
              <w:kinsoku/>
              <w:wordWrap/>
              <w:overflowPunct/>
              <w:topLinePunct w:val="0"/>
              <w:autoSpaceDE/>
              <w:autoSpaceDN/>
              <w:bidi w:val="0"/>
              <w:spacing w:line="380" w:lineRule="exact"/>
              <w:jc w:val="left"/>
              <w:rPr>
                <w:rFonts w:hint="eastAsia" w:ascii="仿宋" w:hAnsi="仿宋" w:eastAsia="仿宋" w:cs="仿宋"/>
                <w:color w:val="auto"/>
                <w:sz w:val="21"/>
                <w:szCs w:val="21"/>
                <w:highlight w:val="none"/>
              </w:rPr>
            </w:pPr>
          </w:p>
          <w:p w14:paraId="3A23492B">
            <w:pPr>
              <w:keepNext w:val="0"/>
              <w:keepLines w:val="0"/>
              <w:pageBreakBefore w:val="0"/>
              <w:kinsoku/>
              <w:wordWrap/>
              <w:overflowPunct/>
              <w:topLinePunct w:val="0"/>
              <w:autoSpaceDE/>
              <w:autoSpaceDN/>
              <w:bidi w:val="0"/>
              <w:spacing w:line="380" w:lineRule="exact"/>
              <w:jc w:val="center"/>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便携式彩色多普勒超声系统</w:t>
            </w:r>
            <w:r>
              <w:rPr>
                <w:rFonts w:hint="eastAsia" w:ascii="仿宋" w:hAnsi="仿宋" w:eastAsia="仿宋" w:cs="仿宋"/>
                <w:b/>
                <w:color w:val="auto"/>
                <w:sz w:val="21"/>
                <w:szCs w:val="21"/>
                <w:highlight w:val="none"/>
                <w:lang w:val="en-US" w:eastAsia="zh-CN"/>
              </w:rPr>
              <w:t>配置清单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820"/>
              <w:gridCol w:w="747"/>
              <w:gridCol w:w="1057"/>
            </w:tblGrid>
            <w:tr w14:paraId="1BED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shd w:val="clear" w:color="auto" w:fill="FFFFFF"/>
                  <w:noWrap w:val="0"/>
                  <w:vAlign w:val="center"/>
                </w:tcPr>
                <w:p w14:paraId="3ED6E5FE">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名称</w:t>
                  </w:r>
                </w:p>
              </w:tc>
              <w:tc>
                <w:tcPr>
                  <w:tcW w:w="2820" w:type="dxa"/>
                  <w:shd w:val="clear" w:color="auto" w:fill="FFFFFF"/>
                  <w:noWrap w:val="0"/>
                  <w:vAlign w:val="center"/>
                </w:tcPr>
                <w:p w14:paraId="61CD1656">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描  述</w:t>
                  </w:r>
                </w:p>
              </w:tc>
              <w:tc>
                <w:tcPr>
                  <w:tcW w:w="747" w:type="dxa"/>
                  <w:shd w:val="clear" w:color="auto" w:fill="FFFFFF"/>
                  <w:noWrap w:val="0"/>
                  <w:vAlign w:val="center"/>
                </w:tcPr>
                <w:p w14:paraId="32B573E3">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数量</w:t>
                  </w:r>
                </w:p>
              </w:tc>
              <w:tc>
                <w:tcPr>
                  <w:tcW w:w="1057" w:type="dxa"/>
                  <w:shd w:val="clear" w:color="auto" w:fill="FFFFFF"/>
                  <w:noWrap w:val="0"/>
                  <w:vAlign w:val="center"/>
                </w:tcPr>
                <w:p w14:paraId="4DA9E3B2">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w:t>
                  </w:r>
                </w:p>
              </w:tc>
            </w:tr>
            <w:tr w14:paraId="35D3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3" w:type="dxa"/>
                  <w:vMerge w:val="restart"/>
                  <w:shd w:val="clear" w:color="auto" w:fill="FFFFFF"/>
                  <w:noWrap w:val="0"/>
                  <w:vAlign w:val="center"/>
                </w:tcPr>
                <w:p w14:paraId="7D74AB1F">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主机</w:t>
                  </w:r>
                </w:p>
              </w:tc>
              <w:tc>
                <w:tcPr>
                  <w:tcW w:w="2820" w:type="dxa"/>
                  <w:vMerge w:val="restart"/>
                  <w:shd w:val="clear" w:color="auto" w:fill="FFFFFF"/>
                  <w:noWrap w:val="0"/>
                  <w:vAlign w:val="center"/>
                </w:tcPr>
                <w:p w14:paraId="13D2A6DF">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无缝纯平投射式电容触摸屏</w:t>
                  </w:r>
                </w:p>
              </w:tc>
              <w:tc>
                <w:tcPr>
                  <w:tcW w:w="747" w:type="dxa"/>
                  <w:vMerge w:val="restart"/>
                  <w:shd w:val="clear" w:color="auto" w:fill="FFFFFF"/>
                  <w:noWrap w:val="0"/>
                  <w:vAlign w:val="center"/>
                </w:tcPr>
                <w:p w14:paraId="39368B88">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57" w:type="dxa"/>
                  <w:vMerge w:val="restart"/>
                  <w:shd w:val="clear" w:color="auto" w:fill="FFFFFF"/>
                  <w:noWrap w:val="0"/>
                  <w:vAlign w:val="center"/>
                </w:tcPr>
                <w:p w14:paraId="489374EB">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r>
            <w:tr w14:paraId="1F4C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3" w:type="dxa"/>
                  <w:vMerge w:val="continue"/>
                  <w:shd w:val="clear" w:color="auto" w:fill="FFFFFF"/>
                  <w:noWrap w:val="0"/>
                  <w:vAlign w:val="center"/>
                </w:tcPr>
                <w:p w14:paraId="79C62F49">
                  <w:pPr>
                    <w:keepNext w:val="0"/>
                    <w:keepLines w:val="0"/>
                    <w:pageBreakBefore w:val="0"/>
                    <w:kinsoku/>
                    <w:wordWrap/>
                    <w:overflowPunct/>
                    <w:topLinePunct w:val="0"/>
                    <w:autoSpaceDE/>
                    <w:autoSpaceDN/>
                    <w:bidi w:val="0"/>
                    <w:spacing w:line="380" w:lineRule="exact"/>
                    <w:jc w:val="center"/>
                    <w:rPr>
                      <w:rFonts w:hint="eastAsia" w:ascii="仿宋" w:hAnsi="仿宋" w:eastAsia="仿宋" w:cs="仿宋"/>
                      <w:i w:val="0"/>
                      <w:iCs w:val="0"/>
                      <w:color w:val="auto"/>
                      <w:sz w:val="21"/>
                      <w:szCs w:val="21"/>
                      <w:highlight w:val="none"/>
                      <w:u w:val="none"/>
                    </w:rPr>
                  </w:pPr>
                </w:p>
              </w:tc>
              <w:tc>
                <w:tcPr>
                  <w:tcW w:w="2820" w:type="dxa"/>
                  <w:vMerge w:val="continue"/>
                  <w:shd w:val="clear" w:color="auto" w:fill="FFFFFF"/>
                  <w:noWrap w:val="0"/>
                  <w:vAlign w:val="center"/>
                </w:tcPr>
                <w:p w14:paraId="3EF27E7B">
                  <w:pPr>
                    <w:keepNext w:val="0"/>
                    <w:keepLines w:val="0"/>
                    <w:pageBreakBefore w:val="0"/>
                    <w:kinsoku/>
                    <w:wordWrap/>
                    <w:overflowPunct/>
                    <w:topLinePunct w:val="0"/>
                    <w:autoSpaceDE/>
                    <w:autoSpaceDN/>
                    <w:bidi w:val="0"/>
                    <w:spacing w:line="380" w:lineRule="exact"/>
                    <w:jc w:val="left"/>
                    <w:rPr>
                      <w:rFonts w:hint="eastAsia" w:ascii="仿宋" w:hAnsi="仿宋" w:eastAsia="仿宋" w:cs="仿宋"/>
                      <w:i w:val="0"/>
                      <w:iCs w:val="0"/>
                      <w:color w:val="auto"/>
                      <w:sz w:val="21"/>
                      <w:szCs w:val="21"/>
                      <w:highlight w:val="none"/>
                      <w:u w:val="none"/>
                    </w:rPr>
                  </w:pPr>
                </w:p>
              </w:tc>
              <w:tc>
                <w:tcPr>
                  <w:tcW w:w="747" w:type="dxa"/>
                  <w:vMerge w:val="continue"/>
                  <w:shd w:val="clear" w:color="auto" w:fill="FFFFFF"/>
                  <w:noWrap w:val="0"/>
                  <w:vAlign w:val="center"/>
                </w:tcPr>
                <w:p w14:paraId="42FD807D">
                  <w:pPr>
                    <w:keepNext w:val="0"/>
                    <w:keepLines w:val="0"/>
                    <w:pageBreakBefore w:val="0"/>
                    <w:kinsoku/>
                    <w:wordWrap/>
                    <w:overflowPunct/>
                    <w:topLinePunct w:val="0"/>
                    <w:autoSpaceDE/>
                    <w:autoSpaceDN/>
                    <w:bidi w:val="0"/>
                    <w:spacing w:line="380" w:lineRule="exact"/>
                    <w:jc w:val="center"/>
                    <w:rPr>
                      <w:rFonts w:hint="eastAsia" w:ascii="仿宋" w:hAnsi="仿宋" w:eastAsia="仿宋" w:cs="仿宋"/>
                      <w:i w:val="0"/>
                      <w:iCs w:val="0"/>
                      <w:color w:val="auto"/>
                      <w:sz w:val="21"/>
                      <w:szCs w:val="21"/>
                      <w:highlight w:val="none"/>
                      <w:u w:val="none"/>
                    </w:rPr>
                  </w:pPr>
                </w:p>
              </w:tc>
              <w:tc>
                <w:tcPr>
                  <w:tcW w:w="1057" w:type="dxa"/>
                  <w:vMerge w:val="continue"/>
                  <w:shd w:val="clear" w:color="auto" w:fill="FFFFFF"/>
                  <w:noWrap w:val="0"/>
                  <w:vAlign w:val="center"/>
                </w:tcPr>
                <w:p w14:paraId="30549FF8">
                  <w:pPr>
                    <w:keepNext w:val="0"/>
                    <w:keepLines w:val="0"/>
                    <w:pageBreakBefore w:val="0"/>
                    <w:kinsoku/>
                    <w:wordWrap/>
                    <w:overflowPunct/>
                    <w:topLinePunct w:val="0"/>
                    <w:autoSpaceDE/>
                    <w:autoSpaceDN/>
                    <w:bidi w:val="0"/>
                    <w:spacing w:line="380" w:lineRule="exact"/>
                    <w:jc w:val="center"/>
                    <w:rPr>
                      <w:rFonts w:hint="eastAsia" w:ascii="仿宋" w:hAnsi="仿宋" w:eastAsia="仿宋" w:cs="仿宋"/>
                      <w:i w:val="0"/>
                      <w:iCs w:val="0"/>
                      <w:color w:val="auto"/>
                      <w:sz w:val="21"/>
                      <w:szCs w:val="21"/>
                      <w:highlight w:val="none"/>
                      <w:u w:val="none"/>
                    </w:rPr>
                  </w:pPr>
                </w:p>
              </w:tc>
            </w:tr>
            <w:tr w14:paraId="167C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shd w:val="clear" w:color="auto" w:fill="FFFFFF"/>
                  <w:noWrap w:val="0"/>
                  <w:vAlign w:val="center"/>
                </w:tcPr>
                <w:p w14:paraId="2BBAEE1F">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探头</w:t>
                  </w:r>
                </w:p>
              </w:tc>
              <w:tc>
                <w:tcPr>
                  <w:tcW w:w="2820" w:type="dxa"/>
                  <w:shd w:val="clear" w:color="auto" w:fill="FFFFFF"/>
                  <w:noWrap w:val="0"/>
                  <w:vAlign w:val="center"/>
                </w:tcPr>
                <w:p w14:paraId="387B9ACA">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按键线阵探头</w:t>
                  </w:r>
                </w:p>
              </w:tc>
              <w:tc>
                <w:tcPr>
                  <w:tcW w:w="747" w:type="dxa"/>
                  <w:shd w:val="clear" w:color="auto" w:fill="FFFFFF"/>
                  <w:noWrap w:val="0"/>
                  <w:vAlign w:val="center"/>
                </w:tcPr>
                <w:p w14:paraId="53C94B20">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12395AC9">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把</w:t>
                  </w:r>
                </w:p>
              </w:tc>
            </w:tr>
            <w:tr w14:paraId="0253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vMerge w:val="restart"/>
                  <w:shd w:val="clear" w:color="auto" w:fill="FFFFFF"/>
                  <w:noWrap w:val="0"/>
                  <w:vAlign w:val="center"/>
                </w:tcPr>
                <w:p w14:paraId="066FF346">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附件</w:t>
                  </w:r>
                </w:p>
              </w:tc>
              <w:tc>
                <w:tcPr>
                  <w:tcW w:w="2820" w:type="dxa"/>
                  <w:shd w:val="clear" w:color="auto" w:fill="FFFFFF"/>
                  <w:noWrap w:val="0"/>
                  <w:vAlign w:val="center"/>
                </w:tcPr>
                <w:p w14:paraId="318128E3">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多功能台车</w:t>
                  </w:r>
                </w:p>
              </w:tc>
              <w:tc>
                <w:tcPr>
                  <w:tcW w:w="747" w:type="dxa"/>
                  <w:shd w:val="clear" w:color="auto" w:fill="FFFFFF"/>
                  <w:noWrap w:val="0"/>
                  <w:vAlign w:val="center"/>
                </w:tcPr>
                <w:p w14:paraId="52477B67">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4FE918E3">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009A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vMerge w:val="continue"/>
                  <w:shd w:val="clear" w:color="auto" w:fill="FFFFFF"/>
                  <w:noWrap w:val="0"/>
                  <w:vAlign w:val="center"/>
                </w:tcPr>
                <w:p w14:paraId="00BB5222">
                  <w:pPr>
                    <w:keepNext w:val="0"/>
                    <w:keepLines w:val="0"/>
                    <w:pageBreakBefore w:val="0"/>
                    <w:kinsoku/>
                    <w:wordWrap/>
                    <w:overflowPunct/>
                    <w:topLinePunct w:val="0"/>
                    <w:autoSpaceDE/>
                    <w:autoSpaceDN/>
                    <w:bidi w:val="0"/>
                    <w:spacing w:line="380" w:lineRule="exact"/>
                    <w:jc w:val="center"/>
                    <w:rPr>
                      <w:rFonts w:hint="eastAsia" w:ascii="仿宋" w:hAnsi="仿宋" w:eastAsia="仿宋" w:cs="仿宋"/>
                      <w:i w:val="0"/>
                      <w:iCs w:val="0"/>
                      <w:color w:val="auto"/>
                      <w:sz w:val="21"/>
                      <w:szCs w:val="21"/>
                      <w:highlight w:val="none"/>
                      <w:u w:val="none"/>
                    </w:rPr>
                  </w:pPr>
                </w:p>
              </w:tc>
              <w:tc>
                <w:tcPr>
                  <w:tcW w:w="2820" w:type="dxa"/>
                  <w:shd w:val="clear" w:color="auto" w:fill="FFFFFF"/>
                  <w:noWrap w:val="0"/>
                  <w:vAlign w:val="center"/>
                </w:tcPr>
                <w:p w14:paraId="71D1A3EB">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内置锂电池</w:t>
                  </w:r>
                </w:p>
              </w:tc>
              <w:tc>
                <w:tcPr>
                  <w:tcW w:w="747" w:type="dxa"/>
                  <w:shd w:val="clear" w:color="auto" w:fill="FFFFFF"/>
                  <w:noWrap w:val="0"/>
                  <w:vAlign w:val="center"/>
                </w:tcPr>
                <w:p w14:paraId="659D5AFE">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7A276267">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r>
            <w:tr w14:paraId="410D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vMerge w:val="continue"/>
                  <w:shd w:val="clear" w:color="auto" w:fill="FFFFFF"/>
                  <w:noWrap w:val="0"/>
                  <w:vAlign w:val="center"/>
                </w:tcPr>
                <w:p w14:paraId="3D728783">
                  <w:pPr>
                    <w:keepNext w:val="0"/>
                    <w:keepLines w:val="0"/>
                    <w:pageBreakBefore w:val="0"/>
                    <w:kinsoku/>
                    <w:wordWrap/>
                    <w:overflowPunct/>
                    <w:topLinePunct w:val="0"/>
                    <w:autoSpaceDE/>
                    <w:autoSpaceDN/>
                    <w:bidi w:val="0"/>
                    <w:spacing w:line="380" w:lineRule="exact"/>
                    <w:jc w:val="center"/>
                    <w:rPr>
                      <w:rFonts w:hint="eastAsia" w:ascii="仿宋" w:hAnsi="仿宋" w:eastAsia="仿宋" w:cs="仿宋"/>
                      <w:i w:val="0"/>
                      <w:iCs w:val="0"/>
                      <w:color w:val="auto"/>
                      <w:sz w:val="21"/>
                      <w:szCs w:val="21"/>
                      <w:highlight w:val="none"/>
                      <w:u w:val="none"/>
                    </w:rPr>
                  </w:pPr>
                </w:p>
              </w:tc>
              <w:tc>
                <w:tcPr>
                  <w:tcW w:w="2820" w:type="dxa"/>
                  <w:shd w:val="clear" w:color="auto" w:fill="FFFFFF"/>
                  <w:noWrap w:val="0"/>
                  <w:vAlign w:val="center"/>
                </w:tcPr>
                <w:p w14:paraId="27CF3591">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国标电源线\电源适配器</w:t>
                  </w:r>
                </w:p>
              </w:tc>
              <w:tc>
                <w:tcPr>
                  <w:tcW w:w="747" w:type="dxa"/>
                  <w:shd w:val="clear" w:color="auto" w:fill="FFFFFF"/>
                  <w:noWrap w:val="0"/>
                  <w:vAlign w:val="center"/>
                </w:tcPr>
                <w:p w14:paraId="18C27CED">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1D29A937">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套</w:t>
                  </w:r>
                </w:p>
              </w:tc>
            </w:tr>
            <w:tr w14:paraId="1A0F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13" w:type="dxa"/>
                  <w:vMerge w:val="continue"/>
                  <w:shd w:val="clear" w:color="auto" w:fill="FFFFFF"/>
                  <w:noWrap w:val="0"/>
                  <w:vAlign w:val="center"/>
                </w:tcPr>
                <w:p w14:paraId="75062FCA">
                  <w:pPr>
                    <w:keepNext w:val="0"/>
                    <w:keepLines w:val="0"/>
                    <w:pageBreakBefore w:val="0"/>
                    <w:kinsoku/>
                    <w:wordWrap/>
                    <w:overflowPunct/>
                    <w:topLinePunct w:val="0"/>
                    <w:autoSpaceDE/>
                    <w:autoSpaceDN/>
                    <w:bidi w:val="0"/>
                    <w:spacing w:line="380" w:lineRule="exact"/>
                    <w:jc w:val="center"/>
                    <w:rPr>
                      <w:rFonts w:hint="eastAsia" w:ascii="仿宋" w:hAnsi="仿宋" w:eastAsia="仿宋" w:cs="仿宋"/>
                      <w:i w:val="0"/>
                      <w:iCs w:val="0"/>
                      <w:color w:val="auto"/>
                      <w:sz w:val="21"/>
                      <w:szCs w:val="21"/>
                      <w:highlight w:val="none"/>
                      <w:u w:val="none"/>
                    </w:rPr>
                  </w:pPr>
                </w:p>
              </w:tc>
              <w:tc>
                <w:tcPr>
                  <w:tcW w:w="2820" w:type="dxa"/>
                  <w:shd w:val="clear" w:color="auto" w:fill="FFFFFF"/>
                  <w:noWrap w:val="0"/>
                  <w:vAlign w:val="center"/>
                </w:tcPr>
                <w:p w14:paraId="53F233A3">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桌面支架</w:t>
                  </w:r>
                </w:p>
              </w:tc>
              <w:tc>
                <w:tcPr>
                  <w:tcW w:w="747" w:type="dxa"/>
                  <w:shd w:val="clear" w:color="auto" w:fill="FFFFFF"/>
                  <w:noWrap w:val="0"/>
                  <w:vAlign w:val="center"/>
                </w:tcPr>
                <w:p w14:paraId="42401F3B">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w:t>
                  </w:r>
                </w:p>
              </w:tc>
              <w:tc>
                <w:tcPr>
                  <w:tcW w:w="1057" w:type="dxa"/>
                  <w:shd w:val="clear" w:color="auto" w:fill="FFFFFF"/>
                  <w:noWrap w:val="0"/>
                  <w:vAlign w:val="center"/>
                </w:tcPr>
                <w:p w14:paraId="6EFEB93E">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套</w:t>
                  </w:r>
                </w:p>
              </w:tc>
            </w:tr>
            <w:tr w14:paraId="6FA4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13" w:type="dxa"/>
                  <w:vMerge w:val="continue"/>
                  <w:shd w:val="clear" w:color="auto" w:fill="FFFFFF"/>
                  <w:noWrap w:val="0"/>
                  <w:vAlign w:val="center"/>
                </w:tcPr>
                <w:p w14:paraId="6C4C4158">
                  <w:pPr>
                    <w:keepNext w:val="0"/>
                    <w:keepLines w:val="0"/>
                    <w:pageBreakBefore w:val="0"/>
                    <w:kinsoku/>
                    <w:wordWrap/>
                    <w:overflowPunct/>
                    <w:topLinePunct w:val="0"/>
                    <w:autoSpaceDE/>
                    <w:autoSpaceDN/>
                    <w:bidi w:val="0"/>
                    <w:spacing w:line="380" w:lineRule="exact"/>
                    <w:jc w:val="center"/>
                    <w:rPr>
                      <w:rFonts w:hint="eastAsia" w:ascii="仿宋" w:hAnsi="仿宋" w:eastAsia="仿宋" w:cs="仿宋"/>
                      <w:i w:val="0"/>
                      <w:iCs w:val="0"/>
                      <w:color w:val="auto"/>
                      <w:sz w:val="21"/>
                      <w:szCs w:val="21"/>
                      <w:highlight w:val="none"/>
                      <w:u w:val="none"/>
                    </w:rPr>
                  </w:pPr>
                </w:p>
              </w:tc>
              <w:tc>
                <w:tcPr>
                  <w:tcW w:w="2820" w:type="dxa"/>
                  <w:shd w:val="clear" w:color="auto" w:fill="FFFFFF"/>
                  <w:noWrap w:val="0"/>
                  <w:vAlign w:val="center"/>
                </w:tcPr>
                <w:p w14:paraId="54DA91E9">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超声耦合剂</w:t>
                  </w:r>
                </w:p>
              </w:tc>
              <w:tc>
                <w:tcPr>
                  <w:tcW w:w="747" w:type="dxa"/>
                  <w:shd w:val="clear" w:color="auto" w:fill="FFFFFF"/>
                  <w:noWrap w:val="0"/>
                  <w:vAlign w:val="center"/>
                </w:tcPr>
                <w:p w14:paraId="2249D77B">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05A57199">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个</w:t>
                  </w:r>
                </w:p>
              </w:tc>
            </w:tr>
            <w:tr w14:paraId="28D2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13" w:type="dxa"/>
                  <w:vMerge w:val="continue"/>
                  <w:shd w:val="clear" w:color="auto" w:fill="FFFFFF"/>
                  <w:noWrap w:val="0"/>
                  <w:vAlign w:val="center"/>
                </w:tcPr>
                <w:p w14:paraId="3D33D2E2">
                  <w:pPr>
                    <w:keepNext w:val="0"/>
                    <w:keepLines w:val="0"/>
                    <w:pageBreakBefore w:val="0"/>
                    <w:kinsoku/>
                    <w:wordWrap/>
                    <w:overflowPunct/>
                    <w:topLinePunct w:val="0"/>
                    <w:autoSpaceDE/>
                    <w:autoSpaceDN/>
                    <w:bidi w:val="0"/>
                    <w:spacing w:line="380" w:lineRule="exact"/>
                    <w:jc w:val="center"/>
                    <w:rPr>
                      <w:rFonts w:hint="eastAsia" w:ascii="仿宋" w:hAnsi="仿宋" w:eastAsia="仿宋" w:cs="仿宋"/>
                      <w:i w:val="0"/>
                      <w:iCs w:val="0"/>
                      <w:color w:val="auto"/>
                      <w:sz w:val="21"/>
                      <w:szCs w:val="21"/>
                      <w:highlight w:val="none"/>
                      <w:u w:val="none"/>
                    </w:rPr>
                  </w:pPr>
                </w:p>
              </w:tc>
              <w:tc>
                <w:tcPr>
                  <w:tcW w:w="2820" w:type="dxa"/>
                  <w:shd w:val="clear" w:color="auto" w:fill="FFFFFF"/>
                  <w:noWrap w:val="0"/>
                  <w:vAlign w:val="center"/>
                </w:tcPr>
                <w:p w14:paraId="4CB8C49A">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使用操作说明书</w:t>
                  </w:r>
                </w:p>
              </w:tc>
              <w:tc>
                <w:tcPr>
                  <w:tcW w:w="747" w:type="dxa"/>
                  <w:shd w:val="clear" w:color="auto" w:fill="FFFFFF"/>
                  <w:noWrap w:val="0"/>
                  <w:vAlign w:val="center"/>
                </w:tcPr>
                <w:p w14:paraId="67395478">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w:t>
                  </w:r>
                </w:p>
              </w:tc>
              <w:tc>
                <w:tcPr>
                  <w:tcW w:w="1057" w:type="dxa"/>
                  <w:shd w:val="clear" w:color="auto" w:fill="FFFFFF"/>
                  <w:noWrap w:val="0"/>
                  <w:vAlign w:val="center"/>
                </w:tcPr>
                <w:p w14:paraId="47BC721F">
                  <w:pPr>
                    <w:keepNext w:val="0"/>
                    <w:keepLines w:val="0"/>
                    <w:pageBreakBefore w:val="0"/>
                    <w:widowControl/>
                    <w:suppressLineNumbers w:val="0"/>
                    <w:kinsoku/>
                    <w:wordWrap/>
                    <w:overflowPunct/>
                    <w:topLinePunct w:val="0"/>
                    <w:autoSpaceDE/>
                    <w:autoSpaceDN/>
                    <w:bidi w:val="0"/>
                    <w:spacing w:line="380" w:lineRule="exact"/>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本</w:t>
                  </w:r>
                </w:p>
              </w:tc>
            </w:tr>
          </w:tbl>
          <w:p w14:paraId="00FCA99C">
            <w:pPr>
              <w:keepNext w:val="0"/>
              <w:keepLines w:val="0"/>
              <w:pageBreakBefore w:val="0"/>
              <w:numPr>
                <w:ilvl w:val="0"/>
                <w:numId w:val="0"/>
              </w:numPr>
              <w:kinsoku/>
              <w:wordWrap/>
              <w:overflowPunct/>
              <w:topLinePunct w:val="0"/>
              <w:autoSpaceDE/>
              <w:autoSpaceDN/>
              <w:bidi w:val="0"/>
              <w:adjustRightInd/>
              <w:snapToGrid/>
              <w:spacing w:line="380" w:lineRule="exact"/>
              <w:ind w:left="0" w:leftChars="0" w:firstLine="0" w:firstLineChars="0"/>
              <w:jc w:val="left"/>
              <w:outlineLvl w:val="9"/>
              <w:rPr>
                <w:rFonts w:hint="eastAsia" w:ascii="仿宋" w:hAnsi="仿宋" w:eastAsia="仿宋" w:cs="仿宋"/>
                <w:color w:val="auto"/>
                <w:sz w:val="21"/>
                <w:szCs w:val="21"/>
                <w:highlight w:val="none"/>
                <w:lang w:val="en-US" w:eastAsia="zh-CN"/>
              </w:rPr>
            </w:pPr>
          </w:p>
        </w:tc>
        <w:tc>
          <w:tcPr>
            <w:tcW w:w="533" w:type="dxa"/>
            <w:tcBorders>
              <w:top w:val="single" w:color="auto" w:sz="4" w:space="0"/>
              <w:left w:val="single" w:color="auto" w:sz="4" w:space="0"/>
              <w:bottom w:val="single" w:color="auto" w:sz="4" w:space="0"/>
              <w:right w:val="single" w:color="auto" w:sz="4" w:space="0"/>
            </w:tcBorders>
            <w:noWrap w:val="0"/>
            <w:vAlign w:val="center"/>
          </w:tcPr>
          <w:p w14:paraId="7095F8A2">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rPr>
              <w:t>1</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1347E616">
            <w:pPr>
              <w:keepNext w:val="0"/>
              <w:keepLines w:val="0"/>
              <w:pageBreakBefore w:val="0"/>
              <w:widowControl/>
              <w:kinsoku/>
              <w:wordWrap/>
              <w:overflowPunct/>
              <w:topLinePunct w:val="0"/>
              <w:autoSpaceDE/>
              <w:autoSpaceDN/>
              <w:bidi w:val="0"/>
              <w:adjustRightInd/>
              <w:snapToGrid/>
              <w:spacing w:line="380" w:lineRule="exact"/>
              <w:jc w:val="center"/>
              <w:textAlignment w:val="center"/>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台</w:t>
            </w:r>
          </w:p>
        </w:tc>
        <w:tc>
          <w:tcPr>
            <w:tcW w:w="997" w:type="dxa"/>
            <w:tcBorders>
              <w:top w:val="single" w:color="auto" w:sz="4" w:space="0"/>
              <w:left w:val="single" w:color="auto" w:sz="4" w:space="0"/>
              <w:bottom w:val="single" w:color="auto" w:sz="4" w:space="0"/>
              <w:right w:val="single" w:color="auto" w:sz="4" w:space="0"/>
            </w:tcBorders>
            <w:noWrap w:val="0"/>
            <w:vAlign w:val="center"/>
          </w:tcPr>
          <w:p w14:paraId="73F827E0">
            <w:pPr>
              <w:keepNext w:val="0"/>
              <w:keepLines w:val="0"/>
              <w:pageBreakBefore w:val="0"/>
              <w:widowControl w:val="0"/>
              <w:suppressLineNumbers w:val="0"/>
              <w:kinsoku/>
              <w:wordWrap/>
              <w:overflowPunct/>
              <w:topLinePunct w:val="0"/>
              <w:autoSpaceDE/>
              <w:autoSpaceDN/>
              <w:bidi w:val="0"/>
              <w:adjustRightInd w:val="0"/>
              <w:snapToGrid w:val="0"/>
              <w:spacing w:line="380" w:lineRule="exact"/>
              <w:jc w:val="center"/>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18.9</w:t>
            </w:r>
          </w:p>
        </w:tc>
      </w:tr>
    </w:tbl>
    <w:tbl>
      <w:tblPr>
        <w:tblStyle w:val="23"/>
        <w:tblW w:w="1005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8246"/>
      </w:tblGrid>
      <w:tr w14:paraId="24DD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050" w:type="dxa"/>
            <w:gridSpan w:val="2"/>
            <w:vAlign w:val="center"/>
          </w:tcPr>
          <w:p w14:paraId="72724568">
            <w:pPr>
              <w:spacing w:line="360" w:lineRule="exact"/>
              <w:rPr>
                <w:rFonts w:hint="eastAsia" w:ascii="宋体" w:hAnsi="宋体" w:cs="宋体"/>
                <w:b/>
                <w:bCs/>
                <w:color w:val="auto"/>
                <w:szCs w:val="21"/>
                <w:highlight w:val="none"/>
              </w:rPr>
            </w:pPr>
            <w:r>
              <w:rPr>
                <w:rFonts w:hint="eastAsia" w:ascii="宋体" w:hAnsi="宋体" w:cs="宋体"/>
                <w:b/>
                <w:bCs/>
                <w:color w:val="auto"/>
                <w:szCs w:val="21"/>
                <w:highlight w:val="none"/>
              </w:rPr>
              <w:t>商务要求</w:t>
            </w:r>
            <w:r>
              <w:rPr>
                <w:rFonts w:hint="eastAsia" w:ascii="宋体" w:hAnsi="宋体" w:eastAsia="宋体" w:cs="宋体"/>
                <w:color w:val="auto"/>
                <w:kern w:val="2"/>
                <w:sz w:val="21"/>
                <w:szCs w:val="21"/>
                <w:highlight w:val="none"/>
              </w:rPr>
              <w:t>▲</w:t>
            </w:r>
          </w:p>
        </w:tc>
      </w:tr>
      <w:tr w14:paraId="18CB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804" w:type="dxa"/>
            <w:vAlign w:val="center"/>
          </w:tcPr>
          <w:p w14:paraId="6672E242">
            <w:pPr>
              <w:adjustRightInd w:val="0"/>
              <w:snapToGrid w:val="0"/>
              <w:spacing w:line="340" w:lineRule="exact"/>
              <w:jc w:val="center"/>
              <w:rPr>
                <w:rFonts w:hint="eastAsia" w:ascii="宋体" w:hAnsi="宋体" w:cs="宋体"/>
                <w:b/>
                <w:bCs/>
                <w:color w:val="auto"/>
                <w:szCs w:val="21"/>
                <w:highlight w:val="none"/>
              </w:rPr>
            </w:pPr>
            <w:r>
              <w:rPr>
                <w:rFonts w:hint="eastAsia" w:ascii="宋体" w:hAnsi="宋体" w:cs="宋体"/>
                <w:b/>
                <w:color w:val="auto"/>
                <w:szCs w:val="21"/>
                <w:highlight w:val="none"/>
              </w:rPr>
              <w:t>（一）售后服务</w:t>
            </w:r>
          </w:p>
        </w:tc>
        <w:tc>
          <w:tcPr>
            <w:tcW w:w="8246" w:type="dxa"/>
            <w:vAlign w:val="center"/>
          </w:tcPr>
          <w:p w14:paraId="605EE3BA">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投标人提供的以下售后服务均应包含在投标报价中，采购人不再就此另行支付任何费用：</w:t>
            </w:r>
          </w:p>
          <w:p w14:paraId="33534A09">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1.按国家有关产品“三包”规定执行“三包”。</w:t>
            </w:r>
          </w:p>
          <w:p w14:paraId="1D4C1197">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2.保修期（有效期）</w:t>
            </w:r>
          </w:p>
          <w:p w14:paraId="0A4B8AED">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（1）保修期：</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年（从验收合格之日起计算；技术要求有特别要求的则遵照其要求）。保修期内上门维修、更换零部件。保修期满后，对软件产品提供终身升级及维护服务。</w:t>
            </w:r>
          </w:p>
          <w:p w14:paraId="41028A20">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3.国产医疗设备交付日期距生产日期超过3个月（进口设备交付日期距生产日期超过6个月）的设备不予验收合格。质保期满后，每年的维保费用不超过合同价款5%，维保协议双方另行签订（如有）。</w:t>
            </w:r>
          </w:p>
          <w:p w14:paraId="0F1D5B00">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.在保修期内因产品本身的质量问题发生故障，中标人应负责修理和更换零部件。对达不到技术要求者，采购人根据实际情况可按以下办法处理：</w:t>
            </w:r>
          </w:p>
          <w:p w14:paraId="7438CB9D">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（1）更换：由中标人承担所有发生的全部费用。</w:t>
            </w:r>
          </w:p>
          <w:p w14:paraId="41E84437">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（2）贬值处理：由采购人和中标人双方合议定价。</w:t>
            </w:r>
          </w:p>
          <w:p w14:paraId="068DC754">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（3）退货处理：中标人应退还采购人支付的合同款，同时应承担该产品的直接费用（运输、保险、检验、贷款利息及银行手续费等）。</w:t>
            </w:r>
          </w:p>
          <w:p w14:paraId="082490B9">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.送货上门、安装调试合格。中标人对其提供产品或服务的使用和操作应尽培训义务。中标人应提供对采购人的基本培训，使采购人使用人员熟练掌握所培训内容，熟练掌握全部功能。</w:t>
            </w:r>
          </w:p>
          <w:p w14:paraId="7DD0CD50">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.售后服务标准、期限、效率：</w:t>
            </w:r>
          </w:p>
          <w:p w14:paraId="4E617A89">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 xml:space="preserve">（1）中标人应按照国家有关法律法规和“三包”规定以及招标文件、投标文件、合同规定为采购人提供售后服务。中标人承诺质量保证期优于国家“三包”规定的，或优于招标文件规定的，按中标人实际承诺执行。 </w:t>
            </w:r>
          </w:p>
          <w:p w14:paraId="0CA6B902">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 xml:space="preserve">（2）负责派合格的工程师到现场进行设备安装、调试，达到正常运作要求，保证机器正常使用。如在使用过程中发生质量问题，2小时响应，12小时内上门处理，48 小时内解决故障；未能在规定时间内排除故障的，必须在72小时内提供同档次的备用机。 </w:t>
            </w:r>
          </w:p>
          <w:p w14:paraId="73143008">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（3）中标人或产品厂家服务机构提供24小时365天维修服务热线支持。</w:t>
            </w:r>
          </w:p>
          <w:p w14:paraId="6883867C">
            <w:pPr>
              <w:spacing w:line="360" w:lineRule="auto"/>
              <w:jc w:val="left"/>
              <w:rPr>
                <w:rFonts w:hint="eastAsia" w:ascii="宋体" w:hAnsi="宋体" w:cs="宋体"/>
                <w:color w:val="auto"/>
                <w:kern w:val="0"/>
                <w:szCs w:val="21"/>
                <w:highlight w:val="none"/>
              </w:rPr>
            </w:pP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.售后服务其他要求按合同条款执行。</w:t>
            </w:r>
          </w:p>
        </w:tc>
      </w:tr>
      <w:tr w14:paraId="0235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4570277F">
            <w:pPr>
              <w:adjustRightInd w:val="0"/>
              <w:snapToGrid w:val="0"/>
              <w:spacing w:line="340" w:lineRule="exact"/>
              <w:jc w:val="center"/>
              <w:rPr>
                <w:rFonts w:hint="eastAsia" w:ascii="宋体" w:hAnsi="宋体" w:cs="宋体"/>
                <w:b/>
                <w:bCs/>
                <w:color w:val="auto"/>
                <w:kern w:val="0"/>
                <w:szCs w:val="21"/>
                <w:highlight w:val="none"/>
              </w:rPr>
            </w:pPr>
            <w:r>
              <w:rPr>
                <w:rFonts w:hint="eastAsia" w:ascii="宋体" w:hAnsi="宋体" w:cs="宋体"/>
                <w:b/>
                <w:color w:val="auto"/>
                <w:szCs w:val="21"/>
                <w:highlight w:val="none"/>
              </w:rPr>
              <w:t>（二）交付时间和地点</w:t>
            </w:r>
          </w:p>
        </w:tc>
        <w:tc>
          <w:tcPr>
            <w:tcW w:w="8246" w:type="dxa"/>
            <w:vAlign w:val="center"/>
          </w:tcPr>
          <w:p w14:paraId="7AA80794">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1.交付时间：</w:t>
            </w:r>
          </w:p>
          <w:p w14:paraId="1B37ADCE">
            <w:pPr>
              <w:adjustRightInd w:val="0"/>
              <w:snapToGrid w:val="0"/>
              <w:spacing w:line="340" w:lineRule="exact"/>
              <w:rPr>
                <w:rFonts w:hint="eastAsia" w:asciiTheme="majorEastAsia" w:hAnsiTheme="majorEastAsia" w:eastAsiaTheme="majorEastAsia" w:cstheme="majorEastAsia"/>
                <w:b/>
                <w:bCs/>
                <w:color w:val="auto"/>
                <w:szCs w:val="21"/>
                <w:highlight w:val="none"/>
              </w:rPr>
            </w:pPr>
            <w:r>
              <w:rPr>
                <w:rFonts w:hint="eastAsia" w:asciiTheme="majorEastAsia" w:hAnsiTheme="majorEastAsia" w:eastAsiaTheme="majorEastAsia" w:cstheme="majorEastAsia"/>
                <w:b/>
                <w:bCs/>
                <w:color w:val="auto"/>
                <w:szCs w:val="21"/>
                <w:highlight w:val="none"/>
              </w:rPr>
              <w:t>（1）自合同签订之日起</w:t>
            </w:r>
            <w:r>
              <w:rPr>
                <w:rFonts w:hint="eastAsia" w:asciiTheme="majorEastAsia" w:hAnsiTheme="majorEastAsia" w:eastAsiaTheme="majorEastAsia" w:cstheme="majorEastAsia"/>
                <w:b/>
                <w:bCs/>
                <w:color w:val="auto"/>
                <w:szCs w:val="21"/>
                <w:highlight w:val="none"/>
                <w:lang w:val="en-US" w:eastAsia="zh-CN"/>
              </w:rPr>
              <w:t>6</w:t>
            </w:r>
            <w:r>
              <w:rPr>
                <w:rFonts w:hint="eastAsia" w:asciiTheme="majorEastAsia" w:hAnsiTheme="majorEastAsia" w:eastAsiaTheme="majorEastAsia" w:cstheme="majorEastAsia"/>
                <w:b/>
                <w:bCs/>
                <w:color w:val="auto"/>
                <w:szCs w:val="21"/>
                <w:highlight w:val="none"/>
              </w:rPr>
              <w:t>0个日历日内安装调试完成并验收合格交付使用。</w:t>
            </w:r>
          </w:p>
          <w:p w14:paraId="4213872F">
            <w:pPr>
              <w:spacing w:line="360" w:lineRule="auto"/>
              <w:jc w:val="left"/>
              <w:rPr>
                <w:rFonts w:hint="eastAsia" w:ascii="宋体" w:hAnsi="宋体" w:cs="宋体"/>
                <w:color w:val="auto"/>
                <w:szCs w:val="21"/>
                <w:highlight w:val="none"/>
              </w:rPr>
            </w:pPr>
            <w:r>
              <w:rPr>
                <w:rFonts w:hint="eastAsia" w:ascii="宋体" w:hAnsi="宋体" w:cs="宋体"/>
                <w:b/>
                <w:color w:val="auto"/>
                <w:szCs w:val="21"/>
                <w:highlight w:val="none"/>
              </w:rPr>
              <w:t>2.交付地点：广西桂林市采购人院内指定地点。</w:t>
            </w:r>
          </w:p>
        </w:tc>
      </w:tr>
      <w:tr w14:paraId="463D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6C4FBE03">
            <w:pPr>
              <w:adjustRightInd w:val="0"/>
              <w:snapToGrid w:val="0"/>
              <w:spacing w:line="340" w:lineRule="exact"/>
              <w:jc w:val="center"/>
              <w:rPr>
                <w:rFonts w:hint="eastAsia" w:ascii="宋体" w:hAnsi="宋体" w:cs="宋体"/>
                <w:b/>
                <w:bCs/>
                <w:color w:val="auto"/>
                <w:szCs w:val="21"/>
                <w:highlight w:val="none"/>
              </w:rPr>
            </w:pPr>
            <w:r>
              <w:rPr>
                <w:rFonts w:hint="eastAsia" w:ascii="宋体" w:hAnsi="宋体" w:cs="宋体"/>
                <w:b/>
                <w:color w:val="auto"/>
                <w:szCs w:val="21"/>
                <w:highlight w:val="none"/>
              </w:rPr>
              <w:t>（三）付款条件（进度和方式）</w:t>
            </w:r>
          </w:p>
        </w:tc>
        <w:tc>
          <w:tcPr>
            <w:tcW w:w="8246" w:type="dxa"/>
            <w:vAlign w:val="center"/>
          </w:tcPr>
          <w:p w14:paraId="4A395F98">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1.付款进度安排：</w:t>
            </w:r>
          </w:p>
          <w:p w14:paraId="1615275C">
            <w:pPr>
              <w:adjustRightInd w:val="0"/>
              <w:snapToGrid w:val="0"/>
              <w:spacing w:line="340" w:lineRule="exact"/>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合同签订后，自验收合格（培训指导完成、设备、软件正式使用）收到正规等额、有效发票之日起6个月后支付合同价款的95%，合同价款的5%作为</w:t>
            </w:r>
            <w:r>
              <w:rPr>
                <w:rFonts w:hint="eastAsia" w:asciiTheme="majorEastAsia" w:hAnsiTheme="majorEastAsia" w:eastAsiaTheme="majorEastAsia" w:cstheme="majorEastAsia"/>
                <w:color w:val="auto"/>
                <w:szCs w:val="21"/>
                <w:highlight w:val="none"/>
                <w:lang w:val="en-US" w:eastAsia="zh-CN"/>
              </w:rPr>
              <w:t>履约</w:t>
            </w:r>
            <w:r>
              <w:rPr>
                <w:rFonts w:hint="eastAsia" w:asciiTheme="majorEastAsia" w:hAnsiTheme="majorEastAsia" w:eastAsiaTheme="majorEastAsia" w:cstheme="majorEastAsia"/>
                <w:color w:val="auto"/>
                <w:szCs w:val="21"/>
                <w:highlight w:val="none"/>
              </w:rPr>
              <w:t>保证金，质保期满30个工作日后付清（无息）。</w:t>
            </w:r>
          </w:p>
          <w:p w14:paraId="44939F6E">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 xml:space="preserve">2.本项目使用货币币制如未作特别说明均为人民币。 </w:t>
            </w:r>
          </w:p>
          <w:p w14:paraId="6E5822D6">
            <w:pPr>
              <w:spacing w:line="360" w:lineRule="auto"/>
              <w:jc w:val="left"/>
              <w:rPr>
                <w:rFonts w:hint="eastAsia" w:ascii="宋体" w:hAnsi="宋体" w:cs="宋体"/>
                <w:color w:val="auto"/>
                <w:szCs w:val="21"/>
                <w:highlight w:val="none"/>
              </w:rPr>
            </w:pPr>
            <w:r>
              <w:rPr>
                <w:rFonts w:hint="eastAsia" w:ascii="宋体" w:hAnsi="宋体" w:cs="宋体"/>
                <w:b/>
                <w:color w:val="auto"/>
                <w:szCs w:val="21"/>
                <w:highlight w:val="none"/>
                <w:lang w:eastAsia="zh-Hans"/>
              </w:rPr>
              <w:t>3.中标人请款时按要求开具等额税务发票。票据要求：中标人必须按照采购人要求提供真实、有效、合法的正式发票。一旦发现中标人提供虚假发票，除须向采购人补开合法发票外，须赔偿采购人发票票面金额一倍的违约金，且采购人有权终止合同，中标人不得提出异议，因终止合同而产生的一切损失均由中标人承担。</w:t>
            </w:r>
          </w:p>
        </w:tc>
      </w:tr>
      <w:tr w14:paraId="04FE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3E1DCC2E">
            <w:pPr>
              <w:adjustRightInd w:val="0"/>
              <w:snapToGrid w:val="0"/>
              <w:spacing w:line="340" w:lineRule="exact"/>
              <w:jc w:val="center"/>
              <w:rPr>
                <w:rFonts w:hint="eastAsia" w:ascii="宋体" w:hAnsi="宋体" w:cs="宋体"/>
                <w:b/>
                <w:bCs/>
                <w:color w:val="auto"/>
                <w:szCs w:val="21"/>
                <w:highlight w:val="none"/>
              </w:rPr>
            </w:pPr>
            <w:r>
              <w:rPr>
                <w:rFonts w:hint="eastAsia" w:ascii="宋体" w:hAnsi="宋体" w:cs="宋体"/>
                <w:b/>
                <w:color w:val="auto"/>
                <w:szCs w:val="21"/>
                <w:highlight w:val="none"/>
              </w:rPr>
              <w:t>（四）包装和运输</w:t>
            </w:r>
          </w:p>
        </w:tc>
        <w:tc>
          <w:tcPr>
            <w:tcW w:w="8246" w:type="dxa"/>
            <w:vAlign w:val="center"/>
          </w:tcPr>
          <w:p w14:paraId="182EDAC7">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p w14:paraId="588BC481">
            <w:pPr>
              <w:spacing w:line="400" w:lineRule="exact"/>
              <w:ind w:left="316" w:hanging="315" w:hangingChars="150"/>
              <w:rPr>
                <w:rFonts w:hint="eastAsia" w:ascii="宋体" w:hAnsi="宋体" w:cs="宋体"/>
                <w:color w:val="auto"/>
                <w:szCs w:val="21"/>
                <w:highlight w:val="none"/>
              </w:rPr>
            </w:pPr>
            <w:r>
              <w:rPr>
                <w:rFonts w:hint="eastAsia" w:ascii="宋体" w:hAnsi="宋体" w:cs="宋体"/>
                <w:b/>
                <w:color w:val="auto"/>
                <w:szCs w:val="21"/>
                <w:highlight w:val="none"/>
              </w:rPr>
              <w:t>2.运输要求按合同条款执行。</w:t>
            </w:r>
          </w:p>
        </w:tc>
      </w:tr>
      <w:tr w14:paraId="5B44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804" w:type="dxa"/>
            <w:vAlign w:val="center"/>
          </w:tcPr>
          <w:p w14:paraId="31F198F7">
            <w:pPr>
              <w:adjustRightInd w:val="0"/>
              <w:snapToGrid w:val="0"/>
              <w:spacing w:line="340" w:lineRule="exact"/>
              <w:rPr>
                <w:rFonts w:hint="eastAsia" w:ascii="宋体" w:hAnsi="宋体" w:cs="宋体"/>
                <w:color w:val="auto"/>
                <w:kern w:val="0"/>
                <w:szCs w:val="21"/>
                <w:highlight w:val="none"/>
              </w:rPr>
            </w:pPr>
            <w:r>
              <w:rPr>
                <w:rFonts w:hint="eastAsia" w:ascii="宋体" w:hAnsi="宋体" w:cs="宋体"/>
                <w:b/>
                <w:color w:val="auto"/>
                <w:szCs w:val="21"/>
                <w:highlight w:val="none"/>
              </w:rPr>
              <w:t>（五）保险</w:t>
            </w:r>
          </w:p>
        </w:tc>
        <w:tc>
          <w:tcPr>
            <w:tcW w:w="8246" w:type="dxa"/>
            <w:vAlign w:val="center"/>
          </w:tcPr>
          <w:p w14:paraId="1C85FCEC">
            <w:pPr>
              <w:spacing w:line="360" w:lineRule="auto"/>
              <w:jc w:val="left"/>
              <w:rPr>
                <w:rFonts w:hint="eastAsia" w:ascii="宋体" w:hAnsi="宋体" w:cs="宋体"/>
                <w:color w:val="auto"/>
                <w:szCs w:val="21"/>
                <w:highlight w:val="none"/>
              </w:rPr>
            </w:pPr>
            <w:r>
              <w:rPr>
                <w:rFonts w:hint="eastAsia" w:ascii="宋体" w:hAnsi="宋体" w:cs="宋体"/>
                <w:b/>
                <w:color w:val="auto"/>
                <w:szCs w:val="21"/>
                <w:highlight w:val="none"/>
              </w:rPr>
              <w:t>中标人负责办理运输和保险，将货物运抵交货地点。与运输、保险相关的费用由中标人承担。</w:t>
            </w:r>
          </w:p>
        </w:tc>
      </w:tr>
      <w:tr w14:paraId="764E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7278307A">
            <w:pPr>
              <w:spacing w:line="360" w:lineRule="exact"/>
              <w:jc w:val="center"/>
              <w:rPr>
                <w:rFonts w:hint="eastAsia" w:ascii="宋体" w:hAnsi="宋体" w:cs="宋体"/>
                <w:b/>
                <w:bCs/>
                <w:color w:val="auto"/>
                <w:szCs w:val="21"/>
                <w:highlight w:val="none"/>
              </w:rPr>
            </w:pPr>
          </w:p>
          <w:p w14:paraId="07E8A4BF">
            <w:pPr>
              <w:adjustRightInd w:val="0"/>
              <w:snapToGrid w:val="0"/>
              <w:spacing w:line="340" w:lineRule="exact"/>
              <w:jc w:val="center"/>
              <w:rPr>
                <w:rFonts w:hint="eastAsia" w:ascii="宋体" w:hAnsi="宋体" w:cs="宋体"/>
                <w:b/>
                <w:bCs/>
                <w:color w:val="auto"/>
                <w:kern w:val="0"/>
                <w:szCs w:val="21"/>
                <w:highlight w:val="none"/>
              </w:rPr>
            </w:pPr>
            <w:r>
              <w:rPr>
                <w:rFonts w:hint="eastAsia" w:ascii="宋体" w:hAnsi="宋体" w:cs="宋体"/>
                <w:b/>
                <w:color w:val="auto"/>
                <w:szCs w:val="21"/>
                <w:highlight w:val="none"/>
              </w:rPr>
              <w:t>（六）验收标准</w:t>
            </w:r>
          </w:p>
        </w:tc>
        <w:tc>
          <w:tcPr>
            <w:tcW w:w="8246" w:type="dxa"/>
            <w:vAlign w:val="center"/>
          </w:tcPr>
          <w:p w14:paraId="0304E093">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1.检查供货范围或服务范围</w:t>
            </w:r>
          </w:p>
          <w:p w14:paraId="6D2808D1">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产品到达现场后,中标人应在采购人单位人员在场情况下当面开箱，共同清点、检查外观，作出开箱记录，双方签字确认。中标人应保证货物到达采购人所在地完好无损，如有缺漏、损坏，由中标人负责调换、补齐或赔偿。</w:t>
            </w:r>
          </w:p>
          <w:p w14:paraId="33E73A95">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2.中标人应提供完备的技术或服务资料、装箱单和合格证等，并派遣专业人员进行现场安装调试。验收合格条件如下：</w:t>
            </w:r>
          </w:p>
          <w:p w14:paraId="48BF2BE3">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2.1货物或服务技术参数与采购合同一致，性能或指标达到规定的标准。</w:t>
            </w:r>
          </w:p>
          <w:p w14:paraId="6903816C">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2.2技术或资料、装箱单、合格证等资料齐全。</w:t>
            </w:r>
          </w:p>
          <w:p w14:paraId="468903E5">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2.3在测试或试运行期间所出现的问题得到解决，并运行或工作正常。</w:t>
            </w:r>
          </w:p>
          <w:p w14:paraId="1167451B">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2.4在规定时间内完成交货及验收，并经采购人确认。</w:t>
            </w:r>
          </w:p>
          <w:p w14:paraId="41D2D947">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3.产品或服务在安装调试并试运行符合要求后，才作为最终验收。</w:t>
            </w:r>
          </w:p>
          <w:p w14:paraId="50E642AC">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4.中标人提供的货物或服务未达到招标文件规定要求，且对采购人造成损失的，由中标人承担一切责任，并赔偿所造成的损失。</w:t>
            </w:r>
          </w:p>
          <w:p w14:paraId="2C989E12">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5.采购人需要制造商对中标人交付的产品或服务（包括质量、参数等）进行确认的，制造商应予以配合并出具书面意见，相关配合事项由中标人与制造商协调。</w:t>
            </w:r>
          </w:p>
          <w:p w14:paraId="75F4ED5B">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6.产品包装材料归采购人所有。</w:t>
            </w:r>
          </w:p>
          <w:p w14:paraId="5042AD93">
            <w:pPr>
              <w:adjustRightInd w:val="0"/>
              <w:snapToGrid w:val="0"/>
              <w:spacing w:line="340" w:lineRule="exact"/>
              <w:rPr>
                <w:rFonts w:hint="eastAsia" w:ascii="宋体" w:hAnsi="宋体" w:cs="宋体"/>
                <w:b/>
                <w:color w:val="auto"/>
                <w:szCs w:val="21"/>
                <w:highlight w:val="none"/>
                <w:lang w:eastAsia="zh-Hans"/>
              </w:rPr>
            </w:pPr>
            <w:r>
              <w:rPr>
                <w:rFonts w:hint="eastAsia" w:ascii="宋体" w:hAnsi="宋体" w:cs="宋体"/>
                <w:b/>
                <w:color w:val="auto"/>
                <w:szCs w:val="21"/>
                <w:highlight w:val="none"/>
                <w:lang w:eastAsia="zh-Hans"/>
              </w:rPr>
              <w:t>7.大型或者复杂的采购项目，采购人可以邀请具有相关资质的检测机构参加验收工作。</w:t>
            </w:r>
          </w:p>
          <w:p w14:paraId="2909C170">
            <w:pPr>
              <w:spacing w:line="360" w:lineRule="auto"/>
              <w:jc w:val="left"/>
              <w:rPr>
                <w:rFonts w:hint="eastAsia" w:ascii="宋体" w:hAnsi="宋体" w:cs="宋体"/>
                <w:color w:val="auto"/>
                <w:kern w:val="0"/>
                <w:szCs w:val="21"/>
                <w:highlight w:val="none"/>
              </w:rPr>
            </w:pPr>
            <w:r>
              <w:rPr>
                <w:rFonts w:hint="eastAsia" w:ascii="宋体" w:hAnsi="宋体" w:cs="宋体"/>
                <w:b/>
                <w:color w:val="auto"/>
                <w:szCs w:val="21"/>
                <w:highlight w:val="none"/>
                <w:lang w:eastAsia="zh-Hans"/>
              </w:rPr>
              <w:t>8.其他验收要求按招标文件合同主要条款执行，未尽事宜按照《关于印发广西壮族自治区政府采购项目履约验收管理办法的通知》[桂财采（2015）22号]以及《财政部关于进--步加强政府采购需求和履约验收管理的指导意见》[财库（2016） 205号]规定执行。</w:t>
            </w:r>
          </w:p>
        </w:tc>
      </w:tr>
      <w:tr w14:paraId="3E47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41A1430F">
            <w:pPr>
              <w:adjustRightInd w:val="0"/>
              <w:snapToGrid w:val="0"/>
              <w:spacing w:line="340" w:lineRule="exact"/>
              <w:jc w:val="center"/>
              <w:rPr>
                <w:rFonts w:hint="eastAsia" w:ascii="宋体" w:hAnsi="宋体" w:cs="宋体"/>
                <w:b/>
                <w:color w:val="auto"/>
                <w:kern w:val="0"/>
                <w:szCs w:val="21"/>
                <w:highlight w:val="none"/>
              </w:rPr>
            </w:pPr>
            <w:r>
              <w:rPr>
                <w:rFonts w:hint="eastAsia" w:ascii="宋体" w:hAnsi="宋体" w:cs="宋体"/>
                <w:b/>
                <w:color w:val="auto"/>
                <w:szCs w:val="21"/>
                <w:highlight w:val="none"/>
              </w:rPr>
              <w:t>（七）进口产品说明</w:t>
            </w:r>
          </w:p>
        </w:tc>
        <w:tc>
          <w:tcPr>
            <w:tcW w:w="8246" w:type="dxa"/>
            <w:vAlign w:val="center"/>
          </w:tcPr>
          <w:p w14:paraId="6296625A">
            <w:pPr>
              <w:spacing w:line="360" w:lineRule="auto"/>
              <w:jc w:val="left"/>
              <w:rPr>
                <w:rFonts w:hint="eastAsia" w:ascii="宋体" w:hAnsi="宋体" w:cs="宋体"/>
                <w:color w:val="auto"/>
                <w:kern w:val="0"/>
                <w:szCs w:val="21"/>
                <w:highlight w:val="none"/>
              </w:rPr>
            </w:pPr>
            <w:r>
              <w:rPr>
                <w:rFonts w:hint="eastAsia" w:ascii="宋体" w:hAnsi="宋体" w:cs="宋体"/>
                <w:b/>
                <w:color w:val="auto"/>
                <w:szCs w:val="21"/>
                <w:highlight w:val="none"/>
              </w:rPr>
              <w:t>本项目采购标的不接受进口产品（即通过中国海关报关验放进入中国境内且产自关境外的产品）参与投标，如有此类产品参与投标的，投标文件按无效处理。</w:t>
            </w:r>
          </w:p>
        </w:tc>
      </w:tr>
      <w:tr w14:paraId="691E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68E6694F">
            <w:pPr>
              <w:adjustRightInd w:val="0"/>
              <w:snapToGrid w:val="0"/>
              <w:spacing w:line="340" w:lineRule="exact"/>
              <w:jc w:val="center"/>
              <w:rPr>
                <w:rFonts w:hint="eastAsia" w:ascii="宋体" w:hAnsi="宋体" w:cs="宋体"/>
                <w:b/>
                <w:color w:val="auto"/>
                <w:kern w:val="0"/>
                <w:szCs w:val="21"/>
                <w:highlight w:val="none"/>
              </w:rPr>
            </w:pPr>
            <w:r>
              <w:rPr>
                <w:rFonts w:hint="eastAsia" w:ascii="宋体" w:hAnsi="宋体" w:cs="宋体"/>
                <w:b/>
                <w:color w:val="auto"/>
                <w:szCs w:val="21"/>
                <w:highlight w:val="none"/>
              </w:rPr>
              <w:t>（八）最高限价及报价要求</w:t>
            </w:r>
          </w:p>
        </w:tc>
        <w:tc>
          <w:tcPr>
            <w:tcW w:w="8246" w:type="dxa"/>
            <w:vAlign w:val="center"/>
          </w:tcPr>
          <w:p w14:paraId="6A62F754">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1.本项目最高限价为人民币：</w:t>
            </w:r>
            <w:r>
              <w:rPr>
                <w:rFonts w:hint="eastAsia" w:ascii="宋体" w:hAnsi="宋体" w:cs="宋体"/>
                <w:b/>
                <w:color w:val="auto"/>
                <w:szCs w:val="21"/>
                <w:highlight w:val="none"/>
                <w:lang w:val="en-US" w:eastAsia="zh-CN"/>
              </w:rPr>
              <w:t>捌拾贰万玖仟</w:t>
            </w:r>
            <w:r>
              <w:rPr>
                <w:rFonts w:hint="eastAsia" w:ascii="宋体" w:hAnsi="宋体" w:cs="宋体"/>
                <w:b/>
                <w:color w:val="auto"/>
                <w:szCs w:val="21"/>
                <w:highlight w:val="none"/>
                <w:u w:val="single"/>
              </w:rPr>
              <w:t>元整（¥829</w:t>
            </w:r>
            <w:r>
              <w:rPr>
                <w:rFonts w:hint="eastAsia" w:ascii="宋体" w:hAnsi="宋体" w:cs="宋体"/>
                <w:b/>
                <w:color w:val="auto"/>
                <w:szCs w:val="21"/>
                <w:highlight w:val="none"/>
                <w:u w:val="single"/>
                <w:lang w:val="en-US" w:eastAsia="zh-CN"/>
              </w:rPr>
              <w:t>000</w:t>
            </w:r>
            <w:r>
              <w:rPr>
                <w:rFonts w:hint="eastAsia" w:ascii="宋体" w:hAnsi="宋体" w:cs="宋体"/>
                <w:b/>
                <w:color w:val="auto"/>
                <w:szCs w:val="21"/>
                <w:highlight w:val="none"/>
                <w:u w:val="single"/>
              </w:rPr>
              <w:t>.00 ）</w:t>
            </w:r>
            <w:r>
              <w:rPr>
                <w:rFonts w:hint="eastAsia" w:ascii="宋体" w:hAnsi="宋体" w:cs="宋体"/>
                <w:b/>
                <w:color w:val="auto"/>
                <w:szCs w:val="21"/>
                <w:highlight w:val="none"/>
              </w:rPr>
              <w:t>，投标报价超出最高限价的，投标文件按无效处理。</w:t>
            </w:r>
          </w:p>
          <w:p w14:paraId="71B7467A">
            <w:pPr>
              <w:adjustRightInd w:val="0"/>
              <w:snapToGri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2.各分项标的的单价报价不得超相应标的单价最高限价，否则，投标文件按无效处理。</w:t>
            </w:r>
          </w:p>
          <w:p w14:paraId="1F17A4EB">
            <w:pPr>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3.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3B4DA692">
            <w:pPr>
              <w:spacing w:line="360" w:lineRule="auto"/>
              <w:jc w:val="left"/>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4.货物需求一览表中带"</w:t>
            </w:r>
            <w:r>
              <w:rPr>
                <w:rFonts w:hint="eastAsia" w:ascii="仿宋" w:hAnsi="仿宋" w:eastAsia="仿宋" w:cs="仿宋"/>
                <w:color w:val="auto"/>
                <w:sz w:val="21"/>
                <w:szCs w:val="21"/>
                <w:highlight w:val="none"/>
              </w:rPr>
              <w:t>▲</w:t>
            </w:r>
            <w:r>
              <w:rPr>
                <w:rFonts w:hint="eastAsia" w:ascii="宋体" w:hAnsi="宋体" w:cs="宋体"/>
                <w:b/>
                <w:color w:val="auto"/>
                <w:szCs w:val="21"/>
                <w:highlight w:val="none"/>
                <w:lang w:val="en-US" w:eastAsia="zh-CN"/>
              </w:rPr>
              <w:t>"的技术参数为实质性参数，必须提供注册证、说明书、设备铭牌或国家药监局认可的第三方机构出具的检验报告作为证明材料，若有一项（或以上）未响应或不满足的，投标无效。未标注“</w:t>
            </w:r>
            <w:r>
              <w:rPr>
                <w:rFonts w:hint="eastAsia" w:ascii="仿宋" w:hAnsi="仿宋" w:eastAsia="仿宋" w:cs="仿宋"/>
                <w:color w:val="auto"/>
                <w:sz w:val="21"/>
                <w:szCs w:val="21"/>
                <w:highlight w:val="none"/>
              </w:rPr>
              <w:t>▲</w:t>
            </w:r>
            <w:r>
              <w:rPr>
                <w:rFonts w:hint="eastAsia" w:ascii="宋体" w:hAnsi="宋体" w:cs="宋体"/>
                <w:b/>
                <w:color w:val="auto"/>
                <w:szCs w:val="21"/>
                <w:highlight w:val="none"/>
                <w:lang w:val="en-US" w:eastAsia="zh-CN"/>
              </w:rPr>
              <w:t>”号的条款响应存在负偏离的按第四章“评标办法”的规定扣分。</w:t>
            </w:r>
          </w:p>
        </w:tc>
      </w:tr>
    </w:tbl>
    <w:p w14:paraId="5195E334">
      <w:pPr>
        <w:pStyle w:val="30"/>
        <w:ind w:left="0" w:leftChars="0" w:firstLine="0" w:firstLineChars="0"/>
        <w:rPr>
          <w:color w:val="auto"/>
          <w:highlight w:val="none"/>
        </w:rPr>
      </w:pPr>
    </w:p>
    <w:p w14:paraId="720AD405">
      <w:pPr>
        <w:rPr>
          <w:rStyle w:val="34"/>
          <w:color w:val="auto"/>
          <w:highlight w:val="none"/>
        </w:rPr>
      </w:pPr>
      <w:bookmarkStart w:id="22" w:name="_Toc3268"/>
    </w:p>
    <w:p w14:paraId="16F19A0C">
      <w:pPr>
        <w:rPr>
          <w:rStyle w:val="34"/>
          <w:rFonts w:hint="eastAsia"/>
          <w:color w:val="auto"/>
          <w:highlight w:val="none"/>
        </w:rPr>
      </w:pPr>
      <w:r>
        <w:rPr>
          <w:rStyle w:val="34"/>
          <w:rFonts w:hint="eastAsia"/>
          <w:color w:val="auto"/>
          <w:highlight w:val="none"/>
        </w:rPr>
        <w:br w:type="page"/>
      </w:r>
    </w:p>
    <w:p w14:paraId="757F023E">
      <w:pPr>
        <w:jc w:val="center"/>
        <w:rPr>
          <w:rFonts w:ascii="宋体" w:hAnsi="宋体" w:cs="宋体"/>
          <w:color w:val="auto"/>
          <w:highlight w:val="none"/>
        </w:rPr>
      </w:pPr>
      <w:r>
        <w:rPr>
          <w:rStyle w:val="34"/>
          <w:rFonts w:hint="eastAsia"/>
          <w:color w:val="auto"/>
          <w:highlight w:val="none"/>
        </w:rPr>
        <w:t xml:space="preserve">第四章  </w:t>
      </w:r>
      <w:bookmarkEnd w:id="22"/>
      <w:r>
        <w:rPr>
          <w:rStyle w:val="34"/>
          <w:rFonts w:hint="eastAsia"/>
          <w:color w:val="auto"/>
          <w:highlight w:val="none"/>
        </w:rPr>
        <w:t>评标办法</w:t>
      </w:r>
    </w:p>
    <w:p w14:paraId="0248B2F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Ansi="宋体"/>
          <w:b/>
          <w:bCs/>
          <w:color w:val="auto"/>
          <w:highlight w:val="none"/>
        </w:rPr>
      </w:pPr>
      <w:r>
        <w:rPr>
          <w:rFonts w:hint="eastAsia" w:hAnsi="宋体"/>
          <w:b/>
          <w:bCs/>
          <w:color w:val="auto"/>
          <w:highlight w:val="none"/>
        </w:rPr>
        <w:t>一、评标依据及方式</w:t>
      </w:r>
    </w:p>
    <w:p w14:paraId="571076F1">
      <w:pPr>
        <w:pStyle w:val="11"/>
        <w:spacing w:line="400" w:lineRule="exact"/>
        <w:ind w:firstLine="400" w:firstLineChars="200"/>
        <w:rPr>
          <w:rFonts w:hint="eastAsia" w:hAnsi="宋体"/>
          <w:color w:val="auto"/>
          <w:highlight w:val="none"/>
        </w:rPr>
      </w:pPr>
      <w:r>
        <w:rPr>
          <w:rFonts w:hint="eastAsia" w:hAnsi="宋体"/>
          <w:color w:val="auto"/>
          <w:highlight w:val="none"/>
        </w:rPr>
        <w:t>1.评标依据：评标委员会以招标文件和投标文件为评标依据，对投标人的投标文件进行评审并按百分制打分。</w:t>
      </w:r>
    </w:p>
    <w:p w14:paraId="37CB6454">
      <w:pPr>
        <w:pStyle w:val="11"/>
        <w:spacing w:line="400" w:lineRule="exact"/>
        <w:ind w:firstLine="400" w:firstLineChars="200"/>
        <w:rPr>
          <w:rFonts w:hint="eastAsia" w:hAnsi="宋体"/>
          <w:color w:val="auto"/>
          <w:highlight w:val="none"/>
        </w:rPr>
      </w:pPr>
      <w:r>
        <w:rPr>
          <w:rFonts w:hint="eastAsia" w:hAnsi="宋体"/>
          <w:color w:val="auto"/>
          <w:highlight w:val="none"/>
        </w:rPr>
        <w:t>2.评标方式：以封闭方式进行评标。</w:t>
      </w:r>
    </w:p>
    <w:p w14:paraId="7895C5D8">
      <w:pPr>
        <w:pStyle w:val="11"/>
        <w:spacing w:line="400" w:lineRule="exact"/>
        <w:ind w:firstLine="400" w:firstLineChars="200"/>
        <w:rPr>
          <w:rFonts w:hint="eastAsia" w:hAnsi="宋体"/>
          <w:b/>
          <w:bCs/>
          <w:color w:val="auto"/>
          <w:highlight w:val="none"/>
        </w:rPr>
      </w:pPr>
      <w:r>
        <w:rPr>
          <w:rFonts w:hint="eastAsia" w:hAnsi="宋体"/>
          <w:color w:val="auto"/>
          <w:highlight w:val="none"/>
        </w:rPr>
        <w:t>3.根据财库〔2012〕69号文规定，采购人和采购代理机构、评标委员会成员要严格遵守政府采购相关法律制度，依法履行各自职责，公正、客观、审慎地组织和参与评审工作。</w:t>
      </w:r>
    </w:p>
    <w:p w14:paraId="77FDF0F2">
      <w:pPr>
        <w:pStyle w:val="11"/>
        <w:spacing w:line="400" w:lineRule="exact"/>
        <w:ind w:firstLine="400" w:firstLineChars="200"/>
        <w:rPr>
          <w:rFonts w:hint="eastAsia" w:hAnsi="宋体"/>
          <w:b/>
          <w:bCs/>
          <w:color w:val="auto"/>
          <w:highlight w:val="none"/>
        </w:rPr>
      </w:pPr>
      <w:r>
        <w:rPr>
          <w:rFonts w:hint="eastAsia" w:hAnsi="宋体"/>
          <w:b/>
          <w:bCs/>
          <w:color w:val="auto"/>
          <w:highlight w:val="none"/>
        </w:rPr>
        <w:t>二、评标办法</w:t>
      </w:r>
    </w:p>
    <w:p w14:paraId="7746AB83">
      <w:pPr>
        <w:pStyle w:val="11"/>
        <w:spacing w:line="400" w:lineRule="exact"/>
        <w:ind w:firstLine="400" w:firstLineChars="200"/>
        <w:rPr>
          <w:rFonts w:hint="eastAsia" w:hAnsi="宋体"/>
          <w:bCs/>
          <w:color w:val="auto"/>
          <w:highlight w:val="none"/>
        </w:rPr>
      </w:pPr>
      <w:r>
        <w:rPr>
          <w:rFonts w:hint="eastAsia" w:hAnsi="宋体"/>
          <w:bCs/>
          <w:color w:val="auto"/>
          <w:highlight w:val="none"/>
        </w:rPr>
        <w:t>（一）对进入详评的，采用综合评分法。</w:t>
      </w:r>
    </w:p>
    <w:p w14:paraId="5AAF8665">
      <w:pPr>
        <w:pStyle w:val="11"/>
        <w:spacing w:line="400" w:lineRule="exact"/>
        <w:ind w:firstLine="400" w:firstLineChars="200"/>
        <w:rPr>
          <w:rFonts w:hint="eastAsia" w:hAnsi="宋体"/>
          <w:bCs/>
          <w:color w:val="auto"/>
          <w:highlight w:val="none"/>
        </w:rPr>
      </w:pPr>
      <w:r>
        <w:rPr>
          <w:rFonts w:hint="eastAsia" w:hAnsi="宋体"/>
          <w:bCs/>
          <w:color w:val="auto"/>
          <w:highlight w:val="none"/>
        </w:rPr>
        <w:t>（二）计分办法（按四舍五入取至小数点后二位）</w:t>
      </w:r>
    </w:p>
    <w:p w14:paraId="4C91B409">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）异常低价投标审查:</w:t>
      </w:r>
    </w:p>
    <w:p w14:paraId="4C8BCAB5">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异常低价投标情形(本项目在评审过程中出现下列情形之一的，评审小组应当启动异常低价投标审查程序):</w:t>
      </w:r>
    </w:p>
    <w:p w14:paraId="1D5F3343">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(1)投标人投标报价低于全部通过符合性审查投标人投标报价平均值50%的，即投标报价通过符合性审查投标人投标报价平均值50%;</w:t>
      </w:r>
    </w:p>
    <w:p w14:paraId="48A56AC8">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(2)投标人投标报价低于全部通过符合性审查且报价次低投标人投标报价50%的,即投标报价通过符合性审查且报价次低投标人投标报价50%;</w:t>
      </w:r>
    </w:p>
    <w:p w14:paraId="08483F17">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(3)投标人投标报价低于本项目所公布的招标控制价45%的，即投标报价&lt;招标控制价X45%。</w:t>
      </w:r>
    </w:p>
    <w:p w14:paraId="11453A2E">
      <w:pPr>
        <w:pStyle w:val="31"/>
        <w:keepNext w:val="0"/>
        <w:keepLines w:val="0"/>
        <w:pageBreakBefore w:val="0"/>
        <w:widowControl w:val="0"/>
        <w:kinsoku/>
        <w:wordWrap/>
        <w:overflowPunct/>
        <w:topLinePunct w:val="0"/>
        <w:bidi w:val="0"/>
        <w:spacing w:line="436" w:lineRule="exact"/>
        <w:ind w:firstLine="420"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2.异常低价投标审查流程:</w:t>
      </w:r>
    </w:p>
    <w:p w14:paraId="2CD3E8C0">
      <w:pPr>
        <w:pStyle w:val="5"/>
        <w:rPr>
          <w:rFonts w:hint="eastAsia"/>
          <w:color w:val="auto"/>
          <w:highlight w:val="none"/>
        </w:rPr>
      </w:pPr>
      <w:r>
        <w:rPr>
          <w:rFonts w:hint="eastAsia" w:ascii="宋体" w:hAnsi="宋体" w:eastAsia="宋体" w:cs="宋体"/>
          <w:b/>
          <w:bCs/>
          <w:color w:val="auto"/>
          <w:sz w:val="21"/>
          <w:szCs w:val="21"/>
          <w:highlight w:val="none"/>
        </w:rPr>
        <w:t>评审小组启动异常低价投标审查程序后,应当要求相关投标人在评审现场合理的时可内提供书面说明及必要的证明材料，对投标价格作出解释。书面说明、证明材料主要是项目具体成本测算等与报价合理性相关的说明、材料。评审小组应当结合同类项目在主要电商平台的价格、该行业当地薪资水平等情况，依据专业经验对报价合理性进行判断。如果投标人不提供书面说明、证明材料，或者提供的书面说明、证明材料不能证明其报价合理性的，评审小组应当将其作为无效投标处理。以上审查相关情况应当在评审报告中记录。</w:t>
      </w:r>
    </w:p>
    <w:p w14:paraId="2D5C6686">
      <w:pPr>
        <w:pStyle w:val="11"/>
        <w:spacing w:line="400" w:lineRule="exact"/>
        <w:ind w:firstLine="420"/>
        <w:rPr>
          <w:rFonts w:hint="eastAsia" w:hAnsi="宋体"/>
          <w:bCs/>
          <w:color w:val="auto"/>
          <w:highlight w:val="none"/>
        </w:rPr>
      </w:pPr>
      <w:r>
        <w:rPr>
          <w:rFonts w:hint="eastAsia" w:hAnsi="宋体"/>
          <w:b/>
          <w:color w:val="auto"/>
          <w:highlight w:val="none"/>
        </w:rPr>
        <w:t>1.</w:t>
      </w:r>
      <w:r>
        <w:rPr>
          <w:rFonts w:hint="eastAsia" w:hAnsi="宋体"/>
          <w:b/>
          <w:bCs/>
          <w:color w:val="auto"/>
          <w:highlight w:val="none"/>
        </w:rPr>
        <w:t>价格分……………………………………………………………………………………</w:t>
      </w:r>
      <w:r>
        <w:rPr>
          <w:rFonts w:hAnsi="宋体"/>
          <w:b/>
          <w:bCs/>
          <w:color w:val="auto"/>
          <w:highlight w:val="none"/>
        </w:rPr>
        <w:t>…45</w:t>
      </w:r>
      <w:r>
        <w:rPr>
          <w:rFonts w:hint="eastAsia" w:hAnsi="宋体"/>
          <w:b/>
          <w:bCs/>
          <w:color w:val="auto"/>
          <w:highlight w:val="none"/>
        </w:rPr>
        <w:t>分</w:t>
      </w:r>
    </w:p>
    <w:p w14:paraId="4EA72D17">
      <w:pPr>
        <w:pStyle w:val="11"/>
        <w:spacing w:line="400" w:lineRule="exact"/>
        <w:ind w:firstLine="400" w:firstLineChars="200"/>
        <w:rPr>
          <w:rFonts w:hint="eastAsia" w:hAnsi="宋体"/>
          <w:color w:val="auto"/>
          <w:highlight w:val="none"/>
        </w:rPr>
      </w:pPr>
      <w:r>
        <w:rPr>
          <w:rFonts w:hint="eastAsia" w:hAnsi="宋体"/>
          <w:bCs/>
          <w:color w:val="auto"/>
          <w:highlight w:val="none"/>
        </w:rPr>
        <w:t>1.1</w:t>
      </w:r>
      <w:r>
        <w:rPr>
          <w:rFonts w:hint="eastAsia"/>
          <w:color w:val="auto"/>
          <w:highlight w:val="none"/>
        </w:rPr>
        <w:t>根据《政府采购促进中小企业发展管理办法》（财库〔2020〕46号）</w:t>
      </w:r>
      <w:r>
        <w:rPr>
          <w:rFonts w:hint="eastAsia" w:hAnsi="宋体"/>
          <w:color w:val="auto"/>
          <w:szCs w:val="21"/>
          <w:highlight w:val="none"/>
        </w:rPr>
        <w:t>、《广西壮族自治区财政厅关于持续优化政府采购营商环境推动高质量发展的通知》（桂财采〔2024〕55号）</w:t>
      </w:r>
      <w:r>
        <w:rPr>
          <w:rFonts w:hint="eastAsia"/>
          <w:color w:val="auto"/>
          <w:highlight w:val="none"/>
        </w:rPr>
        <w:t>等有关</w:t>
      </w:r>
      <w:r>
        <w:rPr>
          <w:color w:val="auto"/>
          <w:highlight w:val="none"/>
        </w:rPr>
        <w:t>规定</w:t>
      </w:r>
      <w:r>
        <w:rPr>
          <w:rFonts w:hint="eastAsia"/>
          <w:color w:val="auto"/>
          <w:highlight w:val="none"/>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highlight w:val="none"/>
        </w:rPr>
        <w:t>×</w:t>
      </w:r>
      <w:r>
        <w:rPr>
          <w:rFonts w:hint="eastAsia"/>
          <w:color w:val="auto"/>
          <w:highlight w:val="none"/>
        </w:rPr>
        <w:t>（1-20%）；</w:t>
      </w:r>
    </w:p>
    <w:p w14:paraId="245CF03B">
      <w:pPr>
        <w:pStyle w:val="11"/>
        <w:spacing w:line="400" w:lineRule="exact"/>
        <w:ind w:firstLine="400" w:firstLineChars="200"/>
        <w:rPr>
          <w:rFonts w:hint="eastAsia"/>
          <w:color w:val="auto"/>
          <w:highlight w:val="none"/>
        </w:rPr>
      </w:pPr>
      <w:r>
        <w:rPr>
          <w:rFonts w:hint="eastAsia" w:hAnsi="宋体"/>
          <w:color w:val="auto"/>
          <w:highlight w:val="none"/>
        </w:rPr>
        <w:t>1.2</w:t>
      </w:r>
      <w:r>
        <w:rPr>
          <w:rFonts w:hint="eastAsia"/>
          <w:color w:val="auto"/>
          <w:highlight w:val="none"/>
        </w:rPr>
        <w:t>除上述情况外，评标报价=投标报价。</w:t>
      </w:r>
    </w:p>
    <w:p w14:paraId="650F9AA9">
      <w:pPr>
        <w:pStyle w:val="11"/>
        <w:spacing w:line="400" w:lineRule="exact"/>
        <w:ind w:firstLine="420"/>
        <w:rPr>
          <w:rFonts w:hint="eastAsia" w:hAnsi="宋体"/>
          <w:b/>
          <w:color w:val="auto"/>
          <w:highlight w:val="none"/>
        </w:rPr>
      </w:pPr>
      <w:r>
        <w:rPr>
          <w:rFonts w:hint="eastAsia" w:hAnsi="宋体"/>
          <w:b/>
          <w:color w:val="auto"/>
          <w:highlight w:val="none"/>
        </w:rPr>
        <w:t>注：①小型、微型企业提供中型企业制造的货物的，视同为中型企业。</w:t>
      </w:r>
    </w:p>
    <w:p w14:paraId="405A808C">
      <w:pPr>
        <w:pStyle w:val="11"/>
        <w:spacing w:line="400" w:lineRule="exact"/>
        <w:ind w:firstLine="420"/>
        <w:rPr>
          <w:rFonts w:hint="eastAsia" w:hAnsi="宋体"/>
          <w:color w:val="auto"/>
          <w:highlight w:val="none"/>
        </w:rPr>
      </w:pPr>
      <w:r>
        <w:rPr>
          <w:rFonts w:hint="eastAsia" w:hAnsi="宋体"/>
          <w:b/>
          <w:color w:val="auto"/>
          <w:highlight w:val="none"/>
        </w:rPr>
        <w:t xml:space="preserve">    ②评标报价为投标人的投标报价进行政策性扣除后的价格，评标报价只是作为评标时使用。最终中标人的中标金额＝投标报价。</w:t>
      </w:r>
    </w:p>
    <w:p w14:paraId="0EA7AD08">
      <w:pPr>
        <w:pStyle w:val="11"/>
        <w:spacing w:line="400" w:lineRule="exact"/>
        <w:ind w:firstLine="342" w:firstLineChars="171"/>
        <w:rPr>
          <w:rFonts w:hint="eastAsia"/>
          <w:color w:val="auto"/>
          <w:highlight w:val="none"/>
        </w:rPr>
      </w:pPr>
      <w:r>
        <w:rPr>
          <w:rFonts w:hint="eastAsia"/>
          <w:color w:val="auto"/>
          <w:highlight w:val="none"/>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0AF80460">
      <w:pPr>
        <w:pStyle w:val="11"/>
        <w:spacing w:line="400" w:lineRule="exact"/>
        <w:ind w:firstLine="342" w:firstLineChars="171"/>
        <w:rPr>
          <w:rFonts w:hint="eastAsia"/>
          <w:color w:val="auto"/>
          <w:highlight w:val="none"/>
        </w:rPr>
      </w:pPr>
      <w:r>
        <w:rPr>
          <w:rFonts w:hint="eastAsia"/>
          <w:color w:val="auto"/>
          <w:highlight w:val="none"/>
        </w:rPr>
        <w:t>1.4以进入评标的最低的评标报价为</w:t>
      </w:r>
      <w:r>
        <w:rPr>
          <w:color w:val="auto"/>
          <w:highlight w:val="none"/>
        </w:rPr>
        <w:t>45</w:t>
      </w:r>
      <w:r>
        <w:rPr>
          <w:rFonts w:hint="eastAsia"/>
          <w:color w:val="auto"/>
          <w:highlight w:val="none"/>
        </w:rPr>
        <w:t>分。</w:t>
      </w:r>
    </w:p>
    <w:p w14:paraId="70512EB0">
      <w:pPr>
        <w:pStyle w:val="11"/>
        <w:spacing w:line="400" w:lineRule="exact"/>
        <w:ind w:firstLine="342" w:firstLineChars="171"/>
        <w:rPr>
          <w:rFonts w:hint="eastAsia"/>
          <w:color w:val="auto"/>
          <w:highlight w:val="none"/>
        </w:rPr>
      </w:pPr>
      <w:r>
        <w:rPr>
          <w:rFonts w:hint="eastAsia"/>
          <w:color w:val="auto"/>
          <w:highlight w:val="none"/>
        </w:rPr>
        <w:t>1.5投标人价格分 =（最低投标人评标报价金额</w:t>
      </w:r>
      <w:r>
        <w:rPr>
          <w:color w:val="auto"/>
          <w:highlight w:val="none"/>
        </w:rPr>
        <w:t xml:space="preserve"> </w:t>
      </w:r>
      <w:r>
        <w:rPr>
          <w:rFonts w:hint="eastAsia"/>
          <w:color w:val="auto"/>
          <w:highlight w:val="none"/>
        </w:rPr>
        <w:t>/投标人评标报价金额）×</w:t>
      </w:r>
      <w:r>
        <w:rPr>
          <w:color w:val="auto"/>
          <w:highlight w:val="none"/>
        </w:rPr>
        <w:t>45</w:t>
      </w:r>
      <w:r>
        <w:rPr>
          <w:rFonts w:hint="eastAsia"/>
          <w:color w:val="auto"/>
          <w:highlight w:val="none"/>
        </w:rPr>
        <w:t>分</w:t>
      </w:r>
    </w:p>
    <w:p w14:paraId="0ECD5CDE">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Ansi="宋体"/>
          <w:b/>
          <w:bCs/>
          <w:color w:val="auto"/>
          <w:sz w:val="21"/>
          <w:szCs w:val="21"/>
          <w:highlight w:val="none"/>
        </w:rPr>
      </w:pPr>
      <w:bookmarkStart w:id="23" w:name="_Toc171433132"/>
      <w:bookmarkStart w:id="24" w:name="_Toc170307369"/>
      <w:bookmarkStart w:id="25" w:name="_Toc182321648"/>
      <w:bookmarkStart w:id="26" w:name="_Toc153888702"/>
      <w:bookmarkStart w:id="27" w:name="_Toc152853788"/>
      <w:bookmarkStart w:id="28" w:name="_Toc171433133"/>
      <w:bookmarkStart w:id="29" w:name="_Toc146525433"/>
      <w:bookmarkStart w:id="30" w:name="_Toc135321914"/>
      <w:bookmarkStart w:id="31" w:name="_Toc135758517"/>
      <w:r>
        <w:rPr>
          <w:rFonts w:hint="eastAsia" w:hAnsi="宋体"/>
          <w:b/>
          <w:bCs/>
          <w:color w:val="auto"/>
          <w:sz w:val="21"/>
          <w:szCs w:val="21"/>
          <w:highlight w:val="none"/>
        </w:rPr>
        <w:t>2.</w:t>
      </w:r>
      <w:r>
        <w:rPr>
          <w:rFonts w:hint="eastAsia" w:hAnsi="宋体"/>
          <w:b/>
          <w:color w:val="auto"/>
          <w:sz w:val="21"/>
          <w:szCs w:val="21"/>
          <w:highlight w:val="none"/>
        </w:rPr>
        <w:t>技术分</w:t>
      </w:r>
      <w:r>
        <w:rPr>
          <w:rFonts w:hint="eastAsia" w:hAnsi="宋体"/>
          <w:b/>
          <w:bCs/>
          <w:color w:val="auto"/>
          <w:sz w:val="21"/>
          <w:szCs w:val="21"/>
          <w:highlight w:val="none"/>
        </w:rPr>
        <w:t>……………………………………………………………………………………</w:t>
      </w:r>
      <w:r>
        <w:rPr>
          <w:rFonts w:hAnsi="宋体"/>
          <w:b/>
          <w:bCs/>
          <w:color w:val="auto"/>
          <w:sz w:val="21"/>
          <w:szCs w:val="21"/>
          <w:highlight w:val="none"/>
        </w:rPr>
        <w:t>…</w:t>
      </w:r>
      <w:r>
        <w:rPr>
          <w:rFonts w:hint="eastAsia" w:hAnsi="宋体"/>
          <w:b/>
          <w:bCs/>
          <w:color w:val="auto"/>
          <w:sz w:val="21"/>
          <w:szCs w:val="21"/>
          <w:highlight w:val="none"/>
          <w:lang w:val="en-US" w:eastAsia="zh-CN"/>
        </w:rPr>
        <w:t>20</w:t>
      </w:r>
      <w:r>
        <w:rPr>
          <w:rFonts w:hint="eastAsia" w:hAnsi="宋体"/>
          <w:b/>
          <w:bCs/>
          <w:color w:val="auto"/>
          <w:sz w:val="21"/>
          <w:szCs w:val="21"/>
          <w:highlight w:val="none"/>
        </w:rPr>
        <w:t>分</w:t>
      </w:r>
    </w:p>
    <w:p w14:paraId="29198CBE">
      <w:pPr>
        <w:pStyle w:val="5"/>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经评委独立评审，投标人所提供的投标文件承诺完全满足招标文件全部实质性要求的，得基本分20分；投标人对招标需求的“技术要求”中标注“</w:t>
      </w:r>
      <w:r>
        <w:rPr>
          <w:rFonts w:hint="eastAsia" w:ascii="仿宋" w:hAnsi="仿宋" w:eastAsia="仿宋" w:cs="仿宋"/>
          <w:color w:val="auto"/>
          <w:sz w:val="21"/>
          <w:szCs w:val="21"/>
          <w:highlight w:val="none"/>
        </w:rPr>
        <w:t>▲</w:t>
      </w:r>
      <w:r>
        <w:rPr>
          <w:rFonts w:hint="eastAsia" w:ascii="宋体" w:hAnsi="宋体" w:cs="宋体"/>
          <w:bCs/>
          <w:color w:val="auto"/>
          <w:sz w:val="21"/>
          <w:szCs w:val="21"/>
          <w:highlight w:val="none"/>
        </w:rPr>
        <w:t>”号的条款必须满足，否则投标无效；未标注“</w:t>
      </w:r>
      <w:r>
        <w:rPr>
          <w:rFonts w:hint="eastAsia" w:ascii="仿宋" w:hAnsi="仿宋" w:eastAsia="仿宋" w:cs="仿宋"/>
          <w:color w:val="auto"/>
          <w:sz w:val="21"/>
          <w:szCs w:val="21"/>
          <w:highlight w:val="none"/>
        </w:rPr>
        <w:t>▲</w:t>
      </w:r>
      <w:r>
        <w:rPr>
          <w:rFonts w:hint="eastAsia" w:ascii="宋体" w:hAnsi="宋体" w:cs="宋体"/>
          <w:bCs/>
          <w:color w:val="auto"/>
          <w:sz w:val="21"/>
          <w:szCs w:val="21"/>
          <w:highlight w:val="none"/>
        </w:rPr>
        <w:t>”号的条款响应存在负偏离的，每有1项负偏离扣基本分</w:t>
      </w: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rPr>
        <w:t>分，扣完为止。</w:t>
      </w:r>
    </w:p>
    <w:bookmarkEnd w:id="23"/>
    <w:bookmarkEnd w:id="24"/>
    <w:bookmarkEnd w:id="25"/>
    <w:p w14:paraId="54392CD7">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hAnsi="宋体"/>
          <w:b/>
          <w:bCs/>
          <w:color w:val="auto"/>
          <w:szCs w:val="21"/>
          <w:highlight w:val="none"/>
        </w:rPr>
      </w:pPr>
      <w:bookmarkStart w:id="32" w:name="_Toc193191300"/>
      <w:bookmarkStart w:id="33" w:name="_Toc182321649"/>
      <w:r>
        <w:rPr>
          <w:rFonts w:hint="eastAsia" w:hAnsi="宋体"/>
          <w:b/>
          <w:bCs/>
          <w:color w:val="auto"/>
          <w:szCs w:val="21"/>
          <w:highlight w:val="none"/>
        </w:rPr>
        <w:t>3.</w:t>
      </w:r>
      <w:r>
        <w:rPr>
          <w:rFonts w:hint="eastAsia" w:hAnsi="宋体" w:cs="宋体"/>
          <w:b/>
          <w:color w:val="auto"/>
          <w:sz w:val="21"/>
          <w:szCs w:val="21"/>
          <w:highlight w:val="none"/>
        </w:rPr>
        <w:t>安装调试方案</w:t>
      </w:r>
      <w:r>
        <w:rPr>
          <w:rFonts w:hint="eastAsia" w:hAnsi="宋体"/>
          <w:b/>
          <w:bCs/>
          <w:color w:val="auto"/>
          <w:szCs w:val="21"/>
          <w:highlight w:val="none"/>
        </w:rPr>
        <w:t>分……………………………………………………………………………</w:t>
      </w:r>
      <w:r>
        <w:rPr>
          <w:rFonts w:hint="eastAsia" w:hAnsi="宋体" w:cs="宋体"/>
          <w:b/>
          <w:bCs/>
          <w:color w:val="auto"/>
          <w:kern w:val="2"/>
          <w:sz w:val="21"/>
          <w:szCs w:val="24"/>
          <w:highlight w:val="none"/>
        </w:rPr>
        <w:t>10分</w:t>
      </w:r>
    </w:p>
    <w:p w14:paraId="307A0973">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hAnsi="宋体" w:cs="宋体"/>
          <w:bCs/>
          <w:color w:val="auto"/>
          <w:sz w:val="21"/>
          <w:szCs w:val="21"/>
          <w:highlight w:val="none"/>
        </w:rPr>
      </w:pPr>
      <w:r>
        <w:rPr>
          <w:rFonts w:hint="eastAsia" w:hAnsi="宋体" w:cs="宋体"/>
          <w:bCs/>
          <w:color w:val="auto"/>
          <w:sz w:val="21"/>
          <w:szCs w:val="21"/>
          <w:highlight w:val="none"/>
        </w:rPr>
        <w:t>一档（4分）：提供了安装调试方案。</w:t>
      </w:r>
    </w:p>
    <w:p w14:paraId="54C95658">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hAnsi="宋体" w:cs="宋体"/>
          <w:bCs/>
          <w:color w:val="auto"/>
          <w:sz w:val="21"/>
          <w:szCs w:val="21"/>
          <w:highlight w:val="none"/>
        </w:rPr>
      </w:pPr>
      <w:r>
        <w:rPr>
          <w:rFonts w:hint="eastAsia" w:hAnsi="宋体" w:cs="宋体"/>
          <w:bCs/>
          <w:color w:val="auto"/>
          <w:sz w:val="21"/>
          <w:szCs w:val="21"/>
          <w:highlight w:val="none"/>
        </w:rPr>
        <w:t>二档（6分）：方案基本可行，较简单，提及的内容较少，只涉及到配送、安装内容。</w:t>
      </w:r>
    </w:p>
    <w:p w14:paraId="4B025871">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hAnsi="宋体" w:cs="宋体"/>
          <w:bCs/>
          <w:color w:val="auto"/>
          <w:sz w:val="21"/>
          <w:szCs w:val="21"/>
          <w:highlight w:val="none"/>
        </w:rPr>
      </w:pPr>
      <w:r>
        <w:rPr>
          <w:rFonts w:hint="eastAsia" w:hAnsi="宋体" w:cs="宋体"/>
          <w:bCs/>
          <w:color w:val="auto"/>
          <w:sz w:val="21"/>
          <w:szCs w:val="21"/>
          <w:highlight w:val="none"/>
        </w:rPr>
        <w:t>三档（8分）：方案完全满足采购要求，表达清晰完整，提及了安装、配送、调试等内容。</w:t>
      </w:r>
    </w:p>
    <w:p w14:paraId="3407C529">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hAnsi="宋体" w:cs="宋体"/>
          <w:bCs/>
          <w:color w:val="auto"/>
          <w:sz w:val="21"/>
          <w:szCs w:val="21"/>
          <w:highlight w:val="none"/>
        </w:rPr>
      </w:pPr>
      <w:r>
        <w:rPr>
          <w:rFonts w:hint="eastAsia" w:hAnsi="宋体" w:cs="宋体"/>
          <w:bCs/>
          <w:color w:val="auto"/>
          <w:sz w:val="21"/>
          <w:szCs w:val="21"/>
          <w:highlight w:val="none"/>
        </w:rPr>
        <w:t>四档（10分）：方案完全满足采购要求，表达清晰完整、合理、有效，有针对性，涵盖安装、配送、调试所有内容并贴合采购人实际使用需求。</w:t>
      </w:r>
    </w:p>
    <w:p w14:paraId="29239521">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hAnsi="宋体"/>
          <w:b/>
          <w:color w:val="auto"/>
          <w:szCs w:val="21"/>
          <w:highlight w:val="none"/>
        </w:rPr>
      </w:pPr>
      <w:r>
        <w:rPr>
          <w:rFonts w:hint="eastAsia" w:hAnsi="宋体"/>
          <w:b/>
          <w:color w:val="auto"/>
          <w:szCs w:val="21"/>
          <w:highlight w:val="none"/>
        </w:rPr>
        <w:t>4.</w:t>
      </w:r>
      <w:r>
        <w:rPr>
          <w:rFonts w:hint="eastAsia" w:hAnsi="宋体" w:cs="宋体"/>
          <w:b/>
          <w:color w:val="auto"/>
          <w:sz w:val="21"/>
          <w:szCs w:val="21"/>
          <w:highlight w:val="none"/>
        </w:rPr>
        <w:t>售后服务方案分</w:t>
      </w:r>
      <w:r>
        <w:rPr>
          <w:rFonts w:hint="eastAsia" w:hAnsi="宋体"/>
          <w:b/>
          <w:color w:val="auto"/>
          <w:szCs w:val="21"/>
          <w:highlight w:val="none"/>
        </w:rPr>
        <w:t>……………………………………………………………………………</w:t>
      </w:r>
      <w:r>
        <w:rPr>
          <w:rFonts w:hint="eastAsia" w:hAnsi="宋体" w:cs="宋体"/>
          <w:b/>
          <w:bCs/>
          <w:color w:val="auto"/>
          <w:kern w:val="2"/>
          <w:sz w:val="21"/>
          <w:szCs w:val="24"/>
          <w:highlight w:val="none"/>
        </w:rPr>
        <w:t>16分</w:t>
      </w:r>
    </w:p>
    <w:p w14:paraId="551CE7A8">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评委根据投标人提供的“售后服务方案【包含但不限于：①故障出现解决方案、②定期维护（注明时间）、③售后服务承诺、④保修期（免费软件升级期）外维修方案、⑤其他增值售后服务或其它实质性优惠措施等】”内容进行独立评审打分：</w:t>
      </w:r>
    </w:p>
    <w:p w14:paraId="50EFFB9C">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一档（</w:t>
      </w:r>
      <w:r>
        <w:rPr>
          <w:rFonts w:hint="eastAsia" w:ascii="宋体" w:hAnsi="宋体" w:eastAsia="宋体" w:cs="宋体"/>
          <w:bCs/>
          <w:color w:val="auto"/>
          <w:kern w:val="0"/>
          <w:sz w:val="21"/>
          <w:szCs w:val="21"/>
          <w:highlight w:val="none"/>
          <w:lang w:val="en-US" w:eastAsia="zh-CN" w:bidi="ar-SA"/>
        </w:rPr>
        <w:t>4</w:t>
      </w:r>
      <w:r>
        <w:rPr>
          <w:rFonts w:hint="eastAsia" w:ascii="宋体" w:hAnsi="宋体" w:eastAsia="宋体" w:cs="宋体"/>
          <w:bCs/>
          <w:color w:val="auto"/>
          <w:kern w:val="0"/>
          <w:sz w:val="21"/>
          <w:szCs w:val="21"/>
          <w:highlight w:val="none"/>
          <w:lang w:val="en-NZ" w:eastAsia="zh-CN" w:bidi="ar-SA"/>
        </w:rPr>
        <w:t>分）：售后服务方案能基本满足招标文件要求，故障出现解决方案简单，售后服务方案简单。</w:t>
      </w:r>
    </w:p>
    <w:p w14:paraId="219478E0">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二档（</w:t>
      </w:r>
      <w:r>
        <w:rPr>
          <w:rFonts w:hint="eastAsia" w:ascii="宋体" w:hAnsi="宋体" w:eastAsia="宋体" w:cs="宋体"/>
          <w:bCs/>
          <w:color w:val="auto"/>
          <w:kern w:val="0"/>
          <w:sz w:val="21"/>
          <w:szCs w:val="21"/>
          <w:highlight w:val="none"/>
          <w:lang w:val="en-US" w:eastAsia="zh-CN" w:bidi="ar-SA"/>
        </w:rPr>
        <w:t>8</w:t>
      </w:r>
      <w:r>
        <w:rPr>
          <w:rFonts w:hint="eastAsia" w:ascii="宋体" w:hAnsi="宋体" w:eastAsia="宋体" w:cs="宋体"/>
          <w:bCs/>
          <w:color w:val="auto"/>
          <w:kern w:val="0"/>
          <w:sz w:val="21"/>
          <w:szCs w:val="21"/>
          <w:highlight w:val="none"/>
          <w:lang w:val="en-NZ" w:eastAsia="zh-CN" w:bidi="ar-SA"/>
        </w:rPr>
        <w:t>分）：售后服务方案有较好，有售后服务承诺，明确质量保证期、到达故障现场时间、故障出现解决方案、定期维护（注明时间），质量保障基本满足采购需求。</w:t>
      </w:r>
    </w:p>
    <w:p w14:paraId="57EDDDC0">
      <w:pPr>
        <w:pStyle w:val="5"/>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三档（</w:t>
      </w:r>
      <w:r>
        <w:rPr>
          <w:rFonts w:hint="eastAsia" w:ascii="宋体" w:hAnsi="宋体" w:cs="宋体"/>
          <w:bCs/>
          <w:color w:val="auto"/>
          <w:sz w:val="21"/>
          <w:szCs w:val="21"/>
          <w:highlight w:val="none"/>
          <w:lang w:val="en-US"/>
        </w:rPr>
        <w:t>12</w:t>
      </w:r>
      <w:r>
        <w:rPr>
          <w:rFonts w:hint="eastAsia" w:ascii="宋体" w:hAnsi="宋体" w:cs="宋体"/>
          <w:bCs/>
          <w:color w:val="auto"/>
          <w:sz w:val="21"/>
          <w:szCs w:val="21"/>
          <w:highlight w:val="none"/>
        </w:rPr>
        <w:t>分）：售后服务方案详细，售后服务承诺较详细，有该项目详细的售后服务方案及外维修方案、故障解决方案和定期维护（注明时间）、方案具有可行性、科学性、高效性，服务内容及保障措施较充分，有完善的报修售后服务系统或平台，售后服务有保障，服务内容及保障措施详细可靠售后服务能力更加充足有保障。</w:t>
      </w:r>
    </w:p>
    <w:p w14:paraId="5B60E750">
      <w:pPr>
        <w:pStyle w:val="5"/>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四档（</w:t>
      </w:r>
      <w:r>
        <w:rPr>
          <w:rFonts w:hint="eastAsia" w:ascii="宋体" w:hAnsi="宋体" w:cs="宋体"/>
          <w:bCs/>
          <w:color w:val="auto"/>
          <w:sz w:val="21"/>
          <w:szCs w:val="21"/>
          <w:highlight w:val="none"/>
          <w:lang w:val="en-US"/>
        </w:rPr>
        <w:t>16</w:t>
      </w:r>
      <w:r>
        <w:rPr>
          <w:rFonts w:hint="eastAsia" w:ascii="宋体" w:hAnsi="宋体" w:cs="宋体"/>
          <w:bCs/>
          <w:color w:val="auto"/>
          <w:sz w:val="21"/>
          <w:szCs w:val="21"/>
          <w:highlight w:val="none"/>
        </w:rPr>
        <w:t>分）：售后服务方案在满足第三档的基础上，有保修期外维修方案、备品备件等其他优惠措施、安装要求及方案等内容，完整详细；售后服务响应时间优于招标要求，到达故障现场时间、故障出现解决方案、定期维护 (注明时间)、保修期（升级期）外维修方案、应急保障方案且描述了项目售后维护和应急保障方案的方法以及实现方式，服务承诺和保障措施考虑周全完整详细，售后服务内容及保障措施与采购需求契合度高、针对性强。</w:t>
      </w:r>
    </w:p>
    <w:p w14:paraId="2F96DCBA">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hAnsi="宋体"/>
          <w:b/>
          <w:color w:val="auto"/>
          <w:szCs w:val="21"/>
          <w:highlight w:val="none"/>
        </w:rPr>
      </w:pPr>
      <w:r>
        <w:rPr>
          <w:rFonts w:hint="eastAsia" w:hAnsi="宋体"/>
          <w:b/>
          <w:color w:val="auto"/>
          <w:szCs w:val="21"/>
          <w:highlight w:val="none"/>
        </w:rPr>
        <w:t>5.</w:t>
      </w:r>
      <w:r>
        <w:rPr>
          <w:rFonts w:hint="eastAsia" w:hAnsi="宋体" w:cs="宋体"/>
          <w:b/>
          <w:color w:val="auto"/>
          <w:sz w:val="21"/>
          <w:szCs w:val="21"/>
          <w:highlight w:val="none"/>
        </w:rPr>
        <w:t>信誉业绩分</w:t>
      </w:r>
      <w:r>
        <w:rPr>
          <w:rFonts w:hint="eastAsia" w:hAnsi="宋体"/>
          <w:b/>
          <w:color w:val="auto"/>
          <w:szCs w:val="21"/>
          <w:highlight w:val="none"/>
        </w:rPr>
        <w:t>…………………………………………………………………………………</w:t>
      </w:r>
      <w:r>
        <w:rPr>
          <w:rFonts w:hint="eastAsia" w:hAnsi="宋体" w:cs="宋体"/>
          <w:b/>
          <w:bCs/>
          <w:color w:val="auto"/>
          <w:kern w:val="2"/>
          <w:sz w:val="21"/>
          <w:szCs w:val="24"/>
          <w:highlight w:val="none"/>
          <w:lang w:val="en-US" w:eastAsia="zh-CN"/>
        </w:rPr>
        <w:t>7</w:t>
      </w:r>
      <w:r>
        <w:rPr>
          <w:rFonts w:hint="eastAsia" w:hAnsi="宋体" w:cs="宋体"/>
          <w:b/>
          <w:bCs/>
          <w:color w:val="auto"/>
          <w:kern w:val="2"/>
          <w:sz w:val="21"/>
          <w:szCs w:val="24"/>
          <w:highlight w:val="none"/>
        </w:rPr>
        <w:t>分</w:t>
      </w:r>
    </w:p>
    <w:p w14:paraId="499E9E4A">
      <w:pPr>
        <w:pStyle w:val="11"/>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 xml:space="preserve">（1）供应商或所竞产品生产厂家通过ISO9001 国际质量管理体系认证、ISO13485 医疗器械质量管理体系认证证书且有效的，每提供一项得 </w:t>
      </w:r>
      <w:r>
        <w:rPr>
          <w:rFonts w:hint="eastAsia" w:hAnsi="宋体" w:cs="宋体"/>
          <w:bCs/>
          <w:color w:val="auto"/>
          <w:kern w:val="0"/>
          <w:sz w:val="21"/>
          <w:szCs w:val="21"/>
          <w:highlight w:val="none"/>
          <w:lang w:val="en-US" w:eastAsia="zh-CN" w:bidi="ar-SA"/>
        </w:rPr>
        <w:t>1</w:t>
      </w:r>
      <w:r>
        <w:rPr>
          <w:rFonts w:hint="eastAsia" w:ascii="宋体" w:hAnsi="宋体" w:eastAsia="宋体" w:cs="宋体"/>
          <w:bCs/>
          <w:color w:val="auto"/>
          <w:kern w:val="0"/>
          <w:sz w:val="21"/>
          <w:szCs w:val="21"/>
          <w:highlight w:val="none"/>
          <w:lang w:val="en-NZ" w:eastAsia="zh-CN" w:bidi="ar-SA"/>
        </w:rPr>
        <w:t xml:space="preserve"> 分，最高得</w:t>
      </w:r>
      <w:r>
        <w:rPr>
          <w:rFonts w:hint="eastAsia" w:hAnsi="宋体" w:cs="宋体"/>
          <w:bCs/>
          <w:color w:val="auto"/>
          <w:kern w:val="0"/>
          <w:sz w:val="21"/>
          <w:szCs w:val="21"/>
          <w:highlight w:val="none"/>
          <w:lang w:val="en-US" w:eastAsia="zh-CN" w:bidi="ar-SA"/>
        </w:rPr>
        <w:t>2</w:t>
      </w:r>
      <w:r>
        <w:rPr>
          <w:rFonts w:hint="eastAsia" w:ascii="宋体" w:hAnsi="宋体" w:eastAsia="宋体" w:cs="宋体"/>
          <w:bCs/>
          <w:color w:val="auto"/>
          <w:kern w:val="0"/>
          <w:sz w:val="21"/>
          <w:szCs w:val="21"/>
          <w:highlight w:val="none"/>
          <w:lang w:val="en-NZ" w:eastAsia="zh-CN" w:bidi="ar-SA"/>
        </w:rPr>
        <w:t xml:space="preserve">分（提供相关有效证明材料复印件并加盖供应商公章, 不提供不得分）。 </w:t>
      </w:r>
    </w:p>
    <w:p w14:paraId="2CCDD9D0">
      <w:pPr>
        <w:pStyle w:val="11"/>
        <w:spacing w:line="400" w:lineRule="exact"/>
        <w:ind w:firstLine="420" w:firstLineChars="200"/>
        <w:outlineLvl w:val="0"/>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（2）投标人20</w:t>
      </w:r>
      <w:r>
        <w:rPr>
          <w:rFonts w:hint="eastAsia" w:hAnsi="宋体" w:cs="宋体"/>
          <w:bCs/>
          <w:color w:val="auto"/>
          <w:kern w:val="0"/>
          <w:sz w:val="21"/>
          <w:szCs w:val="21"/>
          <w:highlight w:val="none"/>
          <w:lang w:val="en-US" w:eastAsia="zh-CN" w:bidi="ar-SA"/>
        </w:rPr>
        <w:t>23</w:t>
      </w:r>
      <w:r>
        <w:rPr>
          <w:rFonts w:hint="eastAsia" w:ascii="宋体" w:hAnsi="宋体" w:eastAsia="宋体" w:cs="宋体"/>
          <w:bCs/>
          <w:color w:val="auto"/>
          <w:kern w:val="0"/>
          <w:sz w:val="21"/>
          <w:szCs w:val="21"/>
          <w:highlight w:val="none"/>
          <w:lang w:val="en-NZ" w:eastAsia="zh-CN" w:bidi="ar-SA"/>
        </w:rPr>
        <w:t>年以来具有投标产品的销售业绩的相关证明材料（无不良记录，以中标、成交通知书或签订的销售合同为准，并能清晰反映所销售的货物名称、种类、金额）；每提供1个有效业绩得1分；最高得5分。 (提供中标（成交）通知书或合同复印件并加盖供应商公章，同一个编号的项目有两个或两个以上的分标中标的只算一次，如不提供的不得分)。</w:t>
      </w:r>
    </w:p>
    <w:p w14:paraId="12F72702">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hAnsi="宋体" w:cs="宋体"/>
          <w:b/>
          <w:color w:val="auto"/>
          <w:sz w:val="21"/>
          <w:szCs w:val="21"/>
          <w:highlight w:val="none"/>
        </w:rPr>
      </w:pPr>
      <w:r>
        <w:rPr>
          <w:rFonts w:hint="eastAsia" w:hAnsi="宋体" w:cs="宋体"/>
          <w:b/>
          <w:color w:val="auto"/>
          <w:sz w:val="21"/>
          <w:szCs w:val="21"/>
          <w:highlight w:val="none"/>
        </w:rPr>
        <w:t>6.政策功能分（节能、环保）………………………………………………………………2分</w:t>
      </w:r>
      <w:bookmarkEnd w:id="26"/>
      <w:bookmarkEnd w:id="27"/>
      <w:bookmarkEnd w:id="28"/>
      <w:bookmarkEnd w:id="29"/>
      <w:bookmarkEnd w:id="30"/>
      <w:bookmarkEnd w:id="31"/>
      <w:bookmarkEnd w:id="32"/>
      <w:bookmarkEnd w:id="33"/>
    </w:p>
    <w:p w14:paraId="58330BC1">
      <w:pPr>
        <w:pStyle w:val="11"/>
        <w:spacing w:line="400" w:lineRule="exact"/>
        <w:ind w:firstLine="420" w:firstLineChars="200"/>
        <w:outlineLvl w:val="0"/>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①属于财政部《节能产品政府采购品目清单》内优先采购（清单内未标注“★”的品目）的产品[投标文件中提供国家确定的认证机构出具的、处于有效期之内的认证证书复印件及品目清单（标注出投标产品在品目清单中所属的品目），并加盖投标人电子签章]，根据其所占项目报价比例得0-1分。</w:t>
      </w:r>
    </w:p>
    <w:p w14:paraId="559C976E">
      <w:pPr>
        <w:pStyle w:val="11"/>
        <w:spacing w:line="400" w:lineRule="exact"/>
        <w:ind w:firstLine="420" w:firstLineChars="200"/>
        <w:outlineLvl w:val="0"/>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②属于财政部《环境标志产品政府采购品目清单》内的产品[投标文件中提供国家确定的认证机构出具的、处于有效期之内的认证证书复印件及品目清单（标注出投标产品在品目清单中所属的品目），并加盖投标人电子签章]，根据其所占项目报价比例得0-1分。</w:t>
      </w:r>
    </w:p>
    <w:p w14:paraId="56024999">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hAnsi="宋体" w:cs="宋体"/>
          <w:b/>
          <w:color w:val="auto"/>
          <w:sz w:val="21"/>
          <w:szCs w:val="21"/>
          <w:highlight w:val="none"/>
        </w:rPr>
      </w:pPr>
      <w:r>
        <w:rPr>
          <w:rFonts w:hint="eastAsia" w:hAnsi="宋体" w:cs="宋体"/>
          <w:b/>
          <w:color w:val="auto"/>
          <w:sz w:val="21"/>
          <w:szCs w:val="21"/>
          <w:highlight w:val="none"/>
        </w:rPr>
        <w:t>总得分为以上各项评审因素得分合计。</w:t>
      </w:r>
    </w:p>
    <w:p w14:paraId="33F19E9E">
      <w:pPr>
        <w:pStyle w:val="11"/>
        <w:keepNext w:val="0"/>
        <w:keepLines w:val="0"/>
        <w:pageBreakBefore w:val="0"/>
        <w:kinsoku/>
        <w:wordWrap/>
        <w:overflowPunct/>
        <w:topLinePunct w:val="0"/>
        <w:autoSpaceDE/>
        <w:autoSpaceDN/>
        <w:bidi w:val="0"/>
        <w:adjustRightInd/>
        <w:snapToGrid/>
        <w:spacing w:line="360" w:lineRule="auto"/>
        <w:ind w:firstLine="422"/>
        <w:textAlignment w:val="auto"/>
        <w:rPr>
          <w:rFonts w:hint="eastAsia" w:hAnsi="宋体" w:cs="宋体"/>
          <w:b/>
          <w:color w:val="auto"/>
          <w:sz w:val="21"/>
          <w:szCs w:val="21"/>
          <w:highlight w:val="none"/>
        </w:rPr>
      </w:pPr>
      <w:r>
        <w:rPr>
          <w:rFonts w:hint="eastAsia" w:hAnsi="宋体" w:cs="宋体"/>
          <w:b/>
          <w:color w:val="auto"/>
          <w:sz w:val="21"/>
          <w:szCs w:val="21"/>
          <w:highlight w:val="none"/>
        </w:rPr>
        <w:t>三、推荐及确定中标候选人原则</w:t>
      </w:r>
    </w:p>
    <w:p w14:paraId="242CE501">
      <w:pPr>
        <w:pStyle w:val="11"/>
        <w:spacing w:line="400" w:lineRule="exact"/>
        <w:ind w:firstLine="420" w:firstLineChars="200"/>
        <w:outlineLvl w:val="0"/>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081FB7BB">
      <w:pPr>
        <w:pStyle w:val="11"/>
        <w:spacing w:line="400" w:lineRule="exact"/>
        <w:ind w:firstLine="420" w:firstLineChars="200"/>
        <w:outlineLvl w:val="0"/>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2.采购人应当自收到评标报告之日起5个工作日内，在评标报告确定的中标候选人名单中按顺序确定中标人。中标候选人并列的，采购人按以下的方式确定中标人：依次按</w:t>
      </w:r>
      <w:r>
        <w:rPr>
          <w:rFonts w:hint="eastAsia" w:hAnsi="宋体" w:cs="宋体"/>
          <w:bCs/>
          <w:color w:val="auto"/>
          <w:kern w:val="0"/>
          <w:sz w:val="21"/>
          <w:szCs w:val="21"/>
          <w:highlight w:val="none"/>
          <w:lang w:val="en-US" w:eastAsia="zh-CN" w:bidi="ar-SA"/>
        </w:rPr>
        <w:t>价格</w:t>
      </w:r>
      <w:r>
        <w:rPr>
          <w:rFonts w:hint="eastAsia" w:ascii="宋体" w:hAnsi="宋体" w:eastAsia="宋体" w:cs="宋体"/>
          <w:bCs/>
          <w:color w:val="auto"/>
          <w:kern w:val="0"/>
          <w:sz w:val="21"/>
          <w:szCs w:val="21"/>
          <w:highlight w:val="none"/>
          <w:lang w:val="en-NZ" w:eastAsia="zh-CN" w:bidi="ar-SA"/>
        </w:rPr>
        <w:t>分高的优先、安装调试方案分高的优先、售后服务方案分高的优先、信誉业绩分高的优先、政策功能分（节能、环保）高的优先顺序确定中标人。</w:t>
      </w:r>
    </w:p>
    <w:p w14:paraId="0F8CEEC2">
      <w:pPr>
        <w:pStyle w:val="11"/>
        <w:spacing w:line="400" w:lineRule="exact"/>
        <w:ind w:firstLine="420" w:firstLineChars="200"/>
        <w:outlineLvl w:val="0"/>
        <w:rPr>
          <w:rFonts w:hint="eastAsia" w:ascii="宋体" w:hAnsi="宋体" w:eastAsia="宋体" w:cs="宋体"/>
          <w:bCs/>
          <w:color w:val="auto"/>
          <w:kern w:val="0"/>
          <w:sz w:val="21"/>
          <w:szCs w:val="21"/>
          <w:highlight w:val="none"/>
          <w:lang w:val="en-NZ" w:eastAsia="zh-CN" w:bidi="ar-SA"/>
        </w:rPr>
      </w:pPr>
      <w:r>
        <w:rPr>
          <w:rFonts w:hint="eastAsia" w:ascii="宋体" w:hAnsi="宋体" w:eastAsia="宋体" w:cs="宋体"/>
          <w:bCs/>
          <w:color w:val="auto"/>
          <w:kern w:val="0"/>
          <w:sz w:val="21"/>
          <w:szCs w:val="21"/>
          <w:highlight w:val="none"/>
          <w:lang w:val="en-NZ" w:eastAsia="zh-CN" w:bidi="ar-SA"/>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31F6E7A7">
      <w:pPr>
        <w:pStyle w:val="33"/>
        <w:rPr>
          <w:color w:val="auto"/>
          <w:highlight w:val="none"/>
        </w:rPr>
      </w:pPr>
    </w:p>
    <w:p w14:paraId="30E4E943">
      <w:pPr>
        <w:rPr>
          <w:color w:val="auto"/>
          <w:highlight w:val="none"/>
        </w:rPr>
      </w:pPr>
    </w:p>
    <w:p w14:paraId="68DACDDE">
      <w:pPr>
        <w:pStyle w:val="33"/>
        <w:rPr>
          <w:color w:val="auto"/>
          <w:highlight w:val="none"/>
        </w:rPr>
      </w:pPr>
    </w:p>
    <w:p w14:paraId="0FEDAF3C">
      <w:pPr>
        <w:pStyle w:val="2"/>
        <w:rPr>
          <w:color w:val="auto"/>
          <w:highlight w:val="none"/>
        </w:rPr>
      </w:pPr>
    </w:p>
    <w:p w14:paraId="71392B6D">
      <w:pPr>
        <w:rPr>
          <w:color w:val="auto"/>
          <w:highlight w:val="none"/>
        </w:rPr>
      </w:pPr>
    </w:p>
    <w:p w14:paraId="44691CAA">
      <w:pPr>
        <w:pStyle w:val="11"/>
        <w:keepNext w:val="0"/>
        <w:keepLines w:val="0"/>
        <w:pageBreakBefore w:val="0"/>
        <w:widowControl w:val="0"/>
        <w:kinsoku/>
        <w:wordWrap/>
        <w:overflowPunct/>
        <w:topLinePunct w:val="0"/>
        <w:autoSpaceDE/>
        <w:autoSpaceDN/>
        <w:bidi w:val="0"/>
        <w:adjustRightInd/>
        <w:snapToGrid/>
        <w:spacing w:line="360" w:lineRule="auto"/>
        <w:ind w:left="308" w:leftChars="147"/>
        <w:jc w:val="center"/>
        <w:textAlignment w:val="auto"/>
        <w:rPr>
          <w:b/>
          <w:color w:val="auto"/>
          <w:sz w:val="32"/>
          <w:szCs w:val="32"/>
          <w:highlight w:val="none"/>
        </w:rPr>
      </w:pPr>
      <w:bookmarkStart w:id="34" w:name="_Toc31302"/>
      <w:bookmarkStart w:id="35" w:name="_Toc495841786"/>
      <w:r>
        <w:rPr>
          <w:rFonts w:hint="eastAsia" w:ascii="宋体" w:hAnsi="宋体"/>
          <w:b/>
          <w:color w:val="auto"/>
          <w:kern w:val="44"/>
          <w:sz w:val="32"/>
          <w:szCs w:val="32"/>
          <w:highlight w:val="none"/>
        </w:rPr>
        <w:t>第五章</w:t>
      </w:r>
      <w:r>
        <w:rPr>
          <w:rFonts w:hint="eastAsia" w:ascii="宋体" w:hAnsi="宋体"/>
          <w:b/>
          <w:color w:val="auto"/>
          <w:kern w:val="44"/>
          <w:sz w:val="48"/>
          <w:szCs w:val="48"/>
          <w:highlight w:val="none"/>
        </w:rPr>
        <w:t xml:space="preserve">  </w:t>
      </w:r>
      <w:r>
        <w:rPr>
          <w:rFonts w:hint="eastAsia"/>
          <w:b/>
          <w:color w:val="auto"/>
          <w:sz w:val="32"/>
          <w:szCs w:val="32"/>
          <w:highlight w:val="none"/>
        </w:rPr>
        <w:t>采购合同（合同主要条款及格式）</w:t>
      </w:r>
    </w:p>
    <w:p w14:paraId="0F7D8F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5F01C6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项目编号：</w:t>
      </w:r>
    </w:p>
    <w:p w14:paraId="622209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甲方：（采购人）</w:t>
      </w:r>
      <w:r>
        <w:rPr>
          <w:rFonts w:hint="eastAsia" w:ascii="宋体" w:hAnsi="宋体" w:cs="宋体"/>
          <w:color w:val="auto"/>
          <w:szCs w:val="21"/>
          <w:highlight w:val="none"/>
          <w:u w:val="single"/>
        </w:rPr>
        <w:t xml:space="preserve">                                             </w:t>
      </w:r>
    </w:p>
    <w:p w14:paraId="4ECEED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乙方：（中标供应商）</w:t>
      </w:r>
      <w:r>
        <w:rPr>
          <w:rFonts w:hint="eastAsia" w:ascii="宋体" w:hAnsi="宋体" w:cs="宋体"/>
          <w:color w:val="auto"/>
          <w:szCs w:val="21"/>
          <w:highlight w:val="none"/>
          <w:u w:val="single"/>
        </w:rPr>
        <w:t xml:space="preserve">                                         </w:t>
      </w:r>
    </w:p>
    <w:p w14:paraId="7375C1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p>
    <w:p w14:paraId="0785E5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根据《中华人民共和国民法典》及相关法律、法规规定，按照招标文件及投标文件规定条款和乙方承诺，甲乙双方签订本合同。</w:t>
      </w:r>
    </w:p>
    <w:p w14:paraId="36BFEF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b/>
          <w:color w:val="auto"/>
          <w:szCs w:val="21"/>
          <w:highlight w:val="none"/>
        </w:rPr>
        <w:t>第一条  合同文件</w:t>
      </w:r>
    </w:p>
    <w:p w14:paraId="7C5B8316">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下列文件是构成本合同不可分割的部分：</w:t>
      </w:r>
    </w:p>
    <w:p w14:paraId="5DC0D3C2">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（1）乙方提交的投标报价表、技术响应表和商务响应表；</w:t>
      </w:r>
    </w:p>
    <w:p w14:paraId="4988A18D">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（2）中标通知书；</w:t>
      </w:r>
    </w:p>
    <w:p w14:paraId="19AA8387">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（3）本合同协议书及有关补充资料；</w:t>
      </w:r>
    </w:p>
    <w:p w14:paraId="3D849BB3">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（4）采购文件的条款要求。</w:t>
      </w:r>
    </w:p>
    <w:p w14:paraId="2355EAB6">
      <w:pPr>
        <w:pStyle w:val="20"/>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color w:val="auto"/>
          <w:highlight w:val="none"/>
        </w:rPr>
      </w:pPr>
      <w:r>
        <w:rPr>
          <w:rFonts w:hint="eastAsia" w:ascii="宋体" w:hAnsi="宋体" w:cs="宋体"/>
          <w:color w:val="auto"/>
          <w:szCs w:val="21"/>
          <w:highlight w:val="none"/>
        </w:rPr>
        <w:t xml:space="preserve">    （5）设备的配置明细清单</w:t>
      </w:r>
    </w:p>
    <w:p w14:paraId="321A02F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第二条　合同标的及金额</w:t>
      </w:r>
    </w:p>
    <w:p w14:paraId="2AEF7B38">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1.合同标的</w:t>
      </w:r>
    </w:p>
    <w:tbl>
      <w:tblPr>
        <w:tblStyle w:val="2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93"/>
        <w:gridCol w:w="1270"/>
        <w:gridCol w:w="593"/>
        <w:gridCol w:w="748"/>
        <w:gridCol w:w="934"/>
        <w:gridCol w:w="873"/>
        <w:gridCol w:w="683"/>
        <w:gridCol w:w="811"/>
        <w:gridCol w:w="1469"/>
        <w:gridCol w:w="1472"/>
      </w:tblGrid>
      <w:tr w14:paraId="6CFA3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2" w:hRule="atLeast"/>
        </w:trPr>
        <w:tc>
          <w:tcPr>
            <w:tcW w:w="504" w:type="pct"/>
            <w:tcBorders>
              <w:top w:val="single" w:color="auto" w:sz="4" w:space="0"/>
              <w:left w:val="single" w:color="auto" w:sz="4" w:space="0"/>
              <w:bottom w:val="single" w:color="auto" w:sz="4" w:space="0"/>
              <w:right w:val="single" w:color="auto" w:sz="4" w:space="0"/>
            </w:tcBorders>
            <w:vAlign w:val="center"/>
          </w:tcPr>
          <w:p w14:paraId="4056D8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hAnsi="宋体"/>
                <w:color w:val="auto"/>
                <w:highlight w:val="none"/>
              </w:rPr>
              <w:t>货物名称</w:t>
            </w:r>
          </w:p>
        </w:tc>
        <w:tc>
          <w:tcPr>
            <w:tcW w:w="645" w:type="pct"/>
            <w:tcBorders>
              <w:top w:val="single" w:color="auto" w:sz="4" w:space="0"/>
              <w:left w:val="single" w:color="auto" w:sz="4" w:space="0"/>
              <w:bottom w:val="single" w:color="auto" w:sz="4" w:space="0"/>
              <w:right w:val="single" w:color="auto" w:sz="4" w:space="0"/>
            </w:tcBorders>
            <w:vAlign w:val="center"/>
          </w:tcPr>
          <w:p w14:paraId="5EBC99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hAnsi="宋体"/>
                <w:color w:val="auto"/>
                <w:highlight w:val="none"/>
              </w:rPr>
              <w:t>注册证名称</w:t>
            </w:r>
          </w:p>
        </w:tc>
        <w:tc>
          <w:tcPr>
            <w:tcW w:w="301" w:type="pct"/>
            <w:tcBorders>
              <w:top w:val="single" w:color="auto" w:sz="4" w:space="0"/>
              <w:left w:val="single" w:color="auto" w:sz="4" w:space="0"/>
              <w:bottom w:val="single" w:color="auto" w:sz="4" w:space="0"/>
              <w:right w:val="single" w:color="auto" w:sz="4" w:space="0"/>
            </w:tcBorders>
            <w:vAlign w:val="center"/>
          </w:tcPr>
          <w:p w14:paraId="04574F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highlight w:val="none"/>
              </w:rPr>
            </w:pPr>
            <w:r>
              <w:rPr>
                <w:rFonts w:hint="eastAsia" w:hAnsi="宋体"/>
                <w:color w:val="auto"/>
                <w:highlight w:val="none"/>
              </w:rPr>
              <w:t>生产厂家</w:t>
            </w:r>
          </w:p>
        </w:tc>
        <w:tc>
          <w:tcPr>
            <w:tcW w:w="380" w:type="pct"/>
            <w:tcBorders>
              <w:top w:val="single" w:color="auto" w:sz="4" w:space="0"/>
              <w:left w:val="single" w:color="auto" w:sz="4" w:space="0"/>
              <w:bottom w:val="single" w:color="auto" w:sz="4" w:space="0"/>
              <w:right w:val="single" w:color="auto" w:sz="4" w:space="0"/>
            </w:tcBorders>
            <w:vAlign w:val="center"/>
          </w:tcPr>
          <w:p w14:paraId="24A31D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color w:val="auto"/>
                <w:highlight w:val="none"/>
              </w:rPr>
              <w:t>品牌、规格、型号</w:t>
            </w:r>
          </w:p>
        </w:tc>
        <w:tc>
          <w:tcPr>
            <w:tcW w:w="474" w:type="pct"/>
            <w:tcBorders>
              <w:top w:val="single" w:color="auto" w:sz="4" w:space="0"/>
              <w:left w:val="single" w:color="auto" w:sz="4" w:space="0"/>
              <w:bottom w:val="single" w:color="auto" w:sz="4" w:space="0"/>
              <w:right w:val="single" w:color="auto" w:sz="4" w:space="0"/>
            </w:tcBorders>
            <w:vAlign w:val="center"/>
          </w:tcPr>
          <w:p w14:paraId="20B1A9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hAnsi="宋体"/>
                <w:color w:val="auto"/>
                <w:highlight w:val="none"/>
              </w:rPr>
              <w:t>技术参数、性能、配置</w:t>
            </w:r>
          </w:p>
        </w:tc>
        <w:tc>
          <w:tcPr>
            <w:tcW w:w="443" w:type="pct"/>
            <w:tcBorders>
              <w:top w:val="single" w:color="auto" w:sz="4" w:space="0"/>
              <w:left w:val="single" w:color="auto" w:sz="4" w:space="0"/>
              <w:bottom w:val="single" w:color="auto" w:sz="4" w:space="0"/>
              <w:right w:val="single" w:color="auto" w:sz="4" w:space="0"/>
            </w:tcBorders>
            <w:vAlign w:val="center"/>
          </w:tcPr>
          <w:p w14:paraId="5AB5EB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宋体"/>
                <w:color w:val="auto"/>
                <w:highlight w:val="none"/>
              </w:rPr>
            </w:pPr>
            <w:r>
              <w:rPr>
                <w:rFonts w:hint="eastAsia" w:hAnsi="宋体"/>
                <w:color w:val="auto"/>
                <w:highlight w:val="none"/>
              </w:rPr>
              <w:t>①数量</w:t>
            </w:r>
          </w:p>
        </w:tc>
        <w:tc>
          <w:tcPr>
            <w:tcW w:w="345" w:type="pct"/>
            <w:tcBorders>
              <w:top w:val="single" w:color="auto" w:sz="4" w:space="0"/>
              <w:left w:val="single" w:color="auto" w:sz="4" w:space="0"/>
              <w:bottom w:val="single" w:color="auto" w:sz="4" w:space="0"/>
              <w:right w:val="single" w:color="auto" w:sz="4" w:space="0"/>
            </w:tcBorders>
            <w:vAlign w:val="center"/>
          </w:tcPr>
          <w:p w14:paraId="101237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宋体"/>
                <w:color w:val="auto"/>
                <w:highlight w:val="none"/>
              </w:rPr>
            </w:pPr>
            <w:r>
              <w:rPr>
                <w:rFonts w:hint="eastAsia" w:hAnsi="宋体"/>
                <w:color w:val="auto"/>
                <w:highlight w:val="none"/>
              </w:rPr>
              <w:t>单位</w:t>
            </w:r>
          </w:p>
        </w:tc>
        <w:tc>
          <w:tcPr>
            <w:tcW w:w="412" w:type="pct"/>
            <w:tcBorders>
              <w:top w:val="single" w:color="auto" w:sz="4" w:space="0"/>
              <w:left w:val="single" w:color="auto" w:sz="4" w:space="0"/>
              <w:bottom w:val="single" w:color="auto" w:sz="4" w:space="0"/>
            </w:tcBorders>
            <w:vAlign w:val="center"/>
          </w:tcPr>
          <w:p w14:paraId="25DCB4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宋体"/>
                <w:color w:val="auto"/>
                <w:highlight w:val="none"/>
              </w:rPr>
            </w:pPr>
            <w:r>
              <w:rPr>
                <w:rFonts w:hint="eastAsia" w:hAnsi="宋体"/>
                <w:color w:val="auto"/>
                <w:highlight w:val="none"/>
              </w:rPr>
              <w:t>②单价</w:t>
            </w:r>
          </w:p>
        </w:tc>
        <w:tc>
          <w:tcPr>
            <w:tcW w:w="746" w:type="pct"/>
            <w:tcBorders>
              <w:top w:val="single" w:color="auto" w:sz="4" w:space="0"/>
              <w:left w:val="single" w:color="auto" w:sz="4" w:space="0"/>
              <w:bottom w:val="single" w:color="auto" w:sz="4" w:space="0"/>
            </w:tcBorders>
            <w:vAlign w:val="center"/>
          </w:tcPr>
          <w:p w14:paraId="1F04D6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olor w:val="auto"/>
                <w:highlight w:val="none"/>
              </w:rPr>
            </w:pPr>
            <w:r>
              <w:rPr>
                <w:rFonts w:hint="eastAsia" w:hAnsi="宋体"/>
                <w:color w:val="auto"/>
                <w:highlight w:val="none"/>
              </w:rPr>
              <w:t>③单项合计=①数量×②单价</w:t>
            </w:r>
          </w:p>
        </w:tc>
        <w:tc>
          <w:tcPr>
            <w:tcW w:w="746" w:type="pct"/>
            <w:tcBorders>
              <w:top w:val="single" w:color="auto" w:sz="4" w:space="0"/>
              <w:left w:val="single" w:color="auto" w:sz="4" w:space="0"/>
              <w:bottom w:val="single" w:color="auto" w:sz="4" w:space="0"/>
            </w:tcBorders>
            <w:vAlign w:val="center"/>
          </w:tcPr>
          <w:p w14:paraId="17B099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宋体"/>
                <w:color w:val="auto"/>
                <w:highlight w:val="none"/>
              </w:rPr>
            </w:pPr>
            <w:r>
              <w:rPr>
                <w:rFonts w:hint="eastAsia" w:hAnsi="宋体"/>
                <w:color w:val="auto"/>
                <w:highlight w:val="none"/>
              </w:rPr>
              <w:t>资金性质</w:t>
            </w:r>
          </w:p>
        </w:tc>
      </w:tr>
      <w:tr w14:paraId="3A47C4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504" w:type="pct"/>
            <w:tcBorders>
              <w:top w:val="single" w:color="auto" w:sz="4" w:space="0"/>
              <w:left w:val="single" w:color="auto" w:sz="4" w:space="0"/>
              <w:bottom w:val="single" w:color="auto" w:sz="4" w:space="0"/>
              <w:right w:val="single" w:color="auto" w:sz="4" w:space="0"/>
            </w:tcBorders>
            <w:vAlign w:val="center"/>
          </w:tcPr>
          <w:p w14:paraId="569FFC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645" w:type="pct"/>
            <w:tcBorders>
              <w:top w:val="single" w:color="auto" w:sz="4" w:space="0"/>
              <w:left w:val="single" w:color="auto" w:sz="4" w:space="0"/>
              <w:bottom w:val="single" w:color="auto" w:sz="4" w:space="0"/>
              <w:right w:val="single" w:color="auto" w:sz="4" w:space="0"/>
            </w:tcBorders>
            <w:vAlign w:val="center"/>
          </w:tcPr>
          <w:p w14:paraId="52A98E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301" w:type="pct"/>
            <w:tcBorders>
              <w:top w:val="single" w:color="auto" w:sz="4" w:space="0"/>
              <w:left w:val="single" w:color="auto" w:sz="4" w:space="0"/>
              <w:bottom w:val="single" w:color="auto" w:sz="4" w:space="0"/>
              <w:right w:val="single" w:color="auto" w:sz="4" w:space="0"/>
            </w:tcBorders>
            <w:vAlign w:val="center"/>
          </w:tcPr>
          <w:p w14:paraId="4DC17C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380" w:type="pct"/>
            <w:tcBorders>
              <w:top w:val="single" w:color="auto" w:sz="4" w:space="0"/>
              <w:left w:val="single" w:color="auto" w:sz="4" w:space="0"/>
              <w:bottom w:val="single" w:color="auto" w:sz="4" w:space="0"/>
              <w:right w:val="single" w:color="auto" w:sz="4" w:space="0"/>
            </w:tcBorders>
            <w:vAlign w:val="center"/>
          </w:tcPr>
          <w:p w14:paraId="12CA18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474" w:type="pct"/>
            <w:tcBorders>
              <w:top w:val="single" w:color="auto" w:sz="4" w:space="0"/>
              <w:left w:val="single" w:color="auto" w:sz="4" w:space="0"/>
              <w:bottom w:val="single" w:color="auto" w:sz="4" w:space="0"/>
              <w:right w:val="single" w:color="auto" w:sz="4" w:space="0"/>
            </w:tcBorders>
            <w:vAlign w:val="center"/>
          </w:tcPr>
          <w:p w14:paraId="6E18A7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443" w:type="pct"/>
            <w:tcBorders>
              <w:top w:val="single" w:color="auto" w:sz="4" w:space="0"/>
              <w:left w:val="single" w:color="auto" w:sz="4" w:space="0"/>
              <w:bottom w:val="single" w:color="auto" w:sz="4" w:space="0"/>
              <w:right w:val="single" w:color="auto" w:sz="4" w:space="0"/>
            </w:tcBorders>
            <w:vAlign w:val="center"/>
          </w:tcPr>
          <w:p w14:paraId="42CC9A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345" w:type="pct"/>
            <w:tcBorders>
              <w:top w:val="single" w:color="auto" w:sz="4" w:space="0"/>
              <w:left w:val="single" w:color="auto" w:sz="4" w:space="0"/>
              <w:bottom w:val="single" w:color="auto" w:sz="4" w:space="0"/>
              <w:right w:val="single" w:color="auto" w:sz="4" w:space="0"/>
            </w:tcBorders>
            <w:vAlign w:val="center"/>
          </w:tcPr>
          <w:p w14:paraId="3E569E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412" w:type="pct"/>
            <w:tcBorders>
              <w:top w:val="single" w:color="auto" w:sz="4" w:space="0"/>
              <w:left w:val="single" w:color="auto" w:sz="4" w:space="0"/>
              <w:bottom w:val="single" w:color="auto" w:sz="4" w:space="0"/>
            </w:tcBorders>
            <w:vAlign w:val="center"/>
          </w:tcPr>
          <w:p w14:paraId="1C0437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746" w:type="pct"/>
            <w:tcBorders>
              <w:top w:val="single" w:color="auto" w:sz="4" w:space="0"/>
              <w:left w:val="single" w:color="auto" w:sz="4" w:space="0"/>
              <w:bottom w:val="single" w:color="auto" w:sz="4" w:space="0"/>
            </w:tcBorders>
            <w:vAlign w:val="center"/>
          </w:tcPr>
          <w:p w14:paraId="68C3E5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c>
          <w:tcPr>
            <w:tcW w:w="746" w:type="pct"/>
            <w:tcBorders>
              <w:top w:val="single" w:color="auto" w:sz="4" w:space="0"/>
              <w:left w:val="single" w:color="auto" w:sz="4" w:space="0"/>
              <w:bottom w:val="single" w:color="auto" w:sz="4" w:space="0"/>
            </w:tcBorders>
            <w:vAlign w:val="center"/>
          </w:tcPr>
          <w:p w14:paraId="3E4A0F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Cs/>
                <w:color w:val="auto"/>
                <w:highlight w:val="none"/>
              </w:rPr>
            </w:pPr>
          </w:p>
        </w:tc>
      </w:tr>
      <w:tr w14:paraId="0C7DDE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 w:hRule="atLeast"/>
        </w:trPr>
        <w:tc>
          <w:tcPr>
            <w:tcW w:w="3094" w:type="pct"/>
            <w:gridSpan w:val="7"/>
            <w:tcBorders>
              <w:top w:val="single" w:color="auto" w:sz="4" w:space="0"/>
              <w:left w:val="single" w:color="auto" w:sz="4" w:space="0"/>
              <w:right w:val="single" w:color="auto" w:sz="4" w:space="0"/>
            </w:tcBorders>
            <w:vAlign w:val="center"/>
          </w:tcPr>
          <w:p w14:paraId="6E4A30DF">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hAnsi="宋体"/>
                <w:bCs/>
                <w:color w:val="auto"/>
                <w:highlight w:val="none"/>
              </w:rPr>
            </w:pPr>
            <w:r>
              <w:rPr>
                <w:rFonts w:hint="eastAsia" w:hAnsi="宋体"/>
                <w:bCs/>
                <w:color w:val="auto"/>
                <w:highlight w:val="none"/>
              </w:rPr>
              <w:t>合计金额</w:t>
            </w:r>
          </w:p>
        </w:tc>
        <w:tc>
          <w:tcPr>
            <w:tcW w:w="1905" w:type="pct"/>
            <w:gridSpan w:val="3"/>
            <w:tcBorders>
              <w:top w:val="single" w:color="auto" w:sz="4" w:space="0"/>
              <w:left w:val="single" w:color="auto" w:sz="4" w:space="0"/>
              <w:bottom w:val="single" w:color="auto" w:sz="4" w:space="0"/>
            </w:tcBorders>
            <w:vAlign w:val="center"/>
          </w:tcPr>
          <w:p w14:paraId="2F41DB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b/>
                <w:bCs/>
                <w:color w:val="auto"/>
                <w:highlight w:val="none"/>
              </w:rPr>
            </w:pPr>
          </w:p>
        </w:tc>
      </w:tr>
    </w:tbl>
    <w:p w14:paraId="53E05225">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cs="宋体"/>
          <w:color w:val="auto"/>
          <w:szCs w:val="21"/>
          <w:highlight w:val="none"/>
        </w:rPr>
      </w:pPr>
      <w:r>
        <w:rPr>
          <w:rFonts w:hint="eastAsia" w:ascii="宋体" w:hAnsi="宋体" w:cs="宋体"/>
          <w:color w:val="auto"/>
          <w:szCs w:val="21"/>
          <w:highlight w:val="none"/>
        </w:rPr>
        <w:t>2.根据《中标通知书》的成交内容，合同的总金额为：（大写）人民币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FBC4528">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宋体" w:hAnsi="宋体" w:cs="宋体"/>
          <w:color w:val="auto"/>
          <w:szCs w:val="21"/>
          <w:highlight w:val="none"/>
        </w:rPr>
      </w:pPr>
      <w:r>
        <w:rPr>
          <w:rFonts w:hint="eastAsia" w:ascii="宋体" w:hAnsi="宋体" w:cs="宋体"/>
          <w:color w:val="auto"/>
          <w:szCs w:val="21"/>
          <w:highlight w:val="none"/>
        </w:rPr>
        <w:t>3.资金来源：自筹资金。</w:t>
      </w:r>
    </w:p>
    <w:p w14:paraId="54B6091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第三条  质量保证</w:t>
      </w:r>
    </w:p>
    <w:p w14:paraId="66869C7A">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1.乙方应按招标文件及投标文件规定的货物型号、技术规格、技术参数、质量标准向甲方提供未经使用的全新原装产品，且在正常安装使用和保养条件下，其使用寿命期内各项指标均达到质量标准。</w:t>
      </w:r>
    </w:p>
    <w:p w14:paraId="552DE337">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color w:val="auto"/>
          <w:szCs w:val="21"/>
          <w:highlight w:val="none"/>
        </w:rPr>
      </w:pPr>
      <w:r>
        <w:rPr>
          <w:rFonts w:hint="eastAsia" w:ascii="宋体" w:hAnsi="宋体" w:cs="宋体"/>
          <w:color w:val="auto"/>
          <w:szCs w:val="21"/>
          <w:highlight w:val="none"/>
        </w:rPr>
        <w:t>2.乙方提供货物的质量保证期为自交货物验收合格之日起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val="en-US" w:eastAsia="zh-CN"/>
        </w:rPr>
        <w:t>年</w:t>
      </w:r>
      <w:r>
        <w:rPr>
          <w:rFonts w:hint="eastAsia" w:ascii="宋体" w:hAnsi="宋体" w:cs="宋体"/>
          <w:color w:val="auto"/>
          <w:szCs w:val="21"/>
          <w:highlight w:val="none"/>
        </w:rPr>
        <w:t>（厂家规定免费保修期超过</w:t>
      </w:r>
      <w:r>
        <w:rPr>
          <w:rFonts w:hint="eastAsia" w:ascii="宋体" w:hAnsi="宋体" w:cs="宋体"/>
          <w:color w:val="auto"/>
          <w:szCs w:val="21"/>
          <w:highlight w:val="none"/>
          <w:lang w:val="en-US" w:eastAsia="zh-CN"/>
        </w:rPr>
        <w:t>36</w:t>
      </w:r>
      <w:r>
        <w:rPr>
          <w:rFonts w:hint="eastAsia" w:ascii="宋体" w:hAnsi="宋体" w:cs="宋体"/>
          <w:color w:val="auto"/>
          <w:szCs w:val="21"/>
          <w:highlight w:val="none"/>
        </w:rPr>
        <w:t>个月的，按厂家规定执行）。在免费保修期内因货物本身的质量问题发生故障，乙方应负责免费修理和更换零部件。对达不到技术要求者，甲方根据实际情况可按以下办法处理：</w:t>
      </w:r>
    </w:p>
    <w:p w14:paraId="5C728839">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color w:val="auto"/>
          <w:szCs w:val="21"/>
          <w:highlight w:val="none"/>
        </w:rPr>
      </w:pPr>
      <w:r>
        <w:rPr>
          <w:rFonts w:hint="eastAsia" w:ascii="宋体" w:hAnsi="宋体" w:cs="宋体"/>
          <w:color w:val="auto"/>
          <w:szCs w:val="21"/>
          <w:highlight w:val="none"/>
        </w:rPr>
        <w:t>（1）更换：由乙方承担所有发生的全部费用。</w:t>
      </w:r>
    </w:p>
    <w:p w14:paraId="30E0EB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（2）贬值处理：由甲乙双方合议定价。</w:t>
      </w:r>
    </w:p>
    <w:p w14:paraId="3FB15361">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color w:val="auto"/>
          <w:szCs w:val="21"/>
          <w:highlight w:val="none"/>
        </w:rPr>
      </w:pPr>
      <w:r>
        <w:rPr>
          <w:rFonts w:hint="eastAsia" w:ascii="宋体" w:hAnsi="宋体" w:cs="宋体"/>
          <w:color w:val="auto"/>
          <w:szCs w:val="21"/>
          <w:highlight w:val="none"/>
        </w:rPr>
        <w:t>（3）退货处理：乙方应退还甲方支付的合同款，同时应承担该货物的直接费用（运输、保险、检验、贷款利息及银行手续费等）。</w:t>
      </w:r>
    </w:p>
    <w:p w14:paraId="10D883DD">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color w:val="auto"/>
          <w:szCs w:val="21"/>
          <w:highlight w:val="none"/>
        </w:rPr>
      </w:pPr>
      <w:r>
        <w:rPr>
          <w:rFonts w:hint="eastAsia" w:cs="宋体"/>
          <w:color w:val="auto"/>
          <w:szCs w:val="21"/>
          <w:highlight w:val="none"/>
        </w:rPr>
        <w:t>（4）</w:t>
      </w:r>
      <w:r>
        <w:rPr>
          <w:rFonts w:hint="eastAsia" w:ascii="宋体" w:hAnsi="宋体" w:cs="宋体"/>
          <w:color w:val="auto"/>
          <w:szCs w:val="21"/>
          <w:highlight w:val="none"/>
        </w:rPr>
        <w:t>供货方所提供的设备出厂日期必须在设备验收/到货前3个月内。</w:t>
      </w:r>
    </w:p>
    <w:p w14:paraId="5D475DAC">
      <w:pPr>
        <w:keepNext w:val="0"/>
        <w:keepLines w:val="0"/>
        <w:pageBreakBefore w:val="0"/>
        <w:widowControl w:val="0"/>
        <w:kinsoku/>
        <w:wordWrap/>
        <w:overflowPunct/>
        <w:topLinePunct w:val="0"/>
        <w:autoSpaceDE/>
        <w:autoSpaceDN/>
        <w:bidi w:val="0"/>
        <w:adjustRightInd/>
        <w:snapToGrid/>
        <w:spacing w:line="360" w:lineRule="auto"/>
        <w:ind w:firstLine="430" w:firstLineChars="205"/>
        <w:textAlignment w:val="auto"/>
        <w:rPr>
          <w:rFonts w:hint="eastAsia" w:ascii="宋体" w:hAnsi="宋体" w:cs="宋体"/>
          <w:b/>
          <w:color w:val="auto"/>
          <w:szCs w:val="21"/>
          <w:highlight w:val="none"/>
        </w:rPr>
      </w:pPr>
      <w:r>
        <w:rPr>
          <w:rFonts w:hint="eastAsia" w:ascii="宋体" w:hAnsi="宋体" w:cs="宋体"/>
          <w:b/>
          <w:color w:val="auto"/>
          <w:szCs w:val="21"/>
          <w:highlight w:val="none"/>
        </w:rPr>
        <w:t>第四条  权利保证</w:t>
      </w:r>
    </w:p>
    <w:p w14:paraId="15E165A8">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eastAsia" w:ascii="宋体" w:hAnsi="宋体" w:cs="宋体"/>
          <w:color w:val="auto"/>
          <w:szCs w:val="21"/>
          <w:highlight w:val="none"/>
        </w:rPr>
      </w:pPr>
      <w:r>
        <w:rPr>
          <w:rFonts w:hint="eastAsia" w:ascii="宋体" w:hAnsi="宋体" w:cs="宋体"/>
          <w:color w:val="auto"/>
          <w:szCs w:val="21"/>
          <w:highlight w:val="none"/>
        </w:rPr>
        <w:t>1.乙方保证所提供的标的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其不利后果由乙方全部承担，如果因此给甲方造成损失的，乙方应予以全额赔偿。</w:t>
      </w:r>
    </w:p>
    <w:p w14:paraId="03058D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2.乙方应按采购文件规定的时间向甲方提供使用货物的有关技术资料。</w:t>
      </w:r>
    </w:p>
    <w:p w14:paraId="07054167">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s="宋体"/>
          <w:color w:val="auto"/>
          <w:spacing w:val="-6"/>
          <w:szCs w:val="21"/>
          <w:highlight w:val="none"/>
        </w:rPr>
      </w:pPr>
      <w:r>
        <w:rPr>
          <w:rFonts w:hint="eastAsia" w:ascii="宋体" w:hAnsi="宋体" w:cs="宋体"/>
          <w:color w:val="auto"/>
          <w:szCs w:val="21"/>
          <w:highlight w:val="none"/>
        </w:rPr>
        <w:t>3.</w:t>
      </w:r>
      <w:r>
        <w:rPr>
          <w:rFonts w:hint="eastAsia" w:ascii="宋体" w:hAnsi="宋体" w:cs="宋体"/>
          <w:color w:val="auto"/>
          <w:spacing w:val="-6"/>
          <w:szCs w:val="21"/>
          <w:highlight w:val="none"/>
        </w:rPr>
        <w:t>乙方保证所交付的货物的所有权完全属于乙方且无任何抵押、质押、查封等产权瑕疵。</w:t>
      </w:r>
    </w:p>
    <w:p w14:paraId="6FAAC849">
      <w:pPr>
        <w:keepNext w:val="0"/>
        <w:keepLines w:val="0"/>
        <w:pageBreakBefore w:val="0"/>
        <w:widowControl w:val="0"/>
        <w:kinsoku/>
        <w:wordWrap/>
        <w:overflowPunct/>
        <w:topLinePunct w:val="0"/>
        <w:autoSpaceDE/>
        <w:autoSpaceDN/>
        <w:bidi w:val="0"/>
        <w:adjustRightInd/>
        <w:snapToGrid/>
        <w:spacing w:line="360" w:lineRule="auto"/>
        <w:ind w:firstLine="440"/>
        <w:textAlignment w:val="auto"/>
        <w:rPr>
          <w:rFonts w:hint="eastAsia" w:ascii="宋体" w:hAnsi="宋体" w:cs="宋体"/>
          <w:color w:val="auto"/>
          <w:szCs w:val="21"/>
          <w:highlight w:val="none"/>
        </w:rPr>
      </w:pPr>
      <w:r>
        <w:rPr>
          <w:rFonts w:hint="eastAsia" w:ascii="宋体" w:hAnsi="宋体" w:cs="宋体"/>
          <w:color w:val="auto"/>
          <w:szCs w:val="21"/>
          <w:highlight w:val="none"/>
        </w:rPr>
        <w:t>4.乙方</w:t>
      </w:r>
      <w:r>
        <w:rPr>
          <w:rFonts w:hint="eastAsia" w:ascii="宋体" w:hAnsi="宋体" w:cs="宋体"/>
          <w:color w:val="auto"/>
          <w:spacing w:val="-6"/>
          <w:szCs w:val="21"/>
          <w:highlight w:val="none"/>
        </w:rPr>
        <w:t>保证</w:t>
      </w:r>
      <w:r>
        <w:rPr>
          <w:rFonts w:hint="eastAsia" w:ascii="宋体" w:hAnsi="宋体" w:cs="宋体"/>
          <w:color w:val="auto"/>
          <w:szCs w:val="21"/>
          <w:highlight w:val="none"/>
        </w:rPr>
        <w:t>开具真实、有效的税务发票，一旦查出乙方提供的发票作假，自动解除协议并且甲方有权利不支付该笔发票款项。</w:t>
      </w:r>
    </w:p>
    <w:p w14:paraId="05D28E60">
      <w:pPr>
        <w:keepNext w:val="0"/>
        <w:keepLines w:val="0"/>
        <w:pageBreakBefore w:val="0"/>
        <w:widowControl w:val="0"/>
        <w:kinsoku/>
        <w:wordWrap/>
        <w:overflowPunct/>
        <w:topLinePunct w:val="0"/>
        <w:autoSpaceDE/>
        <w:autoSpaceDN/>
        <w:bidi w:val="0"/>
        <w:adjustRightInd/>
        <w:snapToGrid/>
        <w:spacing w:line="360" w:lineRule="auto"/>
        <w:ind w:firstLine="440"/>
        <w:textAlignment w:val="auto"/>
        <w:rPr>
          <w:rFonts w:hint="eastAsia" w:ascii="宋体" w:hAnsi="宋体" w:cs="宋体"/>
          <w:color w:val="auto"/>
          <w:spacing w:val="-6"/>
          <w:szCs w:val="21"/>
          <w:highlight w:val="none"/>
        </w:rPr>
      </w:pPr>
      <w:r>
        <w:rPr>
          <w:rFonts w:hint="eastAsia" w:ascii="宋体" w:hAnsi="宋体" w:cs="宋体"/>
          <w:color w:val="auto"/>
          <w:szCs w:val="21"/>
          <w:highlight w:val="none"/>
        </w:rPr>
        <w:t>5、如乙方（厂商）存在配合相关部门调查商业贿赂等违法行为的情况，甲方（医院）可暂缓付款，一经查实乙方存在对甲方员工进行商业贿赂等违法行为的，乙方须向甲方支付合同总价款40%的违约金作为处罚，甲方有权从应支付给乙方的款项中予以直接扣减。</w:t>
      </w:r>
    </w:p>
    <w:p w14:paraId="79ACB8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第五条  货物包装、运输</w:t>
      </w:r>
    </w:p>
    <w:p w14:paraId="7239F4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1.乙方应在货物发运前对其进行满足运输距离、防潮、防震、防锈和防破损装卸等要求包装，以保证货物安全运达甲方指定地点。</w:t>
      </w:r>
    </w:p>
    <w:p w14:paraId="3474FB64">
      <w:pPr>
        <w:keepNext w:val="0"/>
        <w:keepLines w:val="0"/>
        <w:pageBreakBefore w:val="0"/>
        <w:widowControl w:val="0"/>
        <w:tabs>
          <w:tab w:val="left" w:pos="78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2.使用中文说明书、质量检验证明书、随配附件和工具以及清单一并附于货物内。</w:t>
      </w:r>
    </w:p>
    <w:p w14:paraId="06DCEB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3.乙方在货物发运手续办理完毕后二十四小时内或货到甲方四十八小时前通知甲方，以准备接货。</w:t>
      </w:r>
    </w:p>
    <w:p w14:paraId="6433C14C">
      <w:pPr>
        <w:keepNext w:val="0"/>
        <w:keepLines w:val="0"/>
        <w:pageBreakBefore w:val="0"/>
        <w:widowControl w:val="0"/>
        <w:tabs>
          <w:tab w:val="left" w:pos="78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4.货物在交付甲方前发生的一切风险均由乙方负责。</w:t>
      </w:r>
    </w:p>
    <w:p w14:paraId="308B68B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第六条  交付</w:t>
      </w:r>
    </w:p>
    <w:p w14:paraId="6F3BE6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1.交付使用期：自签订合同之日起 </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 xml:space="preserve">0 </w:t>
      </w:r>
      <w:r>
        <w:rPr>
          <w:rFonts w:hint="eastAsia" w:ascii="宋体" w:hAnsi="宋体" w:cs="宋体"/>
          <w:color w:val="auto"/>
          <w:szCs w:val="21"/>
          <w:highlight w:val="none"/>
        </w:rPr>
        <w:t>个日历日内交货并安装调试合格交付使用；</w:t>
      </w:r>
    </w:p>
    <w:p w14:paraId="68150F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地点：广西桂林市内甲方指定地点。</w:t>
      </w:r>
    </w:p>
    <w:p w14:paraId="0AFC5E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2.乙方提供不符合招标文件及投标文件和本合同规定的货物，甲方有权拒绝接受。</w:t>
      </w:r>
    </w:p>
    <w:p w14:paraId="0EC023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3.乙方应将所有提供货物的装箱清单、用户手册、原厂保修卡、随机资料、工具和备用、备件等交付给甲方，如有缺失应及时补齐，否则视为逾期交货。</w:t>
      </w:r>
    </w:p>
    <w:p w14:paraId="7C2137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第七条  调试和验收</w:t>
      </w:r>
    </w:p>
    <w:p w14:paraId="215E3B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1.乙方交货前应对产品做出全面的检查和对验收文件进行整理，并列出清单，作为甲方验收和使用的技术条件依据，验收的结果应随货物交甲方。</w:t>
      </w:r>
    </w:p>
    <w:p w14:paraId="370B44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46537F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3.甲方对乙方提供的货物在使用前进行调试时，乙方需负责安装并培训甲方的使用操作人员，并协助甲方一起调试，直到符合技术要求，甲方才做最终验收。</w:t>
      </w:r>
    </w:p>
    <w:p w14:paraId="0C4549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4.对技术复杂的货物，甲方应请国家认可的专业检测机构参与初步验收及最终验收，并由其出具质量检测报告。</w:t>
      </w:r>
    </w:p>
    <w:p w14:paraId="591A49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5.验收时乙方必须在现场，验收完毕后作出验收结果报告，验收费用由乙方负责。</w:t>
      </w:r>
    </w:p>
    <w:p w14:paraId="6072FF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6.甲方对验收有异议的，在验收后</w:t>
      </w:r>
      <w:r>
        <w:rPr>
          <w:rFonts w:hint="eastAsia" w:ascii="宋体" w:hAnsi="宋体" w:cs="宋体"/>
          <w:color w:val="auto"/>
          <w:szCs w:val="21"/>
          <w:highlight w:val="none"/>
          <w:u w:val="single"/>
        </w:rPr>
        <w:t>7</w:t>
      </w:r>
      <w:r>
        <w:rPr>
          <w:rFonts w:hint="eastAsia" w:ascii="宋体" w:hAnsi="宋体" w:cs="宋体"/>
          <w:color w:val="auto"/>
          <w:szCs w:val="21"/>
          <w:highlight w:val="none"/>
        </w:rPr>
        <w:t>个工作日内以书面形式向乙方提出，乙方应自收到甲方书面异议后</w:t>
      </w:r>
      <w:r>
        <w:rPr>
          <w:rFonts w:hint="eastAsia" w:ascii="宋体" w:hAnsi="宋体" w:cs="宋体"/>
          <w:color w:val="auto"/>
          <w:szCs w:val="21"/>
          <w:highlight w:val="none"/>
          <w:u w:val="single"/>
        </w:rPr>
        <w:t>7</w:t>
      </w:r>
      <w:r>
        <w:rPr>
          <w:rFonts w:hint="eastAsia" w:ascii="宋体" w:hAnsi="宋体" w:cs="宋体"/>
          <w:color w:val="auto"/>
          <w:szCs w:val="21"/>
          <w:highlight w:val="none"/>
        </w:rPr>
        <w:t>日内及时予以解决。</w:t>
      </w:r>
    </w:p>
    <w:p w14:paraId="36AF6DB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第八条  安装和培训</w:t>
      </w:r>
    </w:p>
    <w:p w14:paraId="030FDC39">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1.甲方应提供必要安装条件（如场地、电源、水源等）。</w:t>
      </w:r>
    </w:p>
    <w:p w14:paraId="12801DAC">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2.乙方负责甲方有关人员的培训。培训时间、地点：</w:t>
      </w:r>
      <w:r>
        <w:rPr>
          <w:rFonts w:hint="eastAsia" w:ascii="宋体" w:hAnsi="宋体" w:cs="宋体"/>
          <w:color w:val="auto"/>
          <w:szCs w:val="21"/>
          <w:highlight w:val="none"/>
          <w:u w:val="single"/>
        </w:rPr>
        <w:t>广西桂林市内甲方指定地点</w:t>
      </w:r>
      <w:r>
        <w:rPr>
          <w:rFonts w:hint="eastAsia" w:ascii="宋体" w:hAnsi="宋体" w:cs="宋体"/>
          <w:color w:val="auto"/>
          <w:szCs w:val="21"/>
          <w:highlight w:val="none"/>
        </w:rPr>
        <w:t>_。</w:t>
      </w:r>
    </w:p>
    <w:p w14:paraId="57FF1458">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第九条  售后服务</w:t>
      </w:r>
    </w:p>
    <w:p w14:paraId="6FBC6209">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ascii="宋体" w:hAnsi="宋体" w:cs="宋体"/>
          <w:color w:val="auto"/>
          <w:szCs w:val="21"/>
          <w:highlight w:val="none"/>
        </w:rPr>
        <w:t>1.乙方应按照国家有关法律规定和“三包”规定、招标文件要求及乙方投标文件承诺为甲方提供售后服务。</w:t>
      </w:r>
    </w:p>
    <w:p w14:paraId="2909EC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lang w:bidi="ar"/>
        </w:rPr>
      </w:pPr>
      <w:r>
        <w:rPr>
          <w:rFonts w:hint="eastAsia" w:ascii="宋体" w:hAnsi="宋体" w:cs="宋体"/>
          <w:color w:val="auto"/>
          <w:szCs w:val="21"/>
          <w:highlight w:val="none"/>
        </w:rPr>
        <w:t>2.</w:t>
      </w:r>
      <w:r>
        <w:rPr>
          <w:rFonts w:hint="eastAsia" w:ascii="宋体" w:hAnsi="宋体" w:cs="宋体"/>
          <w:color w:val="auto"/>
          <w:szCs w:val="21"/>
          <w:highlight w:val="none"/>
          <w:lang w:bidi="ar"/>
        </w:rPr>
        <w:t>如在使用过程中发生质量问题，2小时响应，12小时内上门处理，48 小时内解决故障；未能在规定时间内排除故障的，必须在 72 小时内提供同档次的备用机。</w:t>
      </w:r>
    </w:p>
    <w:p w14:paraId="7CD425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3.在免费保修期内，乙方应对货物出现的质量及安全问题负责处理解决并承担一切费用。</w:t>
      </w:r>
    </w:p>
    <w:p w14:paraId="71BE0F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若免费保修期内非操作者原因，设备出现故障的达5次（含5次）以上的，甲方将扣除乙方合同价款5%的</w:t>
      </w:r>
      <w:r>
        <w:rPr>
          <w:rFonts w:hint="eastAsia" w:ascii="宋体" w:hAnsi="宋体" w:cs="宋体"/>
          <w:color w:val="auto"/>
          <w:szCs w:val="21"/>
          <w:highlight w:val="none"/>
        </w:rPr>
        <w:t>履约保证金</w:t>
      </w:r>
      <w:r>
        <w:rPr>
          <w:rFonts w:ascii="宋体" w:hAnsi="宋体" w:cs="宋体"/>
          <w:color w:val="auto"/>
          <w:szCs w:val="21"/>
          <w:highlight w:val="none"/>
        </w:rPr>
        <w:t>，且乙方须</w:t>
      </w:r>
      <w:r>
        <w:rPr>
          <w:rFonts w:hint="eastAsia" w:ascii="宋体" w:hAnsi="宋体" w:cs="宋体"/>
          <w:color w:val="auto"/>
          <w:szCs w:val="21"/>
          <w:highlight w:val="none"/>
        </w:rPr>
        <w:t>更换</w:t>
      </w:r>
      <w:r>
        <w:rPr>
          <w:rFonts w:ascii="宋体" w:hAnsi="宋体" w:cs="宋体"/>
          <w:color w:val="auto"/>
          <w:szCs w:val="21"/>
          <w:highlight w:val="none"/>
        </w:rPr>
        <w:t>全新整机</w:t>
      </w:r>
      <w:r>
        <w:rPr>
          <w:rFonts w:hint="eastAsia" w:ascii="宋体" w:hAnsi="宋体" w:cs="宋体"/>
          <w:color w:val="auto"/>
          <w:szCs w:val="21"/>
          <w:highlight w:val="none"/>
        </w:rPr>
        <w:t>，更换全新整机后，仍出现故障的，则做退货处理，退还该设备全额价款</w:t>
      </w:r>
      <w:r>
        <w:rPr>
          <w:rFonts w:ascii="宋体" w:hAnsi="宋体" w:cs="宋体"/>
          <w:color w:val="auto"/>
          <w:szCs w:val="21"/>
          <w:highlight w:val="none"/>
        </w:rPr>
        <w:t>。</w:t>
      </w:r>
    </w:p>
    <w:p w14:paraId="236143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在免费保修期内提供上门维修服务（含更换零部件、免人工费、维修费、接口费等）；如果需要更换配件的，所更换的配件应当为原供货产品品牌、类型相一致或者是同等档次的替代品，后者需征得甲方相关人员同意；若甲方发现产品存在制造上的缺陷，乙方应负责采取补救措施，若该缺陷导致产品存在安全隐患或不能使用的，乙方应负责更换整件产品。</w:t>
      </w:r>
    </w:p>
    <w:p w14:paraId="656652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6.售后服务过程中如有违反约定的情况，乙方自愿放弃全部质量保证金。</w:t>
      </w:r>
    </w:p>
    <w:p w14:paraId="216C2ED1">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第十条  税费</w:t>
      </w:r>
    </w:p>
    <w:p w14:paraId="4E4CDBEB">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759DB7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第十一条　付款方式</w:t>
      </w:r>
    </w:p>
    <w:p w14:paraId="3EA740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Theme="majorEastAsia" w:hAnsiTheme="majorEastAsia" w:eastAsiaTheme="majorEastAsia" w:cstheme="majorEastAsia"/>
          <w:color w:val="auto"/>
          <w:szCs w:val="21"/>
          <w:highlight w:val="none"/>
        </w:rPr>
        <w:t>合同签订后，自验收合格（培训指导完成、设备、软件正式使用）收到正规等额、有效发票之日起6个月后支付合同价款的95%，合同价款的5%作为</w:t>
      </w:r>
      <w:r>
        <w:rPr>
          <w:rFonts w:hint="eastAsia" w:asciiTheme="majorEastAsia" w:hAnsiTheme="majorEastAsia" w:eastAsiaTheme="majorEastAsia" w:cstheme="majorEastAsia"/>
          <w:color w:val="auto"/>
          <w:szCs w:val="21"/>
          <w:highlight w:val="none"/>
          <w:lang w:val="en-US" w:eastAsia="zh-CN"/>
        </w:rPr>
        <w:t>履约</w:t>
      </w:r>
      <w:r>
        <w:rPr>
          <w:rFonts w:hint="eastAsia" w:asciiTheme="majorEastAsia" w:hAnsiTheme="majorEastAsia" w:eastAsiaTheme="majorEastAsia" w:cstheme="majorEastAsia"/>
          <w:color w:val="auto"/>
          <w:szCs w:val="21"/>
          <w:highlight w:val="none"/>
        </w:rPr>
        <w:t>保证金，质保期满30个工作日后付清（无息）。</w:t>
      </w:r>
    </w:p>
    <w:p w14:paraId="315A54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第十二条  违约责任</w:t>
      </w:r>
    </w:p>
    <w:p w14:paraId="716FBC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1.乙方所提供的货物规格、技术标准、材料等质量不合格的，应及时更换，更换不及时的按逾期交货处罚，乙方应向甲方支付合同金额</w:t>
      </w:r>
      <w:r>
        <w:rPr>
          <w:rFonts w:hint="eastAsia" w:ascii="宋体" w:hAnsi="宋体" w:cs="宋体"/>
          <w:color w:val="auto"/>
          <w:szCs w:val="21"/>
          <w:highlight w:val="none"/>
          <w:u w:val="single"/>
        </w:rPr>
        <w:t>5</w:t>
      </w:r>
      <w:r>
        <w:rPr>
          <w:rFonts w:hint="eastAsia" w:ascii="宋体" w:hAnsi="宋体" w:cs="宋体"/>
          <w:color w:val="auto"/>
          <w:szCs w:val="21"/>
          <w:highlight w:val="none"/>
        </w:rPr>
        <w:t>%违约金并赔偿甲方经济损失。</w:t>
      </w:r>
    </w:p>
    <w:p w14:paraId="66AAEEA5">
      <w:pPr>
        <w:keepNext w:val="0"/>
        <w:keepLines w:val="0"/>
        <w:pageBreakBefore w:val="0"/>
        <w:widowControl w:val="0"/>
        <w:kinsoku/>
        <w:wordWrap/>
        <w:overflowPunct/>
        <w:topLinePunct w:val="0"/>
        <w:autoSpaceDE/>
        <w:autoSpaceDN/>
        <w:bidi w:val="0"/>
        <w:adjustRightInd/>
        <w:snapToGrid/>
        <w:spacing w:line="360" w:lineRule="auto"/>
        <w:ind w:firstLine="359" w:firstLineChars="171"/>
        <w:textAlignment w:val="auto"/>
        <w:rPr>
          <w:rFonts w:hint="eastAsia" w:ascii="宋体" w:hAnsi="宋体" w:cs="宋体"/>
          <w:color w:val="auto"/>
          <w:szCs w:val="21"/>
          <w:highlight w:val="none"/>
        </w:rPr>
      </w:pPr>
      <w:r>
        <w:rPr>
          <w:rFonts w:hint="eastAsia" w:ascii="宋体" w:hAnsi="宋体" w:cs="宋体"/>
          <w:color w:val="auto"/>
          <w:szCs w:val="21"/>
          <w:highlight w:val="none"/>
        </w:rPr>
        <w:t>2.乙方提供的货物如果侵犯了第三方合法权益而引发的任何纠纷或诉讼，均由乙方负责交涉并承担全部责任；</w:t>
      </w:r>
    </w:p>
    <w:p w14:paraId="469218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6DC735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4.甲方无故延期接受货物、乙方逾期交货的，每天向对方偿付合同金额</w:t>
      </w:r>
      <w:r>
        <w:rPr>
          <w:rFonts w:hint="eastAsia" w:ascii="宋体" w:hAnsi="宋体" w:cs="宋体"/>
          <w:color w:val="auto"/>
          <w:szCs w:val="21"/>
          <w:highlight w:val="none"/>
          <w:u w:val="single"/>
        </w:rPr>
        <w:t>3</w:t>
      </w:r>
      <w:r>
        <w:rPr>
          <w:rFonts w:hint="eastAsia" w:ascii="宋体" w:hAnsi="宋体" w:cs="宋体"/>
          <w:color w:val="auto"/>
          <w:szCs w:val="21"/>
          <w:highlight w:val="none"/>
        </w:rPr>
        <w:t>‰违约金，但违约金额不得超过合同金额</w:t>
      </w:r>
      <w:r>
        <w:rPr>
          <w:rFonts w:hint="eastAsia" w:ascii="宋体" w:hAnsi="宋体" w:cs="宋体"/>
          <w:color w:val="auto"/>
          <w:szCs w:val="21"/>
          <w:highlight w:val="none"/>
          <w:u w:val="single"/>
        </w:rPr>
        <w:t>5</w:t>
      </w:r>
      <w:r>
        <w:rPr>
          <w:rFonts w:hint="eastAsia" w:ascii="宋体" w:hAnsi="宋体" w:cs="宋体"/>
          <w:color w:val="auto"/>
          <w:szCs w:val="21"/>
          <w:highlight w:val="none"/>
        </w:rPr>
        <w:t>%，超过</w:t>
      </w:r>
      <w:r>
        <w:rPr>
          <w:rFonts w:hint="eastAsia" w:ascii="宋体" w:hAnsi="宋体" w:cs="宋体"/>
          <w:color w:val="auto"/>
          <w:szCs w:val="21"/>
          <w:highlight w:val="none"/>
          <w:u w:val="single"/>
        </w:rPr>
        <w:t>20</w:t>
      </w:r>
      <w:r>
        <w:rPr>
          <w:rFonts w:hint="eastAsia" w:ascii="宋体" w:hAnsi="宋体" w:cs="宋体"/>
          <w:color w:val="auto"/>
          <w:szCs w:val="21"/>
          <w:highlight w:val="none"/>
        </w:rPr>
        <w:t>天对方有权解除合同，违约方承担因此给对方造成的经济损失：甲方延期付货款的，每天向乙方偿付逾期金额</w:t>
      </w:r>
      <w:r>
        <w:rPr>
          <w:rFonts w:hint="eastAsia" w:ascii="宋体" w:hAnsi="宋体" w:cs="宋体"/>
          <w:color w:val="auto"/>
          <w:szCs w:val="21"/>
          <w:highlight w:val="none"/>
          <w:u w:val="single"/>
        </w:rPr>
        <w:t>1</w:t>
      </w:r>
      <w:r>
        <w:rPr>
          <w:rFonts w:hint="eastAsia" w:ascii="宋体" w:hAnsi="宋体" w:cs="宋体"/>
          <w:color w:val="auto"/>
          <w:szCs w:val="21"/>
          <w:highlight w:val="none"/>
        </w:rPr>
        <w:t>‰滞纳金，但滞纳金累计不得超过逾期金额</w:t>
      </w:r>
      <w:r>
        <w:rPr>
          <w:rFonts w:hint="eastAsia" w:ascii="宋体" w:hAnsi="宋体" w:cs="宋体"/>
          <w:color w:val="auto"/>
          <w:szCs w:val="21"/>
          <w:highlight w:val="none"/>
          <w:u w:val="single"/>
        </w:rPr>
        <w:t>5</w:t>
      </w:r>
      <w:r>
        <w:rPr>
          <w:rFonts w:hint="eastAsia" w:ascii="宋体" w:hAnsi="宋体" w:cs="宋体"/>
          <w:color w:val="auto"/>
          <w:szCs w:val="21"/>
          <w:highlight w:val="none"/>
        </w:rPr>
        <w:t>%。</w:t>
      </w:r>
    </w:p>
    <w:p w14:paraId="0E64C9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5.乙方未按本合同和投标文件中规定的服务承诺提供售后服务的，乙方应每次按本合同合计金额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w:t>
      </w:r>
    </w:p>
    <w:p w14:paraId="4B89B4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6.乙方提供的货物在免费保修期内，因设计、工艺或材料的缺陷和其他质量原因造成的问题及损失，由乙方负责，甲方有权从质量保证金中扣除，质量保证金不足弥补损失的，甲方有权要求乙方赔偿。</w:t>
      </w:r>
    </w:p>
    <w:p w14:paraId="7CE735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7.乙方其他违约行为按违约货款额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14:paraId="4D0C0C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8.乙方未经甲方书面同意将本合同权利义务部分或全部转让给第三人的，甲方有权解除合同，乙方须退还甲方已支付的所有费用并向乙方支付相当于合同总价款30%的违约金。</w:t>
      </w:r>
    </w:p>
    <w:p w14:paraId="62496BA3">
      <w:pPr>
        <w:keepNext w:val="0"/>
        <w:keepLines w:val="0"/>
        <w:pageBreakBefore w:val="0"/>
        <w:widowControl w:val="0"/>
        <w:kinsoku/>
        <w:wordWrap/>
        <w:overflowPunct/>
        <w:topLinePunct w:val="0"/>
        <w:autoSpaceDE/>
        <w:autoSpaceDN/>
        <w:bidi w:val="0"/>
        <w:adjustRightInd/>
        <w:snapToGrid/>
        <w:spacing w:line="360" w:lineRule="auto"/>
        <w:ind w:firstLine="359" w:firstLineChars="171"/>
        <w:textAlignment w:val="auto"/>
        <w:rPr>
          <w:rFonts w:hint="eastAsia" w:ascii="宋体" w:hAnsi="宋体" w:cs="宋体"/>
          <w:color w:val="auto"/>
          <w:szCs w:val="21"/>
          <w:highlight w:val="none"/>
        </w:rPr>
      </w:pPr>
      <w:r>
        <w:rPr>
          <w:rFonts w:hint="eastAsia" w:ascii="宋体" w:hAnsi="宋体" w:cs="宋体"/>
          <w:color w:val="auto"/>
          <w:szCs w:val="21"/>
          <w:highlight w:val="none"/>
        </w:rPr>
        <w:t>9.在履行本合同过程中非因甲方的原因引发的诉讼，由乙方承担全部责任（包括不限于赔偿费、甲方的经济损失费、律师费、仲裁费、诉讼费等费用，乙方承担后，有权向第三方追偿）。</w:t>
      </w:r>
    </w:p>
    <w:p w14:paraId="35B328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第十三条  不可抗力事件处理</w:t>
      </w:r>
    </w:p>
    <w:p w14:paraId="353213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5D3511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57F981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14:paraId="19E522C8">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第十四条  合同争议解决</w:t>
      </w:r>
    </w:p>
    <w:p w14:paraId="067423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3082E5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2.因履行本合同引起的或与本合同有关的争议，甲乙双方应首先通过友好协商解决，如果协商不能解决，双方约定由甲方所在地人民法院管辖。</w:t>
      </w:r>
    </w:p>
    <w:p w14:paraId="28A49C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3.诉讼期间，本合同继续履行。</w:t>
      </w:r>
    </w:p>
    <w:p w14:paraId="4E1CB9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3F0EC71A">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第十五条  合同生效及其它</w:t>
      </w:r>
    </w:p>
    <w:p w14:paraId="34F90D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1.合同经甲乙双方法定代表人</w:t>
      </w:r>
      <w:r>
        <w:rPr>
          <w:rFonts w:hint="eastAsia" w:ascii="宋体" w:hAnsi="宋体"/>
          <w:color w:val="auto"/>
          <w:szCs w:val="21"/>
          <w:highlight w:val="none"/>
        </w:rPr>
        <w:t>（负责人）</w:t>
      </w:r>
      <w:r>
        <w:rPr>
          <w:rFonts w:hint="eastAsia" w:ascii="宋体" w:hAnsi="宋体" w:cs="宋体"/>
          <w:color w:val="auto"/>
          <w:szCs w:val="21"/>
          <w:highlight w:val="none"/>
        </w:rPr>
        <w:t>或授权代表签字并加盖单位公章后生效。</w:t>
      </w:r>
    </w:p>
    <w:p w14:paraId="51937E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2.合同执行中涉及采购资金和采购内容修改或补充的，需经甲方同意，并签订书面补充协议，方可作为主合同不可分割的一部分。</w:t>
      </w:r>
    </w:p>
    <w:p w14:paraId="2259F6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3.本合同未尽事宜，遵照《中华人民共和国民法典》及相关法律有关条文执行。</w:t>
      </w:r>
    </w:p>
    <w:p w14:paraId="7041308E">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第十六条  合同的变更、终止与转让</w:t>
      </w:r>
    </w:p>
    <w:p w14:paraId="0FF09D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14:paraId="1CDC5F57">
      <w:pPr>
        <w:keepNext w:val="0"/>
        <w:keepLines w:val="0"/>
        <w:pageBreakBefore w:val="0"/>
        <w:widowControl w:val="0"/>
        <w:tabs>
          <w:tab w:val="left" w:pos="78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2.乙方不得擅自转让(无进口资格的供应商委托进口货物除外)其应履行的合同义务。</w:t>
      </w:r>
    </w:p>
    <w:p w14:paraId="4D426060">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b/>
          <w:color w:val="auto"/>
          <w:szCs w:val="21"/>
          <w:highlight w:val="none"/>
        </w:rPr>
        <w:t>第十七条  签订本合同依据</w:t>
      </w:r>
    </w:p>
    <w:p w14:paraId="06781F91">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color w:val="auto"/>
          <w:szCs w:val="21"/>
          <w:highlight w:val="none"/>
        </w:rPr>
        <w:t>1.采购文件</w:t>
      </w:r>
    </w:p>
    <w:p w14:paraId="495FA53D">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b/>
          <w:color w:val="auto"/>
          <w:szCs w:val="21"/>
          <w:highlight w:val="none"/>
        </w:rPr>
      </w:pPr>
      <w:r>
        <w:rPr>
          <w:rFonts w:hint="eastAsia" w:ascii="宋体" w:hAnsi="宋体" w:cs="宋体"/>
          <w:color w:val="auto"/>
          <w:szCs w:val="21"/>
          <w:highlight w:val="none"/>
        </w:rPr>
        <w:t>2.投标文件</w:t>
      </w:r>
    </w:p>
    <w:p w14:paraId="7552EB66">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cs="宋体"/>
          <w:color w:val="auto"/>
          <w:szCs w:val="21"/>
          <w:highlight w:val="none"/>
        </w:rPr>
      </w:pPr>
      <w:r>
        <w:rPr>
          <w:rFonts w:hint="eastAsia" w:ascii="宋体" w:hAnsi="宋体" w:cs="宋体"/>
          <w:color w:val="auto"/>
          <w:szCs w:val="21"/>
          <w:highlight w:val="none"/>
        </w:rPr>
        <w:t>3.中标通知书</w:t>
      </w:r>
    </w:p>
    <w:p w14:paraId="091DAA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本合同甲乙双方签字盖章后生效，一式六份，具有同等法律效力，甲方叁份、乙方二份，代理机构一份。</w:t>
      </w:r>
    </w:p>
    <w:p w14:paraId="523159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（以下无正文，为签约栏。）</w:t>
      </w:r>
    </w:p>
    <w:p w14:paraId="4A3A9C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w:t>
      </w:r>
    </w:p>
    <w:p w14:paraId="4596DF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甲方： 桂林市人民医院                               乙方 ：</w:t>
      </w:r>
    </w:p>
    <w:p w14:paraId="48134C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机构性质：非营利性事业单位                          机构性质：</w:t>
      </w:r>
    </w:p>
    <w:p w14:paraId="277A06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统一社会信用代码： 12450300498668197M               统一社会信用代码： </w:t>
      </w:r>
    </w:p>
    <w:p w14:paraId="0F5AE1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法定代表人：                                        法定代表人</w:t>
      </w:r>
      <w:r>
        <w:rPr>
          <w:rFonts w:hint="eastAsia" w:ascii="宋体" w:hAnsi="宋体"/>
          <w:color w:val="auto"/>
          <w:szCs w:val="21"/>
          <w:highlight w:val="none"/>
        </w:rPr>
        <w:t>（负责人）</w:t>
      </w:r>
      <w:r>
        <w:rPr>
          <w:rFonts w:hint="eastAsia" w:ascii="宋体" w:hAnsi="宋体" w:cs="宋体"/>
          <w:color w:val="auto"/>
          <w:szCs w:val="21"/>
          <w:highlight w:val="none"/>
        </w:rPr>
        <w:t>：</w:t>
      </w:r>
    </w:p>
    <w:p w14:paraId="2C997D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委托代理人：                                        委托代理人：</w:t>
      </w:r>
    </w:p>
    <w:p w14:paraId="176E0A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通讯地址： 广西桂林市文明路12号                    通讯地址： </w:t>
      </w:r>
    </w:p>
    <w:p w14:paraId="739D6D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电  话： 0773-2826013                               电   话：</w:t>
      </w:r>
    </w:p>
    <w:p w14:paraId="7970B8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联系人：                                            联系人：   （身份证号码：    ）</w:t>
      </w:r>
    </w:p>
    <w:p w14:paraId="74527B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电子邮箱： qxk8065@163.com                          电子邮箱：</w:t>
      </w:r>
    </w:p>
    <w:p w14:paraId="1B4B87AC">
      <w:pPr>
        <w:keepNext w:val="0"/>
        <w:keepLines w:val="0"/>
        <w:pageBreakBefore w:val="0"/>
        <w:widowControl w:val="0"/>
        <w:tabs>
          <w:tab w:val="left" w:pos="504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开户名称：                                          开户名称：</w:t>
      </w:r>
    </w:p>
    <w:p w14:paraId="3BA098BE">
      <w:pPr>
        <w:keepNext w:val="0"/>
        <w:keepLines w:val="0"/>
        <w:pageBreakBefore w:val="0"/>
        <w:widowControl w:val="0"/>
        <w:tabs>
          <w:tab w:val="left" w:pos="504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开户银行：桂林银行文明路支行                        开户银行：</w:t>
      </w:r>
    </w:p>
    <w:p w14:paraId="1B1080E6">
      <w:pPr>
        <w:keepNext w:val="0"/>
        <w:keepLines w:val="0"/>
        <w:pageBreakBefore w:val="0"/>
        <w:widowControl w:val="0"/>
        <w:tabs>
          <w:tab w:val="left" w:pos="504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银行账号： 660012017474300020                       银行账号：</w:t>
      </w:r>
    </w:p>
    <w:p w14:paraId="351199C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rPr>
        <w:t>签订日期：                                          签订日期</w:t>
      </w:r>
    </w:p>
    <w:p w14:paraId="601C3E6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p>
    <w:p w14:paraId="7EEF115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p>
    <w:p w14:paraId="5DDE863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p>
    <w:p w14:paraId="0A6292F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cs="宋体"/>
          <w:color w:val="auto"/>
          <w:szCs w:val="21"/>
          <w:highlight w:val="none"/>
          <w:lang w:val="en-US" w:eastAsia="zh-CN"/>
        </w:rPr>
      </w:pPr>
    </w:p>
    <w:p w14:paraId="41712050">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402370A1">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2D029AE0">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11A04D79">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1F47DD21">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428003E4">
      <w:pPr>
        <w:keepNext w:val="0"/>
        <w:keepLines w:val="0"/>
        <w:pageBreakBefore w:val="0"/>
        <w:widowControl w:val="0"/>
        <w:kinsoku/>
        <w:wordWrap/>
        <w:overflowPunct/>
        <w:topLinePunct w:val="0"/>
        <w:autoSpaceDE/>
        <w:autoSpaceDN/>
        <w:bidi w:val="0"/>
        <w:spacing w:line="360" w:lineRule="auto"/>
        <w:ind w:firstLine="640" w:firstLineChars="200"/>
        <w:jc w:val="center"/>
        <w:textAlignment w:val="auto"/>
        <w:rPr>
          <w:rFonts w:hint="eastAsia" w:ascii="宋体" w:hAnsi="Courier New" w:eastAsia="宋体" w:cs="Times New Roman"/>
          <w:b/>
          <w:color w:val="auto"/>
          <w:kern w:val="0"/>
          <w:sz w:val="32"/>
          <w:szCs w:val="32"/>
          <w:highlight w:val="none"/>
          <w:lang w:val="en-US" w:eastAsia="zh-CN" w:bidi="ar-SA"/>
        </w:rPr>
      </w:pPr>
    </w:p>
    <w:p w14:paraId="4FFB25E4">
      <w:pPr>
        <w:jc w:val="both"/>
        <w:rPr>
          <w:rFonts w:hint="eastAsia" w:ascii="宋体" w:hAnsi="宋体" w:cs="宋体"/>
          <w:b/>
          <w:bCs/>
          <w:color w:val="auto"/>
          <w:sz w:val="30"/>
          <w:szCs w:val="30"/>
          <w:highlight w:val="none"/>
        </w:rPr>
      </w:pPr>
    </w:p>
    <w:p w14:paraId="63A50059">
      <w:pPr>
        <w:pStyle w:val="2"/>
        <w:rPr>
          <w:rFonts w:hint="eastAsia"/>
          <w:color w:val="auto"/>
          <w:highlight w:val="none"/>
        </w:rPr>
      </w:pPr>
    </w:p>
    <w:p w14:paraId="7F29B01D">
      <w:pPr>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第六章  投标文件格式</w:t>
      </w:r>
      <w:bookmarkEnd w:id="34"/>
    </w:p>
    <w:p w14:paraId="13097505">
      <w:pPr>
        <w:jc w:val="center"/>
        <w:rPr>
          <w:rFonts w:ascii="宋体" w:hAnsi="宋体" w:cs="宋体"/>
          <w:b/>
          <w:bCs/>
          <w:color w:val="auto"/>
          <w:sz w:val="32"/>
          <w:szCs w:val="40"/>
          <w:highlight w:val="none"/>
        </w:rPr>
      </w:pPr>
      <w:r>
        <w:rPr>
          <w:rFonts w:hint="eastAsia" w:ascii="宋体" w:hAnsi="宋体" w:cs="宋体"/>
          <w:b/>
          <w:bCs/>
          <w:color w:val="auto"/>
          <w:sz w:val="30"/>
          <w:szCs w:val="30"/>
          <w:highlight w:val="none"/>
        </w:rPr>
        <w:t>投标文件目录</w:t>
      </w:r>
    </w:p>
    <w:p w14:paraId="10099BCB">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一、报价文件（格式见附件）</w:t>
      </w:r>
    </w:p>
    <w:p w14:paraId="215B076B">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（1）投标函</w:t>
      </w:r>
      <w:r>
        <w:rPr>
          <w:rFonts w:hint="eastAsia" w:ascii="宋体" w:hAnsi="宋体" w:cs="宋体"/>
          <w:b/>
          <w:color w:val="auto"/>
          <w:szCs w:val="21"/>
          <w:highlight w:val="none"/>
        </w:rPr>
        <w:t>（必须提供）；</w:t>
      </w:r>
    </w:p>
    <w:p w14:paraId="4A369520">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（2）投标报价表</w:t>
      </w:r>
      <w:r>
        <w:rPr>
          <w:rFonts w:hint="eastAsia" w:ascii="宋体" w:hAnsi="宋体" w:cs="宋体"/>
          <w:b/>
          <w:color w:val="auto"/>
          <w:szCs w:val="21"/>
          <w:highlight w:val="none"/>
        </w:rPr>
        <w:t>（必须提供）；</w:t>
      </w:r>
    </w:p>
    <w:p w14:paraId="12A0A868">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二、资格性响应证明材料：</w:t>
      </w:r>
    </w:p>
    <w:p w14:paraId="6D0CB61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（1）投标人的法定代表人、负责人、自然人身份证正反两面复印件</w:t>
      </w:r>
      <w:r>
        <w:rPr>
          <w:rFonts w:hint="eastAsia" w:ascii="宋体" w:hAnsi="宋体" w:cs="宋体"/>
          <w:b/>
          <w:bCs/>
          <w:color w:val="auto"/>
          <w:szCs w:val="21"/>
          <w:highlight w:val="none"/>
        </w:rPr>
        <w:t>（必须提供）；</w:t>
      </w:r>
    </w:p>
    <w:p w14:paraId="544E6F86">
      <w:pPr>
        <w:tabs>
          <w:tab w:val="left" w:pos="1305"/>
        </w:tabs>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（2）投标人的授权委托书原件、委托代理人身份证正反面复印件以及由县级以上（含县级）社会养老保险经办机构出具的投标人为委托代理人交纳的近三个月社保证明复印件</w:t>
      </w:r>
      <w:r>
        <w:rPr>
          <w:rFonts w:hint="eastAsia" w:ascii="宋体" w:hAnsi="宋体" w:cs="宋体"/>
          <w:b/>
          <w:bCs/>
          <w:color w:val="auto"/>
          <w:szCs w:val="21"/>
          <w:highlight w:val="none"/>
        </w:rPr>
        <w:t xml:space="preserve">（委托代理时必须提供）； </w:t>
      </w:r>
    </w:p>
    <w:p w14:paraId="161B7A9C">
      <w:pPr>
        <w:tabs>
          <w:tab w:val="left" w:pos="130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6FC1A209">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（4）投标人的法人或者其他组织营业执照等证明文件</w:t>
      </w:r>
      <w:r>
        <w:rPr>
          <w:rFonts w:hint="eastAsia" w:ascii="宋体" w:hAnsi="宋体" w:cs="宋体"/>
          <w:b/>
          <w:bCs/>
          <w:color w:val="auto"/>
          <w:szCs w:val="21"/>
          <w:highlight w:val="none"/>
        </w:rPr>
        <w:t>（必须提供，自然人除外）</w:t>
      </w:r>
      <w:r>
        <w:rPr>
          <w:rFonts w:hint="eastAsia" w:ascii="宋体" w:hAnsi="宋体" w:cs="宋体"/>
          <w:color w:val="auto"/>
          <w:szCs w:val="21"/>
          <w:highlight w:val="none"/>
        </w:rPr>
        <w:t>；</w:t>
      </w:r>
    </w:p>
    <w:p w14:paraId="102C0583">
      <w:pPr>
        <w:keepNext w:val="0"/>
        <w:keepLines w:val="0"/>
        <w:pageBreakBefore w:val="0"/>
        <w:widowControl w:val="0"/>
        <w:tabs>
          <w:tab w:val="left" w:pos="1305"/>
        </w:tabs>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pPr>
      <w:r>
        <w:rPr>
          <w:rFonts w:hint="eastAsia" w:ascii="宋体" w:hAnsi="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r>
        <w:rPr>
          <w:rFonts w:hint="eastAsia" w:ascii="宋体" w:hAnsi="宋体" w:cs="宋体"/>
          <w:color w:val="auto"/>
          <w:szCs w:val="21"/>
          <w:highlight w:val="none"/>
        </w:rPr>
        <w:t xml:space="preserve"> </w:t>
      </w:r>
    </w:p>
    <w:p w14:paraId="6D1634F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（5）</w:t>
      </w:r>
      <w:r>
        <w:rPr>
          <w:rFonts w:hint="eastAsia" w:ascii="宋体" w:hAnsi="宋体" w:eastAsia="宋体" w:cs="宋体"/>
          <w:color w:val="auto"/>
          <w:sz w:val="21"/>
          <w:szCs w:val="21"/>
          <w:highlight w:val="none"/>
        </w:rPr>
        <w:t>投标人按要求提供医疗器械的有关证明材料扫描件。</w:t>
      </w:r>
      <w:r>
        <w:rPr>
          <w:rFonts w:hint="eastAsia" w:ascii="宋体" w:hAnsi="宋体" w:eastAsia="宋体" w:cs="宋体"/>
          <w:b/>
          <w:bCs/>
          <w:color w:val="auto"/>
          <w:kern w:val="2"/>
          <w:sz w:val="21"/>
          <w:szCs w:val="21"/>
          <w:highlight w:val="none"/>
        </w:rPr>
        <w:t>（必须提供）</w:t>
      </w:r>
      <w:r>
        <w:rPr>
          <w:rFonts w:hint="eastAsia" w:ascii="宋体" w:hAnsi="宋体" w:eastAsia="宋体" w:cs="宋体"/>
          <w:color w:val="auto"/>
          <w:sz w:val="21"/>
          <w:szCs w:val="21"/>
          <w:highlight w:val="none"/>
        </w:rPr>
        <w:t>。</w:t>
      </w:r>
    </w:p>
    <w:p w14:paraId="0AAC28C6">
      <w:pPr>
        <w:keepNext w:val="0"/>
        <w:keepLines w:val="0"/>
        <w:pageBreakBefore w:val="0"/>
        <w:widowControl w:val="0"/>
        <w:kinsoku/>
        <w:wordWrap/>
        <w:overflowPunct/>
        <w:topLinePunct w:val="0"/>
        <w:autoSpaceDE/>
        <w:autoSpaceDN/>
        <w:bidi w:val="0"/>
        <w:adjustRightInd/>
        <w:snapToGrid/>
        <w:spacing w:line="360" w:lineRule="auto"/>
        <w:ind w:firstLine="392" w:firstLineChars="196"/>
        <w:textAlignment w:val="auto"/>
        <w:rPr>
          <w:color w:val="auto"/>
          <w:sz w:val="20"/>
          <w:szCs w:val="22"/>
          <w:highlight w:val="none"/>
        </w:rPr>
      </w:pPr>
      <w:r>
        <w:rPr>
          <w:rFonts w:hint="eastAsia" w:ascii="宋体" w:hAnsi="宋体" w:cs="宋体"/>
          <w:b/>
          <w:color w:val="auto"/>
          <w:kern w:val="0"/>
          <w:sz w:val="20"/>
          <w:szCs w:val="20"/>
          <w:highlight w:val="none"/>
        </w:rPr>
        <w:t>注</w:t>
      </w:r>
      <w:r>
        <w:rPr>
          <w:rFonts w:ascii="宋体" w:hAnsi="宋体" w:cs="宋体"/>
          <w:b/>
          <w:color w:val="auto"/>
          <w:kern w:val="0"/>
          <w:sz w:val="20"/>
          <w:szCs w:val="20"/>
          <w:highlight w:val="none"/>
        </w:rPr>
        <w:t>：</w:t>
      </w:r>
      <w:r>
        <w:rPr>
          <w:rFonts w:hint="eastAsia" w:ascii="宋体" w:hAnsi="宋体" w:cs="宋体"/>
          <w:b/>
          <w:color w:val="auto"/>
          <w:kern w:val="0"/>
          <w:sz w:val="20"/>
          <w:szCs w:val="20"/>
          <w:highlight w:val="none"/>
        </w:rPr>
        <w:t>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27361734">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kern w:val="0"/>
          <w:szCs w:val="21"/>
          <w:highlight w:val="none"/>
        </w:rPr>
      </w:pPr>
      <w:r>
        <w:rPr>
          <w:rFonts w:hint="eastAsia" w:ascii="宋体" w:hAnsi="宋体" w:eastAsia="宋体" w:cs="宋体"/>
          <w:color w:val="auto"/>
          <w:szCs w:val="21"/>
          <w:highlight w:val="none"/>
          <w:lang w:val="en-US" w:eastAsia="zh-CN"/>
        </w:rPr>
        <w:t>（6）无串通投标行为的承诺函</w:t>
      </w:r>
      <w:r>
        <w:rPr>
          <w:rFonts w:hint="eastAsia" w:ascii="宋体" w:hAnsi="宋体" w:eastAsia="宋体" w:cs="宋体"/>
          <w:b/>
          <w:bCs/>
          <w:color w:val="auto"/>
          <w:kern w:val="0"/>
          <w:sz w:val="21"/>
          <w:szCs w:val="21"/>
          <w:highlight w:val="none"/>
          <w:lang w:val="en-US" w:eastAsia="zh-CN" w:bidi="ar-SA"/>
        </w:rPr>
        <w:t>（必须提供）</w:t>
      </w:r>
    </w:p>
    <w:p w14:paraId="1D5DEC61">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w:t>
      </w:r>
      <w:r>
        <w:rPr>
          <w:rFonts w:hint="eastAsia" w:ascii="宋体" w:hAnsi="宋体" w:cs="宋体"/>
          <w:color w:val="auto"/>
          <w:szCs w:val="21"/>
          <w:highlight w:val="none"/>
        </w:rPr>
        <w:t>供应商依法缴纳税收的相关材料（2025年任意1个月的依法缴纳税收的证明材料复印件；依法免税的供应商，必须提供符合免税条件的证明材料。从成立之日起到响应文件提交截止时间止不足要求月数的，只需提供从成立之日起的依法缴纳税收相应证明文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374202C1">
      <w:pPr>
        <w:keepNext w:val="0"/>
        <w:keepLines w:val="0"/>
        <w:pageBreakBefore w:val="0"/>
        <w:widowControl w:val="0"/>
        <w:tabs>
          <w:tab w:val="left" w:pos="1305"/>
        </w:tabs>
        <w:kinsoku/>
        <w:wordWrap/>
        <w:overflowPunct/>
        <w:topLinePunct w:val="0"/>
        <w:autoSpaceDE/>
        <w:autoSpaceDN/>
        <w:bidi w:val="0"/>
        <w:adjustRightInd/>
        <w:spacing w:line="360"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供应商依法缴纳社会保障资金的相关材料【2025年任意1个月的依法缴纳社会保障资金的缴费证明材料（如：专用收据、社会保险缴纳清单或者社保部门的证明）复印件或依法缴纳社会保障资金的承诺函；依法不需要缴纳社会保障资金的供应商，必须提供相应文件证明不需要缴纳社会保障资金。从成立之日起到响应文件提交截止时间止不足要求月数的只需提供从成立之日起的依法缴纳社会保障资金的相应证明文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31A45828">
      <w:pPr>
        <w:pStyle w:val="3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供应商财务状况报告【2023年度以来任意年度内的财务报表复印件，或者2025年以来银行出具的资信证明，或者中国人民银行征信中心出具的信用报告（企业参与投标的提供企业信用报告，自然人参与投标的提供个人信用报告，供应商属于成立时间在规定年度之后的法人或其他组织，需提供成立之日起至响应文件递交截止时间前的月报表或银行出具的资信证明或者中国人民银行征信中心出具的企业信用报告；资信证明应在有效期内</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4693C19F">
      <w:pPr>
        <w:pStyle w:val="36"/>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13.1.3符合性及其他证明材料：</w:t>
      </w:r>
    </w:p>
    <w:p w14:paraId="53EC1D3A">
      <w:pPr>
        <w:snapToGrid w:val="0"/>
        <w:spacing w:line="360" w:lineRule="auto"/>
        <w:ind w:firstLine="630" w:firstLineChars="300"/>
        <w:outlineLvl w:val="4"/>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）技术响应偏离表</w:t>
      </w:r>
      <w:r>
        <w:rPr>
          <w:rFonts w:hint="eastAsia" w:ascii="宋体" w:hAnsi="宋体" w:cs="宋体"/>
          <w:b/>
          <w:bCs/>
          <w:color w:val="auto"/>
          <w:szCs w:val="21"/>
          <w:highlight w:val="none"/>
        </w:rPr>
        <w:t>（必须提供）；</w:t>
      </w:r>
    </w:p>
    <w:p w14:paraId="6EC3752D">
      <w:pPr>
        <w:snapToGrid w:val="0"/>
        <w:spacing w:line="360" w:lineRule="auto"/>
        <w:ind w:firstLine="630" w:firstLineChars="300"/>
        <w:outlineLvl w:val="4"/>
        <w:rPr>
          <w:rFonts w:ascii="宋体" w:hAnsi="宋体" w:cs="宋体"/>
          <w:b/>
          <w:bCs/>
          <w:color w:val="auto"/>
          <w:kern w:val="2"/>
          <w:sz w:val="21"/>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）商务响应偏离表</w:t>
      </w:r>
      <w:r>
        <w:rPr>
          <w:rFonts w:hint="eastAsia" w:ascii="宋体" w:hAnsi="宋体" w:cs="宋体"/>
          <w:b/>
          <w:bCs/>
          <w:color w:val="auto"/>
          <w:szCs w:val="21"/>
          <w:highlight w:val="none"/>
        </w:rPr>
        <w:t>（必须提供）；</w:t>
      </w:r>
    </w:p>
    <w:p w14:paraId="6BC7AA3C">
      <w:pPr>
        <w:snapToGrid w:val="0"/>
        <w:spacing w:line="360" w:lineRule="auto"/>
        <w:ind w:firstLine="539" w:firstLineChars="257"/>
        <w:outlineLvl w:val="4"/>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w:t>
      </w:r>
      <w:r>
        <w:rPr>
          <w:rFonts w:hint="eastAsia" w:ascii="宋体" w:hAnsi="宋体" w:cs="宋体"/>
          <w:b w:val="0"/>
          <w:bCs/>
          <w:color w:val="auto"/>
          <w:kern w:val="0"/>
          <w:szCs w:val="21"/>
          <w:highlight w:val="none"/>
        </w:rPr>
        <w:t>安装调试方案</w:t>
      </w:r>
      <w:r>
        <w:rPr>
          <w:rFonts w:hint="eastAsia" w:ascii="宋体" w:hAnsi="宋体" w:cs="宋体"/>
          <w:b/>
          <w:bCs/>
          <w:color w:val="auto"/>
          <w:kern w:val="0"/>
          <w:szCs w:val="21"/>
          <w:highlight w:val="none"/>
        </w:rPr>
        <w:t>（必须提供）</w:t>
      </w:r>
    </w:p>
    <w:p w14:paraId="33E3FCB4">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）售后服务方案</w:t>
      </w:r>
      <w:r>
        <w:rPr>
          <w:rFonts w:hint="eastAsia" w:ascii="宋体" w:hAnsi="宋体" w:cs="宋体"/>
          <w:b w:val="0"/>
          <w:bCs/>
          <w:color w:val="auto"/>
          <w:kern w:val="0"/>
          <w:szCs w:val="21"/>
          <w:highlight w:val="none"/>
        </w:rPr>
        <w:t>【包含但不限于：①到达故障现场时间、故障出现解决方案、②定期维护 （注明时间）、③售后服务承诺、④保修期（免费软件升级期）外维修方案、⑤其他增值售后服务或其它实质性优惠措施等】</w:t>
      </w:r>
      <w:r>
        <w:rPr>
          <w:rFonts w:hint="eastAsia" w:ascii="宋体" w:hAnsi="宋体" w:cs="宋体"/>
          <w:b/>
          <w:bCs/>
          <w:color w:val="auto"/>
          <w:szCs w:val="21"/>
          <w:highlight w:val="none"/>
        </w:rPr>
        <w:t>（必须提供）；</w:t>
      </w:r>
    </w:p>
    <w:p w14:paraId="2A624A1E">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）中小企业有效证明材料</w:t>
      </w:r>
    </w:p>
    <w:p w14:paraId="04482831">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.1中小企业声明函（见附件）【如投标人所提供的产品为小、微型企业的产品，中标结果将同时公告企业《中小企业声明函》】</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C9930A3">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.2监狱企业由省级以上监狱管理局、戒毒管理局（含新疆生产建设兵团）出具的属于监狱企业的证明文件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6E5F2F25">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.3符合条件的残疾人福利性单位在参加政府采购活动时，应当提供《残疾人福利性单位声明函》（见附件），并对声明的真实性负责。</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3F6559F">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）节能方面的证书复印件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7305C111">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）环保方面的证书复印件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496651D">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）投标人 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年以来具有同类产品的销售业绩的相关证明材料（无不良记录，以中标、</w:t>
      </w:r>
      <w:r>
        <w:rPr>
          <w:rFonts w:hint="eastAsia" w:ascii="宋体" w:hAnsi="宋体" w:cs="宋体"/>
          <w:color w:val="auto"/>
          <w:szCs w:val="21"/>
          <w:highlight w:val="none"/>
          <w:lang w:eastAsia="zh-CN"/>
        </w:rPr>
        <w:t>中标通知书</w:t>
      </w:r>
      <w:r>
        <w:rPr>
          <w:rFonts w:hint="eastAsia" w:ascii="宋体" w:hAnsi="宋体" w:cs="宋体"/>
          <w:color w:val="auto"/>
          <w:szCs w:val="21"/>
          <w:highlight w:val="none"/>
        </w:rPr>
        <w:t>或签订的销售合同为准，并能清晰反映所销售的货物名称、种类、金额）</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6BC202E1">
      <w:pPr>
        <w:snapToGrid w:val="0"/>
        <w:spacing w:line="360" w:lineRule="auto"/>
        <w:ind w:firstLine="539" w:firstLineChars="257"/>
        <w:outlineLvl w:val="4"/>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）投标人相关获奖证书、认证证书等复印件</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5F6F7E73">
      <w:pPr>
        <w:ind w:firstLine="630" w:firstLineChars="300"/>
        <w:rPr>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）投标人可结合本项目的评标办法视自身情况自行提交相关证明材料</w:t>
      </w:r>
      <w:r>
        <w:rPr>
          <w:rFonts w:hint="eastAsia" w:ascii="宋体" w:hAnsi="宋体" w:cs="宋体"/>
          <w:b/>
          <w:bCs/>
          <w:color w:val="auto"/>
          <w:szCs w:val="21"/>
          <w:highlight w:val="none"/>
        </w:rPr>
        <w:t>（如有，请提供）</w:t>
      </w:r>
      <w:r>
        <w:rPr>
          <w:rFonts w:hint="eastAsia" w:ascii="宋体" w:hAnsi="宋体" w:cs="宋体"/>
          <w:b/>
          <w:color w:val="auto"/>
          <w:kern w:val="0"/>
          <w:szCs w:val="21"/>
          <w:highlight w:val="none"/>
        </w:rPr>
        <w:t>。</w:t>
      </w:r>
    </w:p>
    <w:p w14:paraId="4128C1D8">
      <w:pPr>
        <w:snapToGrid w:val="0"/>
        <w:spacing w:line="360" w:lineRule="auto"/>
        <w:ind w:firstLine="539" w:firstLineChars="257"/>
        <w:outlineLvl w:val="4"/>
        <w:rPr>
          <w:rFonts w:ascii="宋体" w:hAnsi="宋体" w:cs="宋体"/>
          <w:b/>
          <w:color w:val="auto"/>
          <w:kern w:val="0"/>
          <w:szCs w:val="21"/>
          <w:highlight w:val="none"/>
        </w:rPr>
      </w:pPr>
    </w:p>
    <w:p w14:paraId="4C3496FE">
      <w:pPr>
        <w:snapToGrid w:val="0"/>
        <w:spacing w:line="360" w:lineRule="auto"/>
        <w:ind w:firstLine="539" w:firstLineChars="257"/>
        <w:outlineLvl w:val="4"/>
        <w:rPr>
          <w:rFonts w:ascii="宋体" w:hAnsi="宋体" w:cs="宋体"/>
          <w:b/>
          <w:color w:val="auto"/>
          <w:kern w:val="0"/>
          <w:szCs w:val="21"/>
          <w:highlight w:val="none"/>
        </w:rPr>
      </w:pPr>
    </w:p>
    <w:p w14:paraId="21B8EDC3">
      <w:pPr>
        <w:snapToGrid w:val="0"/>
        <w:spacing w:line="360" w:lineRule="auto"/>
        <w:ind w:firstLine="539" w:firstLineChars="257"/>
        <w:outlineLvl w:val="4"/>
        <w:rPr>
          <w:rFonts w:ascii="宋体" w:hAnsi="宋体" w:cs="宋体"/>
          <w:b/>
          <w:color w:val="auto"/>
          <w:kern w:val="0"/>
          <w:szCs w:val="21"/>
          <w:highlight w:val="none"/>
        </w:rPr>
      </w:pPr>
    </w:p>
    <w:bookmarkEnd w:id="35"/>
    <w:p w14:paraId="015B2E00">
      <w:pPr>
        <w:pStyle w:val="11"/>
        <w:spacing w:line="400" w:lineRule="exact"/>
        <w:rPr>
          <w:rFonts w:hAnsi="宋体" w:cs="宋体"/>
          <w:b/>
          <w:bCs/>
          <w:color w:val="auto"/>
          <w:kern w:val="2"/>
          <w:sz w:val="30"/>
          <w:szCs w:val="30"/>
          <w:highlight w:val="none"/>
        </w:rPr>
      </w:pPr>
      <w:r>
        <w:rPr>
          <w:rFonts w:hint="eastAsia" w:hAnsi="宋体" w:cs="宋体"/>
          <w:b/>
          <w:bCs/>
          <w:color w:val="auto"/>
          <w:kern w:val="2"/>
          <w:sz w:val="30"/>
          <w:szCs w:val="30"/>
          <w:highlight w:val="none"/>
        </w:rPr>
        <w:t>一、报价文件</w:t>
      </w:r>
    </w:p>
    <w:p w14:paraId="790CE1FE">
      <w:pPr>
        <w:pStyle w:val="11"/>
        <w:spacing w:line="400" w:lineRule="exact"/>
        <w:ind w:firstLine="588" w:firstLineChars="196"/>
        <w:rPr>
          <w:rFonts w:hint="eastAsia" w:hAnsi="宋体" w:cs="宋体"/>
          <w:b/>
          <w:bCs/>
          <w:color w:val="auto"/>
          <w:kern w:val="2"/>
          <w:sz w:val="30"/>
          <w:szCs w:val="30"/>
          <w:highlight w:val="none"/>
        </w:rPr>
      </w:pPr>
    </w:p>
    <w:p w14:paraId="39F85806">
      <w:pPr>
        <w:pStyle w:val="11"/>
        <w:spacing w:line="400" w:lineRule="exact"/>
        <w:ind w:firstLine="588" w:firstLineChars="196"/>
        <w:rPr>
          <w:rFonts w:hAnsi="宋体" w:cs="宋体"/>
          <w:b/>
          <w:color w:val="auto"/>
          <w:sz w:val="24"/>
          <w:highlight w:val="none"/>
        </w:rPr>
      </w:pPr>
      <w:r>
        <w:rPr>
          <w:rFonts w:hint="eastAsia" w:hAnsi="宋体" w:cs="宋体"/>
          <w:b/>
          <w:bCs/>
          <w:color w:val="auto"/>
          <w:kern w:val="2"/>
          <w:sz w:val="30"/>
          <w:szCs w:val="30"/>
          <w:highlight w:val="none"/>
        </w:rPr>
        <w:t>1、投标函（必须提供）</w:t>
      </w:r>
    </w:p>
    <w:p w14:paraId="1EF3E6AA">
      <w:pPr>
        <w:spacing w:line="440" w:lineRule="atLeast"/>
        <w:rPr>
          <w:rFonts w:ascii="宋体" w:hAnsi="宋体" w:cs="宋体"/>
          <w:b/>
          <w:bCs/>
          <w:color w:val="auto"/>
          <w:sz w:val="32"/>
          <w:szCs w:val="32"/>
          <w:highlight w:val="none"/>
        </w:rPr>
      </w:pPr>
      <w:r>
        <w:rPr>
          <w:rFonts w:hint="eastAsia" w:ascii="宋体" w:hAnsi="宋体" w:cs="宋体"/>
          <w:b/>
          <w:bCs/>
          <w:color w:val="auto"/>
          <w:sz w:val="24"/>
          <w:highlight w:val="none"/>
        </w:rPr>
        <w:t>附件：</w:t>
      </w:r>
    </w:p>
    <w:p w14:paraId="6132018F">
      <w:pPr>
        <w:pStyle w:val="11"/>
        <w:ind w:firstLine="750" w:firstLineChars="250"/>
        <w:jc w:val="center"/>
        <w:rPr>
          <w:rFonts w:hAnsi="宋体" w:cs="宋体"/>
          <w:b/>
          <w:color w:val="auto"/>
          <w:sz w:val="32"/>
          <w:highlight w:val="none"/>
        </w:rPr>
      </w:pPr>
      <w:r>
        <w:rPr>
          <w:rFonts w:hint="eastAsia" w:hAnsi="宋体" w:cs="宋体"/>
          <w:b/>
          <w:color w:val="auto"/>
          <w:sz w:val="30"/>
          <w:szCs w:val="30"/>
          <w:highlight w:val="none"/>
        </w:rPr>
        <w:t>投 标 函 （格 式）</w:t>
      </w:r>
    </w:p>
    <w:p w14:paraId="6BBBF176">
      <w:pPr>
        <w:spacing w:line="240" w:lineRule="exact"/>
        <w:jc w:val="center"/>
        <w:rPr>
          <w:rFonts w:ascii="宋体" w:hAnsi="宋体" w:cs="宋体"/>
          <w:color w:val="auto"/>
          <w:sz w:val="32"/>
          <w:highlight w:val="none"/>
        </w:rPr>
      </w:pPr>
    </w:p>
    <w:p w14:paraId="6141B5FA">
      <w:pPr>
        <w:spacing w:line="400" w:lineRule="exact"/>
        <w:rPr>
          <w:rFonts w:ascii="宋体" w:hAnsi="宋体" w:cs="宋体"/>
          <w:color w:val="auto"/>
          <w:szCs w:val="21"/>
          <w:highlight w:val="none"/>
        </w:rPr>
      </w:pPr>
      <w:r>
        <w:rPr>
          <w:rFonts w:hint="eastAsia" w:ascii="宋体" w:hAnsi="宋体" w:cs="宋体"/>
          <w:b/>
          <w:bCs/>
          <w:color w:val="auto"/>
          <w:szCs w:val="21"/>
          <w:highlight w:val="none"/>
        </w:rPr>
        <w:t>致：</w:t>
      </w:r>
      <w:r>
        <w:rPr>
          <w:rFonts w:hint="eastAsia" w:ascii="宋体" w:hAnsi="宋体" w:cs="宋体"/>
          <w:color w:val="auto"/>
          <w:szCs w:val="21"/>
          <w:highlight w:val="none"/>
          <w:u w:val="single"/>
        </w:rPr>
        <w:t>广西鼎策工程顾问有限责任公司</w:t>
      </w:r>
    </w:p>
    <w:p w14:paraId="65A6930C">
      <w:pPr>
        <w:spacing w:line="400" w:lineRule="exact"/>
        <w:rPr>
          <w:rFonts w:ascii="宋体" w:hAnsi="宋体" w:cs="宋体"/>
          <w:color w:val="auto"/>
          <w:szCs w:val="21"/>
          <w:highlight w:val="none"/>
        </w:rPr>
      </w:pPr>
    </w:p>
    <w:p w14:paraId="160C9AF1">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根据贵方</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项目招标文件，项目编号</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，签字代表</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（姓名）经正式授权并代表投标人 </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投标单位名称），提交电子</w:t>
      </w:r>
      <w:r>
        <w:rPr>
          <w:rFonts w:hint="eastAsia" w:hAnsi="宋体" w:cs="宋体"/>
          <w:color w:val="auto"/>
          <w:sz w:val="21"/>
          <w:szCs w:val="21"/>
          <w:highlight w:val="none"/>
          <w:lang w:eastAsia="zh-CN"/>
        </w:rPr>
        <w:t>投标</w:t>
      </w:r>
      <w:r>
        <w:rPr>
          <w:rFonts w:hint="eastAsia" w:hAnsi="宋体" w:cs="宋体"/>
          <w:color w:val="auto"/>
          <w:sz w:val="21"/>
          <w:szCs w:val="21"/>
          <w:highlight w:val="none"/>
        </w:rPr>
        <w:t>文件。</w:t>
      </w:r>
    </w:p>
    <w:p w14:paraId="4146D820">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据此函，签字代表宣布同意如下：</w:t>
      </w:r>
    </w:p>
    <w:p w14:paraId="06BDAC1F">
      <w:pPr>
        <w:pStyle w:val="11"/>
        <w:numPr>
          <w:ilvl w:val="0"/>
          <w:numId w:val="0"/>
        </w:numPr>
        <w:spacing w:line="360" w:lineRule="exact"/>
        <w:ind w:left="210" w:leftChars="0" w:firstLine="630" w:firstLineChars="0"/>
        <w:rPr>
          <w:rFonts w:hAnsi="宋体" w:cs="宋体"/>
          <w:color w:val="auto"/>
          <w:sz w:val="21"/>
          <w:szCs w:val="21"/>
          <w:highlight w:val="none"/>
        </w:rPr>
      </w:pPr>
      <w:r>
        <w:rPr>
          <w:rFonts w:ascii="宋体" w:hAnsi="宋体" w:eastAsia="宋体" w:cs="宋体"/>
          <w:color w:val="auto"/>
          <w:kern w:val="0"/>
          <w:sz w:val="21"/>
          <w:szCs w:val="21"/>
          <w:highlight w:val="none"/>
          <w:lang w:val="en-US" w:eastAsia="zh-CN" w:bidi="ar-SA"/>
        </w:rPr>
        <w:t>1、</w:t>
      </w:r>
      <w:r>
        <w:rPr>
          <w:rFonts w:hint="eastAsia" w:hAnsi="宋体" w:cs="宋体"/>
          <w:color w:val="auto"/>
          <w:sz w:val="21"/>
          <w:szCs w:val="21"/>
          <w:highlight w:val="none"/>
        </w:rPr>
        <w:t>按招标文件采购需求和投标报价表：</w:t>
      </w:r>
    </w:p>
    <w:p w14:paraId="50923EE5">
      <w:pPr>
        <w:pStyle w:val="11"/>
        <w:spacing w:line="360" w:lineRule="auto"/>
        <w:ind w:firstLine="420"/>
        <w:rPr>
          <w:rFonts w:hAnsi="宋体" w:cs="宋体"/>
          <w:color w:val="auto"/>
          <w:kern w:val="2"/>
          <w:sz w:val="21"/>
          <w:szCs w:val="21"/>
          <w:highlight w:val="none"/>
        </w:rPr>
      </w:pPr>
      <w:r>
        <w:rPr>
          <w:rFonts w:hint="eastAsia" w:hAnsi="宋体" w:cs="宋体"/>
          <w:color w:val="auto"/>
          <w:kern w:val="2"/>
          <w:sz w:val="21"/>
          <w:szCs w:val="21"/>
          <w:highlight w:val="none"/>
        </w:rPr>
        <w:t>投标总报价（大写）</w:t>
      </w:r>
      <w:r>
        <w:rPr>
          <w:rFonts w:hint="eastAsia" w:hAnsi="宋体" w:cs="宋体"/>
          <w:color w:val="auto"/>
          <w:kern w:val="2"/>
          <w:sz w:val="21"/>
          <w:szCs w:val="21"/>
          <w:highlight w:val="none"/>
          <w:u w:val="single"/>
        </w:rPr>
        <w:t xml:space="preserve">             </w:t>
      </w:r>
      <w:r>
        <w:rPr>
          <w:rFonts w:hint="eastAsia" w:hAnsi="宋体" w:cs="宋体"/>
          <w:color w:val="auto"/>
          <w:kern w:val="2"/>
          <w:sz w:val="21"/>
          <w:szCs w:val="21"/>
          <w:highlight w:val="none"/>
        </w:rPr>
        <w:t xml:space="preserve"> 元人民币(￥</w:t>
      </w:r>
      <w:r>
        <w:rPr>
          <w:rFonts w:hint="eastAsia" w:hAnsi="宋体" w:cs="宋体"/>
          <w:color w:val="auto"/>
          <w:kern w:val="2"/>
          <w:sz w:val="21"/>
          <w:szCs w:val="21"/>
          <w:highlight w:val="none"/>
          <w:u w:val="single"/>
        </w:rPr>
        <w:t xml:space="preserve">             </w:t>
      </w:r>
      <w:r>
        <w:rPr>
          <w:rFonts w:hint="eastAsia" w:hAnsi="宋体" w:cs="宋体"/>
          <w:color w:val="auto"/>
          <w:kern w:val="2"/>
          <w:sz w:val="21"/>
          <w:szCs w:val="21"/>
          <w:highlight w:val="none"/>
        </w:rPr>
        <w:t>)；</w:t>
      </w:r>
    </w:p>
    <w:p w14:paraId="610A104D">
      <w:pPr>
        <w:pStyle w:val="11"/>
        <w:spacing w:line="400" w:lineRule="exact"/>
        <w:ind w:firstLine="360"/>
        <w:rPr>
          <w:rFonts w:hAnsi="宋体" w:cs="宋体"/>
          <w:color w:val="auto"/>
          <w:sz w:val="21"/>
          <w:szCs w:val="21"/>
          <w:highlight w:val="none"/>
        </w:rPr>
      </w:pPr>
      <w:r>
        <w:rPr>
          <w:rFonts w:hint="eastAsia" w:hAnsi="宋体" w:cs="宋体"/>
          <w:color w:val="auto"/>
          <w:sz w:val="21"/>
          <w:szCs w:val="21"/>
          <w:highlight w:val="none"/>
        </w:rPr>
        <w:t>2、我方承诺已具备招标文件规定的投标人资格条件。</w:t>
      </w:r>
    </w:p>
    <w:p w14:paraId="1C36A5D3">
      <w:pPr>
        <w:pStyle w:val="11"/>
        <w:spacing w:line="400" w:lineRule="exact"/>
        <w:ind w:firstLine="360"/>
        <w:rPr>
          <w:rFonts w:hAnsi="宋体" w:cs="宋体"/>
          <w:color w:val="auto"/>
          <w:sz w:val="21"/>
          <w:szCs w:val="21"/>
          <w:highlight w:val="none"/>
        </w:rPr>
      </w:pPr>
      <w:r>
        <w:rPr>
          <w:rFonts w:hint="eastAsia" w:hAnsi="宋体" w:cs="宋体"/>
          <w:color w:val="auto"/>
          <w:sz w:val="21"/>
          <w:szCs w:val="21"/>
          <w:highlight w:val="none"/>
        </w:rPr>
        <w:t>3、我方已详细审核招标文件，包括修改文件（如有的话）和有关附件，将自行承担因对全部招标文件理解不正确或误解而产生的相应后果。</w:t>
      </w:r>
    </w:p>
    <w:p w14:paraId="0A070AD7">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4、如我方中标：</w:t>
      </w:r>
    </w:p>
    <w:p w14:paraId="50805956">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（1）我方承诺在收到中标通知书后，在中标通知书规定的期限内与采购人签订合同。</w:t>
      </w:r>
    </w:p>
    <w:p w14:paraId="7EB575EB">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（2）我方承诺本投标文件至本项目合同履行完毕止均保持有效，按招标文件及政府采购法律、法规的规定履行合同责任和义务。</w:t>
      </w:r>
    </w:p>
    <w:p w14:paraId="79E0C7D1">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与本投标有关的正式通讯地址为：</w:t>
      </w:r>
    </w:p>
    <w:p w14:paraId="5F29907A">
      <w:pPr>
        <w:pStyle w:val="11"/>
        <w:spacing w:line="400" w:lineRule="exact"/>
        <w:ind w:firstLine="420"/>
        <w:rPr>
          <w:rFonts w:hAnsi="宋体" w:cs="宋体"/>
          <w:color w:val="auto"/>
          <w:sz w:val="21"/>
          <w:szCs w:val="21"/>
          <w:highlight w:val="none"/>
          <w:u w:val="single"/>
        </w:rPr>
      </w:pPr>
      <w:r>
        <w:rPr>
          <w:rFonts w:hint="eastAsia" w:hAnsi="宋体" w:cs="宋体"/>
          <w:color w:val="auto"/>
          <w:sz w:val="21"/>
          <w:szCs w:val="21"/>
          <w:highlight w:val="none"/>
        </w:rPr>
        <w:t>地址：</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邮编：</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电话、传真：</w:t>
      </w:r>
      <w:r>
        <w:rPr>
          <w:rFonts w:hint="eastAsia" w:hAnsi="宋体" w:cs="宋体"/>
          <w:color w:val="auto"/>
          <w:sz w:val="21"/>
          <w:szCs w:val="21"/>
          <w:highlight w:val="none"/>
          <w:u w:val="single"/>
        </w:rPr>
        <w:t xml:space="preserve">            </w:t>
      </w:r>
    </w:p>
    <w:p w14:paraId="7026BDA0">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开户名称：</w:t>
      </w:r>
      <w:r>
        <w:rPr>
          <w:rFonts w:hint="eastAsia" w:hAnsi="宋体" w:cs="宋体"/>
          <w:color w:val="auto"/>
          <w:sz w:val="21"/>
          <w:szCs w:val="21"/>
          <w:highlight w:val="none"/>
          <w:u w:val="single"/>
        </w:rPr>
        <w:t xml:space="preserve">                                        </w:t>
      </w:r>
    </w:p>
    <w:p w14:paraId="331621B5">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开户银行：</w:t>
      </w:r>
      <w:r>
        <w:rPr>
          <w:rFonts w:hint="eastAsia" w:hAnsi="宋体" w:cs="宋体"/>
          <w:color w:val="auto"/>
          <w:sz w:val="21"/>
          <w:szCs w:val="21"/>
          <w:highlight w:val="none"/>
          <w:u w:val="single"/>
        </w:rPr>
        <w:t xml:space="preserve">                               　       </w:t>
      </w:r>
    </w:p>
    <w:p w14:paraId="356608EF">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账号：</w:t>
      </w:r>
      <w:r>
        <w:rPr>
          <w:rFonts w:hint="eastAsia" w:hAnsi="宋体" w:cs="宋体"/>
          <w:color w:val="auto"/>
          <w:sz w:val="21"/>
          <w:szCs w:val="21"/>
          <w:highlight w:val="none"/>
          <w:u w:val="single"/>
        </w:rPr>
        <w:t xml:space="preserve">                                   　　　   </w:t>
      </w:r>
    </w:p>
    <w:p w14:paraId="0DD1B762">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投标人（</w:t>
      </w:r>
      <w:r>
        <w:rPr>
          <w:rFonts w:hint="eastAsia" w:hAnsi="宋体" w:cs="宋体"/>
          <w:bCs/>
          <w:color w:val="auto"/>
          <w:sz w:val="21"/>
          <w:szCs w:val="21"/>
          <w:highlight w:val="none"/>
        </w:rPr>
        <w:t>CA证书签章</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w:t>
      </w:r>
    </w:p>
    <w:p w14:paraId="36FED167">
      <w:pPr>
        <w:pStyle w:val="11"/>
        <w:spacing w:line="400" w:lineRule="exact"/>
        <w:ind w:firstLine="420"/>
        <w:rPr>
          <w:rFonts w:hAnsi="宋体" w:cs="宋体"/>
          <w:color w:val="auto"/>
          <w:sz w:val="21"/>
          <w:szCs w:val="21"/>
          <w:highlight w:val="none"/>
          <w:u w:val="single"/>
        </w:rPr>
      </w:pPr>
      <w:r>
        <w:rPr>
          <w:rFonts w:hint="eastAsia" w:hAnsi="宋体" w:cs="宋体"/>
          <w:color w:val="auto"/>
          <w:sz w:val="21"/>
          <w:szCs w:val="21"/>
          <w:highlight w:val="none"/>
        </w:rPr>
        <w:t>法定代表人或委托代理人签字（或个人CA证书签章）：</w:t>
      </w:r>
      <w:r>
        <w:rPr>
          <w:rFonts w:hint="eastAsia" w:hAnsi="宋体" w:cs="宋体"/>
          <w:color w:val="auto"/>
          <w:sz w:val="21"/>
          <w:szCs w:val="21"/>
          <w:highlight w:val="none"/>
          <w:u w:val="single"/>
        </w:rPr>
        <w:t xml:space="preserve">                       </w:t>
      </w:r>
    </w:p>
    <w:p w14:paraId="763D57D2">
      <w:pPr>
        <w:pStyle w:val="11"/>
        <w:spacing w:line="400" w:lineRule="exact"/>
        <w:ind w:firstLine="420"/>
        <w:rPr>
          <w:rFonts w:hAnsi="宋体" w:cs="宋体"/>
          <w:color w:val="auto"/>
          <w:sz w:val="21"/>
          <w:szCs w:val="21"/>
          <w:highlight w:val="none"/>
        </w:rPr>
      </w:pPr>
      <w:r>
        <w:rPr>
          <w:rFonts w:hint="eastAsia" w:hAnsi="宋体" w:cs="宋体"/>
          <w:color w:val="auto"/>
          <w:sz w:val="21"/>
          <w:szCs w:val="21"/>
          <w:highlight w:val="none"/>
        </w:rPr>
        <w:t>投标日期：</w:t>
      </w:r>
      <w:r>
        <w:rPr>
          <w:rFonts w:hint="eastAsia" w:hAnsi="宋体" w:cs="宋体"/>
          <w:color w:val="auto"/>
          <w:sz w:val="21"/>
          <w:szCs w:val="21"/>
          <w:highlight w:val="none"/>
          <w:u w:val="single"/>
        </w:rPr>
        <w:t xml:space="preserve">                               </w:t>
      </w:r>
    </w:p>
    <w:p w14:paraId="6D2F40D2">
      <w:pPr>
        <w:pStyle w:val="11"/>
        <w:spacing w:line="400" w:lineRule="exact"/>
        <w:ind w:firstLine="420" w:firstLineChars="200"/>
        <w:rPr>
          <w:rFonts w:hAnsi="宋体" w:cs="宋体"/>
          <w:bCs/>
          <w:color w:val="auto"/>
          <w:sz w:val="21"/>
          <w:szCs w:val="21"/>
          <w:highlight w:val="none"/>
        </w:rPr>
      </w:pPr>
      <w:r>
        <w:rPr>
          <w:rFonts w:hint="eastAsia" w:hAnsi="宋体" w:cs="宋体"/>
          <w:bCs/>
          <w:color w:val="auto"/>
          <w:sz w:val="21"/>
          <w:szCs w:val="21"/>
          <w:highlight w:val="none"/>
        </w:rPr>
        <w:t>注：1、未按照本投标函（格式）要求填报的投标函将被视为非实质性响应招标要求，从而导致该投标被拒绝。</w:t>
      </w:r>
    </w:p>
    <w:p w14:paraId="1C91A641">
      <w:pPr>
        <w:pStyle w:val="11"/>
        <w:spacing w:line="400" w:lineRule="exact"/>
        <w:ind w:firstLine="420" w:firstLineChars="200"/>
        <w:rPr>
          <w:rFonts w:hAnsi="宋体" w:cs="宋体"/>
          <w:bCs/>
          <w:color w:val="auto"/>
          <w:sz w:val="21"/>
          <w:szCs w:val="21"/>
          <w:highlight w:val="none"/>
        </w:rPr>
      </w:pPr>
      <w:r>
        <w:rPr>
          <w:rFonts w:hint="eastAsia" w:hAnsi="宋体" w:cs="宋体"/>
          <w:bCs/>
          <w:color w:val="auto"/>
          <w:sz w:val="21"/>
          <w:szCs w:val="21"/>
          <w:highlight w:val="none"/>
        </w:rPr>
        <w:t>2、投标函须由法定代表人(负责人、自然人)或相应的委托代理人签字（或个人CA证书签章）并加盖投标人公章（CA证书签章）。</w:t>
      </w:r>
    </w:p>
    <w:p w14:paraId="6A90B80E">
      <w:pPr>
        <w:pStyle w:val="11"/>
        <w:spacing w:line="400" w:lineRule="exact"/>
        <w:ind w:firstLine="411" w:firstLineChars="196"/>
        <w:rPr>
          <w:rFonts w:hAnsi="宋体" w:cs="宋体"/>
          <w:b/>
          <w:color w:val="auto"/>
          <w:sz w:val="21"/>
          <w:szCs w:val="21"/>
          <w:highlight w:val="none"/>
        </w:rPr>
        <w:sectPr>
          <w:footerReference r:id="rId10" w:type="default"/>
          <w:pgSz w:w="11906" w:h="16838"/>
          <w:pgMar w:top="240" w:right="1134" w:bottom="240" w:left="1134" w:header="720" w:footer="720" w:gutter="0"/>
          <w:cols w:space="720" w:num="1"/>
          <w:docGrid w:type="linesAndChars" w:linePitch="331" w:charSpace="0"/>
        </w:sectPr>
      </w:pPr>
    </w:p>
    <w:p w14:paraId="56035E3E">
      <w:pPr>
        <w:spacing w:before="107"/>
        <w:ind w:left="91" w:right="95"/>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二、投标报价表（格式）</w:t>
      </w:r>
    </w:p>
    <w:p w14:paraId="43E1993C">
      <w:pPr>
        <w:spacing w:before="107"/>
        <w:ind w:left="91" w:right="95"/>
        <w:jc w:val="left"/>
        <w:rPr>
          <w:rFonts w:ascii="宋体" w:hAnsi="宋体" w:cs="宋体"/>
          <w:color w:val="auto"/>
          <w:szCs w:val="21"/>
          <w:highlight w:val="none"/>
        </w:rPr>
      </w:pPr>
      <w:r>
        <w:rPr>
          <w:rFonts w:hint="eastAsia" w:ascii="宋体" w:hAnsi="宋体" w:cs="宋体"/>
          <w:b/>
          <w:color w:val="auto"/>
          <w:szCs w:val="21"/>
          <w:highlight w:val="none"/>
        </w:rPr>
        <w:t xml:space="preserve">附件：                    </w:t>
      </w:r>
    </w:p>
    <w:tbl>
      <w:tblPr>
        <w:tblStyle w:val="22"/>
        <w:tblW w:w="106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5"/>
        <w:gridCol w:w="1047"/>
        <w:gridCol w:w="997"/>
        <w:gridCol w:w="997"/>
        <w:gridCol w:w="682"/>
        <w:gridCol w:w="1524"/>
        <w:gridCol w:w="706"/>
        <w:gridCol w:w="587"/>
        <w:gridCol w:w="664"/>
        <w:gridCol w:w="1806"/>
        <w:gridCol w:w="900"/>
      </w:tblGrid>
      <w:tr w14:paraId="42703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26"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6476E7CA">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项号</w:t>
            </w:r>
          </w:p>
        </w:tc>
        <w:tc>
          <w:tcPr>
            <w:tcW w:w="1047" w:type="dxa"/>
            <w:tcBorders>
              <w:top w:val="single" w:color="auto" w:sz="4" w:space="0"/>
              <w:left w:val="single" w:color="auto" w:sz="4" w:space="0"/>
              <w:bottom w:val="single" w:color="auto" w:sz="4" w:space="0"/>
              <w:right w:val="single" w:color="auto" w:sz="4" w:space="0"/>
            </w:tcBorders>
            <w:vAlign w:val="center"/>
          </w:tcPr>
          <w:p w14:paraId="69735B13">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部件编号</w:t>
            </w:r>
          </w:p>
        </w:tc>
        <w:tc>
          <w:tcPr>
            <w:tcW w:w="997" w:type="dxa"/>
            <w:tcBorders>
              <w:top w:val="single" w:color="auto" w:sz="4" w:space="0"/>
              <w:left w:val="single" w:color="auto" w:sz="4" w:space="0"/>
              <w:bottom w:val="single" w:color="auto" w:sz="4" w:space="0"/>
              <w:right w:val="single" w:color="auto" w:sz="4" w:space="0"/>
            </w:tcBorders>
            <w:vAlign w:val="center"/>
          </w:tcPr>
          <w:p w14:paraId="212C169D">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名称</w:t>
            </w:r>
          </w:p>
        </w:tc>
        <w:tc>
          <w:tcPr>
            <w:tcW w:w="997" w:type="dxa"/>
            <w:tcBorders>
              <w:top w:val="single" w:color="auto" w:sz="4" w:space="0"/>
              <w:left w:val="single" w:color="auto" w:sz="4" w:space="0"/>
              <w:bottom w:val="single" w:color="auto" w:sz="4" w:space="0"/>
              <w:right w:val="single" w:color="auto" w:sz="4" w:space="0"/>
            </w:tcBorders>
            <w:vAlign w:val="center"/>
          </w:tcPr>
          <w:p w14:paraId="2B96085E">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注册证号</w:t>
            </w:r>
          </w:p>
        </w:tc>
        <w:tc>
          <w:tcPr>
            <w:tcW w:w="682" w:type="dxa"/>
            <w:tcBorders>
              <w:top w:val="single" w:color="auto" w:sz="4" w:space="0"/>
              <w:left w:val="single" w:color="auto" w:sz="4" w:space="0"/>
              <w:bottom w:val="single" w:color="auto" w:sz="4" w:space="0"/>
              <w:right w:val="single" w:color="auto" w:sz="4" w:space="0"/>
            </w:tcBorders>
            <w:vAlign w:val="center"/>
          </w:tcPr>
          <w:p w14:paraId="2500556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1524" w:type="dxa"/>
            <w:tcBorders>
              <w:top w:val="single" w:color="auto" w:sz="4" w:space="0"/>
              <w:left w:val="single" w:color="auto" w:sz="4" w:space="0"/>
              <w:bottom w:val="single" w:color="auto" w:sz="4" w:space="0"/>
              <w:right w:val="single" w:color="auto" w:sz="4" w:space="0"/>
            </w:tcBorders>
            <w:vAlign w:val="center"/>
          </w:tcPr>
          <w:p w14:paraId="76D6F0A3">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生产厂家及品牌</w:t>
            </w:r>
          </w:p>
        </w:tc>
        <w:tc>
          <w:tcPr>
            <w:tcW w:w="706" w:type="dxa"/>
            <w:tcBorders>
              <w:top w:val="single" w:color="auto" w:sz="4" w:space="0"/>
              <w:left w:val="single" w:color="auto" w:sz="4" w:space="0"/>
              <w:bottom w:val="single" w:color="auto" w:sz="4" w:space="0"/>
              <w:right w:val="single" w:color="auto" w:sz="4" w:space="0"/>
            </w:tcBorders>
            <w:vAlign w:val="center"/>
          </w:tcPr>
          <w:p w14:paraId="5A69D460">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p w14:paraId="1EC81930">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①</w:t>
            </w:r>
          </w:p>
        </w:tc>
        <w:tc>
          <w:tcPr>
            <w:tcW w:w="587" w:type="dxa"/>
            <w:tcBorders>
              <w:top w:val="single" w:color="auto" w:sz="4" w:space="0"/>
              <w:left w:val="single" w:color="auto" w:sz="4" w:space="0"/>
              <w:bottom w:val="single" w:color="auto" w:sz="4" w:space="0"/>
              <w:right w:val="single" w:color="auto" w:sz="4" w:space="0"/>
            </w:tcBorders>
            <w:vAlign w:val="center"/>
          </w:tcPr>
          <w:p w14:paraId="13D086BE">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单位</w:t>
            </w:r>
          </w:p>
        </w:tc>
        <w:tc>
          <w:tcPr>
            <w:tcW w:w="664" w:type="dxa"/>
            <w:tcBorders>
              <w:top w:val="single" w:color="auto" w:sz="4" w:space="0"/>
              <w:left w:val="single" w:color="auto" w:sz="4" w:space="0"/>
              <w:bottom w:val="single" w:color="auto" w:sz="4" w:space="0"/>
              <w:right w:val="single" w:color="auto" w:sz="4" w:space="0"/>
            </w:tcBorders>
            <w:vAlign w:val="center"/>
          </w:tcPr>
          <w:p w14:paraId="6CDEA186">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单价</w:t>
            </w:r>
          </w:p>
          <w:p w14:paraId="7563CDBC">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②</w:t>
            </w:r>
          </w:p>
        </w:tc>
        <w:tc>
          <w:tcPr>
            <w:tcW w:w="1806" w:type="dxa"/>
            <w:tcBorders>
              <w:top w:val="single" w:color="auto" w:sz="4" w:space="0"/>
              <w:left w:val="single" w:color="auto" w:sz="4" w:space="0"/>
              <w:bottom w:val="single" w:color="auto" w:sz="4" w:space="0"/>
              <w:right w:val="single" w:color="auto" w:sz="4" w:space="0"/>
            </w:tcBorders>
            <w:vAlign w:val="center"/>
          </w:tcPr>
          <w:p w14:paraId="0B7A8CD0">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单项合计=数量×单价</w:t>
            </w:r>
          </w:p>
          <w:p w14:paraId="0E6CDE9F">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③＝①×②</w:t>
            </w:r>
          </w:p>
        </w:tc>
        <w:tc>
          <w:tcPr>
            <w:tcW w:w="900" w:type="dxa"/>
            <w:tcBorders>
              <w:bottom w:val="single" w:color="auto" w:sz="4" w:space="0"/>
            </w:tcBorders>
            <w:vAlign w:val="center"/>
          </w:tcPr>
          <w:p w14:paraId="27732B7E">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35D32B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592133A">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047" w:type="dxa"/>
            <w:tcBorders>
              <w:top w:val="single" w:color="auto" w:sz="4" w:space="0"/>
              <w:left w:val="single" w:color="auto" w:sz="4" w:space="0"/>
              <w:bottom w:val="single" w:color="auto" w:sz="4" w:space="0"/>
              <w:right w:val="single" w:color="auto" w:sz="4" w:space="0"/>
            </w:tcBorders>
            <w:vAlign w:val="center"/>
          </w:tcPr>
          <w:p w14:paraId="25247140">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FDFCFD8">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5CDD52BF">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6E16FCF2">
            <w:pPr>
              <w:spacing w:line="380" w:lineRule="exact"/>
              <w:jc w:val="center"/>
              <w:rPr>
                <w:rFonts w:ascii="宋体" w:hAnsi="宋体" w:cs="宋体"/>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494AE8C4">
            <w:pPr>
              <w:spacing w:line="380" w:lineRule="exact"/>
              <w:jc w:val="center"/>
              <w:rPr>
                <w:rFonts w:ascii="宋体" w:hAnsi="宋体" w:cs="宋体"/>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3D55AE48">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1C37B6E1">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4F5A3BA2">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56DC8BD8">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7151D2B5">
            <w:pPr>
              <w:spacing w:line="380" w:lineRule="exact"/>
              <w:jc w:val="center"/>
              <w:rPr>
                <w:rFonts w:ascii="宋体" w:hAnsi="宋体" w:cs="宋体"/>
                <w:b/>
                <w:bCs/>
                <w:color w:val="auto"/>
                <w:kern w:val="0"/>
                <w:szCs w:val="21"/>
                <w:highlight w:val="none"/>
              </w:rPr>
            </w:pPr>
          </w:p>
        </w:tc>
      </w:tr>
      <w:tr w14:paraId="0A73F9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right w:val="single" w:color="auto" w:sz="4" w:space="0"/>
            </w:tcBorders>
            <w:vAlign w:val="center"/>
          </w:tcPr>
          <w:p w14:paraId="14775FF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047" w:type="dxa"/>
            <w:tcBorders>
              <w:top w:val="single" w:color="auto" w:sz="4" w:space="0"/>
              <w:left w:val="single" w:color="auto" w:sz="4" w:space="0"/>
              <w:bottom w:val="single" w:color="auto" w:sz="4" w:space="0"/>
              <w:right w:val="single" w:color="auto" w:sz="4" w:space="0"/>
            </w:tcBorders>
            <w:vAlign w:val="center"/>
          </w:tcPr>
          <w:p w14:paraId="69599D01">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36F2126">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5302D6A0">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16494770">
            <w:pPr>
              <w:spacing w:line="380" w:lineRule="exact"/>
              <w:jc w:val="center"/>
              <w:rPr>
                <w:rFonts w:ascii="宋体" w:hAnsi="宋体" w:cs="宋体"/>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5BC195A9">
            <w:pPr>
              <w:spacing w:line="380" w:lineRule="exact"/>
              <w:jc w:val="center"/>
              <w:rPr>
                <w:rFonts w:ascii="宋体" w:hAnsi="宋体" w:cs="宋体"/>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32C258C5">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42C8EB16">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6242B27C">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7CE31CBE">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27DA6637">
            <w:pPr>
              <w:spacing w:line="380" w:lineRule="exact"/>
              <w:jc w:val="center"/>
              <w:rPr>
                <w:rFonts w:ascii="宋体" w:hAnsi="宋体" w:cs="宋体"/>
                <w:b/>
                <w:bCs/>
                <w:color w:val="auto"/>
                <w:kern w:val="0"/>
                <w:szCs w:val="21"/>
                <w:highlight w:val="none"/>
              </w:rPr>
            </w:pPr>
          </w:p>
        </w:tc>
      </w:tr>
      <w:tr w14:paraId="424C3D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05" w:type="dxa"/>
            <w:tcBorders>
              <w:top w:val="single" w:color="auto" w:sz="4" w:space="0"/>
              <w:left w:val="single" w:color="auto" w:sz="4" w:space="0"/>
              <w:right w:val="single" w:color="auto" w:sz="4" w:space="0"/>
            </w:tcBorders>
            <w:vAlign w:val="center"/>
          </w:tcPr>
          <w:p w14:paraId="160FD18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047" w:type="dxa"/>
            <w:tcBorders>
              <w:top w:val="single" w:color="auto" w:sz="4" w:space="0"/>
              <w:left w:val="single" w:color="auto" w:sz="4" w:space="0"/>
              <w:bottom w:val="single" w:color="auto" w:sz="4" w:space="0"/>
              <w:right w:val="single" w:color="auto" w:sz="4" w:space="0"/>
            </w:tcBorders>
            <w:vAlign w:val="center"/>
          </w:tcPr>
          <w:p w14:paraId="6AF7F8F6">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35A51FF">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0D9A4CEF">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30449040">
            <w:pPr>
              <w:spacing w:line="380" w:lineRule="exact"/>
              <w:jc w:val="center"/>
              <w:rPr>
                <w:rFonts w:ascii="宋体" w:hAnsi="宋体" w:cs="宋体"/>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21B4CF41">
            <w:pPr>
              <w:spacing w:line="380" w:lineRule="exact"/>
              <w:jc w:val="center"/>
              <w:rPr>
                <w:rFonts w:ascii="宋体" w:hAnsi="宋体" w:cs="宋体"/>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630A4EFD">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15C45448">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68674DD7">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476D682C">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493A1DC5">
            <w:pPr>
              <w:spacing w:line="380" w:lineRule="exact"/>
              <w:jc w:val="center"/>
              <w:rPr>
                <w:rFonts w:ascii="宋体" w:hAnsi="宋体" w:cs="宋体"/>
                <w:b/>
                <w:bCs/>
                <w:color w:val="auto"/>
                <w:kern w:val="0"/>
                <w:szCs w:val="21"/>
                <w:highlight w:val="none"/>
              </w:rPr>
            </w:pPr>
          </w:p>
        </w:tc>
      </w:tr>
      <w:tr w14:paraId="0EC09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right w:val="single" w:color="auto" w:sz="4" w:space="0"/>
            </w:tcBorders>
            <w:vAlign w:val="center"/>
          </w:tcPr>
          <w:p w14:paraId="46E03D15">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N</w:t>
            </w:r>
          </w:p>
        </w:tc>
        <w:tc>
          <w:tcPr>
            <w:tcW w:w="1047" w:type="dxa"/>
            <w:tcBorders>
              <w:top w:val="single" w:color="auto" w:sz="4" w:space="0"/>
              <w:left w:val="single" w:color="auto" w:sz="4" w:space="0"/>
              <w:bottom w:val="single" w:color="auto" w:sz="4" w:space="0"/>
              <w:right w:val="single" w:color="auto" w:sz="4" w:space="0"/>
            </w:tcBorders>
            <w:vAlign w:val="center"/>
          </w:tcPr>
          <w:p w14:paraId="3ABA8346">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0230A2D">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2AB15473">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1E132304">
            <w:pPr>
              <w:spacing w:line="380" w:lineRule="exact"/>
              <w:jc w:val="center"/>
              <w:rPr>
                <w:rFonts w:ascii="宋体" w:hAnsi="宋体" w:cs="宋体"/>
                <w:b/>
                <w:bCs/>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79BA4A33">
            <w:pPr>
              <w:spacing w:line="380" w:lineRule="exact"/>
              <w:jc w:val="center"/>
              <w:rPr>
                <w:rFonts w:ascii="宋体" w:hAnsi="宋体" w:cs="宋体"/>
                <w:b/>
                <w:bCs/>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3F484417">
            <w:pPr>
              <w:spacing w:line="38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587" w:type="dxa"/>
            <w:tcBorders>
              <w:top w:val="single" w:color="auto" w:sz="4" w:space="0"/>
              <w:left w:val="single" w:color="auto" w:sz="4" w:space="0"/>
              <w:bottom w:val="single" w:color="auto" w:sz="4" w:space="0"/>
              <w:right w:val="single" w:color="auto" w:sz="4" w:space="0"/>
            </w:tcBorders>
            <w:vAlign w:val="center"/>
          </w:tcPr>
          <w:p w14:paraId="19C9FC61">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747662B0">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05AE3D57">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5890FC9E">
            <w:pPr>
              <w:spacing w:line="380" w:lineRule="exact"/>
              <w:jc w:val="center"/>
              <w:rPr>
                <w:rFonts w:ascii="宋体" w:hAnsi="宋体" w:cs="宋体"/>
                <w:b/>
                <w:bCs/>
                <w:color w:val="auto"/>
                <w:kern w:val="0"/>
                <w:szCs w:val="21"/>
                <w:highlight w:val="none"/>
              </w:rPr>
            </w:pPr>
          </w:p>
        </w:tc>
      </w:tr>
      <w:tr w14:paraId="0FF53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705" w:type="dxa"/>
            <w:tcBorders>
              <w:top w:val="single" w:color="auto" w:sz="4" w:space="0"/>
              <w:left w:val="single" w:color="auto" w:sz="4" w:space="0"/>
              <w:right w:val="single" w:color="auto" w:sz="4" w:space="0"/>
            </w:tcBorders>
            <w:vAlign w:val="center"/>
          </w:tcPr>
          <w:p w14:paraId="5988FB6E">
            <w:pPr>
              <w:spacing w:line="380" w:lineRule="exact"/>
              <w:jc w:val="center"/>
              <w:rPr>
                <w:rFonts w:ascii="宋体" w:hAnsi="宋体" w:cs="宋体"/>
                <w:color w:val="auto"/>
                <w:kern w:val="0"/>
                <w:szCs w:val="21"/>
                <w:highlight w:val="none"/>
              </w:rPr>
            </w:pPr>
          </w:p>
        </w:tc>
        <w:tc>
          <w:tcPr>
            <w:tcW w:w="1047" w:type="dxa"/>
            <w:tcBorders>
              <w:top w:val="single" w:color="auto" w:sz="4" w:space="0"/>
              <w:left w:val="single" w:color="auto" w:sz="4" w:space="0"/>
              <w:bottom w:val="single" w:color="auto" w:sz="4" w:space="0"/>
              <w:right w:val="single" w:color="auto" w:sz="4" w:space="0"/>
            </w:tcBorders>
            <w:vAlign w:val="center"/>
          </w:tcPr>
          <w:p w14:paraId="02A8F8E8">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72A21AE7">
            <w:pPr>
              <w:spacing w:line="380" w:lineRule="exact"/>
              <w:jc w:val="center"/>
              <w:rPr>
                <w:rFonts w:ascii="宋体" w:hAnsi="宋体" w:cs="宋体"/>
                <w:color w:val="auto"/>
                <w:kern w:val="0"/>
                <w:szCs w:val="21"/>
                <w:highlight w:val="none"/>
              </w:rPr>
            </w:pPr>
          </w:p>
        </w:tc>
        <w:tc>
          <w:tcPr>
            <w:tcW w:w="997" w:type="dxa"/>
            <w:tcBorders>
              <w:top w:val="single" w:color="auto" w:sz="4" w:space="0"/>
              <w:left w:val="single" w:color="auto" w:sz="4" w:space="0"/>
              <w:bottom w:val="single" w:color="auto" w:sz="4" w:space="0"/>
              <w:right w:val="single" w:color="auto" w:sz="4" w:space="0"/>
            </w:tcBorders>
            <w:vAlign w:val="center"/>
          </w:tcPr>
          <w:p w14:paraId="5E4EBE6F">
            <w:pPr>
              <w:spacing w:line="380" w:lineRule="exact"/>
              <w:jc w:val="center"/>
              <w:rPr>
                <w:rFonts w:ascii="宋体" w:hAnsi="宋体" w:cs="宋体"/>
                <w:color w:val="auto"/>
                <w:kern w:val="0"/>
                <w:szCs w:val="21"/>
                <w:highlight w:val="none"/>
              </w:rPr>
            </w:pPr>
          </w:p>
        </w:tc>
        <w:tc>
          <w:tcPr>
            <w:tcW w:w="682" w:type="dxa"/>
            <w:tcBorders>
              <w:top w:val="single" w:color="auto" w:sz="4" w:space="0"/>
              <w:left w:val="single" w:color="auto" w:sz="4" w:space="0"/>
              <w:bottom w:val="single" w:color="auto" w:sz="4" w:space="0"/>
              <w:right w:val="single" w:color="auto" w:sz="4" w:space="0"/>
            </w:tcBorders>
            <w:vAlign w:val="center"/>
          </w:tcPr>
          <w:p w14:paraId="5D5877E6">
            <w:pPr>
              <w:spacing w:line="380" w:lineRule="exact"/>
              <w:jc w:val="center"/>
              <w:rPr>
                <w:rFonts w:ascii="宋体" w:hAnsi="宋体" w:cs="宋体"/>
                <w:b/>
                <w:bCs/>
                <w:color w:val="auto"/>
                <w:kern w:val="0"/>
                <w:szCs w:val="21"/>
                <w:highlight w:val="none"/>
              </w:rPr>
            </w:pPr>
          </w:p>
        </w:tc>
        <w:tc>
          <w:tcPr>
            <w:tcW w:w="1524" w:type="dxa"/>
            <w:tcBorders>
              <w:top w:val="single" w:color="auto" w:sz="4" w:space="0"/>
              <w:left w:val="single" w:color="auto" w:sz="4" w:space="0"/>
              <w:bottom w:val="single" w:color="auto" w:sz="4" w:space="0"/>
              <w:right w:val="single" w:color="auto" w:sz="4" w:space="0"/>
            </w:tcBorders>
            <w:vAlign w:val="center"/>
          </w:tcPr>
          <w:p w14:paraId="222A2196">
            <w:pPr>
              <w:spacing w:line="380" w:lineRule="exact"/>
              <w:jc w:val="center"/>
              <w:rPr>
                <w:rFonts w:ascii="宋体" w:hAnsi="宋体" w:cs="宋体"/>
                <w:b/>
                <w:bCs/>
                <w:color w:val="auto"/>
                <w:kern w:val="0"/>
                <w:szCs w:val="21"/>
                <w:highlight w:val="none"/>
              </w:rPr>
            </w:pPr>
          </w:p>
        </w:tc>
        <w:tc>
          <w:tcPr>
            <w:tcW w:w="706" w:type="dxa"/>
            <w:tcBorders>
              <w:top w:val="single" w:color="auto" w:sz="4" w:space="0"/>
              <w:left w:val="single" w:color="auto" w:sz="4" w:space="0"/>
              <w:bottom w:val="single" w:color="auto" w:sz="4" w:space="0"/>
              <w:right w:val="single" w:color="auto" w:sz="4" w:space="0"/>
            </w:tcBorders>
            <w:vAlign w:val="center"/>
          </w:tcPr>
          <w:p w14:paraId="7872CC4F">
            <w:pPr>
              <w:spacing w:line="380" w:lineRule="exact"/>
              <w:jc w:val="center"/>
              <w:rPr>
                <w:rFonts w:ascii="宋体" w:hAnsi="宋体" w:cs="宋体"/>
                <w:color w:val="auto"/>
                <w:kern w:val="0"/>
                <w:szCs w:val="21"/>
                <w:highlight w:val="none"/>
              </w:rPr>
            </w:pPr>
          </w:p>
        </w:tc>
        <w:tc>
          <w:tcPr>
            <w:tcW w:w="587" w:type="dxa"/>
            <w:tcBorders>
              <w:top w:val="single" w:color="auto" w:sz="4" w:space="0"/>
              <w:left w:val="single" w:color="auto" w:sz="4" w:space="0"/>
              <w:bottom w:val="single" w:color="auto" w:sz="4" w:space="0"/>
              <w:right w:val="single" w:color="auto" w:sz="4" w:space="0"/>
            </w:tcBorders>
            <w:vAlign w:val="center"/>
          </w:tcPr>
          <w:p w14:paraId="2F2C2F4B">
            <w:pPr>
              <w:spacing w:line="380" w:lineRule="exact"/>
              <w:jc w:val="center"/>
              <w:rPr>
                <w:rFonts w:ascii="宋体" w:hAnsi="宋体" w:cs="宋体"/>
                <w:color w:val="auto"/>
                <w:kern w:val="0"/>
                <w:szCs w:val="21"/>
                <w:highlight w:val="none"/>
              </w:rPr>
            </w:pPr>
          </w:p>
        </w:tc>
        <w:tc>
          <w:tcPr>
            <w:tcW w:w="664" w:type="dxa"/>
            <w:tcBorders>
              <w:top w:val="single" w:color="auto" w:sz="4" w:space="0"/>
              <w:left w:val="single" w:color="auto" w:sz="4" w:space="0"/>
              <w:bottom w:val="single" w:color="auto" w:sz="4" w:space="0"/>
              <w:right w:val="single" w:color="auto" w:sz="4" w:space="0"/>
            </w:tcBorders>
            <w:vAlign w:val="center"/>
          </w:tcPr>
          <w:p w14:paraId="1C2C4F66">
            <w:pPr>
              <w:spacing w:line="380" w:lineRule="exact"/>
              <w:jc w:val="center"/>
              <w:rPr>
                <w:rFonts w:ascii="宋体" w:hAnsi="宋体" w:cs="宋体"/>
                <w:b/>
                <w:bCs/>
                <w:color w:val="auto"/>
                <w:kern w:val="0"/>
                <w:szCs w:val="21"/>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5624C164">
            <w:pPr>
              <w:spacing w:line="380" w:lineRule="exact"/>
              <w:jc w:val="center"/>
              <w:rPr>
                <w:rFonts w:ascii="宋体" w:hAnsi="宋体" w:cs="宋体"/>
                <w:b/>
                <w:bCs/>
                <w:color w:val="auto"/>
                <w:kern w:val="0"/>
                <w:szCs w:val="21"/>
                <w:highlight w:val="none"/>
              </w:rPr>
            </w:pPr>
          </w:p>
        </w:tc>
        <w:tc>
          <w:tcPr>
            <w:tcW w:w="900" w:type="dxa"/>
            <w:tcBorders>
              <w:top w:val="single" w:color="auto" w:sz="4" w:space="0"/>
              <w:bottom w:val="single" w:color="auto" w:sz="4" w:space="0"/>
            </w:tcBorders>
            <w:vAlign w:val="center"/>
          </w:tcPr>
          <w:p w14:paraId="2B7A6199">
            <w:pPr>
              <w:spacing w:line="380" w:lineRule="exact"/>
              <w:jc w:val="center"/>
              <w:rPr>
                <w:rFonts w:ascii="宋体" w:hAnsi="宋体" w:cs="宋体"/>
                <w:b/>
                <w:bCs/>
                <w:color w:val="auto"/>
                <w:kern w:val="0"/>
                <w:szCs w:val="21"/>
                <w:highlight w:val="none"/>
              </w:rPr>
            </w:pPr>
          </w:p>
        </w:tc>
      </w:tr>
      <w:tr w14:paraId="386A32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4" w:hRule="atLeast"/>
          <w:jc w:val="center"/>
        </w:trPr>
        <w:tc>
          <w:tcPr>
            <w:tcW w:w="10615" w:type="dxa"/>
            <w:gridSpan w:val="11"/>
            <w:tcBorders>
              <w:top w:val="single" w:color="auto" w:sz="4" w:space="0"/>
              <w:left w:val="single" w:color="auto" w:sz="4" w:space="0"/>
              <w:bottom w:val="single" w:color="auto" w:sz="4" w:space="0"/>
            </w:tcBorders>
            <w:vAlign w:val="center"/>
          </w:tcPr>
          <w:p w14:paraId="19238578">
            <w:pPr>
              <w:spacing w:line="380" w:lineRule="exact"/>
              <w:rPr>
                <w:rFonts w:ascii="宋体" w:hAnsi="宋体" w:cs="宋体"/>
                <w:b/>
                <w:bCs/>
                <w:color w:val="auto"/>
                <w:kern w:val="0"/>
                <w:szCs w:val="21"/>
                <w:highlight w:val="none"/>
              </w:rPr>
            </w:pPr>
            <w:r>
              <w:rPr>
                <w:rFonts w:hint="eastAsia" w:ascii="宋体" w:hAnsi="宋体" w:cs="宋体"/>
                <w:color w:val="auto"/>
                <w:kern w:val="0"/>
                <w:szCs w:val="21"/>
                <w:highlight w:val="none"/>
              </w:rPr>
              <w:t>投标总报价（大写）：                         元人民币（￥                      ）</w:t>
            </w:r>
          </w:p>
        </w:tc>
      </w:tr>
      <w:tr w14:paraId="121984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10615" w:type="dxa"/>
            <w:gridSpan w:val="11"/>
            <w:tcBorders>
              <w:top w:val="single" w:color="auto" w:sz="4" w:space="0"/>
              <w:left w:val="single" w:color="auto" w:sz="4" w:space="0"/>
              <w:bottom w:val="single" w:color="auto" w:sz="4" w:space="0"/>
            </w:tcBorders>
            <w:vAlign w:val="center"/>
          </w:tcPr>
          <w:p w14:paraId="58DAEDC8">
            <w:pPr>
              <w:spacing w:line="380" w:lineRule="exact"/>
              <w:rPr>
                <w:rFonts w:ascii="宋体" w:hAnsi="宋体" w:cs="宋体"/>
                <w:color w:val="auto"/>
                <w:kern w:val="0"/>
                <w:szCs w:val="21"/>
                <w:highlight w:val="none"/>
              </w:rPr>
            </w:pPr>
            <w:r>
              <w:rPr>
                <w:rFonts w:hint="eastAsia" w:ascii="宋体" w:hAnsi="宋体" w:cs="宋体"/>
                <w:color w:val="auto"/>
                <w:kern w:val="0"/>
                <w:szCs w:val="21"/>
                <w:highlight w:val="none"/>
              </w:rPr>
              <w:t>交付使用期:</w:t>
            </w:r>
          </w:p>
        </w:tc>
      </w:tr>
      <w:tr w14:paraId="1B216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2" w:hRule="atLeast"/>
          <w:jc w:val="center"/>
        </w:trPr>
        <w:tc>
          <w:tcPr>
            <w:tcW w:w="10615" w:type="dxa"/>
            <w:gridSpan w:val="11"/>
            <w:tcBorders>
              <w:top w:val="single" w:color="auto" w:sz="4" w:space="0"/>
              <w:left w:val="single" w:color="auto" w:sz="4" w:space="0"/>
              <w:bottom w:val="single" w:color="auto" w:sz="4" w:space="0"/>
            </w:tcBorders>
            <w:vAlign w:val="center"/>
          </w:tcPr>
          <w:p w14:paraId="1BC30392">
            <w:pPr>
              <w:spacing w:line="380" w:lineRule="exact"/>
              <w:rPr>
                <w:rFonts w:ascii="宋体" w:hAnsi="宋体" w:cs="宋体"/>
                <w:color w:val="auto"/>
                <w:kern w:val="0"/>
                <w:szCs w:val="21"/>
                <w:highlight w:val="none"/>
              </w:rPr>
            </w:pPr>
            <w:r>
              <w:rPr>
                <w:rFonts w:hint="eastAsia" w:ascii="宋体" w:hAnsi="宋体" w:cs="宋体"/>
                <w:color w:val="auto"/>
                <w:kern w:val="0"/>
                <w:szCs w:val="21"/>
                <w:highlight w:val="none"/>
              </w:rPr>
              <w:t>免费保修期:</w:t>
            </w:r>
          </w:p>
        </w:tc>
      </w:tr>
      <w:tr w14:paraId="6511F6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98" w:hRule="atLeast"/>
          <w:jc w:val="center"/>
        </w:trPr>
        <w:tc>
          <w:tcPr>
            <w:tcW w:w="10615" w:type="dxa"/>
            <w:gridSpan w:val="11"/>
            <w:tcBorders>
              <w:top w:val="single" w:color="auto" w:sz="4" w:space="0"/>
              <w:left w:val="single" w:color="auto" w:sz="4" w:space="0"/>
              <w:bottom w:val="single" w:color="auto" w:sz="4" w:space="0"/>
            </w:tcBorders>
            <w:vAlign w:val="center"/>
          </w:tcPr>
          <w:p w14:paraId="5428FF23">
            <w:pPr>
              <w:spacing w:line="38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其中：属于《节能产品政府采购清单》目录内产品的总金额为人民币（大写）：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元（￥</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D02CF11">
            <w:pPr>
              <w:spacing w:line="380" w:lineRule="exact"/>
              <w:ind w:firstLine="630" w:firstLineChars="300"/>
              <w:rPr>
                <w:rFonts w:ascii="宋体" w:hAnsi="宋体" w:cs="宋体"/>
                <w:color w:val="auto"/>
                <w:kern w:val="0"/>
                <w:szCs w:val="21"/>
                <w:highlight w:val="none"/>
              </w:rPr>
            </w:pPr>
            <w:r>
              <w:rPr>
                <w:rFonts w:hint="eastAsia" w:ascii="宋体" w:hAnsi="宋体" w:cs="宋体"/>
                <w:color w:val="auto"/>
                <w:kern w:val="0"/>
                <w:szCs w:val="21"/>
                <w:highlight w:val="none"/>
              </w:rPr>
              <w:t>属于《环境标志产品政府采购清单》目录内产品的总金额为人民币（大写）：</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元（￥</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6D1DFF9A">
            <w:pPr>
              <w:spacing w:line="380" w:lineRule="exact"/>
              <w:rPr>
                <w:rFonts w:ascii="宋体" w:hAnsi="宋体" w:cs="宋体"/>
                <w:b/>
                <w:bCs/>
                <w:color w:val="auto"/>
                <w:kern w:val="0"/>
                <w:szCs w:val="21"/>
                <w:highlight w:val="none"/>
              </w:rPr>
            </w:pPr>
            <w:r>
              <w:rPr>
                <w:rFonts w:hint="eastAsia" w:ascii="宋体" w:hAnsi="宋体" w:cs="宋体"/>
                <w:b/>
                <w:color w:val="auto"/>
                <w:kern w:val="0"/>
                <w:szCs w:val="21"/>
                <w:highlight w:val="none"/>
              </w:rPr>
              <w:t>备注：若不属于《节能产品政府采购清单》及《环境标志产品政府采购清单》目录内产品的，则该处填写“无”字样。</w:t>
            </w:r>
          </w:p>
        </w:tc>
      </w:tr>
      <w:tr w14:paraId="7235AF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4" w:hRule="atLeast"/>
          <w:jc w:val="center"/>
        </w:trPr>
        <w:tc>
          <w:tcPr>
            <w:tcW w:w="10615" w:type="dxa"/>
            <w:gridSpan w:val="11"/>
            <w:tcBorders>
              <w:top w:val="single" w:color="auto" w:sz="4" w:space="0"/>
              <w:left w:val="single" w:color="auto" w:sz="4" w:space="0"/>
              <w:bottom w:val="single" w:color="auto" w:sz="4" w:space="0"/>
            </w:tcBorders>
            <w:vAlign w:val="center"/>
          </w:tcPr>
          <w:p w14:paraId="64018ADE">
            <w:pPr>
              <w:spacing w:line="380" w:lineRule="exact"/>
              <w:rPr>
                <w:rFonts w:ascii="宋体" w:hAnsi="宋体" w:cs="宋体"/>
                <w:b/>
                <w:bCs/>
                <w:color w:val="auto"/>
                <w:kern w:val="0"/>
                <w:szCs w:val="21"/>
                <w:highlight w:val="none"/>
              </w:rPr>
            </w:pPr>
            <w:r>
              <w:rPr>
                <w:rFonts w:hint="eastAsia" w:ascii="宋体" w:hAnsi="宋体" w:cs="宋体"/>
                <w:color w:val="auto"/>
                <w:kern w:val="0"/>
                <w:szCs w:val="21"/>
                <w:highlight w:val="none"/>
              </w:rPr>
              <w:t>说明：</w:t>
            </w:r>
            <w:r>
              <w:rPr>
                <w:rFonts w:hint="eastAsia" w:ascii="宋体" w:hAnsi="宋体" w:cs="宋体"/>
                <w:bCs/>
                <w:color w:val="auto"/>
                <w:szCs w:val="21"/>
                <w:highlight w:val="none"/>
              </w:rPr>
              <w:t>投标报价包含标的价款、标的随配标准附件、包装、运输（含装卸）、保险、安装调试、税费、培训、产品检测、与采购人相关信息系统对接、售后服务、验收、桂林市所属各县（区、市）检测样本运送至采购人产生的费用等全部费用。</w:t>
            </w:r>
          </w:p>
        </w:tc>
      </w:tr>
    </w:tbl>
    <w:p w14:paraId="733AEFB4">
      <w:pPr>
        <w:spacing w:line="400" w:lineRule="exact"/>
        <w:ind w:firstLine="1260" w:firstLineChars="600"/>
        <w:rPr>
          <w:rFonts w:ascii="宋体" w:hAnsi="宋体" w:cs="宋体"/>
          <w:color w:val="auto"/>
          <w:kern w:val="0"/>
          <w:szCs w:val="21"/>
          <w:highlight w:val="none"/>
          <w:u w:val="single"/>
        </w:rPr>
      </w:pPr>
      <w:r>
        <w:rPr>
          <w:rFonts w:hint="eastAsia" w:ascii="宋体" w:hAnsi="宋体" w:cs="宋体"/>
          <w:color w:val="auto"/>
          <w:kern w:val="0"/>
          <w:szCs w:val="21"/>
          <w:highlight w:val="none"/>
        </w:rPr>
        <w:t>投标人（CA证书签章）：</w:t>
      </w:r>
      <w:r>
        <w:rPr>
          <w:rFonts w:hint="eastAsia" w:ascii="宋体" w:hAnsi="宋体" w:cs="宋体"/>
          <w:color w:val="auto"/>
          <w:kern w:val="0"/>
          <w:szCs w:val="21"/>
          <w:highlight w:val="none"/>
          <w:u w:val="single"/>
        </w:rPr>
        <w:t xml:space="preserve">                                        </w:t>
      </w:r>
    </w:p>
    <w:p w14:paraId="6ECDC5AD">
      <w:pPr>
        <w:spacing w:line="400" w:lineRule="exact"/>
        <w:ind w:firstLine="1260" w:firstLineChars="600"/>
        <w:rPr>
          <w:rFonts w:ascii="宋体" w:hAnsi="宋体" w:cs="宋体"/>
          <w:color w:val="auto"/>
          <w:kern w:val="0"/>
          <w:szCs w:val="21"/>
          <w:highlight w:val="none"/>
          <w:u w:val="single"/>
        </w:rPr>
      </w:pPr>
      <w:r>
        <w:rPr>
          <w:rFonts w:hint="eastAsia" w:ascii="宋体" w:hAnsi="宋体" w:cs="宋体"/>
          <w:color w:val="auto"/>
          <w:kern w:val="0"/>
          <w:szCs w:val="21"/>
          <w:highlight w:val="none"/>
        </w:rPr>
        <w:t>法定代表人、负责人、自然人或相应的委托代理人签字或盖章（或个人CA证书签章）：</w:t>
      </w:r>
      <w:r>
        <w:rPr>
          <w:rFonts w:hint="eastAsia" w:ascii="宋体" w:hAnsi="宋体" w:cs="宋体"/>
          <w:color w:val="auto"/>
          <w:kern w:val="0"/>
          <w:szCs w:val="21"/>
          <w:highlight w:val="none"/>
          <w:u w:val="single"/>
        </w:rPr>
        <w:t xml:space="preserve">                                    </w:t>
      </w:r>
    </w:p>
    <w:p w14:paraId="07B786F4">
      <w:pPr>
        <w:tabs>
          <w:tab w:val="left" w:pos="1305"/>
        </w:tabs>
        <w:spacing w:line="400" w:lineRule="exact"/>
        <w:ind w:firstLine="1045" w:firstLineChars="498"/>
        <w:rPr>
          <w:rFonts w:ascii="宋体" w:hAnsi="宋体" w:cs="宋体"/>
          <w:bCs/>
          <w:color w:val="auto"/>
          <w:kern w:val="0"/>
          <w:szCs w:val="21"/>
          <w:highlight w:val="none"/>
        </w:rPr>
      </w:pPr>
      <w:r>
        <w:rPr>
          <w:rFonts w:hint="eastAsia" w:ascii="宋体" w:hAnsi="宋体" w:cs="宋体"/>
          <w:bCs/>
          <w:color w:val="auto"/>
          <w:kern w:val="0"/>
          <w:szCs w:val="21"/>
          <w:highlight w:val="none"/>
        </w:rPr>
        <w:t>注</w:t>
      </w:r>
      <w:r>
        <w:rPr>
          <w:rFonts w:hint="eastAsia" w:ascii="宋体" w:hAnsi="宋体" w:cs="宋体"/>
          <w:b/>
          <w:bCs/>
          <w:color w:val="auto"/>
          <w:kern w:val="0"/>
          <w:szCs w:val="21"/>
          <w:highlight w:val="none"/>
        </w:rPr>
        <w:t>：</w:t>
      </w:r>
      <w:r>
        <w:rPr>
          <w:rFonts w:hint="eastAsia" w:ascii="宋体" w:hAnsi="宋体" w:cs="宋体"/>
          <w:bCs/>
          <w:color w:val="auto"/>
          <w:kern w:val="0"/>
          <w:szCs w:val="21"/>
          <w:highlight w:val="none"/>
        </w:rPr>
        <w:t>1.各投标人</w:t>
      </w:r>
      <w:r>
        <w:rPr>
          <w:rFonts w:hint="eastAsia" w:ascii="宋体" w:hAnsi="宋体" w:cs="宋体"/>
          <w:color w:val="auto"/>
          <w:kern w:val="0"/>
          <w:szCs w:val="21"/>
          <w:highlight w:val="none"/>
        </w:rPr>
        <w:t>必须就“货物采购需求”中所投分标的所有内容作完整唯一报价，否则，其投标将被拒绝。投标文件只允许有一个报价。</w:t>
      </w:r>
    </w:p>
    <w:p w14:paraId="49B163F0">
      <w:pPr>
        <w:pStyle w:val="11"/>
        <w:spacing w:line="400" w:lineRule="exact"/>
        <w:ind w:firstLine="1470" w:firstLineChars="700"/>
        <w:rPr>
          <w:rFonts w:hAnsi="宋体" w:cs="宋体"/>
          <w:color w:val="auto"/>
          <w:sz w:val="21"/>
          <w:szCs w:val="21"/>
          <w:highlight w:val="none"/>
        </w:rPr>
      </w:pPr>
      <w:r>
        <w:rPr>
          <w:rFonts w:hint="eastAsia" w:hAnsi="宋体" w:cs="宋体"/>
          <w:color w:val="auto"/>
          <w:sz w:val="21"/>
          <w:szCs w:val="21"/>
          <w:highlight w:val="none"/>
        </w:rPr>
        <w:t>2.投标人应根据所投货物如实填写投标报价表</w:t>
      </w:r>
      <w:r>
        <w:rPr>
          <w:rFonts w:hint="eastAsia" w:hAnsi="宋体" w:cs="宋体"/>
          <w:bCs/>
          <w:color w:val="auto"/>
          <w:sz w:val="21"/>
          <w:szCs w:val="21"/>
          <w:highlight w:val="none"/>
        </w:rPr>
        <w:t>的各项内容。</w:t>
      </w:r>
    </w:p>
    <w:p w14:paraId="00301FC6">
      <w:pPr>
        <w:pStyle w:val="11"/>
        <w:spacing w:line="400" w:lineRule="exact"/>
        <w:ind w:left="1470" w:leftChars="700"/>
        <w:rPr>
          <w:rFonts w:hAnsi="宋体" w:cs="宋体"/>
          <w:color w:val="auto"/>
          <w:sz w:val="21"/>
          <w:szCs w:val="21"/>
          <w:highlight w:val="none"/>
        </w:rPr>
      </w:pPr>
      <w:r>
        <w:rPr>
          <w:rFonts w:hint="eastAsia" w:hAnsi="宋体" w:cs="宋体"/>
          <w:color w:val="auto"/>
          <w:sz w:val="21"/>
          <w:szCs w:val="21"/>
          <w:highlight w:val="none"/>
        </w:rPr>
        <w:t>3.投标报价表须由法定代表人(负责人、自然人)或相应的委托代理人签字（或个人CA证书签章）并加盖投标人公章（CA证书签章）。</w:t>
      </w:r>
    </w:p>
    <w:p w14:paraId="110BE2DD">
      <w:pPr>
        <w:pStyle w:val="11"/>
        <w:spacing w:line="400" w:lineRule="exact"/>
        <w:rPr>
          <w:rFonts w:hAnsi="宋体" w:cs="宋体"/>
          <w:b/>
          <w:color w:val="auto"/>
          <w:sz w:val="21"/>
          <w:szCs w:val="21"/>
          <w:highlight w:val="none"/>
        </w:rPr>
      </w:pPr>
    </w:p>
    <w:p w14:paraId="6C753DB0">
      <w:pPr>
        <w:pStyle w:val="11"/>
        <w:spacing w:line="400" w:lineRule="exact"/>
        <w:rPr>
          <w:rFonts w:hAnsi="宋体" w:cs="宋体"/>
          <w:b/>
          <w:bCs/>
          <w:color w:val="auto"/>
          <w:sz w:val="21"/>
          <w:szCs w:val="21"/>
          <w:highlight w:val="none"/>
        </w:rPr>
      </w:pPr>
      <w:r>
        <w:rPr>
          <w:rFonts w:hint="eastAsia" w:hAnsi="宋体" w:cs="宋体"/>
          <w:b/>
          <w:color w:val="auto"/>
          <w:sz w:val="21"/>
          <w:szCs w:val="21"/>
          <w:highlight w:val="none"/>
        </w:rPr>
        <w:t>当本表由多页构成时，需逐页由法定代表人(负责人、自然人)或相应的委托代理人签字（或个人CA证书签章）并加盖投标人公章（CA证书签章）。</w:t>
      </w:r>
    </w:p>
    <w:p w14:paraId="552AB3A7">
      <w:pPr>
        <w:spacing w:line="400" w:lineRule="exact"/>
        <w:ind w:left="842" w:leftChars="200" w:hanging="422" w:hangingChars="200"/>
        <w:rPr>
          <w:rFonts w:ascii="宋体" w:hAnsi="宋体" w:cs="宋体"/>
          <w:b/>
          <w:bCs/>
          <w:color w:val="auto"/>
          <w:szCs w:val="21"/>
          <w:highlight w:val="none"/>
        </w:rPr>
      </w:pPr>
    </w:p>
    <w:p w14:paraId="6AE8B562">
      <w:pPr>
        <w:pStyle w:val="11"/>
        <w:spacing w:line="400" w:lineRule="exact"/>
        <w:rPr>
          <w:rFonts w:hAnsi="宋体" w:cs="宋体"/>
          <w:b/>
          <w:color w:val="auto"/>
          <w:sz w:val="28"/>
          <w:szCs w:val="28"/>
          <w:highlight w:val="none"/>
        </w:rPr>
      </w:pPr>
      <w:r>
        <w:rPr>
          <w:rFonts w:hint="eastAsia" w:hAnsi="宋体" w:cs="宋体"/>
          <w:b/>
          <w:color w:val="auto"/>
          <w:sz w:val="21"/>
          <w:szCs w:val="21"/>
          <w:highlight w:val="none"/>
        </w:rPr>
        <w:br w:type="page"/>
      </w:r>
      <w:r>
        <w:rPr>
          <w:rFonts w:hint="eastAsia" w:hAnsi="宋体" w:cs="宋体"/>
          <w:b/>
          <w:color w:val="auto"/>
          <w:sz w:val="28"/>
          <w:szCs w:val="28"/>
          <w:highlight w:val="none"/>
        </w:rPr>
        <w:t>二、资格性响应证明材料（格式）</w:t>
      </w:r>
    </w:p>
    <w:p w14:paraId="692CB9AE">
      <w:pPr>
        <w:pStyle w:val="11"/>
        <w:spacing w:line="400" w:lineRule="exact"/>
        <w:rPr>
          <w:rFonts w:hAnsi="宋体" w:cs="宋体"/>
          <w:b/>
          <w:color w:val="auto"/>
          <w:sz w:val="28"/>
          <w:szCs w:val="28"/>
          <w:highlight w:val="none"/>
        </w:rPr>
      </w:pPr>
    </w:p>
    <w:p w14:paraId="57E34768">
      <w:pPr>
        <w:pStyle w:val="11"/>
        <w:spacing w:line="400" w:lineRule="exact"/>
        <w:rPr>
          <w:rFonts w:hAnsi="宋体" w:cs="宋体"/>
          <w:b/>
          <w:color w:val="auto"/>
          <w:sz w:val="24"/>
          <w:szCs w:val="24"/>
          <w:highlight w:val="none"/>
        </w:rPr>
      </w:pPr>
      <w:r>
        <w:rPr>
          <w:rFonts w:hint="eastAsia" w:hAnsi="宋体" w:cs="宋体"/>
          <w:b/>
          <w:color w:val="auto"/>
          <w:sz w:val="24"/>
          <w:szCs w:val="24"/>
          <w:highlight w:val="none"/>
        </w:rPr>
        <w:t>1.投标人相应的法定代表人、负责人、自然人身份证正反面复印件（必须提供）</w:t>
      </w:r>
    </w:p>
    <w:p w14:paraId="283DA61D">
      <w:pPr>
        <w:pStyle w:val="11"/>
        <w:spacing w:line="400" w:lineRule="exact"/>
        <w:rPr>
          <w:rFonts w:hAnsi="宋体" w:cs="宋体"/>
          <w:b/>
          <w:color w:val="auto"/>
          <w:sz w:val="24"/>
          <w:szCs w:val="24"/>
          <w:highlight w:val="none"/>
        </w:rPr>
      </w:pPr>
    </w:p>
    <w:p w14:paraId="20D86265">
      <w:pPr>
        <w:pStyle w:val="11"/>
        <w:spacing w:line="400" w:lineRule="exact"/>
        <w:rPr>
          <w:rFonts w:hAnsi="宋体" w:cs="宋体"/>
          <w:b/>
          <w:color w:val="auto"/>
          <w:sz w:val="24"/>
          <w:szCs w:val="24"/>
          <w:highlight w:val="none"/>
        </w:rPr>
      </w:pPr>
      <w:r>
        <w:rPr>
          <w:rFonts w:hint="eastAsia" w:hAnsi="宋体" w:cs="宋体"/>
          <w:b/>
          <w:color w:val="auto"/>
          <w:sz w:val="24"/>
          <w:szCs w:val="24"/>
          <w:highlight w:val="none"/>
        </w:rPr>
        <w:t>2.投标人的授权委托书原件、委托代理人身份证正反面复印件以及由县级以上（含县级）社会养老保险经办机构出具的投标人为委托代理人交纳的近三个月社保证明复印件（委托代理时必须提供）；</w:t>
      </w:r>
    </w:p>
    <w:p w14:paraId="4E921FDE">
      <w:pPr>
        <w:pStyle w:val="11"/>
        <w:spacing w:line="400" w:lineRule="exact"/>
        <w:ind w:firstLine="630" w:firstLineChars="196"/>
        <w:rPr>
          <w:rFonts w:hAnsi="宋体" w:cs="宋体"/>
          <w:b/>
          <w:color w:val="auto"/>
          <w:sz w:val="32"/>
          <w:szCs w:val="32"/>
          <w:highlight w:val="none"/>
        </w:rPr>
      </w:pPr>
    </w:p>
    <w:p w14:paraId="02CF1FFF">
      <w:pPr>
        <w:pStyle w:val="11"/>
        <w:spacing w:line="400" w:lineRule="exact"/>
        <w:ind w:firstLine="630" w:firstLineChars="196"/>
        <w:rPr>
          <w:rFonts w:hAnsi="宋体" w:cs="宋体"/>
          <w:b/>
          <w:color w:val="auto"/>
          <w:sz w:val="32"/>
          <w:szCs w:val="32"/>
          <w:highlight w:val="none"/>
        </w:rPr>
      </w:pPr>
    </w:p>
    <w:p w14:paraId="162E6767">
      <w:pPr>
        <w:ind w:left="3176"/>
        <w:rPr>
          <w:rFonts w:ascii="宋体" w:hAnsi="宋体" w:cs="宋体"/>
          <w:color w:val="auto"/>
          <w:sz w:val="32"/>
          <w:szCs w:val="32"/>
          <w:highlight w:val="none"/>
        </w:rPr>
      </w:pPr>
      <w:r>
        <w:rPr>
          <w:rFonts w:hint="eastAsia" w:ascii="宋体" w:hAnsi="宋体" w:cs="宋体"/>
          <w:b/>
          <w:bCs/>
          <w:color w:val="auto"/>
          <w:sz w:val="28"/>
          <w:szCs w:val="28"/>
          <w:highlight w:val="none"/>
        </w:rPr>
        <w:t>授权委托书（格式一）</w:t>
      </w:r>
    </w:p>
    <w:p w14:paraId="0ED81179">
      <w:pPr>
        <w:pStyle w:val="2"/>
        <w:spacing w:before="228"/>
        <w:ind w:left="118"/>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color="000000"/>
        </w:rPr>
        <w:t>广西鼎策工程顾问有限责任公司</w:t>
      </w:r>
    </w:p>
    <w:p w14:paraId="5CF0F722">
      <w:pPr>
        <w:rPr>
          <w:rFonts w:ascii="宋体" w:hAnsi="宋体" w:cs="宋体"/>
          <w:color w:val="auto"/>
          <w:szCs w:val="21"/>
          <w:highlight w:val="none"/>
        </w:rPr>
      </w:pPr>
    </w:p>
    <w:p w14:paraId="4FDD9B94">
      <w:pPr>
        <w:spacing w:before="4"/>
        <w:rPr>
          <w:rFonts w:ascii="宋体" w:hAnsi="宋体" w:cs="宋体"/>
          <w:color w:val="auto"/>
          <w:szCs w:val="21"/>
          <w:highlight w:val="none"/>
        </w:rPr>
      </w:pPr>
    </w:p>
    <w:p w14:paraId="139A26B1">
      <w:pPr>
        <w:pStyle w:val="2"/>
        <w:tabs>
          <w:tab w:val="left" w:pos="2343"/>
          <w:tab w:val="left" w:pos="5350"/>
          <w:tab w:val="left" w:pos="6589"/>
          <w:tab w:val="left" w:pos="8495"/>
        </w:tabs>
        <w:spacing w:before="36" w:line="350" w:lineRule="auto"/>
        <w:ind w:left="118" w:right="117" w:firstLine="525"/>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rPr>
        <w:t>（姓名）系</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z w:val="21"/>
          <w:szCs w:val="21"/>
          <w:highlight w:val="none"/>
        </w:rPr>
        <w:t>（投标人名称）的法定代表</w:t>
      </w:r>
      <w:r>
        <w:rPr>
          <w:rFonts w:hint="eastAsia" w:ascii="宋体" w:hAnsi="宋体" w:eastAsia="宋体" w:cs="宋体"/>
          <w:color w:val="auto"/>
          <w:spacing w:val="-3"/>
          <w:sz w:val="21"/>
          <w:szCs w:val="21"/>
          <w:highlight w:val="none"/>
        </w:rPr>
        <w:t>人（负责人），现授权委托本单位在职职工</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pacing w:val="-2"/>
          <w:sz w:val="21"/>
          <w:szCs w:val="21"/>
          <w:highlight w:val="none"/>
        </w:rPr>
        <w:t>（姓名）以我公司名义参加</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1"/>
          <w:sz w:val="21"/>
          <w:szCs w:val="21"/>
          <w:highlight w:val="none"/>
          <w:u w:val="single" w:color="000000"/>
        </w:rPr>
        <w:t>（项目</w:t>
      </w:r>
      <w:r>
        <w:rPr>
          <w:rFonts w:hint="eastAsia" w:ascii="宋体" w:hAnsi="宋体" w:eastAsia="宋体" w:cs="宋体"/>
          <w:color w:val="auto"/>
          <w:sz w:val="21"/>
          <w:szCs w:val="21"/>
          <w:highlight w:val="none"/>
          <w:u w:val="single" w:color="000000"/>
        </w:rPr>
        <w:t xml:space="preserve">名称及项目编号） </w:t>
      </w:r>
      <w:r>
        <w:rPr>
          <w:rFonts w:hint="eastAsia" w:ascii="宋体" w:hAnsi="宋体" w:eastAsia="宋体" w:cs="宋体"/>
          <w:color w:val="auto"/>
          <w:spacing w:val="-3"/>
          <w:sz w:val="21"/>
          <w:szCs w:val="21"/>
          <w:highlight w:val="none"/>
        </w:rPr>
        <w:t>项目的投标活动，并代表我方全权办理针对上述项目的投标、开标、评</w:t>
      </w:r>
      <w:r>
        <w:rPr>
          <w:rFonts w:hint="eastAsia" w:ascii="宋体" w:hAnsi="宋体" w:eastAsia="宋体" w:cs="宋体"/>
          <w:color w:val="auto"/>
          <w:sz w:val="21"/>
          <w:szCs w:val="21"/>
          <w:highlight w:val="none"/>
        </w:rPr>
        <w:t>标、签约等具体事务和签署相关文件。</w:t>
      </w:r>
    </w:p>
    <w:p w14:paraId="7C0D9F8A">
      <w:pPr>
        <w:pStyle w:val="2"/>
        <w:spacing w:before="29" w:line="350" w:lineRule="auto"/>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我方对被授权人的签字事项负全部责任。 </w:t>
      </w:r>
    </w:p>
    <w:p w14:paraId="61600FAF">
      <w:pPr>
        <w:pStyle w:val="2"/>
        <w:spacing w:before="29" w:line="350" w:lineRule="auto"/>
        <w:ind w:left="538"/>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授权委托代理期限：自即日起至该项目政府采购活动结束。</w:t>
      </w:r>
    </w:p>
    <w:p w14:paraId="6B8B0B60">
      <w:pPr>
        <w:rPr>
          <w:rFonts w:ascii="宋体" w:hAnsi="宋体" w:cs="宋体"/>
          <w:color w:val="auto"/>
          <w:szCs w:val="21"/>
          <w:highlight w:val="none"/>
        </w:rPr>
      </w:pPr>
    </w:p>
    <w:p w14:paraId="5D1E5263">
      <w:pPr>
        <w:pStyle w:val="2"/>
        <w:spacing w:before="166" w:line="698" w:lineRule="auto"/>
        <w:ind w:left="538" w:right="10"/>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代理人无转委托权，特此委托。</w:t>
      </w:r>
      <w:r>
        <w:rPr>
          <w:rFonts w:hint="eastAsia" w:ascii="宋体" w:hAnsi="宋体" w:eastAsia="宋体" w:cs="宋体"/>
          <w:color w:val="auto"/>
          <w:sz w:val="21"/>
          <w:szCs w:val="21"/>
          <w:highlight w:val="none"/>
        </w:rPr>
        <w:t xml:space="preserve"> 我已在下面签字，以资证明。</w:t>
      </w:r>
    </w:p>
    <w:p w14:paraId="6919EB3F">
      <w:pPr>
        <w:rPr>
          <w:rFonts w:ascii="宋体" w:hAnsi="宋体" w:cs="宋体"/>
          <w:color w:val="auto"/>
          <w:szCs w:val="21"/>
          <w:highlight w:val="none"/>
        </w:rPr>
      </w:pPr>
    </w:p>
    <w:p w14:paraId="6267F7C1">
      <w:pPr>
        <w:spacing w:before="1"/>
        <w:rPr>
          <w:rFonts w:ascii="宋体" w:hAnsi="宋体" w:cs="宋体"/>
          <w:color w:val="auto"/>
          <w:szCs w:val="21"/>
          <w:highlight w:val="none"/>
        </w:rPr>
      </w:pPr>
    </w:p>
    <w:p w14:paraId="44614095">
      <w:pPr>
        <w:pStyle w:val="2"/>
        <w:tabs>
          <w:tab w:val="left" w:pos="5941"/>
        </w:tabs>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color="000000"/>
        </w:rPr>
        <w:tab/>
      </w:r>
    </w:p>
    <w:p w14:paraId="74DC18E6">
      <w:pPr>
        <w:rPr>
          <w:rFonts w:ascii="宋体" w:hAnsi="宋体" w:cs="宋体"/>
          <w:color w:val="auto"/>
          <w:szCs w:val="21"/>
          <w:highlight w:val="none"/>
        </w:rPr>
      </w:pPr>
    </w:p>
    <w:p w14:paraId="6544F668">
      <w:pPr>
        <w:spacing w:before="8"/>
        <w:rPr>
          <w:rFonts w:ascii="宋体" w:hAnsi="宋体" w:cs="宋体"/>
          <w:color w:val="auto"/>
          <w:szCs w:val="21"/>
          <w:highlight w:val="none"/>
        </w:rPr>
      </w:pPr>
    </w:p>
    <w:p w14:paraId="1C1251F5">
      <w:pPr>
        <w:pStyle w:val="2"/>
        <w:tabs>
          <w:tab w:val="left" w:pos="6606"/>
          <w:tab w:val="left" w:pos="7340"/>
          <w:tab w:val="left" w:pos="8181"/>
          <w:tab w:val="left" w:pos="8913"/>
        </w:tabs>
        <w:spacing w:before="36"/>
        <w:ind w:left="538"/>
        <w:rPr>
          <w:rFonts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rPr>
        <w:t>法定代表人（负责人）签字（或个人CA证书签章）：</w:t>
      </w:r>
      <w:r>
        <w:rPr>
          <w:rFonts w:hint="eastAsia" w:ascii="宋体" w:hAnsi="宋体" w:eastAsia="宋体" w:cs="宋体"/>
          <w:color w:val="auto"/>
          <w:spacing w:val="-12"/>
          <w:sz w:val="21"/>
          <w:szCs w:val="21"/>
          <w:highlight w:val="none"/>
        </w:rPr>
        <w:tab/>
      </w:r>
      <w:r>
        <w:rPr>
          <w:rFonts w:hint="eastAsia" w:ascii="宋体" w:hAnsi="宋体" w:eastAsia="宋体" w:cs="宋体"/>
          <w:color w:val="auto"/>
          <w:spacing w:val="-12"/>
          <w:sz w:val="21"/>
          <w:szCs w:val="21"/>
          <w:highlight w:val="none"/>
          <w:u w:val="single" w:color="000000"/>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color="000000"/>
        </w:rPr>
        <w:tab/>
      </w:r>
      <w:r>
        <w:rPr>
          <w:rFonts w:hint="eastAsia" w:ascii="宋体" w:hAnsi="宋体" w:eastAsia="宋体" w:cs="宋体"/>
          <w:color w:val="auto"/>
          <w:spacing w:val="-3"/>
          <w:sz w:val="21"/>
          <w:szCs w:val="21"/>
          <w:highlight w:val="none"/>
        </w:rPr>
        <w:t>月</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z w:val="21"/>
          <w:szCs w:val="21"/>
          <w:highlight w:val="none"/>
        </w:rPr>
        <w:t>日</w:t>
      </w:r>
    </w:p>
    <w:p w14:paraId="1CD3FE2C">
      <w:pPr>
        <w:rPr>
          <w:rFonts w:ascii="宋体" w:hAnsi="宋体" w:cs="宋体"/>
          <w:color w:val="auto"/>
          <w:szCs w:val="21"/>
          <w:highlight w:val="none"/>
        </w:rPr>
      </w:pPr>
    </w:p>
    <w:p w14:paraId="74CFE882">
      <w:pPr>
        <w:spacing w:before="5"/>
        <w:rPr>
          <w:rFonts w:ascii="宋体" w:hAnsi="宋体" w:cs="宋体"/>
          <w:color w:val="auto"/>
          <w:szCs w:val="21"/>
          <w:highlight w:val="none"/>
        </w:rPr>
      </w:pPr>
    </w:p>
    <w:p w14:paraId="7D7E3FD4">
      <w:pPr>
        <w:pStyle w:val="5"/>
        <w:spacing w:line="400" w:lineRule="exact"/>
        <w:ind w:left="862" w:hanging="862"/>
        <w:rPr>
          <w:rFonts w:ascii="宋体" w:hAnsi="宋体" w:cs="宋体"/>
          <w:b/>
          <w:bCs/>
          <w:color w:val="auto"/>
          <w:sz w:val="21"/>
          <w:szCs w:val="21"/>
          <w:highlight w:val="none"/>
        </w:rPr>
        <w:sectPr>
          <w:footerReference r:id="rId11" w:type="default"/>
          <w:pgSz w:w="11911" w:h="16838"/>
          <w:pgMar w:top="1083" w:right="1020" w:bottom="918" w:left="1020" w:header="0" w:footer="726" w:gutter="0"/>
          <w:cols w:space="720" w:num="1"/>
          <w:docGrid w:linePitch="1" w:charSpace="0"/>
        </w:sectPr>
      </w:pPr>
      <w:r>
        <w:rPr>
          <w:rFonts w:hint="eastAsia" w:ascii="宋体" w:hAnsi="宋体" w:cs="宋体"/>
          <w:b/>
          <w:bCs/>
          <w:color w:val="auto"/>
          <w:sz w:val="21"/>
          <w:szCs w:val="21"/>
          <w:highlight w:val="none"/>
        </w:rPr>
        <w:t>附：委托代理人身份证正反面复印件以及由县级以上（含县级）社会养老保险经办机构出具的投标人为委托代理人交纳的近三个月社保证明复印件（委托代理时必须提供）。</w:t>
      </w:r>
    </w:p>
    <w:p w14:paraId="38DA607B">
      <w:pPr>
        <w:spacing w:line="395"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授权委托书（格式二）</w:t>
      </w:r>
    </w:p>
    <w:p w14:paraId="6FE70BE3">
      <w:pPr>
        <w:pStyle w:val="36"/>
        <w:rPr>
          <w:rFonts w:ascii="宋体" w:hAnsi="宋体" w:cs="宋体"/>
          <w:b/>
          <w:bCs/>
          <w:color w:val="auto"/>
          <w:sz w:val="28"/>
          <w:szCs w:val="28"/>
          <w:highlight w:val="none"/>
        </w:rPr>
      </w:pPr>
    </w:p>
    <w:p w14:paraId="1FE6DCF9">
      <w:pPr>
        <w:pStyle w:val="2"/>
        <w:spacing w:before="228"/>
        <w:ind w:left="118"/>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color="000000"/>
        </w:rPr>
        <w:t>广西鼎策工程顾问有限责任公司</w:t>
      </w:r>
    </w:p>
    <w:p w14:paraId="3A329843">
      <w:pPr>
        <w:rPr>
          <w:rFonts w:ascii="宋体" w:hAnsi="宋体" w:cs="宋体"/>
          <w:color w:val="auto"/>
          <w:szCs w:val="21"/>
          <w:highlight w:val="none"/>
        </w:rPr>
      </w:pPr>
    </w:p>
    <w:p w14:paraId="67547096">
      <w:pPr>
        <w:spacing w:before="11"/>
        <w:rPr>
          <w:rFonts w:ascii="宋体" w:hAnsi="宋体" w:cs="宋体"/>
          <w:color w:val="auto"/>
          <w:szCs w:val="21"/>
          <w:highlight w:val="none"/>
        </w:rPr>
      </w:pPr>
    </w:p>
    <w:p w14:paraId="69F1F910">
      <w:pPr>
        <w:pStyle w:val="2"/>
        <w:tabs>
          <w:tab w:val="left" w:pos="2299"/>
          <w:tab w:val="left" w:pos="6644"/>
        </w:tabs>
        <w:spacing w:before="36"/>
        <w:ind w:left="538"/>
        <w:rPr>
          <w:rFonts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我</w:t>
      </w:r>
      <w:r>
        <w:rPr>
          <w:rFonts w:hint="eastAsia" w:ascii="宋体" w:hAnsi="宋体" w:eastAsia="宋体" w:cs="宋体"/>
          <w:color w:val="auto"/>
          <w:spacing w:val="3"/>
          <w:sz w:val="21"/>
          <w:szCs w:val="21"/>
          <w:highlight w:val="none"/>
          <w:u w:val="single" w:color="000000"/>
        </w:rPr>
        <w:tab/>
      </w:r>
      <w:r>
        <w:rPr>
          <w:rFonts w:hint="eastAsia" w:ascii="宋体" w:hAnsi="宋体" w:eastAsia="宋体" w:cs="宋体"/>
          <w:color w:val="auto"/>
          <w:spacing w:val="2"/>
          <w:sz w:val="21"/>
          <w:szCs w:val="21"/>
          <w:highlight w:val="none"/>
        </w:rPr>
        <w:t>（姓名）系自然人，现授权委托</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z w:val="21"/>
          <w:szCs w:val="21"/>
          <w:highlight w:val="none"/>
        </w:rPr>
        <w:t>（姓</w:t>
      </w:r>
      <w:r>
        <w:rPr>
          <w:rFonts w:hint="eastAsia" w:ascii="宋体" w:hAnsi="宋体" w:eastAsia="宋体" w:cs="宋体"/>
          <w:color w:val="auto"/>
          <w:spacing w:val="2"/>
          <w:sz w:val="21"/>
          <w:szCs w:val="21"/>
          <w:highlight w:val="none"/>
        </w:rPr>
        <w:t>名）以本人名义参加</w:t>
      </w:r>
    </w:p>
    <w:p w14:paraId="45206CF1">
      <w:pPr>
        <w:pStyle w:val="2"/>
        <w:spacing w:before="63" w:line="297" w:lineRule="auto"/>
        <w:ind w:left="118" w:right="117"/>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000000"/>
        </w:rPr>
        <w:t xml:space="preserve">（项目名称及项目编号） </w:t>
      </w:r>
      <w:r>
        <w:rPr>
          <w:rFonts w:hint="eastAsia" w:ascii="宋体" w:hAnsi="宋体" w:eastAsia="宋体" w:cs="宋体"/>
          <w:color w:val="auto"/>
          <w:spacing w:val="-3"/>
          <w:sz w:val="21"/>
          <w:szCs w:val="21"/>
          <w:highlight w:val="none"/>
        </w:rPr>
        <w:t>项目的投标活动，并代表本人全权办理针对上述项目的投标、开</w:t>
      </w:r>
      <w:r>
        <w:rPr>
          <w:rFonts w:hint="eastAsia" w:ascii="宋体" w:hAnsi="宋体" w:eastAsia="宋体" w:cs="宋体"/>
          <w:color w:val="auto"/>
          <w:sz w:val="21"/>
          <w:szCs w:val="21"/>
          <w:highlight w:val="none"/>
        </w:rPr>
        <w:t>标、评标、签约等具体事务和签署相关文件。</w:t>
      </w:r>
    </w:p>
    <w:p w14:paraId="04B56C9B">
      <w:pPr>
        <w:pStyle w:val="2"/>
        <w:spacing w:before="15" w:line="338" w:lineRule="auto"/>
        <w:ind w:left="538"/>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本人对被授权人的签字事项负全部责任。 </w:t>
      </w:r>
    </w:p>
    <w:p w14:paraId="0BBCE664">
      <w:pPr>
        <w:pStyle w:val="2"/>
        <w:spacing w:before="15" w:line="338" w:lineRule="auto"/>
        <w:ind w:left="538"/>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授权委托代理期限：自即日起至该项目政府采购活动结束。</w:t>
      </w:r>
    </w:p>
    <w:p w14:paraId="697C18B0">
      <w:pPr>
        <w:rPr>
          <w:rFonts w:ascii="宋体" w:hAnsi="宋体" w:cs="宋体"/>
          <w:color w:val="auto"/>
          <w:szCs w:val="21"/>
          <w:highlight w:val="none"/>
        </w:rPr>
      </w:pPr>
    </w:p>
    <w:p w14:paraId="5B429620">
      <w:pPr>
        <w:pStyle w:val="2"/>
        <w:spacing w:before="147" w:line="595" w:lineRule="auto"/>
        <w:ind w:left="538" w:right="3086"/>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代理人无转委托权，特此委托。</w:t>
      </w:r>
      <w:r>
        <w:rPr>
          <w:rFonts w:hint="eastAsia" w:ascii="宋体" w:hAnsi="宋体" w:eastAsia="宋体" w:cs="宋体"/>
          <w:color w:val="auto"/>
          <w:sz w:val="21"/>
          <w:szCs w:val="21"/>
          <w:highlight w:val="none"/>
        </w:rPr>
        <w:t xml:space="preserve"> 我已在下面签字，以资证明。</w:t>
      </w:r>
    </w:p>
    <w:p w14:paraId="03185735">
      <w:pPr>
        <w:pStyle w:val="2"/>
        <w:tabs>
          <w:tab w:val="left" w:pos="5734"/>
          <w:tab w:val="left" w:pos="5940"/>
          <w:tab w:val="left" w:pos="6160"/>
          <w:tab w:val="left" w:pos="6526"/>
          <w:tab w:val="left" w:pos="7261"/>
          <w:tab w:val="left" w:pos="8101"/>
          <w:tab w:val="left" w:pos="8836"/>
        </w:tabs>
        <w:spacing w:before="93"/>
        <w:ind w:left="538"/>
        <w:rPr>
          <w:rFonts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t>自然人签字或个人CA证书签章：</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ab/>
      </w:r>
    </w:p>
    <w:p w14:paraId="552F68BD">
      <w:pPr>
        <w:pStyle w:val="2"/>
        <w:tabs>
          <w:tab w:val="left" w:pos="5734"/>
          <w:tab w:val="left" w:pos="5940"/>
          <w:tab w:val="left" w:pos="6160"/>
          <w:tab w:val="left" w:pos="6526"/>
          <w:tab w:val="left" w:pos="7261"/>
          <w:tab w:val="left" w:pos="8101"/>
          <w:tab w:val="left" w:pos="8836"/>
        </w:tabs>
        <w:spacing w:before="93"/>
        <w:ind w:left="538"/>
        <w:rPr>
          <w:rFonts w:ascii="宋体" w:hAnsi="宋体" w:eastAsia="宋体" w:cs="宋体"/>
          <w:color w:val="auto"/>
          <w:spacing w:val="-2"/>
          <w:sz w:val="21"/>
          <w:szCs w:val="21"/>
          <w:highlight w:val="none"/>
        </w:rPr>
      </w:pPr>
    </w:p>
    <w:p w14:paraId="2CCD83E8">
      <w:pPr>
        <w:pStyle w:val="2"/>
        <w:tabs>
          <w:tab w:val="left" w:pos="5734"/>
          <w:tab w:val="left" w:pos="5940"/>
          <w:tab w:val="left" w:pos="6160"/>
          <w:tab w:val="left" w:pos="6526"/>
          <w:tab w:val="left" w:pos="7261"/>
          <w:tab w:val="left" w:pos="8101"/>
          <w:tab w:val="left" w:pos="8836"/>
        </w:tabs>
        <w:spacing w:before="93"/>
        <w:ind w:left="538"/>
        <w:rPr>
          <w:rFonts w:ascii="宋体" w:hAnsi="宋体" w:eastAsia="宋体" w:cs="宋体"/>
          <w:color w:val="auto"/>
          <w:spacing w:val="-2"/>
          <w:sz w:val="21"/>
          <w:szCs w:val="21"/>
          <w:highlight w:val="none"/>
        </w:rPr>
      </w:pPr>
    </w:p>
    <w:p w14:paraId="049F1036">
      <w:pPr>
        <w:ind w:firstLine="6090" w:firstLineChars="2900"/>
        <w:rPr>
          <w:rFonts w:ascii="宋体" w:hAnsi="宋体" w:cs="宋体"/>
          <w:color w:val="auto"/>
          <w:szCs w:val="21"/>
          <w:highlight w:val="none"/>
        </w:rPr>
      </w:pPr>
      <w:r>
        <w:rPr>
          <w:rFonts w:hint="eastAsia" w:ascii="宋体" w:hAnsi="宋体" w:cs="宋体"/>
          <w:color w:val="auto"/>
          <w:szCs w:val="21"/>
          <w:highlight w:val="none"/>
        </w:rPr>
        <w:t>年</w:t>
      </w:r>
      <w:r>
        <w:rPr>
          <w:rFonts w:hint="eastAsia" w:ascii="宋体" w:hAnsi="宋体" w:cs="宋体"/>
          <w:color w:val="auto"/>
          <w:szCs w:val="21"/>
          <w:highlight w:val="none"/>
        </w:rPr>
        <w:tab/>
      </w:r>
      <w:r>
        <w:rPr>
          <w:rFonts w:hint="eastAsia" w:ascii="宋体" w:hAnsi="宋体" w:cs="宋体"/>
          <w:color w:val="auto"/>
          <w:szCs w:val="21"/>
          <w:highlight w:val="none"/>
        </w:rPr>
        <w:t>月</w:t>
      </w:r>
      <w:r>
        <w:rPr>
          <w:rFonts w:hint="eastAsia" w:ascii="宋体" w:hAnsi="宋体" w:cs="宋体"/>
          <w:color w:val="auto"/>
          <w:szCs w:val="21"/>
          <w:highlight w:val="none"/>
        </w:rPr>
        <w:tab/>
      </w:r>
      <w:r>
        <w:rPr>
          <w:rFonts w:hint="eastAsia" w:ascii="宋体" w:hAnsi="宋体" w:cs="宋体"/>
          <w:color w:val="auto"/>
          <w:szCs w:val="21"/>
          <w:highlight w:val="none"/>
        </w:rPr>
        <w:t>日</w:t>
      </w:r>
    </w:p>
    <w:p w14:paraId="048A967D">
      <w:pPr>
        <w:spacing w:before="12"/>
        <w:rPr>
          <w:rFonts w:ascii="宋体" w:hAnsi="宋体" w:cs="宋体"/>
          <w:color w:val="auto"/>
          <w:szCs w:val="21"/>
          <w:highlight w:val="none"/>
        </w:rPr>
      </w:pPr>
    </w:p>
    <w:p w14:paraId="0FEE5809">
      <w:pPr>
        <w:pStyle w:val="5"/>
        <w:spacing w:line="400" w:lineRule="exact"/>
        <w:ind w:left="862" w:hanging="862"/>
        <w:rPr>
          <w:rFonts w:ascii="宋体" w:hAnsi="宋体" w:cs="宋体"/>
          <w:b/>
          <w:bCs/>
          <w:color w:val="auto"/>
          <w:sz w:val="21"/>
          <w:szCs w:val="21"/>
          <w:highlight w:val="none"/>
        </w:rPr>
      </w:pPr>
      <w:r>
        <w:rPr>
          <w:rFonts w:hint="eastAsia" w:ascii="宋体" w:hAnsi="宋体" w:cs="宋体"/>
          <w:b/>
          <w:bCs/>
          <w:color w:val="auto"/>
          <w:sz w:val="21"/>
          <w:szCs w:val="21"/>
          <w:highlight w:val="none"/>
        </w:rPr>
        <w:t>附：委托代理人身份证正反面复印件以及由县级以上（含县级）社会养老保险经办机构出具的投标人为委托代理人交纳的近三个月社保证明复印件（委托代理时必须提供）。</w:t>
      </w:r>
    </w:p>
    <w:p w14:paraId="7DE3EA26">
      <w:pPr>
        <w:rPr>
          <w:rFonts w:ascii="宋体" w:hAnsi="宋体" w:cs="宋体"/>
          <w:b/>
          <w:bCs/>
          <w:color w:val="auto"/>
          <w:sz w:val="24"/>
          <w:highlight w:val="none"/>
        </w:rPr>
      </w:pPr>
    </w:p>
    <w:p w14:paraId="4D2EED96">
      <w:pPr>
        <w:pStyle w:val="11"/>
        <w:spacing w:line="400" w:lineRule="exact"/>
        <w:ind w:firstLine="800" w:firstLineChars="250"/>
        <w:rPr>
          <w:rFonts w:hAnsi="宋体" w:cs="宋体"/>
          <w:b/>
          <w:color w:val="auto"/>
          <w:sz w:val="32"/>
          <w:szCs w:val="32"/>
          <w:highlight w:val="none"/>
        </w:rPr>
      </w:pPr>
    </w:p>
    <w:p w14:paraId="4C5E2A17">
      <w:pPr>
        <w:pStyle w:val="11"/>
        <w:spacing w:line="400" w:lineRule="exact"/>
        <w:ind w:firstLine="800" w:firstLineChars="250"/>
        <w:rPr>
          <w:rFonts w:hAnsi="宋体" w:cs="宋体"/>
          <w:b/>
          <w:color w:val="auto"/>
          <w:sz w:val="32"/>
          <w:szCs w:val="32"/>
          <w:highlight w:val="none"/>
        </w:rPr>
      </w:pPr>
    </w:p>
    <w:p w14:paraId="4554AEEE">
      <w:pPr>
        <w:pStyle w:val="11"/>
        <w:spacing w:line="400" w:lineRule="exact"/>
        <w:rPr>
          <w:rFonts w:hAnsi="宋体" w:cs="宋体"/>
          <w:b/>
          <w:color w:val="auto"/>
          <w:sz w:val="28"/>
          <w:szCs w:val="28"/>
          <w:highlight w:val="none"/>
        </w:rPr>
      </w:pPr>
    </w:p>
    <w:p w14:paraId="0D2F0CB6">
      <w:pPr>
        <w:pStyle w:val="11"/>
        <w:spacing w:line="400" w:lineRule="exact"/>
        <w:rPr>
          <w:rFonts w:hAnsi="宋体" w:cs="宋体"/>
          <w:b/>
          <w:color w:val="auto"/>
          <w:sz w:val="28"/>
          <w:szCs w:val="28"/>
          <w:highlight w:val="none"/>
        </w:rPr>
      </w:pPr>
    </w:p>
    <w:p w14:paraId="53693B52">
      <w:pPr>
        <w:pStyle w:val="11"/>
        <w:spacing w:line="400" w:lineRule="exact"/>
        <w:rPr>
          <w:rFonts w:hAnsi="宋体" w:cs="宋体"/>
          <w:b/>
          <w:color w:val="auto"/>
          <w:sz w:val="28"/>
          <w:szCs w:val="28"/>
          <w:highlight w:val="none"/>
        </w:rPr>
      </w:pPr>
    </w:p>
    <w:p w14:paraId="138A07C3">
      <w:pPr>
        <w:pStyle w:val="11"/>
        <w:spacing w:line="400" w:lineRule="exact"/>
        <w:ind w:left="420" w:leftChars="200"/>
        <w:rPr>
          <w:rFonts w:hAnsi="宋体" w:cs="宋体"/>
          <w:b/>
          <w:color w:val="auto"/>
          <w:sz w:val="28"/>
          <w:szCs w:val="28"/>
          <w:highlight w:val="none"/>
        </w:rPr>
      </w:pPr>
      <w:r>
        <w:rPr>
          <w:rFonts w:hint="eastAsia" w:hAnsi="宋体" w:cs="宋体"/>
          <w:b/>
          <w:color w:val="auto"/>
          <w:sz w:val="28"/>
          <w:szCs w:val="28"/>
          <w:highlight w:val="none"/>
        </w:rPr>
        <w:br w:type="page"/>
      </w:r>
      <w:r>
        <w:rPr>
          <w:rFonts w:hint="eastAsia" w:hAnsi="宋体" w:cs="宋体"/>
          <w:b/>
          <w:color w:val="auto"/>
          <w:sz w:val="24"/>
          <w:szCs w:val="24"/>
          <w:highlight w:val="none"/>
        </w:rPr>
        <w:t>3、投标人参加政府采购活动前3年内在经营活动中没有重大违法记录的书面声明（必须提供）</w:t>
      </w:r>
    </w:p>
    <w:p w14:paraId="2E82E82A">
      <w:pPr>
        <w:pStyle w:val="11"/>
        <w:spacing w:line="400" w:lineRule="exact"/>
        <w:ind w:left="420" w:leftChars="200" w:firstLine="156" w:firstLineChars="49"/>
        <w:rPr>
          <w:rFonts w:hAnsi="宋体" w:cs="宋体"/>
          <w:b/>
          <w:color w:val="auto"/>
          <w:sz w:val="32"/>
          <w:szCs w:val="32"/>
          <w:highlight w:val="none"/>
        </w:rPr>
      </w:pPr>
      <w:r>
        <w:rPr>
          <w:rFonts w:hint="eastAsia" w:hAnsi="宋体" w:cs="宋体"/>
          <w:b/>
          <w:color w:val="auto"/>
          <w:sz w:val="32"/>
          <w:szCs w:val="32"/>
          <w:highlight w:val="none"/>
        </w:rPr>
        <w:t xml:space="preserve">                       </w:t>
      </w:r>
    </w:p>
    <w:p w14:paraId="11F8AA21">
      <w:pPr>
        <w:pStyle w:val="11"/>
        <w:spacing w:line="400" w:lineRule="exact"/>
        <w:rPr>
          <w:rFonts w:hAnsi="宋体" w:cs="宋体"/>
          <w:b/>
          <w:color w:val="auto"/>
          <w:sz w:val="28"/>
          <w:szCs w:val="28"/>
          <w:highlight w:val="none"/>
        </w:rPr>
      </w:pPr>
      <w:r>
        <w:rPr>
          <w:rFonts w:hint="eastAsia" w:hAnsi="宋体" w:cs="宋体"/>
          <w:b/>
          <w:color w:val="auto"/>
          <w:sz w:val="28"/>
          <w:szCs w:val="28"/>
          <w:highlight w:val="none"/>
        </w:rPr>
        <w:t>附件：声明</w:t>
      </w:r>
    </w:p>
    <w:p w14:paraId="5F8A1553">
      <w:pPr>
        <w:pStyle w:val="11"/>
        <w:spacing w:line="400" w:lineRule="exact"/>
        <w:jc w:val="center"/>
        <w:rPr>
          <w:rFonts w:hAnsi="宋体" w:cs="宋体"/>
          <w:b/>
          <w:color w:val="auto"/>
          <w:sz w:val="32"/>
          <w:szCs w:val="32"/>
          <w:highlight w:val="none"/>
        </w:rPr>
      </w:pPr>
      <w:r>
        <w:rPr>
          <w:rFonts w:hint="eastAsia" w:hAnsi="宋体" w:cs="宋体"/>
          <w:b/>
          <w:color w:val="auto"/>
          <w:sz w:val="32"/>
          <w:szCs w:val="32"/>
          <w:highlight w:val="none"/>
        </w:rPr>
        <w:t>声   明</w:t>
      </w:r>
    </w:p>
    <w:p w14:paraId="49AD4E65">
      <w:pPr>
        <w:snapToGrid w:val="0"/>
        <w:spacing w:line="400" w:lineRule="exact"/>
        <w:outlineLvl w:val="4"/>
        <w:rPr>
          <w:rFonts w:ascii="宋体" w:hAnsi="宋体" w:cs="宋体"/>
          <w:color w:val="auto"/>
          <w:szCs w:val="21"/>
          <w:highlight w:val="none"/>
          <w:u w:val="single"/>
        </w:rPr>
      </w:pPr>
      <w:r>
        <w:rPr>
          <w:rFonts w:hint="eastAsia" w:ascii="宋体" w:hAnsi="宋体" w:cs="宋体"/>
          <w:b/>
          <w:color w:val="auto"/>
          <w:szCs w:val="21"/>
          <w:highlight w:val="none"/>
        </w:rPr>
        <w:t>致</w:t>
      </w:r>
      <w:r>
        <w:rPr>
          <w:rFonts w:hint="eastAsia" w:ascii="宋体" w:hAnsi="宋体" w:cs="宋体"/>
          <w:color w:val="auto"/>
          <w:szCs w:val="21"/>
          <w:highlight w:val="none"/>
        </w:rPr>
        <w:t>：</w:t>
      </w:r>
      <w:r>
        <w:rPr>
          <w:rFonts w:hint="eastAsia" w:ascii="宋体" w:hAnsi="宋体" w:cs="宋体"/>
          <w:color w:val="auto"/>
          <w:szCs w:val="21"/>
          <w:highlight w:val="none"/>
          <w:u w:val="single"/>
        </w:rPr>
        <w:t>广西鼎策工程顾问有限责任公司</w:t>
      </w:r>
    </w:p>
    <w:p w14:paraId="34E99859">
      <w:pPr>
        <w:snapToGrid w:val="0"/>
        <w:spacing w:line="400" w:lineRule="exact"/>
        <w:outlineLvl w:val="4"/>
        <w:rPr>
          <w:rFonts w:ascii="宋体" w:hAnsi="宋体" w:cs="宋体"/>
          <w:color w:val="auto"/>
          <w:szCs w:val="21"/>
          <w:highlight w:val="none"/>
          <w:u w:val="single"/>
        </w:rPr>
      </w:pPr>
    </w:p>
    <w:p w14:paraId="6970A2BD">
      <w:pPr>
        <w:snapToGrid w:val="0"/>
        <w:spacing w:line="400" w:lineRule="exact"/>
        <w:ind w:firstLine="630" w:firstLineChars="300"/>
        <w:outlineLvl w:val="4"/>
        <w:rPr>
          <w:rFonts w:ascii="宋体" w:hAnsi="宋体" w:cs="宋体"/>
          <w:color w:val="auto"/>
          <w:szCs w:val="21"/>
          <w:highlight w:val="none"/>
        </w:rPr>
      </w:pPr>
      <w:r>
        <w:rPr>
          <w:rFonts w:hint="eastAsia" w:hAnsi="宋体" w:cs="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失信主体、政府采购严重违法失信行为记录名单，完全符合《中华人民共和国政府采购法》第二十二条规定的供应商资格条件，我方对此声明负全部法律责任。</w:t>
      </w:r>
    </w:p>
    <w:p w14:paraId="440F465C">
      <w:pPr>
        <w:snapToGrid w:val="0"/>
        <w:spacing w:line="400" w:lineRule="exact"/>
        <w:ind w:firstLine="420"/>
        <w:outlineLvl w:val="4"/>
        <w:rPr>
          <w:rFonts w:ascii="宋体" w:hAnsi="宋体" w:cs="宋体"/>
          <w:color w:val="auto"/>
          <w:szCs w:val="21"/>
          <w:highlight w:val="none"/>
        </w:rPr>
      </w:pPr>
    </w:p>
    <w:p w14:paraId="7133C0A4">
      <w:pPr>
        <w:snapToGrid w:val="0"/>
        <w:spacing w:line="400" w:lineRule="exact"/>
        <w:ind w:firstLine="420"/>
        <w:outlineLvl w:val="4"/>
        <w:rPr>
          <w:rFonts w:ascii="宋体" w:hAnsi="宋体" w:cs="宋体"/>
          <w:color w:val="auto"/>
          <w:szCs w:val="21"/>
          <w:highlight w:val="none"/>
        </w:rPr>
      </w:pPr>
    </w:p>
    <w:p w14:paraId="5B8E4934">
      <w:pPr>
        <w:snapToGrid w:val="0"/>
        <w:spacing w:line="400" w:lineRule="exact"/>
        <w:ind w:firstLine="420"/>
        <w:outlineLvl w:val="4"/>
        <w:rPr>
          <w:rFonts w:ascii="宋体" w:hAnsi="宋体" w:cs="宋体"/>
          <w:color w:val="auto"/>
          <w:szCs w:val="21"/>
          <w:highlight w:val="none"/>
          <w:u w:val="single"/>
        </w:rPr>
      </w:pPr>
      <w:r>
        <w:rPr>
          <w:rFonts w:hint="eastAsia" w:ascii="宋体" w:hAnsi="宋体" w:cs="宋体"/>
          <w:color w:val="auto"/>
          <w:szCs w:val="21"/>
          <w:highlight w:val="none"/>
        </w:rPr>
        <w:t>投标人（CA证书签章）：</w:t>
      </w:r>
      <w:r>
        <w:rPr>
          <w:rFonts w:hint="eastAsia" w:ascii="宋体" w:hAnsi="宋体" w:cs="宋体"/>
          <w:color w:val="auto"/>
          <w:szCs w:val="21"/>
          <w:highlight w:val="none"/>
          <w:u w:val="single"/>
        </w:rPr>
        <w:t xml:space="preserve">                                         </w:t>
      </w:r>
    </w:p>
    <w:p w14:paraId="0108975B">
      <w:pPr>
        <w:snapToGrid w:val="0"/>
        <w:spacing w:line="400" w:lineRule="exact"/>
        <w:ind w:firstLine="420"/>
        <w:outlineLvl w:val="4"/>
        <w:rPr>
          <w:rFonts w:ascii="宋体" w:hAnsi="宋体" w:cs="宋体"/>
          <w:color w:val="auto"/>
          <w:szCs w:val="21"/>
          <w:highlight w:val="none"/>
        </w:rPr>
      </w:pPr>
    </w:p>
    <w:p w14:paraId="60B77D25">
      <w:pPr>
        <w:spacing w:line="34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法定代表人或授权委托代理人签名（或个人CA证书签章） ：</w:t>
      </w:r>
      <w:r>
        <w:rPr>
          <w:rFonts w:hint="eastAsia" w:ascii="宋体" w:hAnsi="宋体" w:cs="宋体"/>
          <w:color w:val="auto"/>
          <w:szCs w:val="21"/>
          <w:highlight w:val="none"/>
          <w:u w:val="single"/>
        </w:rPr>
        <w:t xml:space="preserve">                        </w:t>
      </w:r>
    </w:p>
    <w:p w14:paraId="04A6A753">
      <w:pPr>
        <w:spacing w:line="340" w:lineRule="exact"/>
        <w:ind w:firstLine="420" w:firstLineChars="200"/>
        <w:rPr>
          <w:rFonts w:ascii="宋体" w:hAnsi="宋体" w:cs="宋体"/>
          <w:color w:val="auto"/>
          <w:szCs w:val="21"/>
          <w:highlight w:val="none"/>
        </w:rPr>
      </w:pPr>
    </w:p>
    <w:p w14:paraId="3A9BFFA6">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31A7786">
      <w:pPr>
        <w:pStyle w:val="11"/>
        <w:spacing w:line="400" w:lineRule="exact"/>
        <w:rPr>
          <w:rFonts w:hAnsi="宋体" w:cs="宋体"/>
          <w:b/>
          <w:color w:val="auto"/>
          <w:sz w:val="21"/>
          <w:szCs w:val="21"/>
          <w:highlight w:val="none"/>
        </w:rPr>
      </w:pPr>
    </w:p>
    <w:p w14:paraId="1689A64A">
      <w:pPr>
        <w:pStyle w:val="11"/>
        <w:spacing w:line="400" w:lineRule="exact"/>
        <w:ind w:left="420" w:leftChars="200" w:firstLine="102" w:firstLineChars="49"/>
        <w:rPr>
          <w:rFonts w:hAnsi="宋体" w:cs="宋体"/>
          <w:b/>
          <w:color w:val="auto"/>
          <w:sz w:val="21"/>
          <w:szCs w:val="21"/>
          <w:highlight w:val="none"/>
        </w:rPr>
      </w:pPr>
    </w:p>
    <w:p w14:paraId="6BCEB1F9">
      <w:pPr>
        <w:pStyle w:val="11"/>
        <w:spacing w:line="420" w:lineRule="exact"/>
        <w:rPr>
          <w:rFonts w:hAnsi="宋体" w:cs="宋体"/>
          <w:b/>
          <w:color w:val="auto"/>
          <w:sz w:val="21"/>
          <w:szCs w:val="21"/>
          <w:highlight w:val="none"/>
        </w:rPr>
      </w:pPr>
    </w:p>
    <w:p w14:paraId="46DE85CB">
      <w:pPr>
        <w:pStyle w:val="11"/>
        <w:spacing w:line="420" w:lineRule="exact"/>
        <w:rPr>
          <w:rFonts w:hAnsi="宋体" w:cs="宋体"/>
          <w:b/>
          <w:color w:val="auto"/>
          <w:sz w:val="21"/>
          <w:szCs w:val="21"/>
          <w:highlight w:val="none"/>
        </w:rPr>
      </w:pPr>
    </w:p>
    <w:p w14:paraId="5DA1BBB5">
      <w:pPr>
        <w:pStyle w:val="11"/>
        <w:spacing w:line="420" w:lineRule="exact"/>
        <w:rPr>
          <w:rFonts w:hAnsi="宋体" w:cs="宋体"/>
          <w:b/>
          <w:color w:val="auto"/>
          <w:sz w:val="21"/>
          <w:szCs w:val="21"/>
          <w:highlight w:val="none"/>
        </w:rPr>
      </w:pPr>
    </w:p>
    <w:p w14:paraId="5438BC98">
      <w:pPr>
        <w:pStyle w:val="11"/>
        <w:spacing w:line="420" w:lineRule="exact"/>
        <w:rPr>
          <w:rFonts w:hAnsi="宋体" w:cs="宋体"/>
          <w:b/>
          <w:color w:val="auto"/>
          <w:sz w:val="21"/>
          <w:szCs w:val="21"/>
          <w:highlight w:val="none"/>
        </w:rPr>
      </w:pPr>
    </w:p>
    <w:p w14:paraId="5BEE5A20">
      <w:pPr>
        <w:pStyle w:val="11"/>
        <w:spacing w:line="420" w:lineRule="exact"/>
        <w:rPr>
          <w:rFonts w:hAnsi="宋体" w:cs="宋体"/>
          <w:b/>
          <w:color w:val="auto"/>
          <w:sz w:val="21"/>
          <w:szCs w:val="21"/>
          <w:highlight w:val="none"/>
        </w:rPr>
      </w:pPr>
    </w:p>
    <w:p w14:paraId="07B4CBA2">
      <w:pPr>
        <w:pStyle w:val="11"/>
        <w:spacing w:line="420" w:lineRule="exact"/>
        <w:rPr>
          <w:rFonts w:hAnsi="宋体" w:cs="宋体"/>
          <w:b/>
          <w:color w:val="auto"/>
          <w:sz w:val="21"/>
          <w:szCs w:val="21"/>
          <w:highlight w:val="none"/>
        </w:rPr>
      </w:pPr>
    </w:p>
    <w:p w14:paraId="67C77B26">
      <w:pPr>
        <w:pStyle w:val="11"/>
        <w:spacing w:line="420" w:lineRule="exact"/>
        <w:rPr>
          <w:rFonts w:hAnsi="宋体" w:cs="宋体"/>
          <w:b/>
          <w:color w:val="auto"/>
          <w:sz w:val="21"/>
          <w:szCs w:val="21"/>
          <w:highlight w:val="none"/>
        </w:rPr>
      </w:pPr>
    </w:p>
    <w:p w14:paraId="53332FF6">
      <w:pPr>
        <w:pStyle w:val="11"/>
        <w:spacing w:line="420" w:lineRule="exact"/>
        <w:rPr>
          <w:rFonts w:hAnsi="宋体" w:cs="宋体"/>
          <w:b/>
          <w:color w:val="auto"/>
          <w:sz w:val="21"/>
          <w:szCs w:val="21"/>
          <w:highlight w:val="none"/>
        </w:rPr>
      </w:pPr>
    </w:p>
    <w:p w14:paraId="7FADBD4F">
      <w:pPr>
        <w:pStyle w:val="11"/>
        <w:spacing w:line="420" w:lineRule="exact"/>
        <w:rPr>
          <w:rFonts w:hAnsi="宋体" w:cs="宋体"/>
          <w:b/>
          <w:color w:val="auto"/>
          <w:sz w:val="21"/>
          <w:szCs w:val="21"/>
          <w:highlight w:val="none"/>
        </w:rPr>
      </w:pPr>
    </w:p>
    <w:p w14:paraId="10A62AC1">
      <w:pPr>
        <w:pStyle w:val="11"/>
        <w:spacing w:line="420" w:lineRule="exact"/>
        <w:rPr>
          <w:rFonts w:hAnsi="宋体" w:cs="宋体"/>
          <w:b/>
          <w:color w:val="auto"/>
          <w:sz w:val="21"/>
          <w:szCs w:val="21"/>
          <w:highlight w:val="none"/>
        </w:rPr>
      </w:pPr>
    </w:p>
    <w:p w14:paraId="43A2D6B3">
      <w:pPr>
        <w:pStyle w:val="11"/>
        <w:spacing w:line="420" w:lineRule="exact"/>
        <w:rPr>
          <w:rFonts w:hAnsi="宋体" w:cs="宋体"/>
          <w:b/>
          <w:color w:val="auto"/>
          <w:sz w:val="21"/>
          <w:szCs w:val="21"/>
          <w:highlight w:val="none"/>
        </w:rPr>
      </w:pPr>
    </w:p>
    <w:p w14:paraId="16363F19">
      <w:pPr>
        <w:pStyle w:val="11"/>
        <w:spacing w:line="420" w:lineRule="exact"/>
        <w:rPr>
          <w:rFonts w:hAnsi="宋体" w:cs="宋体"/>
          <w:b/>
          <w:color w:val="auto"/>
          <w:sz w:val="21"/>
          <w:szCs w:val="21"/>
          <w:highlight w:val="none"/>
        </w:rPr>
      </w:pPr>
    </w:p>
    <w:p w14:paraId="6941529D">
      <w:pPr>
        <w:pStyle w:val="11"/>
        <w:spacing w:line="420" w:lineRule="exact"/>
        <w:rPr>
          <w:rFonts w:hAnsi="宋体" w:cs="宋体"/>
          <w:b/>
          <w:color w:val="auto"/>
          <w:sz w:val="21"/>
          <w:szCs w:val="21"/>
          <w:highlight w:val="none"/>
        </w:rPr>
      </w:pPr>
    </w:p>
    <w:p w14:paraId="1BE6C24A">
      <w:pPr>
        <w:pStyle w:val="11"/>
        <w:spacing w:line="420" w:lineRule="exact"/>
        <w:rPr>
          <w:rFonts w:hAnsi="宋体" w:cs="宋体"/>
          <w:b/>
          <w:color w:val="auto"/>
          <w:sz w:val="21"/>
          <w:szCs w:val="21"/>
          <w:highlight w:val="none"/>
        </w:rPr>
      </w:pPr>
    </w:p>
    <w:p w14:paraId="1119C1A5">
      <w:pPr>
        <w:pStyle w:val="11"/>
        <w:spacing w:line="420" w:lineRule="exact"/>
        <w:rPr>
          <w:rFonts w:hAnsi="宋体" w:cs="宋体"/>
          <w:b/>
          <w:color w:val="auto"/>
          <w:sz w:val="21"/>
          <w:szCs w:val="21"/>
          <w:highlight w:val="none"/>
        </w:rPr>
      </w:pPr>
    </w:p>
    <w:p w14:paraId="4E789786">
      <w:pPr>
        <w:pStyle w:val="11"/>
        <w:spacing w:line="420" w:lineRule="exact"/>
        <w:rPr>
          <w:rFonts w:hAnsi="宋体" w:cs="宋体"/>
          <w:b/>
          <w:color w:val="auto"/>
          <w:sz w:val="21"/>
          <w:szCs w:val="21"/>
          <w:highlight w:val="none"/>
        </w:rPr>
      </w:pPr>
      <w:r>
        <w:rPr>
          <w:rFonts w:hint="eastAsia" w:hAnsi="宋体" w:cs="宋体"/>
          <w:b/>
          <w:color w:val="auto"/>
          <w:sz w:val="21"/>
          <w:szCs w:val="21"/>
          <w:highlight w:val="none"/>
        </w:rPr>
        <w:t>4、投标人的法人或者其他组织营业执照等证明文件（必须提供，自然人除外）；</w:t>
      </w:r>
    </w:p>
    <w:p w14:paraId="7837E814">
      <w:pPr>
        <w:pStyle w:val="11"/>
        <w:spacing w:line="420" w:lineRule="exact"/>
        <w:ind w:left="420" w:leftChars="200" w:firstLine="42" w:firstLineChars="20"/>
        <w:rPr>
          <w:rFonts w:hAnsi="宋体" w:cs="宋体"/>
          <w:b/>
          <w:color w:val="auto"/>
          <w:sz w:val="21"/>
          <w:szCs w:val="21"/>
          <w:highlight w:val="none"/>
        </w:rPr>
      </w:pPr>
      <w:r>
        <w:rPr>
          <w:rFonts w:hint="eastAsia"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1CA79FCE">
      <w:pPr>
        <w:pStyle w:val="11"/>
        <w:spacing w:line="420" w:lineRule="exact"/>
        <w:ind w:left="420" w:leftChars="200" w:firstLine="42" w:firstLineChars="20"/>
        <w:rPr>
          <w:rFonts w:hAnsi="宋体" w:cs="宋体"/>
          <w:b/>
          <w:color w:val="auto"/>
          <w:sz w:val="21"/>
          <w:szCs w:val="21"/>
          <w:highlight w:val="none"/>
        </w:rPr>
      </w:pPr>
    </w:p>
    <w:p w14:paraId="5F104974">
      <w:pPr>
        <w:pStyle w:val="11"/>
        <w:spacing w:line="420" w:lineRule="exact"/>
        <w:ind w:left="420" w:leftChars="200" w:firstLine="42" w:firstLineChars="20"/>
        <w:rPr>
          <w:rFonts w:hAnsi="宋体" w:cs="宋体"/>
          <w:b/>
          <w:color w:val="auto"/>
          <w:sz w:val="21"/>
          <w:szCs w:val="21"/>
          <w:highlight w:val="none"/>
        </w:rPr>
      </w:pPr>
    </w:p>
    <w:p w14:paraId="1EE32564">
      <w:pPr>
        <w:pStyle w:val="4"/>
        <w:ind w:firstLine="210" w:firstLineChars="100"/>
        <w:rPr>
          <w:rFonts w:ascii="宋体" w:hAnsi="宋体" w:cs="宋体"/>
          <w:color w:val="auto"/>
          <w:sz w:val="21"/>
          <w:szCs w:val="21"/>
          <w:highlight w:val="none"/>
        </w:rPr>
      </w:pPr>
      <w:r>
        <w:rPr>
          <w:rFonts w:hint="eastAsia" w:ascii="宋体" w:hAnsi="宋体" w:cs="宋体"/>
          <w:color w:val="auto"/>
          <w:sz w:val="21"/>
          <w:szCs w:val="21"/>
          <w:highlight w:val="none"/>
        </w:rPr>
        <w:t>5</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投标人按要求提供医疗器械的有关证明材料扫描件。（必须提供）</w:t>
      </w:r>
    </w:p>
    <w:p w14:paraId="237A2EF2">
      <w:pPr>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br w:type="page"/>
      </w:r>
    </w:p>
    <w:p w14:paraId="309C0DBA">
      <w:pPr>
        <w:pStyle w:val="2"/>
        <w:numPr>
          <w:ilvl w:val="0"/>
          <w:numId w:val="0"/>
        </w:numPr>
        <w:spacing w:line="360" w:lineRule="auto"/>
        <w:ind w:firstLine="210" w:firstLineChars="100"/>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 xml:space="preserve">6、无串通投标行为的承诺函（必须提供） </w:t>
      </w:r>
    </w:p>
    <w:p w14:paraId="337C2255">
      <w:pPr>
        <w:spacing w:before="120" w:after="50"/>
        <w:ind w:left="420"/>
        <w:jc w:val="center"/>
        <w:outlineLvl w:val="9"/>
        <w:rPr>
          <w:rFonts w:hint="eastAsia" w:ascii="宋体" w:hAnsi="宋体" w:eastAsia="宋体" w:cs="宋体"/>
          <w:b/>
          <w:color w:val="auto"/>
          <w:sz w:val="22"/>
          <w:szCs w:val="22"/>
          <w:highlight w:val="none"/>
        </w:rPr>
      </w:pPr>
      <w:r>
        <w:rPr>
          <w:rFonts w:hint="eastAsia" w:ascii="宋体" w:hAnsi="宋体" w:eastAsia="宋体" w:cs="宋体"/>
          <w:b/>
          <w:color w:val="auto"/>
          <w:sz w:val="28"/>
          <w:szCs w:val="28"/>
          <w:highlight w:val="none"/>
        </w:rPr>
        <w:t>无串通投标行为的承诺函</w:t>
      </w:r>
    </w:p>
    <w:p w14:paraId="53E87D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1"/>
          <w:szCs w:val="21"/>
          <w:highlight w:val="none"/>
        </w:rPr>
      </w:pPr>
    </w:p>
    <w:p w14:paraId="596FD401">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color w:val="auto"/>
          <w:sz w:val="21"/>
          <w:szCs w:val="21"/>
          <w:highlight w:val="none"/>
        </w:rPr>
      </w:pPr>
      <w:r>
        <w:rPr>
          <w:rFonts w:hint="eastAsia"/>
          <w:color w:val="auto"/>
          <w:sz w:val="21"/>
          <w:szCs w:val="21"/>
          <w:highlight w:val="none"/>
        </w:rPr>
        <w:t>致:</w:t>
      </w:r>
      <w:r>
        <w:rPr>
          <w:rFonts w:hint="eastAsia"/>
          <w:color w:val="auto"/>
          <w:sz w:val="21"/>
          <w:szCs w:val="21"/>
          <w:highlight w:val="none"/>
          <w:u w:val="single"/>
          <w:lang w:val="en-US" w:eastAsia="zh-CN"/>
        </w:rPr>
        <w:t xml:space="preserve">          </w:t>
      </w:r>
      <w:r>
        <w:rPr>
          <w:rFonts w:hint="eastAsia"/>
          <w:color w:val="auto"/>
          <w:sz w:val="21"/>
          <w:szCs w:val="21"/>
          <w:highlight w:val="none"/>
        </w:rPr>
        <w:t>(采购人名称)</w:t>
      </w:r>
      <w:r>
        <w:rPr>
          <w:rFonts w:hint="eastAsia"/>
          <w:color w:val="auto"/>
          <w:sz w:val="21"/>
          <w:szCs w:val="21"/>
          <w:highlight w:val="none"/>
          <w:lang w:eastAsia="zh-CN"/>
        </w:rPr>
        <w:t>：</w:t>
      </w:r>
    </w:p>
    <w:p w14:paraId="7238F74D">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color w:val="auto"/>
          <w:sz w:val="21"/>
          <w:szCs w:val="21"/>
          <w:highlight w:val="none"/>
        </w:rPr>
      </w:pPr>
      <w:r>
        <w:rPr>
          <w:rFonts w:hint="eastAsia"/>
          <w:color w:val="auto"/>
          <w:sz w:val="21"/>
          <w:szCs w:val="21"/>
          <w:highlight w:val="none"/>
        </w:rPr>
        <w:t>我公司(投标人名称:</w:t>
      </w:r>
      <w:r>
        <w:rPr>
          <w:rFonts w:hint="eastAsia"/>
          <w:color w:val="auto"/>
          <w:sz w:val="21"/>
          <w:szCs w:val="21"/>
          <w:highlight w:val="none"/>
          <w:u w:val="single"/>
          <w:lang w:val="en-US" w:eastAsia="zh-CN"/>
        </w:rPr>
        <w:t xml:space="preserve">                </w:t>
      </w:r>
      <w:r>
        <w:rPr>
          <w:rFonts w:hint="eastAsia"/>
          <w:color w:val="auto"/>
          <w:sz w:val="21"/>
          <w:szCs w:val="21"/>
          <w:highlight w:val="none"/>
        </w:rPr>
        <w:t>)自觉遵守</w:t>
      </w:r>
      <w:r>
        <w:rPr>
          <w:rFonts w:hint="eastAsia"/>
          <w:color w:val="auto"/>
          <w:sz w:val="21"/>
          <w:szCs w:val="21"/>
          <w:highlight w:val="none"/>
          <w:lang w:eastAsia="zh-CN"/>
        </w:rPr>
        <w:t>《</w:t>
      </w:r>
      <w:r>
        <w:rPr>
          <w:rFonts w:hint="eastAsia"/>
          <w:color w:val="auto"/>
          <w:sz w:val="21"/>
          <w:szCs w:val="21"/>
          <w:highlight w:val="none"/>
        </w:rPr>
        <w:t>中华人民共和国政府采购法</w:t>
      </w:r>
      <w:r>
        <w:rPr>
          <w:rFonts w:hint="eastAsia"/>
          <w:color w:val="auto"/>
          <w:sz w:val="21"/>
          <w:szCs w:val="21"/>
          <w:highlight w:val="none"/>
          <w:lang w:eastAsia="zh-CN"/>
        </w:rPr>
        <w:t>》</w:t>
      </w:r>
      <w:r>
        <w:rPr>
          <w:rFonts w:hint="eastAsia"/>
          <w:color w:val="auto"/>
          <w:sz w:val="21"/>
          <w:szCs w:val="21"/>
          <w:highlight w:val="none"/>
        </w:rPr>
        <w:t>及其实施条例的有关规定，作为投标人参与项目(项目编号:</w:t>
      </w:r>
      <w:r>
        <w:rPr>
          <w:rFonts w:hint="eastAsia"/>
          <w:color w:val="auto"/>
          <w:sz w:val="21"/>
          <w:szCs w:val="21"/>
          <w:highlight w:val="none"/>
          <w:u w:val="single"/>
          <w:lang w:val="en-US" w:eastAsia="zh-CN"/>
        </w:rPr>
        <w:t xml:space="preserve">           </w:t>
      </w:r>
      <w:r>
        <w:rPr>
          <w:rFonts w:hint="eastAsia"/>
          <w:color w:val="auto"/>
          <w:sz w:val="21"/>
          <w:szCs w:val="21"/>
          <w:highlight w:val="none"/>
        </w:rPr>
        <w:t>)的投标。就本次投标，我公司郑重承诺如下:</w:t>
      </w:r>
    </w:p>
    <w:p w14:paraId="15FD6BDA">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(一)不组织、不参与任何串通投标的行为;</w:t>
      </w:r>
    </w:p>
    <w:p w14:paraId="72DBED4C">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(二)绝不以他人名义投标，不组织、不参与以其他弄虚作假的方式参加投标的行为;</w:t>
      </w:r>
    </w:p>
    <w:p w14:paraId="7BB17C9E">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(三)绝不出让或出租资格、资质证书参加投标，不组织、不参与类似违法违规行为;</w:t>
      </w:r>
    </w:p>
    <w:p w14:paraId="3AF21850">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(四)不同供应商的董事、监事、高管、单位负责人为同一人或者存在控股、管理关系的不同单位不参加同一包组招标项目投标;</w:t>
      </w:r>
    </w:p>
    <w:p w14:paraId="4A90ABBC">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(五)在参与公开招标活动中未有违法违纪行为并受过处罚;</w:t>
      </w:r>
    </w:p>
    <w:p w14:paraId="6E1D81F5">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(六)积极主动地协助、接受相关部门调查串通投标等违法违规行为。</w:t>
      </w:r>
    </w:p>
    <w:p w14:paraId="006D1AAE">
      <w:pPr>
        <w:spacing w:before="120" w:after="50" w:line="360" w:lineRule="exact"/>
        <w:ind w:firstLine="420" w:firstLineChars="200"/>
        <w:jc w:val="left"/>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我方承诺无下列相互串通投标的情形：</w:t>
      </w:r>
    </w:p>
    <w:p w14:paraId="3741525C">
      <w:pPr>
        <w:keepNext w:val="0"/>
        <w:keepLines w:val="0"/>
        <w:pageBreakBefore w:val="0"/>
        <w:widowControl w:val="0"/>
        <w:kinsoku/>
        <w:wordWrap/>
        <w:overflowPunct/>
        <w:topLinePunct w:val="0"/>
        <w:autoSpaceDE/>
        <w:autoSpaceDN/>
        <w:bidi w:val="0"/>
        <w:adjustRightInd/>
        <w:snapToGrid/>
        <w:spacing w:before="120" w:after="50" w:line="400" w:lineRule="atLeas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1.不同投标人的投标文件由同一单位或者个人编制；或者不同投标人</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MAC地址、IP地址、文件创建标识信息等硬件信息相同或关联</w:t>
      </w:r>
      <w:r>
        <w:rPr>
          <w:rFonts w:hint="eastAsia" w:ascii="宋体" w:hAnsi="宋体" w:cs="宋体"/>
          <w:color w:val="auto"/>
          <w:sz w:val="21"/>
          <w:szCs w:val="21"/>
          <w:highlight w:val="none"/>
          <w:lang w:eastAsia="zh-CN"/>
        </w:rPr>
        <w:t>。</w:t>
      </w:r>
    </w:p>
    <w:p w14:paraId="0985D6E7">
      <w:pPr>
        <w:spacing w:before="120" w:after="50" w:line="360" w:lineRule="exact"/>
        <w:ind w:firstLine="470"/>
        <w:jc w:val="left"/>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.不同投标人委托同一单位或者个人办理投标事宜；</w:t>
      </w:r>
    </w:p>
    <w:p w14:paraId="5A9F8871">
      <w:pPr>
        <w:spacing w:before="120" w:after="50" w:line="360" w:lineRule="exact"/>
        <w:ind w:firstLine="470"/>
        <w:jc w:val="left"/>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.不同的投标人的投标文件载明的项目管理员或者联系人员为同一个人；</w:t>
      </w:r>
    </w:p>
    <w:p w14:paraId="125113BE">
      <w:pPr>
        <w:spacing w:before="120" w:after="50" w:line="360" w:lineRule="exact"/>
        <w:ind w:firstLine="470"/>
        <w:jc w:val="left"/>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.不同投标人的投标文件异常一致或者投标报价呈规律性差异；</w:t>
      </w:r>
    </w:p>
    <w:p w14:paraId="69C26FE3">
      <w:pPr>
        <w:spacing w:before="120" w:after="50" w:line="360" w:lineRule="exact"/>
        <w:ind w:firstLine="470"/>
        <w:jc w:val="left"/>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.不同投标人的投标文件相互混装；</w:t>
      </w:r>
    </w:p>
    <w:p w14:paraId="23D04CE1">
      <w:pPr>
        <w:keepNext w:val="0"/>
        <w:keepLines w:val="0"/>
        <w:pageBreakBefore w:val="0"/>
        <w:widowControl w:val="0"/>
        <w:kinsoku/>
        <w:wordWrap/>
        <w:overflowPunct/>
        <w:topLinePunct w:val="0"/>
        <w:autoSpaceDE/>
        <w:autoSpaceDN/>
        <w:bidi w:val="0"/>
        <w:adjustRightInd/>
        <w:snapToGrid/>
        <w:spacing w:before="120" w:after="50" w:line="400" w:lineRule="atLeas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.不同投标人的投标保证金从同一单位或者个人账户转出。</w:t>
      </w:r>
    </w:p>
    <w:p w14:paraId="5F0EE2D8">
      <w:pPr>
        <w:keepNext w:val="0"/>
        <w:keepLines w:val="0"/>
        <w:pageBreakBefore w:val="0"/>
        <w:widowControl w:val="0"/>
        <w:kinsoku/>
        <w:wordWrap/>
        <w:overflowPunct/>
        <w:topLinePunct w:val="0"/>
        <w:autoSpaceDE/>
        <w:autoSpaceDN/>
        <w:bidi w:val="0"/>
        <w:adjustRightInd/>
        <w:snapToGrid/>
        <w:spacing w:before="120" w:after="50" w:line="400" w:lineRule="atLeas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对以上承诺内容的真实性和履约性负责，如有违诺，将自愿接受监管部门对此作出的行政处罚，并且无条件承担由此带来的一切后果和责任。如在评标过程中发现有上述行为，同意作无效标处理并没收投标保证金;若中标之后发现有上述行为的，同意取消中标资格，给采购人造成损失的，依法承担赔偿责任。</w:t>
      </w:r>
    </w:p>
    <w:p w14:paraId="640A7FA5">
      <w:pPr>
        <w:keepNext w:val="0"/>
        <w:keepLines w:val="0"/>
        <w:pageBreakBefore w:val="0"/>
        <w:widowControl w:val="0"/>
        <w:kinsoku/>
        <w:wordWrap/>
        <w:overflowPunct/>
        <w:topLinePunct w:val="0"/>
        <w:autoSpaceDE/>
        <w:autoSpaceDN/>
        <w:bidi w:val="0"/>
        <w:adjustRightInd/>
        <w:snapToGrid/>
        <w:spacing w:before="120" w:after="50" w:line="400" w:lineRule="atLeas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p>
    <w:p w14:paraId="64FC4390">
      <w:pPr>
        <w:pStyle w:val="11"/>
        <w:keepNext w:val="0"/>
        <w:keepLines w:val="0"/>
        <w:pageBreakBefore w:val="0"/>
        <w:widowControl w:val="0"/>
        <w:kinsoku/>
        <w:wordWrap/>
        <w:overflowPunct/>
        <w:topLinePunct w:val="0"/>
        <w:autoSpaceDE/>
        <w:autoSpaceDN/>
        <w:bidi w:val="0"/>
        <w:adjustRightInd/>
        <w:spacing w:line="240" w:lineRule="auto"/>
        <w:textAlignment w:val="auto"/>
        <w:rPr>
          <w:rFonts w:hAnsi="宋体" w:cs="宋体"/>
          <w:b/>
          <w:color w:val="auto"/>
          <w:sz w:val="21"/>
          <w:szCs w:val="21"/>
          <w:highlight w:val="none"/>
        </w:rPr>
      </w:pPr>
    </w:p>
    <w:p w14:paraId="10D451C2">
      <w:pPr>
        <w:keepNext w:val="0"/>
        <w:keepLines w:val="0"/>
        <w:pageBreakBefore w:val="0"/>
        <w:widowControl w:val="0"/>
        <w:kinsoku/>
        <w:wordWrap/>
        <w:overflowPunct/>
        <w:topLinePunct w:val="0"/>
        <w:autoSpaceDE/>
        <w:autoSpaceDN/>
        <w:bidi w:val="0"/>
        <w:adjustRightInd/>
        <w:snapToGrid w:val="0"/>
        <w:spacing w:line="240" w:lineRule="auto"/>
        <w:ind w:firstLine="1890" w:firstLineChars="900"/>
        <w:jc w:val="center"/>
        <w:textAlignment w:val="auto"/>
        <w:outlineLvl w:val="9"/>
        <w:rPr>
          <w:rFonts w:ascii="宋体" w:hAnsi="宋体" w:cs="宋体"/>
          <w:color w:val="auto"/>
          <w:highlight w:val="none"/>
        </w:rPr>
      </w:pPr>
      <w:r>
        <w:rPr>
          <w:rFonts w:hint="eastAsia" w:ascii="宋体" w:hAnsi="宋体" w:cs="宋体"/>
          <w:color w:val="auto"/>
          <w:szCs w:val="21"/>
          <w:highlight w:val="none"/>
        </w:rPr>
        <w:t>投标人[公章(CA签章)，自然人签字或个人CA签章]：</w:t>
      </w:r>
    </w:p>
    <w:p w14:paraId="6661ECE2">
      <w:pPr>
        <w:keepNext w:val="0"/>
        <w:keepLines w:val="0"/>
        <w:pageBreakBefore w:val="0"/>
        <w:widowControl w:val="0"/>
        <w:kinsoku/>
        <w:wordWrap/>
        <w:overflowPunct/>
        <w:topLinePunct w:val="0"/>
        <w:autoSpaceDE/>
        <w:autoSpaceDN/>
        <w:bidi w:val="0"/>
        <w:adjustRightInd/>
        <w:snapToGrid w:val="0"/>
        <w:spacing w:line="240" w:lineRule="auto"/>
        <w:ind w:firstLine="1890" w:firstLineChars="900"/>
        <w:jc w:val="center"/>
        <w:textAlignment w:val="auto"/>
        <w:outlineLvl w:val="9"/>
        <w:rPr>
          <w:rFonts w:hint="eastAsia" w:ascii="宋体" w:hAnsi="宋体" w:cs="宋体"/>
          <w:color w:val="auto"/>
          <w:highlight w:val="none"/>
        </w:rPr>
      </w:pPr>
    </w:p>
    <w:p w14:paraId="6516074A">
      <w:pPr>
        <w:keepNext w:val="0"/>
        <w:keepLines w:val="0"/>
        <w:pageBreakBefore w:val="0"/>
        <w:widowControl w:val="0"/>
        <w:kinsoku/>
        <w:wordWrap/>
        <w:overflowPunct/>
        <w:topLinePunct w:val="0"/>
        <w:autoSpaceDE/>
        <w:autoSpaceDN/>
        <w:bidi w:val="0"/>
        <w:adjustRightInd/>
        <w:snapToGrid w:val="0"/>
        <w:spacing w:line="240" w:lineRule="auto"/>
        <w:ind w:firstLine="1890" w:firstLineChars="900"/>
        <w:jc w:val="center"/>
        <w:textAlignment w:val="auto"/>
        <w:outlineLvl w:val="9"/>
        <w:rPr>
          <w:rFonts w:hint="eastAsia" w:ascii="宋体" w:hAnsi="宋体" w:cs="宋体"/>
          <w:b/>
          <w:bCs/>
          <w:color w:val="auto"/>
          <w:sz w:val="32"/>
          <w:szCs w:val="32"/>
          <w:highlight w:val="none"/>
        </w:rPr>
      </w:pPr>
      <w:r>
        <w:rPr>
          <w:rFonts w:hint="eastAsia" w:ascii="宋体" w:hAnsi="宋体" w:cs="宋体"/>
          <w:color w:val="auto"/>
          <w:highlight w:val="none"/>
        </w:rPr>
        <w:t>日          期：</w:t>
      </w:r>
    </w:p>
    <w:p w14:paraId="6463DD0C">
      <w:pPr>
        <w:rPr>
          <w:rFonts w:ascii="宋体" w:hAnsi="宋体" w:cs="宋体"/>
          <w:b/>
          <w:color w:val="auto"/>
          <w:szCs w:val="21"/>
          <w:highlight w:val="none"/>
        </w:rPr>
      </w:pPr>
    </w:p>
    <w:p w14:paraId="78CEAF8C">
      <w:pPr>
        <w:tabs>
          <w:tab w:val="left" w:pos="1305"/>
        </w:tabs>
        <w:spacing w:line="380" w:lineRule="exact"/>
        <w:ind w:firstLine="420"/>
        <w:rPr>
          <w:rFonts w:hint="eastAsia" w:ascii="宋体" w:hAnsi="宋体" w:cs="宋体"/>
          <w:color w:val="auto"/>
          <w:szCs w:val="21"/>
          <w:highlight w:val="none"/>
        </w:rPr>
      </w:pPr>
      <w:r>
        <w:rPr>
          <w:rFonts w:hint="eastAsia" w:ascii="宋体" w:hAnsi="宋体" w:cs="宋体"/>
          <w:b/>
          <w:bCs/>
          <w:color w:val="auto"/>
          <w:kern w:val="0"/>
          <w:szCs w:val="21"/>
          <w:highlight w:val="none"/>
          <w:lang w:val="en-US" w:eastAsia="zh-CN"/>
        </w:rPr>
        <w:t>7</w:t>
      </w:r>
      <w:r>
        <w:rPr>
          <w:rFonts w:hint="eastAsia" w:ascii="宋体" w:hAnsi="宋体" w:cs="宋体"/>
          <w:b/>
          <w:bCs/>
          <w:color w:val="auto"/>
          <w:kern w:val="0"/>
          <w:szCs w:val="21"/>
          <w:highlight w:val="none"/>
          <w:lang w:eastAsia="zh-CN"/>
        </w:rPr>
        <w:t>、</w:t>
      </w:r>
      <w:r>
        <w:rPr>
          <w:rFonts w:hint="eastAsia" w:ascii="宋体" w:hAnsi="宋体" w:cs="宋体"/>
          <w:b/>
          <w:bCs/>
          <w:color w:val="auto"/>
          <w:szCs w:val="21"/>
          <w:highlight w:val="none"/>
        </w:rPr>
        <w:t>供应商依法缴纳税收的相关材料（2025年任意1个月的依法缴纳税收的证明材料复印件；依法免税的供应商，必须提供符合免税条件的证明材料。从成立之日起到响应文件提交截止时间止不足要求月数的，只需提供从成立之日起的依法缴纳税收相应证明文件）（必须提供）</w:t>
      </w:r>
      <w:r>
        <w:rPr>
          <w:rFonts w:hint="eastAsia" w:ascii="宋体" w:hAnsi="宋体" w:cs="宋体"/>
          <w:color w:val="auto"/>
          <w:szCs w:val="21"/>
          <w:highlight w:val="none"/>
        </w:rPr>
        <w:t>；</w:t>
      </w:r>
    </w:p>
    <w:p w14:paraId="2C3176FC">
      <w:pPr>
        <w:tabs>
          <w:tab w:val="left" w:pos="1305"/>
        </w:tabs>
        <w:spacing w:line="380" w:lineRule="exact"/>
        <w:ind w:firstLine="420"/>
        <w:rPr>
          <w:rFonts w:hint="eastAsia" w:ascii="宋体" w:hAnsi="宋体" w:cs="宋体"/>
          <w:color w:val="auto"/>
          <w:szCs w:val="21"/>
          <w:highlight w:val="none"/>
        </w:rPr>
      </w:pPr>
    </w:p>
    <w:p w14:paraId="00AE7565">
      <w:pPr>
        <w:tabs>
          <w:tab w:val="left" w:pos="1305"/>
        </w:tabs>
        <w:spacing w:line="380" w:lineRule="exact"/>
        <w:ind w:firstLine="420"/>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供应商依法缴纳社会保障资金的相关材料【2025年任意1个月的依法缴纳社会保障资金的缴费证明材料（如：专用收据、社会保险缴纳清单或者社保部门的证明）复印件或依法缴纳社会保障资金的承诺函；依法不需要缴纳社会保障资金的供应商，必须提供相应文件证明不需要缴纳社会保障资金。从成立之日起到响应文件提交截止时间止不足要求月数的只需提供从成立之日起的依法缴纳社会保障资金的相应证明文件】（必须提供）</w:t>
      </w:r>
      <w:r>
        <w:rPr>
          <w:rFonts w:hint="eastAsia" w:ascii="宋体" w:hAnsi="宋体" w:cs="宋体"/>
          <w:color w:val="auto"/>
          <w:szCs w:val="21"/>
          <w:highlight w:val="none"/>
        </w:rPr>
        <w:t>；</w:t>
      </w:r>
    </w:p>
    <w:p w14:paraId="3FDA60FC">
      <w:pPr>
        <w:pStyle w:val="36"/>
        <w:spacing w:line="360" w:lineRule="auto"/>
        <w:ind w:firstLine="420" w:firstLineChars="200"/>
        <w:rPr>
          <w:rFonts w:hint="eastAsia" w:ascii="宋体" w:hAnsi="宋体" w:cs="宋体"/>
          <w:color w:val="auto"/>
          <w:szCs w:val="21"/>
          <w:highlight w:val="none"/>
        </w:rPr>
      </w:pPr>
    </w:p>
    <w:p w14:paraId="37C76D5A">
      <w:pPr>
        <w:pStyle w:val="36"/>
        <w:spacing w:line="360" w:lineRule="auto"/>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供应商财务状况报告【2023年度以来任意年度内的财务报表复印件，或者2025年以来银行出具的资信证明，或者中国人民银行征信中心出具的信用报告（企业参与投标的提供企业信用报告，自然人参与投标的提供个人信用报告，供应商属于成立时间在规定年度之后的法人或其他组织，需提供成立之日起至响应文件递交截止时间前的月报表或银行出具的资信证明或者中国人民银行征信中心出具的企业信用报告；资信证明应在有效期内】（必须提供）</w:t>
      </w:r>
      <w:r>
        <w:rPr>
          <w:rFonts w:hint="eastAsia" w:ascii="宋体" w:hAnsi="宋体" w:cs="宋体"/>
          <w:color w:val="auto"/>
          <w:szCs w:val="21"/>
          <w:highlight w:val="none"/>
        </w:rPr>
        <w:t>；</w:t>
      </w:r>
    </w:p>
    <w:p w14:paraId="67708E73">
      <w:pPr>
        <w:pStyle w:val="4"/>
        <w:rPr>
          <w:rFonts w:ascii="宋体" w:hAnsi="宋体" w:cs="宋体"/>
          <w:color w:val="auto"/>
          <w:sz w:val="21"/>
          <w:szCs w:val="21"/>
          <w:highlight w:val="none"/>
        </w:rPr>
      </w:pPr>
    </w:p>
    <w:p w14:paraId="34763780">
      <w:pPr>
        <w:pStyle w:val="11"/>
        <w:spacing w:line="420" w:lineRule="exact"/>
        <w:rPr>
          <w:rFonts w:hAnsi="宋体" w:cs="宋体"/>
          <w:b/>
          <w:color w:val="auto"/>
          <w:sz w:val="21"/>
          <w:szCs w:val="21"/>
          <w:highlight w:val="none"/>
        </w:rPr>
      </w:pPr>
    </w:p>
    <w:p w14:paraId="51D411D9">
      <w:pPr>
        <w:tabs>
          <w:tab w:val="left" w:pos="1305"/>
        </w:tabs>
        <w:spacing w:line="380" w:lineRule="exact"/>
        <w:ind w:firstLine="420" w:firstLineChars="200"/>
        <w:rPr>
          <w:rFonts w:ascii="宋体" w:hAnsi="宋体" w:cs="宋体"/>
          <w:b/>
          <w:color w:val="auto"/>
          <w:kern w:val="0"/>
          <w:szCs w:val="21"/>
          <w:highlight w:val="none"/>
        </w:rPr>
      </w:pPr>
    </w:p>
    <w:p w14:paraId="48C1BA83">
      <w:pPr>
        <w:rPr>
          <w:rFonts w:ascii="宋体" w:hAnsi="宋体" w:cs="宋体"/>
          <w:b/>
          <w:bCs/>
          <w:color w:val="auto"/>
          <w:sz w:val="30"/>
          <w:szCs w:val="30"/>
          <w:highlight w:val="none"/>
        </w:rPr>
      </w:pPr>
      <w:r>
        <w:rPr>
          <w:rFonts w:ascii="宋体" w:hAnsi="宋体" w:cs="宋体"/>
          <w:b/>
          <w:bCs/>
          <w:color w:val="auto"/>
          <w:sz w:val="30"/>
          <w:szCs w:val="30"/>
          <w:highlight w:val="none"/>
        </w:rPr>
        <w:br w:type="page"/>
      </w:r>
    </w:p>
    <w:p w14:paraId="15CFBC66">
      <w:pPr>
        <w:spacing w:line="360" w:lineRule="auto"/>
        <w:jc w:val="left"/>
        <w:rPr>
          <w:rFonts w:ascii="宋体" w:hAnsi="宋体" w:cs="宋体"/>
          <w:b/>
          <w:bCs/>
          <w:color w:val="auto"/>
          <w:sz w:val="30"/>
          <w:szCs w:val="30"/>
          <w:highlight w:val="none"/>
        </w:rPr>
      </w:pPr>
    </w:p>
    <w:p w14:paraId="4824E6C0">
      <w:pPr>
        <w:spacing w:line="360" w:lineRule="auto"/>
        <w:jc w:val="left"/>
        <w:rPr>
          <w:rFonts w:ascii="宋体" w:hAnsi="宋体" w:cs="宋体"/>
          <w:color w:val="auto"/>
          <w:sz w:val="30"/>
          <w:szCs w:val="30"/>
          <w:highlight w:val="none"/>
        </w:rPr>
      </w:pPr>
      <w:r>
        <w:rPr>
          <w:rFonts w:hint="eastAsia" w:ascii="宋体" w:hAnsi="宋体" w:cs="宋体"/>
          <w:b/>
          <w:bCs/>
          <w:color w:val="auto"/>
          <w:sz w:val="30"/>
          <w:szCs w:val="30"/>
          <w:highlight w:val="none"/>
        </w:rPr>
        <w:t>三、商务、技术性响应及其他有效证明材料（格式）</w:t>
      </w:r>
    </w:p>
    <w:p w14:paraId="5BE95259">
      <w:pPr>
        <w:spacing w:line="480" w:lineRule="auto"/>
        <w:rPr>
          <w:rFonts w:ascii="宋体" w:hAnsi="宋体" w:cs="宋体"/>
          <w:color w:val="auto"/>
          <w:sz w:val="24"/>
          <w:highlight w:val="none"/>
        </w:rPr>
      </w:pPr>
      <w:r>
        <w:rPr>
          <w:rFonts w:hint="eastAsia" w:ascii="宋体" w:hAnsi="宋体" w:cs="宋体"/>
          <w:b/>
          <w:bCs/>
          <w:color w:val="auto"/>
          <w:sz w:val="24"/>
          <w:highlight w:val="none"/>
        </w:rPr>
        <w:t>1.技术响应偏离表（必须提供）</w:t>
      </w:r>
    </w:p>
    <w:p w14:paraId="397B8332">
      <w:pPr>
        <w:pStyle w:val="11"/>
        <w:ind w:firstLine="470" w:firstLineChars="147"/>
        <w:jc w:val="center"/>
        <w:rPr>
          <w:rFonts w:hint="eastAsia"/>
          <w:b/>
          <w:bCs/>
          <w:color w:val="auto"/>
          <w:sz w:val="32"/>
          <w:highlight w:val="none"/>
        </w:rPr>
      </w:pPr>
      <w:r>
        <w:rPr>
          <w:rFonts w:hint="eastAsia"/>
          <w:b/>
          <w:bCs/>
          <w:color w:val="auto"/>
          <w:sz w:val="32"/>
          <w:highlight w:val="none"/>
        </w:rPr>
        <w:t>技术响应偏离表（格式）</w:t>
      </w:r>
    </w:p>
    <w:p w14:paraId="68B4F8E9">
      <w:pPr>
        <w:rPr>
          <w:rFonts w:hint="eastAsia" w:ascii="宋体" w:hAnsi="宋体" w:cs="宋体"/>
          <w:b/>
          <w:bCs/>
          <w:color w:val="auto"/>
          <w:sz w:val="28"/>
          <w:szCs w:val="28"/>
          <w:highlight w:val="none"/>
        </w:rPr>
      </w:pPr>
    </w:p>
    <w:tbl>
      <w:tblPr>
        <w:tblStyle w:val="22"/>
        <w:tblW w:w="5015" w:type="pct"/>
        <w:tblInd w:w="0" w:type="dxa"/>
        <w:tblLayout w:type="autofit"/>
        <w:tblCellMar>
          <w:top w:w="0" w:type="dxa"/>
          <w:left w:w="0" w:type="dxa"/>
          <w:bottom w:w="0" w:type="dxa"/>
          <w:right w:w="0" w:type="dxa"/>
        </w:tblCellMar>
      </w:tblPr>
      <w:tblGrid>
        <w:gridCol w:w="1640"/>
        <w:gridCol w:w="2266"/>
        <w:gridCol w:w="3832"/>
        <w:gridCol w:w="2495"/>
      </w:tblGrid>
      <w:tr w14:paraId="0F013236">
        <w:tblPrEx>
          <w:tblCellMar>
            <w:top w:w="0" w:type="dxa"/>
            <w:left w:w="0" w:type="dxa"/>
            <w:bottom w:w="0" w:type="dxa"/>
            <w:right w:w="0" w:type="dxa"/>
          </w:tblCellMar>
        </w:tblPrEx>
        <w:trPr>
          <w:trHeight w:val="874" w:hRule="exact"/>
        </w:trPr>
        <w:tc>
          <w:tcPr>
            <w:tcW w:w="801" w:type="pct"/>
            <w:tcBorders>
              <w:top w:val="single" w:color="000000" w:sz="4" w:space="0"/>
              <w:left w:val="single" w:color="000000" w:sz="4" w:space="0"/>
              <w:bottom w:val="single" w:color="000000" w:sz="4" w:space="0"/>
              <w:right w:val="single" w:color="000000" w:sz="4" w:space="0"/>
            </w:tcBorders>
            <w:vAlign w:val="center"/>
          </w:tcPr>
          <w:p w14:paraId="7399779E">
            <w:pPr>
              <w:snapToGrid w:val="0"/>
              <w:spacing w:line="400" w:lineRule="exact"/>
              <w:jc w:val="center"/>
              <w:outlineLvl w:val="4"/>
              <w:rPr>
                <w:rFonts w:hint="eastAsia" w:ascii="宋体" w:hAnsi="宋体" w:cs="宋体"/>
                <w:color w:val="auto"/>
                <w:szCs w:val="21"/>
                <w:highlight w:val="none"/>
              </w:rPr>
            </w:pPr>
            <w:r>
              <w:rPr>
                <w:rFonts w:hint="eastAsia" w:ascii="宋体" w:hAnsi="宋体"/>
                <w:b/>
                <w:color w:val="auto"/>
                <w:szCs w:val="21"/>
                <w:highlight w:val="none"/>
              </w:rPr>
              <w:t>项目</w:t>
            </w:r>
          </w:p>
        </w:tc>
        <w:tc>
          <w:tcPr>
            <w:tcW w:w="1107" w:type="pct"/>
            <w:tcBorders>
              <w:top w:val="single" w:color="000000" w:sz="4" w:space="0"/>
              <w:left w:val="single" w:color="000000" w:sz="4" w:space="0"/>
              <w:bottom w:val="single" w:color="000000" w:sz="4" w:space="0"/>
              <w:right w:val="single" w:color="000000" w:sz="4" w:space="0"/>
            </w:tcBorders>
            <w:vAlign w:val="center"/>
          </w:tcPr>
          <w:p w14:paraId="11286360">
            <w:pPr>
              <w:snapToGrid w:val="0"/>
              <w:spacing w:line="400" w:lineRule="exact"/>
              <w:jc w:val="center"/>
              <w:outlineLvl w:val="4"/>
              <w:rPr>
                <w:rFonts w:hint="eastAsia" w:ascii="宋体" w:hAnsi="宋体" w:cs="宋体"/>
                <w:color w:val="auto"/>
                <w:szCs w:val="21"/>
                <w:highlight w:val="none"/>
              </w:rPr>
            </w:pPr>
            <w:r>
              <w:rPr>
                <w:rFonts w:hint="eastAsia" w:ascii="宋体" w:hAnsi="宋体"/>
                <w:b/>
                <w:color w:val="auto"/>
                <w:szCs w:val="21"/>
                <w:highlight w:val="none"/>
              </w:rPr>
              <w:t>招标文件要求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4912AA6">
            <w:pPr>
              <w:snapToGrid w:val="0"/>
              <w:spacing w:line="400" w:lineRule="exact"/>
              <w:jc w:val="center"/>
              <w:outlineLvl w:val="4"/>
              <w:rPr>
                <w:rFonts w:hint="eastAsia" w:ascii="宋体" w:hAnsi="宋体" w:cs="宋体"/>
                <w:color w:val="auto"/>
                <w:szCs w:val="21"/>
                <w:highlight w:val="none"/>
              </w:rPr>
            </w:pPr>
            <w:r>
              <w:rPr>
                <w:rFonts w:hint="eastAsia" w:ascii="宋体" w:hAnsi="宋体"/>
                <w:b/>
                <w:color w:val="auto"/>
                <w:szCs w:val="21"/>
                <w:highlight w:val="none"/>
              </w:rPr>
              <w:t>投标响应情况</w:t>
            </w:r>
            <w:r>
              <w:rPr>
                <w:rFonts w:hint="eastAsia" w:ascii="宋体" w:hAnsi="宋体" w:cs="Times New Roman"/>
                <w:b/>
                <w:color w:val="auto"/>
                <w:szCs w:val="21"/>
                <w:highlight w:val="none"/>
              </w:rPr>
              <w:t>（对</w:t>
            </w:r>
            <w:r>
              <w:rPr>
                <w:rFonts w:hint="eastAsia" w:ascii="宋体" w:hAnsi="宋体" w:cs="Times New Roman"/>
                <w:b/>
                <w:color w:val="auto"/>
                <w:szCs w:val="21"/>
                <w:highlight w:val="none"/>
                <w:lang w:val="en-US" w:eastAsia="zh-CN"/>
              </w:rPr>
              <w:t>技术</w:t>
            </w:r>
            <w:r>
              <w:rPr>
                <w:rFonts w:hint="eastAsia" w:ascii="宋体" w:hAnsi="宋体" w:cs="Times New Roman"/>
                <w:b/>
                <w:color w:val="auto"/>
                <w:szCs w:val="21"/>
                <w:highlight w:val="none"/>
              </w:rPr>
              <w:t>要求的承诺）</w:t>
            </w:r>
          </w:p>
        </w:tc>
        <w:tc>
          <w:tcPr>
            <w:tcW w:w="1219" w:type="pct"/>
            <w:tcBorders>
              <w:top w:val="single" w:color="000000" w:sz="4" w:space="0"/>
              <w:left w:val="single" w:color="000000" w:sz="4" w:space="0"/>
              <w:bottom w:val="single" w:color="000000" w:sz="4" w:space="0"/>
              <w:right w:val="single" w:color="000000" w:sz="4" w:space="0"/>
            </w:tcBorders>
            <w:vAlign w:val="center"/>
          </w:tcPr>
          <w:p w14:paraId="40957B54">
            <w:pPr>
              <w:snapToGrid w:val="0"/>
              <w:spacing w:line="400" w:lineRule="exact"/>
              <w:jc w:val="center"/>
              <w:outlineLvl w:val="4"/>
              <w:rPr>
                <w:rFonts w:hint="eastAsia" w:ascii="宋体" w:hAnsi="宋体" w:cs="宋体"/>
                <w:color w:val="auto"/>
                <w:szCs w:val="21"/>
                <w:highlight w:val="none"/>
              </w:rPr>
            </w:pPr>
            <w:r>
              <w:rPr>
                <w:rFonts w:hint="eastAsia" w:ascii="宋体" w:hAnsi="宋体"/>
                <w:b/>
                <w:color w:val="auto"/>
                <w:szCs w:val="21"/>
                <w:highlight w:val="none"/>
              </w:rPr>
              <w:t>偏离情况说明</w:t>
            </w:r>
          </w:p>
        </w:tc>
      </w:tr>
      <w:tr w14:paraId="076DC759">
        <w:tblPrEx>
          <w:tblCellMar>
            <w:top w:w="0" w:type="dxa"/>
            <w:left w:w="0" w:type="dxa"/>
            <w:bottom w:w="0" w:type="dxa"/>
            <w:right w:w="0" w:type="dxa"/>
          </w:tblCellMar>
        </w:tblPrEx>
        <w:trPr>
          <w:trHeight w:val="382" w:hRule="exact"/>
        </w:trPr>
        <w:tc>
          <w:tcPr>
            <w:tcW w:w="801" w:type="pct"/>
            <w:tcBorders>
              <w:top w:val="single" w:color="000000" w:sz="4" w:space="0"/>
              <w:left w:val="single" w:color="000000" w:sz="4" w:space="0"/>
              <w:bottom w:val="single" w:color="000000" w:sz="4" w:space="0"/>
              <w:right w:val="single" w:color="000000" w:sz="4" w:space="0"/>
            </w:tcBorders>
            <w:vAlign w:val="center"/>
          </w:tcPr>
          <w:p w14:paraId="4C600EEB">
            <w:pPr>
              <w:pStyle w:val="11"/>
              <w:spacing w:line="360" w:lineRule="exact"/>
              <w:jc w:val="center"/>
              <w:rPr>
                <w:rFonts w:hint="eastAsia" w:hAnsi="宋体"/>
                <w:b/>
                <w:color w:val="auto"/>
                <w:szCs w:val="21"/>
                <w:highlight w:val="none"/>
              </w:rPr>
            </w:pPr>
            <w:r>
              <w:rPr>
                <w:rFonts w:hint="eastAsia" w:hAnsi="宋体" w:cs="宋体"/>
                <w:color w:val="auto"/>
                <w:szCs w:val="24"/>
                <w:highlight w:val="none"/>
              </w:rPr>
              <w:t>1</w:t>
            </w:r>
          </w:p>
        </w:tc>
        <w:tc>
          <w:tcPr>
            <w:tcW w:w="1107" w:type="pct"/>
            <w:tcBorders>
              <w:top w:val="single" w:color="000000" w:sz="4" w:space="0"/>
              <w:left w:val="single" w:color="000000" w:sz="4" w:space="0"/>
              <w:bottom w:val="single" w:color="000000" w:sz="4" w:space="0"/>
              <w:right w:val="single" w:color="000000" w:sz="4" w:space="0"/>
            </w:tcBorders>
          </w:tcPr>
          <w:p w14:paraId="4BE7FF6F">
            <w:pPr>
              <w:rPr>
                <w:rFonts w:hint="eastAsia" w:ascii="宋体" w:hAnsi="宋体" w:cs="宋体"/>
                <w:color w:val="auto"/>
                <w:highlight w:val="none"/>
              </w:rPr>
            </w:pPr>
          </w:p>
        </w:tc>
        <w:tc>
          <w:tcPr>
            <w:tcW w:w="1872" w:type="pct"/>
            <w:tcBorders>
              <w:top w:val="single" w:color="000000" w:sz="4" w:space="0"/>
              <w:left w:val="single" w:color="000000" w:sz="4" w:space="0"/>
              <w:bottom w:val="single" w:color="000000" w:sz="4" w:space="0"/>
              <w:right w:val="single" w:color="000000" w:sz="4" w:space="0"/>
            </w:tcBorders>
          </w:tcPr>
          <w:p w14:paraId="319F66BF">
            <w:pPr>
              <w:rPr>
                <w:rFonts w:hint="eastAsia" w:ascii="宋体" w:hAnsi="宋体" w:cs="宋体"/>
                <w:color w:val="auto"/>
                <w:highlight w:val="none"/>
              </w:rPr>
            </w:pPr>
          </w:p>
        </w:tc>
        <w:tc>
          <w:tcPr>
            <w:tcW w:w="1219" w:type="pct"/>
            <w:tcBorders>
              <w:top w:val="single" w:color="000000" w:sz="4" w:space="0"/>
              <w:left w:val="single" w:color="000000" w:sz="4" w:space="0"/>
              <w:bottom w:val="single" w:color="000000" w:sz="4" w:space="0"/>
              <w:right w:val="single" w:color="000000" w:sz="4" w:space="0"/>
            </w:tcBorders>
          </w:tcPr>
          <w:p w14:paraId="44961D49">
            <w:pPr>
              <w:rPr>
                <w:rFonts w:hint="eastAsia" w:ascii="宋体" w:hAnsi="宋体" w:cs="宋体"/>
                <w:color w:val="auto"/>
                <w:highlight w:val="none"/>
              </w:rPr>
            </w:pPr>
          </w:p>
        </w:tc>
      </w:tr>
      <w:tr w14:paraId="46D8A12B">
        <w:tblPrEx>
          <w:tblCellMar>
            <w:top w:w="0" w:type="dxa"/>
            <w:left w:w="0" w:type="dxa"/>
            <w:bottom w:w="0" w:type="dxa"/>
            <w:right w:w="0" w:type="dxa"/>
          </w:tblCellMar>
        </w:tblPrEx>
        <w:trPr>
          <w:trHeight w:val="417" w:hRule="exact"/>
        </w:trPr>
        <w:tc>
          <w:tcPr>
            <w:tcW w:w="801" w:type="pct"/>
            <w:tcBorders>
              <w:top w:val="single" w:color="000000" w:sz="4" w:space="0"/>
              <w:left w:val="single" w:color="000000" w:sz="4" w:space="0"/>
              <w:bottom w:val="single" w:color="000000" w:sz="4" w:space="0"/>
              <w:right w:val="single" w:color="000000" w:sz="4" w:space="0"/>
            </w:tcBorders>
            <w:vAlign w:val="center"/>
          </w:tcPr>
          <w:p w14:paraId="0FCBAA74">
            <w:pPr>
              <w:pStyle w:val="11"/>
              <w:spacing w:line="360" w:lineRule="exact"/>
              <w:jc w:val="center"/>
              <w:rPr>
                <w:rFonts w:hint="eastAsia" w:hAnsi="宋体" w:cs="宋体"/>
                <w:color w:val="auto"/>
                <w:highlight w:val="none"/>
              </w:rPr>
            </w:pPr>
            <w:r>
              <w:rPr>
                <w:rFonts w:hint="eastAsia" w:hAnsi="宋体" w:cs="宋体"/>
                <w:color w:val="auto"/>
                <w:szCs w:val="24"/>
                <w:highlight w:val="none"/>
              </w:rPr>
              <w:t>2</w:t>
            </w:r>
          </w:p>
        </w:tc>
        <w:tc>
          <w:tcPr>
            <w:tcW w:w="1107" w:type="pct"/>
            <w:tcBorders>
              <w:top w:val="single" w:color="000000" w:sz="4" w:space="0"/>
              <w:left w:val="single" w:color="000000" w:sz="4" w:space="0"/>
              <w:bottom w:val="single" w:color="000000" w:sz="4" w:space="0"/>
              <w:right w:val="single" w:color="000000" w:sz="4" w:space="0"/>
            </w:tcBorders>
          </w:tcPr>
          <w:p w14:paraId="7FA852FA">
            <w:pPr>
              <w:rPr>
                <w:rFonts w:hint="eastAsia" w:ascii="宋体" w:hAnsi="宋体" w:cs="宋体"/>
                <w:color w:val="auto"/>
                <w:highlight w:val="none"/>
              </w:rPr>
            </w:pPr>
          </w:p>
        </w:tc>
        <w:tc>
          <w:tcPr>
            <w:tcW w:w="1872" w:type="pct"/>
            <w:tcBorders>
              <w:top w:val="single" w:color="000000" w:sz="4" w:space="0"/>
              <w:left w:val="single" w:color="000000" w:sz="4" w:space="0"/>
              <w:bottom w:val="single" w:color="000000" w:sz="4" w:space="0"/>
              <w:right w:val="single" w:color="000000" w:sz="4" w:space="0"/>
            </w:tcBorders>
          </w:tcPr>
          <w:p w14:paraId="53186C0A">
            <w:pPr>
              <w:rPr>
                <w:rFonts w:hint="eastAsia" w:ascii="宋体" w:hAnsi="宋体" w:cs="宋体"/>
                <w:color w:val="auto"/>
                <w:highlight w:val="none"/>
              </w:rPr>
            </w:pPr>
          </w:p>
        </w:tc>
        <w:tc>
          <w:tcPr>
            <w:tcW w:w="1219" w:type="pct"/>
            <w:tcBorders>
              <w:top w:val="single" w:color="000000" w:sz="4" w:space="0"/>
              <w:left w:val="single" w:color="000000" w:sz="4" w:space="0"/>
              <w:bottom w:val="single" w:color="000000" w:sz="4" w:space="0"/>
              <w:right w:val="single" w:color="000000" w:sz="4" w:space="0"/>
            </w:tcBorders>
          </w:tcPr>
          <w:p w14:paraId="61422BE1">
            <w:pPr>
              <w:rPr>
                <w:rFonts w:hint="eastAsia" w:ascii="宋体" w:hAnsi="宋体" w:cs="宋体"/>
                <w:color w:val="auto"/>
                <w:highlight w:val="none"/>
              </w:rPr>
            </w:pPr>
          </w:p>
        </w:tc>
      </w:tr>
      <w:tr w14:paraId="57CDFF33">
        <w:tblPrEx>
          <w:tblCellMar>
            <w:top w:w="0" w:type="dxa"/>
            <w:left w:w="0" w:type="dxa"/>
            <w:bottom w:w="0" w:type="dxa"/>
            <w:right w:w="0" w:type="dxa"/>
          </w:tblCellMar>
        </w:tblPrEx>
        <w:trPr>
          <w:trHeight w:val="417" w:hRule="exact"/>
        </w:trPr>
        <w:tc>
          <w:tcPr>
            <w:tcW w:w="801" w:type="pct"/>
            <w:tcBorders>
              <w:top w:val="single" w:color="000000" w:sz="4" w:space="0"/>
              <w:left w:val="single" w:color="000000" w:sz="4" w:space="0"/>
              <w:bottom w:val="single" w:color="000000" w:sz="4" w:space="0"/>
              <w:right w:val="single" w:color="000000" w:sz="4" w:space="0"/>
            </w:tcBorders>
            <w:vAlign w:val="center"/>
          </w:tcPr>
          <w:p w14:paraId="25B13989">
            <w:pPr>
              <w:pStyle w:val="11"/>
              <w:spacing w:line="360" w:lineRule="exact"/>
              <w:jc w:val="center"/>
              <w:rPr>
                <w:rFonts w:hint="eastAsia" w:hAnsi="宋体" w:cs="宋体"/>
                <w:color w:val="auto"/>
                <w:highlight w:val="none"/>
              </w:rPr>
            </w:pPr>
            <w:r>
              <w:rPr>
                <w:rFonts w:hint="eastAsia" w:hAnsi="宋体" w:cs="宋体"/>
                <w:color w:val="auto"/>
                <w:szCs w:val="24"/>
                <w:highlight w:val="none"/>
              </w:rPr>
              <w:t>3</w:t>
            </w:r>
          </w:p>
        </w:tc>
        <w:tc>
          <w:tcPr>
            <w:tcW w:w="1107" w:type="pct"/>
            <w:tcBorders>
              <w:top w:val="single" w:color="000000" w:sz="4" w:space="0"/>
              <w:left w:val="single" w:color="000000" w:sz="4" w:space="0"/>
              <w:bottom w:val="single" w:color="000000" w:sz="4" w:space="0"/>
              <w:right w:val="single" w:color="000000" w:sz="4" w:space="0"/>
            </w:tcBorders>
          </w:tcPr>
          <w:p w14:paraId="2928D93B">
            <w:pPr>
              <w:rPr>
                <w:rFonts w:hint="eastAsia" w:ascii="宋体" w:hAnsi="宋体" w:cs="宋体"/>
                <w:color w:val="auto"/>
                <w:highlight w:val="none"/>
              </w:rPr>
            </w:pPr>
          </w:p>
        </w:tc>
        <w:tc>
          <w:tcPr>
            <w:tcW w:w="1872" w:type="pct"/>
            <w:tcBorders>
              <w:top w:val="single" w:color="000000" w:sz="4" w:space="0"/>
              <w:left w:val="single" w:color="000000" w:sz="4" w:space="0"/>
              <w:bottom w:val="single" w:color="000000" w:sz="4" w:space="0"/>
              <w:right w:val="single" w:color="000000" w:sz="4" w:space="0"/>
            </w:tcBorders>
          </w:tcPr>
          <w:p w14:paraId="57C082B2">
            <w:pPr>
              <w:rPr>
                <w:rFonts w:hint="eastAsia" w:ascii="宋体" w:hAnsi="宋体" w:cs="宋体"/>
                <w:color w:val="auto"/>
                <w:highlight w:val="none"/>
              </w:rPr>
            </w:pPr>
          </w:p>
        </w:tc>
        <w:tc>
          <w:tcPr>
            <w:tcW w:w="1219" w:type="pct"/>
            <w:tcBorders>
              <w:top w:val="single" w:color="000000" w:sz="4" w:space="0"/>
              <w:left w:val="single" w:color="000000" w:sz="4" w:space="0"/>
              <w:bottom w:val="single" w:color="000000" w:sz="4" w:space="0"/>
              <w:right w:val="single" w:color="000000" w:sz="4" w:space="0"/>
            </w:tcBorders>
          </w:tcPr>
          <w:p w14:paraId="3B86E990">
            <w:pPr>
              <w:rPr>
                <w:rFonts w:hint="eastAsia" w:ascii="宋体" w:hAnsi="宋体" w:cs="宋体"/>
                <w:color w:val="auto"/>
                <w:highlight w:val="none"/>
              </w:rPr>
            </w:pPr>
          </w:p>
        </w:tc>
      </w:tr>
      <w:tr w14:paraId="1316A62A">
        <w:tblPrEx>
          <w:tblCellMar>
            <w:top w:w="0" w:type="dxa"/>
            <w:left w:w="0" w:type="dxa"/>
            <w:bottom w:w="0" w:type="dxa"/>
            <w:right w:w="0" w:type="dxa"/>
          </w:tblCellMar>
        </w:tblPrEx>
        <w:trPr>
          <w:trHeight w:val="428" w:hRule="exact"/>
        </w:trPr>
        <w:tc>
          <w:tcPr>
            <w:tcW w:w="801" w:type="pct"/>
            <w:tcBorders>
              <w:top w:val="single" w:color="000000" w:sz="4" w:space="0"/>
              <w:left w:val="single" w:color="000000" w:sz="4" w:space="0"/>
              <w:bottom w:val="single" w:color="000000" w:sz="4" w:space="0"/>
              <w:right w:val="single" w:color="000000" w:sz="4" w:space="0"/>
            </w:tcBorders>
          </w:tcPr>
          <w:p w14:paraId="122D79BE">
            <w:pPr>
              <w:pStyle w:val="11"/>
              <w:spacing w:line="360" w:lineRule="exact"/>
              <w:jc w:val="center"/>
              <w:rPr>
                <w:rFonts w:hint="eastAsia" w:hAnsi="宋体" w:cs="宋体"/>
                <w:color w:val="auto"/>
                <w:highlight w:val="none"/>
              </w:rPr>
            </w:pPr>
            <w:r>
              <w:rPr>
                <w:rFonts w:hint="eastAsia" w:hAnsi="宋体" w:cs="宋体"/>
                <w:color w:val="auto"/>
                <w:szCs w:val="24"/>
                <w:highlight w:val="none"/>
              </w:rPr>
              <w:t>…</w:t>
            </w:r>
          </w:p>
        </w:tc>
        <w:tc>
          <w:tcPr>
            <w:tcW w:w="1107" w:type="pct"/>
            <w:tcBorders>
              <w:top w:val="single" w:color="000000" w:sz="4" w:space="0"/>
              <w:left w:val="single" w:color="000000" w:sz="4" w:space="0"/>
              <w:bottom w:val="single" w:color="000000" w:sz="4" w:space="0"/>
              <w:right w:val="single" w:color="000000" w:sz="4" w:space="0"/>
            </w:tcBorders>
          </w:tcPr>
          <w:p w14:paraId="49F08DDE">
            <w:pPr>
              <w:rPr>
                <w:rFonts w:hint="eastAsia" w:ascii="宋体" w:hAnsi="宋体" w:cs="宋体"/>
                <w:color w:val="auto"/>
                <w:highlight w:val="none"/>
              </w:rPr>
            </w:pPr>
          </w:p>
        </w:tc>
        <w:tc>
          <w:tcPr>
            <w:tcW w:w="1872" w:type="pct"/>
            <w:tcBorders>
              <w:top w:val="single" w:color="000000" w:sz="4" w:space="0"/>
              <w:left w:val="single" w:color="000000" w:sz="4" w:space="0"/>
              <w:bottom w:val="single" w:color="000000" w:sz="4" w:space="0"/>
              <w:right w:val="single" w:color="000000" w:sz="4" w:space="0"/>
            </w:tcBorders>
          </w:tcPr>
          <w:p w14:paraId="57F54437">
            <w:pPr>
              <w:rPr>
                <w:rFonts w:hint="eastAsia" w:ascii="宋体" w:hAnsi="宋体" w:cs="宋体"/>
                <w:color w:val="auto"/>
                <w:highlight w:val="none"/>
              </w:rPr>
            </w:pPr>
          </w:p>
        </w:tc>
        <w:tc>
          <w:tcPr>
            <w:tcW w:w="1219" w:type="pct"/>
            <w:tcBorders>
              <w:top w:val="single" w:color="000000" w:sz="4" w:space="0"/>
              <w:left w:val="single" w:color="000000" w:sz="4" w:space="0"/>
              <w:bottom w:val="single" w:color="000000" w:sz="4" w:space="0"/>
              <w:right w:val="single" w:color="000000" w:sz="4" w:space="0"/>
            </w:tcBorders>
          </w:tcPr>
          <w:p w14:paraId="715E3AB9">
            <w:pPr>
              <w:rPr>
                <w:rFonts w:hint="eastAsia" w:ascii="宋体" w:hAnsi="宋体" w:cs="宋体"/>
                <w:color w:val="auto"/>
                <w:highlight w:val="none"/>
              </w:rPr>
            </w:pPr>
          </w:p>
        </w:tc>
      </w:tr>
    </w:tbl>
    <w:p w14:paraId="573D9DBB">
      <w:pPr>
        <w:spacing w:line="480" w:lineRule="auto"/>
        <w:ind w:firstLine="440" w:firstLineChars="200"/>
        <w:rPr>
          <w:rFonts w:hint="eastAsia" w:ascii="宋体" w:hAnsi="宋体" w:eastAsia="宋体" w:cs="宋体"/>
          <w:color w:val="auto"/>
          <w:kern w:val="0"/>
          <w:sz w:val="22"/>
          <w:szCs w:val="22"/>
          <w:highlight w:val="none"/>
          <w:lang w:val="en-NZ" w:eastAsia="zh-CN" w:bidi="ar-SA"/>
        </w:rPr>
      </w:pPr>
      <w:r>
        <w:rPr>
          <w:rFonts w:hint="eastAsia" w:ascii="宋体" w:hAnsi="宋体" w:eastAsia="宋体" w:cs="宋体"/>
          <w:color w:val="auto"/>
          <w:kern w:val="0"/>
          <w:sz w:val="22"/>
          <w:szCs w:val="22"/>
          <w:highlight w:val="none"/>
          <w:lang w:val="en-NZ" w:eastAsia="zh-CN" w:bidi="ar-SA"/>
        </w:rPr>
        <w:t>注：供应商应对照第三章“货物采购需求”注明所投产品技术参数的内容进行逐条响应，并在“偏离情况说明” 栏注明“正偏离”、“负偏离”或“无偏离”；“正偏离”指投标设备的技术参数优于</w:t>
      </w:r>
      <w:r>
        <w:rPr>
          <w:rFonts w:hint="eastAsia" w:ascii="宋体" w:hAnsi="宋体" w:eastAsia="宋体" w:cs="宋体"/>
          <w:color w:val="auto"/>
          <w:kern w:val="0"/>
          <w:sz w:val="22"/>
          <w:szCs w:val="22"/>
          <w:highlight w:val="none"/>
          <w:lang w:val="en-US" w:eastAsia="zh-CN" w:bidi="ar-SA"/>
        </w:rPr>
        <w:t>招标</w:t>
      </w:r>
      <w:r>
        <w:rPr>
          <w:rFonts w:hint="eastAsia" w:ascii="宋体" w:hAnsi="宋体" w:eastAsia="宋体" w:cs="宋体"/>
          <w:color w:val="auto"/>
          <w:kern w:val="0"/>
          <w:sz w:val="22"/>
          <w:szCs w:val="22"/>
          <w:highlight w:val="none"/>
          <w:lang w:val="en-NZ" w:eastAsia="zh-CN" w:bidi="ar-SA"/>
        </w:rPr>
        <w:t>文件中要求，“负偏离”指投标设备的技术参数低于</w:t>
      </w:r>
      <w:r>
        <w:rPr>
          <w:rFonts w:hint="eastAsia" w:ascii="宋体" w:hAnsi="宋体" w:eastAsia="宋体" w:cs="宋体"/>
          <w:color w:val="auto"/>
          <w:kern w:val="0"/>
          <w:sz w:val="22"/>
          <w:szCs w:val="22"/>
          <w:highlight w:val="none"/>
          <w:lang w:val="en-US" w:eastAsia="zh-CN" w:bidi="ar-SA"/>
        </w:rPr>
        <w:t>招标</w:t>
      </w:r>
      <w:r>
        <w:rPr>
          <w:rFonts w:hint="eastAsia" w:ascii="宋体" w:hAnsi="宋体" w:eastAsia="宋体" w:cs="宋体"/>
          <w:color w:val="auto"/>
          <w:kern w:val="0"/>
          <w:sz w:val="22"/>
          <w:szCs w:val="22"/>
          <w:highlight w:val="none"/>
          <w:lang w:val="en-NZ" w:eastAsia="zh-CN" w:bidi="ar-SA"/>
        </w:rPr>
        <w:t>文件中要求。当出现“正偏离”情况时应填写偏离情况说明及提供相应有效的证明材料，否则，不予认可。</w:t>
      </w:r>
    </w:p>
    <w:p w14:paraId="7FAE1417">
      <w:pPr>
        <w:rPr>
          <w:rFonts w:ascii="宋体" w:hAnsi="宋体" w:cs="宋体"/>
          <w:b/>
          <w:bCs/>
          <w:color w:val="auto"/>
          <w:sz w:val="20"/>
          <w:szCs w:val="20"/>
          <w:highlight w:val="none"/>
        </w:rPr>
      </w:pPr>
    </w:p>
    <w:p w14:paraId="38676C8F">
      <w:pPr>
        <w:pStyle w:val="2"/>
        <w:tabs>
          <w:tab w:val="left" w:pos="9869"/>
        </w:tabs>
        <w:spacing w:before="36"/>
        <w:ind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color="000000"/>
        </w:rPr>
        <w:tab/>
      </w:r>
    </w:p>
    <w:p w14:paraId="1906434E">
      <w:pPr>
        <w:spacing w:before="5"/>
        <w:rPr>
          <w:rFonts w:ascii="宋体" w:hAnsi="宋体" w:cs="宋体"/>
          <w:color w:val="auto"/>
          <w:szCs w:val="21"/>
          <w:highlight w:val="none"/>
        </w:rPr>
      </w:pPr>
    </w:p>
    <w:p w14:paraId="74AA4531">
      <w:pPr>
        <w:pStyle w:val="2"/>
        <w:tabs>
          <w:tab w:val="left" w:pos="9792"/>
        </w:tabs>
        <w:spacing w:before="37"/>
        <w:ind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color="000000"/>
        </w:rPr>
        <w:tab/>
      </w:r>
    </w:p>
    <w:p w14:paraId="075EC5FD">
      <w:pPr>
        <w:spacing w:before="2"/>
        <w:rPr>
          <w:rFonts w:ascii="宋体" w:hAnsi="宋体" w:cs="宋体"/>
          <w:color w:val="auto"/>
          <w:sz w:val="24"/>
          <w:highlight w:val="none"/>
        </w:rPr>
      </w:pPr>
    </w:p>
    <w:p w14:paraId="17C9B567">
      <w:pPr>
        <w:pStyle w:val="2"/>
        <w:tabs>
          <w:tab w:val="left" w:pos="3972"/>
          <w:tab w:val="left" w:pos="9687"/>
        </w:tabs>
        <w:spacing w:before="36"/>
        <w:ind w:firstLine="1260" w:firstLineChars="600"/>
        <w:rPr>
          <w:rFonts w:ascii="宋体" w:hAnsi="宋体" w:eastAsia="宋体" w:cs="宋体"/>
          <w:color w:val="auto"/>
          <w:sz w:val="22"/>
          <w:szCs w:val="22"/>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color="000000"/>
        </w:rPr>
        <w:tab/>
      </w:r>
    </w:p>
    <w:p w14:paraId="25C91F6A">
      <w:pPr>
        <w:pStyle w:val="5"/>
        <w:spacing w:before="172"/>
        <w:ind w:firstLine="1100" w:firstLineChars="500"/>
        <w:rPr>
          <w:rFonts w:ascii="宋体" w:hAnsi="宋体" w:cs="宋体"/>
          <w:color w:val="auto"/>
          <w:highlight w:val="none"/>
        </w:rPr>
      </w:pPr>
      <w:r>
        <w:rPr>
          <w:rFonts w:hint="eastAsia" w:ascii="宋体" w:hAnsi="宋体" w:cs="宋体"/>
          <w:color w:val="auto"/>
          <w:sz w:val="22"/>
          <w:szCs w:val="22"/>
          <w:highlight w:val="none"/>
        </w:rPr>
        <w:t>注：当本表由多页构成时，需逐页加盖投标人公章（属自然人的须逐页签字（或个人CA证书签章））。</w:t>
      </w:r>
    </w:p>
    <w:p w14:paraId="5F561D63">
      <w:pPr>
        <w:pStyle w:val="11"/>
        <w:jc w:val="center"/>
        <w:rPr>
          <w:rFonts w:hAnsi="宋体" w:cs="宋体"/>
          <w:b/>
          <w:color w:val="auto"/>
          <w:kern w:val="2"/>
          <w:sz w:val="24"/>
          <w:szCs w:val="24"/>
          <w:highlight w:val="none"/>
        </w:rPr>
      </w:pPr>
    </w:p>
    <w:p w14:paraId="110C9CF6">
      <w:pPr>
        <w:pStyle w:val="7"/>
        <w:rPr>
          <w:rFonts w:ascii="宋体" w:hAnsi="宋体" w:cs="宋体"/>
          <w:b/>
          <w:color w:val="auto"/>
          <w:sz w:val="24"/>
          <w:highlight w:val="none"/>
        </w:rPr>
      </w:pPr>
    </w:p>
    <w:p w14:paraId="0163FDE3">
      <w:pPr>
        <w:rPr>
          <w:rFonts w:ascii="宋体" w:hAnsi="宋体" w:cs="宋体"/>
          <w:b/>
          <w:color w:val="auto"/>
          <w:sz w:val="24"/>
          <w:highlight w:val="none"/>
        </w:rPr>
      </w:pPr>
    </w:p>
    <w:p w14:paraId="52832825">
      <w:pPr>
        <w:rPr>
          <w:rFonts w:ascii="宋体" w:hAnsi="宋体" w:cs="宋体"/>
          <w:b/>
          <w:color w:val="auto"/>
          <w:sz w:val="24"/>
          <w:highlight w:val="none"/>
        </w:rPr>
      </w:pPr>
    </w:p>
    <w:p w14:paraId="37DF3D57">
      <w:pPr>
        <w:rPr>
          <w:rFonts w:ascii="宋体" w:hAnsi="宋体" w:cs="宋体"/>
          <w:b/>
          <w:color w:val="auto"/>
          <w:sz w:val="24"/>
          <w:highlight w:val="none"/>
        </w:rPr>
      </w:pPr>
    </w:p>
    <w:p w14:paraId="051A687F">
      <w:pPr>
        <w:rPr>
          <w:rFonts w:ascii="宋体" w:hAnsi="宋体" w:cs="宋体"/>
          <w:b/>
          <w:color w:val="auto"/>
          <w:sz w:val="24"/>
          <w:highlight w:val="none"/>
        </w:rPr>
      </w:pPr>
    </w:p>
    <w:p w14:paraId="667E2787">
      <w:pPr>
        <w:rPr>
          <w:rFonts w:ascii="宋体" w:hAnsi="宋体" w:cs="宋体"/>
          <w:b/>
          <w:color w:val="auto"/>
          <w:sz w:val="24"/>
          <w:highlight w:val="none"/>
        </w:rPr>
      </w:pPr>
    </w:p>
    <w:p w14:paraId="0941B270">
      <w:pPr>
        <w:rPr>
          <w:rFonts w:ascii="宋体" w:hAnsi="宋体" w:cs="宋体"/>
          <w:b/>
          <w:color w:val="auto"/>
          <w:sz w:val="24"/>
          <w:highlight w:val="none"/>
        </w:rPr>
      </w:pPr>
    </w:p>
    <w:p w14:paraId="38932BA0">
      <w:pPr>
        <w:rPr>
          <w:rFonts w:ascii="宋体" w:hAnsi="宋体" w:cs="宋体"/>
          <w:b/>
          <w:color w:val="auto"/>
          <w:sz w:val="24"/>
          <w:highlight w:val="none"/>
        </w:rPr>
      </w:pPr>
    </w:p>
    <w:p w14:paraId="3DCF6D5A">
      <w:pPr>
        <w:rPr>
          <w:rFonts w:ascii="宋体" w:hAnsi="宋体" w:cs="宋体"/>
          <w:b/>
          <w:color w:val="auto"/>
          <w:sz w:val="24"/>
          <w:highlight w:val="none"/>
        </w:rPr>
      </w:pPr>
    </w:p>
    <w:p w14:paraId="6E912B3D">
      <w:pPr>
        <w:pStyle w:val="11"/>
        <w:numPr>
          <w:ilvl w:val="0"/>
          <w:numId w:val="0"/>
        </w:numPr>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商务响应偏离表</w:t>
      </w:r>
    </w:p>
    <w:p w14:paraId="66DD56BA">
      <w:pPr>
        <w:pStyle w:val="11"/>
        <w:ind w:firstLine="470" w:firstLineChars="147"/>
        <w:jc w:val="center"/>
        <w:rPr>
          <w:rFonts w:hint="eastAsia"/>
          <w:b/>
          <w:bCs/>
          <w:color w:val="auto"/>
          <w:sz w:val="32"/>
          <w:highlight w:val="none"/>
        </w:rPr>
      </w:pPr>
      <w:r>
        <w:rPr>
          <w:rFonts w:hint="eastAsia"/>
          <w:b/>
          <w:bCs/>
          <w:color w:val="auto"/>
          <w:sz w:val="32"/>
          <w:highlight w:val="none"/>
        </w:rPr>
        <w:t>商务响应偏离表（格式）</w:t>
      </w:r>
    </w:p>
    <w:p w14:paraId="56AC3A7F">
      <w:pPr>
        <w:rPr>
          <w:rFonts w:hint="eastAsia"/>
          <w:color w:val="auto"/>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7"/>
        <w:gridCol w:w="1843"/>
        <w:gridCol w:w="3284"/>
        <w:gridCol w:w="993"/>
        <w:gridCol w:w="870"/>
      </w:tblGrid>
      <w:tr w14:paraId="0620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457" w:type="dxa"/>
            <w:noWrap w:val="0"/>
            <w:vAlign w:val="center"/>
          </w:tcPr>
          <w:p w14:paraId="63755D0D">
            <w:pPr>
              <w:spacing w:line="40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服务项目或条款名称</w:t>
            </w:r>
          </w:p>
        </w:tc>
        <w:tc>
          <w:tcPr>
            <w:tcW w:w="1843" w:type="dxa"/>
            <w:noWrap w:val="0"/>
            <w:vAlign w:val="center"/>
          </w:tcPr>
          <w:p w14:paraId="68F7C838">
            <w:pPr>
              <w:spacing w:line="40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招标文件要求</w:t>
            </w:r>
          </w:p>
        </w:tc>
        <w:tc>
          <w:tcPr>
            <w:tcW w:w="3284" w:type="dxa"/>
            <w:noWrap w:val="0"/>
            <w:vAlign w:val="center"/>
          </w:tcPr>
          <w:p w14:paraId="379EA75B">
            <w:pPr>
              <w:spacing w:line="34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投标响应情况（对商务要求的承诺）</w:t>
            </w:r>
          </w:p>
        </w:tc>
        <w:tc>
          <w:tcPr>
            <w:tcW w:w="993" w:type="dxa"/>
            <w:noWrap w:val="0"/>
            <w:vAlign w:val="center"/>
          </w:tcPr>
          <w:p w14:paraId="35D31E8E">
            <w:pPr>
              <w:spacing w:line="34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响应偏离情况</w:t>
            </w:r>
          </w:p>
        </w:tc>
        <w:tc>
          <w:tcPr>
            <w:tcW w:w="870" w:type="dxa"/>
            <w:noWrap w:val="0"/>
            <w:vAlign w:val="center"/>
          </w:tcPr>
          <w:p w14:paraId="5A41E6D4">
            <w:pPr>
              <w:spacing w:line="340" w:lineRule="exact"/>
              <w:jc w:val="center"/>
              <w:rPr>
                <w:rFonts w:hint="eastAsia" w:ascii="宋体" w:hAnsi="宋体" w:cs="宋体"/>
                <w:b/>
                <w:bCs/>
                <w:color w:val="auto"/>
                <w:szCs w:val="20"/>
                <w:highlight w:val="none"/>
              </w:rPr>
            </w:pPr>
            <w:r>
              <w:rPr>
                <w:rFonts w:hint="eastAsia" w:ascii="宋体" w:hAnsi="宋体" w:cs="宋体"/>
                <w:b/>
                <w:bCs/>
                <w:color w:val="auto"/>
                <w:szCs w:val="20"/>
                <w:highlight w:val="none"/>
              </w:rPr>
              <w:t>偏离情况说明</w:t>
            </w:r>
          </w:p>
        </w:tc>
      </w:tr>
      <w:tr w14:paraId="33AF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57" w:type="dxa"/>
            <w:noWrap w:val="0"/>
            <w:vAlign w:val="center"/>
          </w:tcPr>
          <w:p w14:paraId="69575F41">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（一）售后服务</w:t>
            </w:r>
          </w:p>
        </w:tc>
        <w:tc>
          <w:tcPr>
            <w:tcW w:w="1843" w:type="dxa"/>
            <w:noWrap w:val="0"/>
            <w:vAlign w:val="center"/>
          </w:tcPr>
          <w:p w14:paraId="375252F1">
            <w:pPr>
              <w:spacing w:line="400" w:lineRule="exact"/>
              <w:rPr>
                <w:rFonts w:hint="eastAsia" w:ascii="宋体" w:hAnsi="宋体" w:cs="宋体"/>
                <w:color w:val="auto"/>
                <w:szCs w:val="20"/>
                <w:highlight w:val="none"/>
              </w:rPr>
            </w:pPr>
          </w:p>
        </w:tc>
        <w:tc>
          <w:tcPr>
            <w:tcW w:w="3284" w:type="dxa"/>
            <w:noWrap w:val="0"/>
            <w:vAlign w:val="center"/>
          </w:tcPr>
          <w:p w14:paraId="6D2BDF15">
            <w:pPr>
              <w:spacing w:line="400" w:lineRule="exact"/>
              <w:jc w:val="center"/>
              <w:rPr>
                <w:rFonts w:hint="eastAsia" w:ascii="宋体" w:hAnsi="宋体" w:cs="宋体"/>
                <w:color w:val="auto"/>
                <w:szCs w:val="20"/>
                <w:highlight w:val="none"/>
              </w:rPr>
            </w:pPr>
          </w:p>
        </w:tc>
        <w:tc>
          <w:tcPr>
            <w:tcW w:w="993" w:type="dxa"/>
            <w:noWrap w:val="0"/>
            <w:vAlign w:val="center"/>
          </w:tcPr>
          <w:p w14:paraId="7E813A90">
            <w:pPr>
              <w:spacing w:line="400" w:lineRule="exact"/>
              <w:jc w:val="center"/>
              <w:rPr>
                <w:rFonts w:hint="eastAsia" w:ascii="宋体" w:hAnsi="宋体" w:cs="宋体"/>
                <w:color w:val="auto"/>
                <w:szCs w:val="20"/>
                <w:highlight w:val="none"/>
              </w:rPr>
            </w:pPr>
          </w:p>
        </w:tc>
        <w:tc>
          <w:tcPr>
            <w:tcW w:w="870" w:type="dxa"/>
            <w:noWrap w:val="0"/>
            <w:vAlign w:val="center"/>
          </w:tcPr>
          <w:p w14:paraId="5E413185">
            <w:pPr>
              <w:spacing w:line="400" w:lineRule="exact"/>
              <w:jc w:val="center"/>
              <w:rPr>
                <w:rFonts w:hint="eastAsia" w:ascii="宋体" w:hAnsi="宋体" w:cs="宋体"/>
                <w:color w:val="auto"/>
                <w:szCs w:val="20"/>
                <w:highlight w:val="none"/>
              </w:rPr>
            </w:pPr>
          </w:p>
        </w:tc>
      </w:tr>
      <w:tr w14:paraId="7CBA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5E7344FE">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（二）交付时间和地点</w:t>
            </w:r>
          </w:p>
        </w:tc>
        <w:tc>
          <w:tcPr>
            <w:tcW w:w="1843" w:type="dxa"/>
            <w:noWrap w:val="0"/>
            <w:vAlign w:val="center"/>
          </w:tcPr>
          <w:p w14:paraId="782383EA">
            <w:pPr>
              <w:spacing w:line="400" w:lineRule="exact"/>
              <w:rPr>
                <w:rFonts w:hint="eastAsia" w:ascii="宋体" w:hAnsi="宋体" w:cs="宋体"/>
                <w:color w:val="auto"/>
                <w:szCs w:val="20"/>
                <w:highlight w:val="none"/>
              </w:rPr>
            </w:pPr>
          </w:p>
        </w:tc>
        <w:tc>
          <w:tcPr>
            <w:tcW w:w="3284" w:type="dxa"/>
            <w:noWrap w:val="0"/>
            <w:vAlign w:val="center"/>
          </w:tcPr>
          <w:p w14:paraId="03DA9422">
            <w:pPr>
              <w:spacing w:line="400" w:lineRule="exact"/>
              <w:jc w:val="center"/>
              <w:rPr>
                <w:rFonts w:hint="eastAsia" w:ascii="宋体" w:hAnsi="宋体" w:cs="宋体"/>
                <w:color w:val="auto"/>
                <w:szCs w:val="20"/>
                <w:highlight w:val="none"/>
              </w:rPr>
            </w:pPr>
          </w:p>
        </w:tc>
        <w:tc>
          <w:tcPr>
            <w:tcW w:w="993" w:type="dxa"/>
            <w:noWrap w:val="0"/>
            <w:vAlign w:val="center"/>
          </w:tcPr>
          <w:p w14:paraId="3C6B5AE6">
            <w:pPr>
              <w:spacing w:line="400" w:lineRule="exact"/>
              <w:jc w:val="center"/>
              <w:rPr>
                <w:rFonts w:hint="eastAsia" w:ascii="宋体" w:hAnsi="宋体" w:cs="宋体"/>
                <w:color w:val="auto"/>
                <w:szCs w:val="20"/>
                <w:highlight w:val="none"/>
              </w:rPr>
            </w:pPr>
          </w:p>
        </w:tc>
        <w:tc>
          <w:tcPr>
            <w:tcW w:w="870" w:type="dxa"/>
            <w:noWrap w:val="0"/>
            <w:vAlign w:val="center"/>
          </w:tcPr>
          <w:p w14:paraId="795C2F24">
            <w:pPr>
              <w:spacing w:line="400" w:lineRule="exact"/>
              <w:jc w:val="center"/>
              <w:rPr>
                <w:rFonts w:hint="eastAsia" w:ascii="宋体" w:hAnsi="宋体" w:cs="宋体"/>
                <w:color w:val="auto"/>
                <w:szCs w:val="20"/>
                <w:highlight w:val="none"/>
              </w:rPr>
            </w:pPr>
          </w:p>
        </w:tc>
      </w:tr>
      <w:tr w14:paraId="5EBD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5F3CB048">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（三）付款条件（进度和方式）</w:t>
            </w:r>
          </w:p>
        </w:tc>
        <w:tc>
          <w:tcPr>
            <w:tcW w:w="1843" w:type="dxa"/>
            <w:noWrap w:val="0"/>
            <w:vAlign w:val="center"/>
          </w:tcPr>
          <w:p w14:paraId="198C2482">
            <w:pPr>
              <w:spacing w:line="400" w:lineRule="exact"/>
              <w:rPr>
                <w:rFonts w:hint="eastAsia" w:ascii="宋体" w:hAnsi="宋体" w:cs="宋体"/>
                <w:color w:val="auto"/>
                <w:szCs w:val="20"/>
                <w:highlight w:val="none"/>
              </w:rPr>
            </w:pPr>
          </w:p>
        </w:tc>
        <w:tc>
          <w:tcPr>
            <w:tcW w:w="3284" w:type="dxa"/>
            <w:noWrap w:val="0"/>
            <w:vAlign w:val="center"/>
          </w:tcPr>
          <w:p w14:paraId="05E3725D">
            <w:pPr>
              <w:spacing w:line="400" w:lineRule="exact"/>
              <w:jc w:val="center"/>
              <w:rPr>
                <w:rFonts w:hint="eastAsia" w:ascii="宋体" w:hAnsi="宋体" w:cs="宋体"/>
                <w:color w:val="auto"/>
                <w:szCs w:val="20"/>
                <w:highlight w:val="none"/>
              </w:rPr>
            </w:pPr>
          </w:p>
        </w:tc>
        <w:tc>
          <w:tcPr>
            <w:tcW w:w="993" w:type="dxa"/>
            <w:noWrap w:val="0"/>
            <w:vAlign w:val="center"/>
          </w:tcPr>
          <w:p w14:paraId="7839B235">
            <w:pPr>
              <w:spacing w:line="400" w:lineRule="exact"/>
              <w:jc w:val="center"/>
              <w:rPr>
                <w:rFonts w:hint="eastAsia" w:ascii="宋体" w:hAnsi="宋体" w:cs="宋体"/>
                <w:color w:val="auto"/>
                <w:szCs w:val="20"/>
                <w:highlight w:val="none"/>
              </w:rPr>
            </w:pPr>
          </w:p>
        </w:tc>
        <w:tc>
          <w:tcPr>
            <w:tcW w:w="870" w:type="dxa"/>
            <w:noWrap w:val="0"/>
            <w:vAlign w:val="center"/>
          </w:tcPr>
          <w:p w14:paraId="2CF2D438">
            <w:pPr>
              <w:spacing w:line="400" w:lineRule="exact"/>
              <w:jc w:val="center"/>
              <w:rPr>
                <w:rFonts w:hint="eastAsia" w:ascii="宋体" w:hAnsi="宋体" w:cs="宋体"/>
                <w:color w:val="auto"/>
                <w:szCs w:val="20"/>
                <w:highlight w:val="none"/>
              </w:rPr>
            </w:pPr>
          </w:p>
        </w:tc>
      </w:tr>
      <w:tr w14:paraId="3547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1954E785">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（四）包装和运输</w:t>
            </w:r>
          </w:p>
        </w:tc>
        <w:tc>
          <w:tcPr>
            <w:tcW w:w="1843" w:type="dxa"/>
            <w:noWrap w:val="0"/>
            <w:vAlign w:val="center"/>
          </w:tcPr>
          <w:p w14:paraId="76CEECE8">
            <w:pPr>
              <w:spacing w:line="400" w:lineRule="exact"/>
              <w:rPr>
                <w:rFonts w:hint="eastAsia" w:ascii="宋体" w:hAnsi="宋体" w:cs="宋体"/>
                <w:color w:val="auto"/>
                <w:szCs w:val="20"/>
                <w:highlight w:val="none"/>
              </w:rPr>
            </w:pPr>
          </w:p>
        </w:tc>
        <w:tc>
          <w:tcPr>
            <w:tcW w:w="3284" w:type="dxa"/>
            <w:noWrap w:val="0"/>
            <w:vAlign w:val="center"/>
          </w:tcPr>
          <w:p w14:paraId="39829D0E">
            <w:pPr>
              <w:spacing w:line="400" w:lineRule="exact"/>
              <w:jc w:val="center"/>
              <w:rPr>
                <w:rFonts w:hint="eastAsia" w:ascii="宋体" w:hAnsi="宋体" w:cs="宋体"/>
                <w:color w:val="auto"/>
                <w:szCs w:val="20"/>
                <w:highlight w:val="none"/>
              </w:rPr>
            </w:pPr>
          </w:p>
        </w:tc>
        <w:tc>
          <w:tcPr>
            <w:tcW w:w="993" w:type="dxa"/>
            <w:noWrap w:val="0"/>
            <w:vAlign w:val="center"/>
          </w:tcPr>
          <w:p w14:paraId="7F0DC197">
            <w:pPr>
              <w:spacing w:line="400" w:lineRule="exact"/>
              <w:jc w:val="center"/>
              <w:rPr>
                <w:rFonts w:hint="eastAsia" w:ascii="宋体" w:hAnsi="宋体" w:cs="宋体"/>
                <w:color w:val="auto"/>
                <w:szCs w:val="20"/>
                <w:highlight w:val="none"/>
              </w:rPr>
            </w:pPr>
          </w:p>
        </w:tc>
        <w:tc>
          <w:tcPr>
            <w:tcW w:w="870" w:type="dxa"/>
            <w:noWrap w:val="0"/>
            <w:vAlign w:val="center"/>
          </w:tcPr>
          <w:p w14:paraId="7FFE0DF9">
            <w:pPr>
              <w:spacing w:line="400" w:lineRule="exact"/>
              <w:jc w:val="center"/>
              <w:rPr>
                <w:rFonts w:hint="eastAsia" w:ascii="宋体" w:hAnsi="宋体" w:cs="宋体"/>
                <w:color w:val="auto"/>
                <w:szCs w:val="20"/>
                <w:highlight w:val="none"/>
              </w:rPr>
            </w:pPr>
          </w:p>
        </w:tc>
      </w:tr>
      <w:tr w14:paraId="4168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18B7C028">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（五）保险</w:t>
            </w:r>
          </w:p>
        </w:tc>
        <w:tc>
          <w:tcPr>
            <w:tcW w:w="1843" w:type="dxa"/>
            <w:noWrap w:val="0"/>
            <w:vAlign w:val="center"/>
          </w:tcPr>
          <w:p w14:paraId="40E4507F">
            <w:pPr>
              <w:spacing w:line="400" w:lineRule="exact"/>
              <w:rPr>
                <w:rFonts w:hint="eastAsia" w:ascii="宋体" w:hAnsi="宋体" w:cs="宋体"/>
                <w:color w:val="auto"/>
                <w:szCs w:val="20"/>
                <w:highlight w:val="none"/>
              </w:rPr>
            </w:pPr>
          </w:p>
        </w:tc>
        <w:tc>
          <w:tcPr>
            <w:tcW w:w="3284" w:type="dxa"/>
            <w:noWrap w:val="0"/>
            <w:vAlign w:val="center"/>
          </w:tcPr>
          <w:p w14:paraId="21974630">
            <w:pPr>
              <w:spacing w:line="400" w:lineRule="exact"/>
              <w:jc w:val="center"/>
              <w:rPr>
                <w:rFonts w:hint="eastAsia" w:ascii="宋体" w:hAnsi="宋体" w:cs="宋体"/>
                <w:color w:val="auto"/>
                <w:szCs w:val="20"/>
                <w:highlight w:val="none"/>
              </w:rPr>
            </w:pPr>
          </w:p>
        </w:tc>
        <w:tc>
          <w:tcPr>
            <w:tcW w:w="993" w:type="dxa"/>
            <w:noWrap w:val="0"/>
            <w:vAlign w:val="center"/>
          </w:tcPr>
          <w:p w14:paraId="6147FA51">
            <w:pPr>
              <w:spacing w:line="400" w:lineRule="exact"/>
              <w:jc w:val="center"/>
              <w:rPr>
                <w:rFonts w:hint="eastAsia" w:ascii="宋体" w:hAnsi="宋体" w:cs="宋体"/>
                <w:color w:val="auto"/>
                <w:szCs w:val="20"/>
                <w:highlight w:val="none"/>
              </w:rPr>
            </w:pPr>
          </w:p>
        </w:tc>
        <w:tc>
          <w:tcPr>
            <w:tcW w:w="870" w:type="dxa"/>
            <w:noWrap w:val="0"/>
            <w:vAlign w:val="center"/>
          </w:tcPr>
          <w:p w14:paraId="43B46DD7">
            <w:pPr>
              <w:spacing w:line="400" w:lineRule="exact"/>
              <w:jc w:val="center"/>
              <w:rPr>
                <w:rFonts w:hint="eastAsia" w:ascii="宋体" w:hAnsi="宋体" w:cs="宋体"/>
                <w:color w:val="auto"/>
                <w:szCs w:val="20"/>
                <w:highlight w:val="none"/>
              </w:rPr>
            </w:pPr>
          </w:p>
        </w:tc>
      </w:tr>
      <w:tr w14:paraId="5907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1CD04FF0">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（六）验收标准</w:t>
            </w:r>
          </w:p>
        </w:tc>
        <w:tc>
          <w:tcPr>
            <w:tcW w:w="1843" w:type="dxa"/>
            <w:noWrap w:val="0"/>
            <w:vAlign w:val="center"/>
          </w:tcPr>
          <w:p w14:paraId="38ED5EB7">
            <w:pPr>
              <w:spacing w:line="400" w:lineRule="exact"/>
              <w:rPr>
                <w:rFonts w:hint="eastAsia" w:ascii="宋体" w:hAnsi="宋体" w:cs="宋体"/>
                <w:color w:val="auto"/>
                <w:szCs w:val="20"/>
                <w:highlight w:val="none"/>
              </w:rPr>
            </w:pPr>
          </w:p>
        </w:tc>
        <w:tc>
          <w:tcPr>
            <w:tcW w:w="3284" w:type="dxa"/>
            <w:noWrap w:val="0"/>
            <w:vAlign w:val="center"/>
          </w:tcPr>
          <w:p w14:paraId="2182DCCF">
            <w:pPr>
              <w:spacing w:line="400" w:lineRule="exact"/>
              <w:jc w:val="center"/>
              <w:rPr>
                <w:rFonts w:hint="eastAsia" w:ascii="宋体" w:hAnsi="宋体" w:cs="宋体"/>
                <w:color w:val="auto"/>
                <w:szCs w:val="20"/>
                <w:highlight w:val="none"/>
              </w:rPr>
            </w:pPr>
          </w:p>
        </w:tc>
        <w:tc>
          <w:tcPr>
            <w:tcW w:w="993" w:type="dxa"/>
            <w:noWrap w:val="0"/>
            <w:vAlign w:val="center"/>
          </w:tcPr>
          <w:p w14:paraId="55425DF9">
            <w:pPr>
              <w:spacing w:line="400" w:lineRule="exact"/>
              <w:jc w:val="center"/>
              <w:rPr>
                <w:rFonts w:hint="eastAsia" w:ascii="宋体" w:hAnsi="宋体" w:cs="宋体"/>
                <w:color w:val="auto"/>
                <w:szCs w:val="20"/>
                <w:highlight w:val="none"/>
              </w:rPr>
            </w:pPr>
          </w:p>
        </w:tc>
        <w:tc>
          <w:tcPr>
            <w:tcW w:w="870" w:type="dxa"/>
            <w:noWrap w:val="0"/>
            <w:vAlign w:val="center"/>
          </w:tcPr>
          <w:p w14:paraId="55382567">
            <w:pPr>
              <w:spacing w:line="400" w:lineRule="exact"/>
              <w:jc w:val="center"/>
              <w:rPr>
                <w:rFonts w:hint="eastAsia" w:ascii="宋体" w:hAnsi="宋体" w:cs="宋体"/>
                <w:color w:val="auto"/>
                <w:szCs w:val="20"/>
                <w:highlight w:val="none"/>
              </w:rPr>
            </w:pPr>
          </w:p>
        </w:tc>
      </w:tr>
      <w:tr w14:paraId="37C4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4B148460">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（七）进口产品说明</w:t>
            </w:r>
          </w:p>
        </w:tc>
        <w:tc>
          <w:tcPr>
            <w:tcW w:w="1843" w:type="dxa"/>
            <w:noWrap w:val="0"/>
            <w:vAlign w:val="center"/>
          </w:tcPr>
          <w:p w14:paraId="7997ED46">
            <w:pPr>
              <w:spacing w:line="400" w:lineRule="exact"/>
              <w:rPr>
                <w:rFonts w:hint="eastAsia" w:ascii="宋体" w:hAnsi="宋体" w:cs="宋体"/>
                <w:color w:val="auto"/>
                <w:szCs w:val="20"/>
                <w:highlight w:val="none"/>
              </w:rPr>
            </w:pPr>
          </w:p>
        </w:tc>
        <w:tc>
          <w:tcPr>
            <w:tcW w:w="3284" w:type="dxa"/>
            <w:noWrap w:val="0"/>
            <w:vAlign w:val="center"/>
          </w:tcPr>
          <w:p w14:paraId="0359ADC7">
            <w:pPr>
              <w:spacing w:line="400" w:lineRule="exact"/>
              <w:jc w:val="center"/>
              <w:rPr>
                <w:rFonts w:hint="eastAsia" w:ascii="宋体" w:hAnsi="宋体" w:cs="宋体"/>
                <w:color w:val="auto"/>
                <w:szCs w:val="20"/>
                <w:highlight w:val="none"/>
              </w:rPr>
            </w:pPr>
          </w:p>
        </w:tc>
        <w:tc>
          <w:tcPr>
            <w:tcW w:w="993" w:type="dxa"/>
            <w:noWrap w:val="0"/>
            <w:vAlign w:val="center"/>
          </w:tcPr>
          <w:p w14:paraId="18424108">
            <w:pPr>
              <w:spacing w:line="400" w:lineRule="exact"/>
              <w:jc w:val="center"/>
              <w:rPr>
                <w:rFonts w:hint="eastAsia" w:ascii="宋体" w:hAnsi="宋体" w:cs="宋体"/>
                <w:color w:val="auto"/>
                <w:szCs w:val="20"/>
                <w:highlight w:val="none"/>
              </w:rPr>
            </w:pPr>
          </w:p>
        </w:tc>
        <w:tc>
          <w:tcPr>
            <w:tcW w:w="870" w:type="dxa"/>
            <w:noWrap w:val="0"/>
            <w:vAlign w:val="center"/>
          </w:tcPr>
          <w:p w14:paraId="210238BC">
            <w:pPr>
              <w:spacing w:line="400" w:lineRule="exact"/>
              <w:jc w:val="center"/>
              <w:rPr>
                <w:rFonts w:hint="eastAsia" w:ascii="宋体" w:hAnsi="宋体" w:cs="宋体"/>
                <w:color w:val="auto"/>
                <w:szCs w:val="20"/>
                <w:highlight w:val="none"/>
              </w:rPr>
            </w:pPr>
          </w:p>
        </w:tc>
      </w:tr>
      <w:tr w14:paraId="1793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457" w:type="dxa"/>
            <w:noWrap w:val="0"/>
            <w:vAlign w:val="center"/>
          </w:tcPr>
          <w:p w14:paraId="2596D8CD">
            <w:pPr>
              <w:spacing w:line="400" w:lineRule="exact"/>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（八））最高限价及报价要求</w:t>
            </w:r>
          </w:p>
        </w:tc>
        <w:tc>
          <w:tcPr>
            <w:tcW w:w="1843" w:type="dxa"/>
            <w:noWrap w:val="0"/>
            <w:vAlign w:val="center"/>
          </w:tcPr>
          <w:p w14:paraId="2EA4888E">
            <w:pPr>
              <w:spacing w:line="400" w:lineRule="exact"/>
              <w:rPr>
                <w:rFonts w:hint="eastAsia" w:ascii="宋体" w:hAnsi="宋体" w:cs="宋体"/>
                <w:color w:val="auto"/>
                <w:szCs w:val="20"/>
                <w:highlight w:val="none"/>
              </w:rPr>
            </w:pPr>
          </w:p>
        </w:tc>
        <w:tc>
          <w:tcPr>
            <w:tcW w:w="3284" w:type="dxa"/>
            <w:noWrap w:val="0"/>
            <w:vAlign w:val="center"/>
          </w:tcPr>
          <w:p w14:paraId="08B279E0">
            <w:pPr>
              <w:spacing w:line="400" w:lineRule="exact"/>
              <w:jc w:val="center"/>
              <w:rPr>
                <w:rFonts w:hint="eastAsia" w:ascii="宋体" w:hAnsi="宋体" w:cs="宋体"/>
                <w:color w:val="auto"/>
                <w:szCs w:val="20"/>
                <w:highlight w:val="none"/>
              </w:rPr>
            </w:pPr>
          </w:p>
        </w:tc>
        <w:tc>
          <w:tcPr>
            <w:tcW w:w="993" w:type="dxa"/>
            <w:noWrap w:val="0"/>
            <w:vAlign w:val="center"/>
          </w:tcPr>
          <w:p w14:paraId="0D0EE09A">
            <w:pPr>
              <w:spacing w:line="400" w:lineRule="exact"/>
              <w:jc w:val="center"/>
              <w:rPr>
                <w:rFonts w:hint="eastAsia" w:ascii="宋体" w:hAnsi="宋体" w:cs="宋体"/>
                <w:color w:val="auto"/>
                <w:szCs w:val="20"/>
                <w:highlight w:val="none"/>
              </w:rPr>
            </w:pPr>
          </w:p>
        </w:tc>
        <w:tc>
          <w:tcPr>
            <w:tcW w:w="870" w:type="dxa"/>
            <w:noWrap w:val="0"/>
            <w:vAlign w:val="center"/>
          </w:tcPr>
          <w:p w14:paraId="5C77BAAC">
            <w:pPr>
              <w:spacing w:line="400" w:lineRule="exact"/>
              <w:jc w:val="center"/>
              <w:rPr>
                <w:rFonts w:hint="eastAsia" w:ascii="宋体" w:hAnsi="宋体" w:cs="宋体"/>
                <w:color w:val="auto"/>
                <w:szCs w:val="20"/>
                <w:highlight w:val="none"/>
              </w:rPr>
            </w:pPr>
          </w:p>
        </w:tc>
      </w:tr>
    </w:tbl>
    <w:p w14:paraId="18C5A608">
      <w:pPr>
        <w:pStyle w:val="7"/>
        <w:numPr>
          <w:ilvl w:val="0"/>
          <w:numId w:val="0"/>
        </w:numPr>
        <w:ind w:leftChars="300"/>
        <w:rPr>
          <w:rFonts w:hint="eastAsia"/>
          <w:color w:val="auto"/>
          <w:highlight w:val="none"/>
        </w:rPr>
      </w:pPr>
    </w:p>
    <w:p w14:paraId="705BA838">
      <w:pPr>
        <w:rPr>
          <w:rFonts w:hint="eastAsia"/>
          <w:color w:val="auto"/>
          <w:highlight w:val="none"/>
        </w:rPr>
      </w:pPr>
    </w:p>
    <w:p w14:paraId="07064772">
      <w:pPr>
        <w:pStyle w:val="2"/>
        <w:tabs>
          <w:tab w:val="left" w:pos="9092"/>
        </w:tabs>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 CA证书签章）：</w:t>
      </w:r>
      <w:r>
        <w:rPr>
          <w:rFonts w:hint="eastAsia" w:ascii="宋体" w:hAnsi="宋体" w:eastAsia="宋体" w:cs="宋体"/>
          <w:color w:val="auto"/>
          <w:sz w:val="21"/>
          <w:szCs w:val="21"/>
          <w:highlight w:val="none"/>
          <w:u w:val="single"/>
        </w:rPr>
        <w:t xml:space="preserve">           </w:t>
      </w:r>
    </w:p>
    <w:p w14:paraId="73ABD410">
      <w:pPr>
        <w:spacing w:before="8"/>
        <w:rPr>
          <w:rFonts w:ascii="宋体" w:hAnsi="宋体" w:cs="宋体"/>
          <w:color w:val="auto"/>
          <w:szCs w:val="21"/>
          <w:highlight w:val="none"/>
        </w:rPr>
      </w:pPr>
    </w:p>
    <w:p w14:paraId="32ADBC17">
      <w:pPr>
        <w:pStyle w:val="2"/>
        <w:tabs>
          <w:tab w:val="left" w:pos="9092"/>
        </w:tabs>
        <w:spacing w:before="123"/>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6C44491C">
      <w:pPr>
        <w:spacing w:before="3"/>
        <w:rPr>
          <w:rFonts w:ascii="宋体" w:hAnsi="宋体" w:cs="宋体"/>
          <w:color w:val="auto"/>
          <w:szCs w:val="21"/>
          <w:highlight w:val="none"/>
        </w:rPr>
      </w:pPr>
    </w:p>
    <w:p w14:paraId="423232BE">
      <w:pPr>
        <w:pStyle w:val="36"/>
        <w:ind w:firstLine="2100" w:firstLineChars="1000"/>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2A10643B">
      <w:pPr>
        <w:rPr>
          <w:rFonts w:hint="eastAsia"/>
          <w:color w:val="auto"/>
          <w:highlight w:val="none"/>
        </w:rPr>
      </w:pPr>
    </w:p>
    <w:p w14:paraId="4BE79825">
      <w:pPr>
        <w:rPr>
          <w:rFonts w:hint="eastAsia"/>
          <w:color w:val="auto"/>
          <w:highlight w:val="none"/>
        </w:rPr>
      </w:pPr>
    </w:p>
    <w:p w14:paraId="4A4A6E1C">
      <w:pPr>
        <w:pStyle w:val="5"/>
        <w:spacing w:before="172"/>
        <w:ind w:firstLine="1100" w:firstLineChars="500"/>
        <w:rPr>
          <w:rFonts w:ascii="宋体" w:hAnsi="宋体" w:cs="宋体"/>
          <w:color w:val="auto"/>
          <w:highlight w:val="none"/>
        </w:rPr>
      </w:pPr>
      <w:r>
        <w:rPr>
          <w:rFonts w:hint="eastAsia" w:ascii="宋体" w:hAnsi="宋体" w:cs="宋体"/>
          <w:color w:val="auto"/>
          <w:sz w:val="22"/>
          <w:szCs w:val="22"/>
          <w:highlight w:val="none"/>
        </w:rPr>
        <w:t>注：当本表由多页构成时，需逐页加盖投标人公章（属自然人的须逐页签字（或个人CA证书签章））。</w:t>
      </w:r>
    </w:p>
    <w:p w14:paraId="49A2E488">
      <w:pPr>
        <w:rPr>
          <w:rFonts w:hint="eastAsia"/>
          <w:color w:val="auto"/>
          <w:highlight w:val="none"/>
        </w:rPr>
      </w:pPr>
    </w:p>
    <w:p w14:paraId="48C69C5A">
      <w:pPr>
        <w:rPr>
          <w:rFonts w:hint="eastAsia"/>
          <w:color w:val="auto"/>
          <w:highlight w:val="none"/>
        </w:rPr>
      </w:pPr>
    </w:p>
    <w:p w14:paraId="255FA1E5">
      <w:pPr>
        <w:rPr>
          <w:rFonts w:hint="eastAsia"/>
          <w:color w:val="auto"/>
          <w:highlight w:val="none"/>
        </w:rPr>
      </w:pPr>
    </w:p>
    <w:p w14:paraId="49FE65A2">
      <w:pPr>
        <w:rPr>
          <w:rFonts w:hint="eastAsia"/>
          <w:color w:val="auto"/>
          <w:highlight w:val="none"/>
        </w:rPr>
      </w:pPr>
    </w:p>
    <w:p w14:paraId="7399AE8C">
      <w:pPr>
        <w:rPr>
          <w:color w:val="auto"/>
          <w:sz w:val="24"/>
          <w:szCs w:val="24"/>
          <w:highlight w:val="none"/>
        </w:rPr>
      </w:pPr>
      <w:r>
        <w:rPr>
          <w:rFonts w:hint="eastAsia" w:ascii="宋体" w:hAnsi="宋体" w:eastAsia="宋体" w:cs="宋体"/>
          <w:b/>
          <w:bCs/>
          <w:color w:val="auto"/>
          <w:sz w:val="24"/>
          <w:szCs w:val="24"/>
          <w:highlight w:val="none"/>
          <w:lang w:val="en-US" w:eastAsia="zh-CN"/>
        </w:rPr>
        <w:br w:type="page"/>
      </w:r>
    </w:p>
    <w:p w14:paraId="4DF354D4">
      <w:pPr>
        <w:rPr>
          <w:color w:val="auto"/>
          <w:highlight w:val="none"/>
        </w:rPr>
      </w:pPr>
    </w:p>
    <w:p w14:paraId="0851AAFA">
      <w:pPr>
        <w:pStyle w:val="36"/>
        <w:spacing w:line="480" w:lineRule="auto"/>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安装调试方案（必须提供）</w:t>
      </w:r>
    </w:p>
    <w:p w14:paraId="41C26D3B">
      <w:pPr>
        <w:spacing w:line="480" w:lineRule="auto"/>
        <w:ind w:right="91"/>
        <w:jc w:val="center"/>
        <w:rPr>
          <w:rFonts w:ascii="宋体" w:hAnsi="宋体" w:cs="宋体"/>
          <w:b/>
          <w:bCs/>
          <w:color w:val="auto"/>
          <w:sz w:val="24"/>
          <w:highlight w:val="none"/>
        </w:rPr>
      </w:pPr>
      <w:r>
        <w:rPr>
          <w:rFonts w:hint="eastAsia" w:ascii="宋体" w:hAnsi="宋体" w:cs="宋体"/>
          <w:b/>
          <w:bCs/>
          <w:color w:val="auto"/>
          <w:sz w:val="24"/>
          <w:highlight w:val="none"/>
        </w:rPr>
        <w:t>安装调试方案（格式）</w:t>
      </w:r>
    </w:p>
    <w:p w14:paraId="4F53B69E">
      <w:pPr>
        <w:pStyle w:val="2"/>
        <w:tabs>
          <w:tab w:val="left" w:pos="9092"/>
        </w:tabs>
        <w:ind w:left="1798" w:right="92"/>
        <w:rPr>
          <w:rFonts w:ascii="宋体" w:hAnsi="宋体" w:eastAsia="宋体" w:cs="宋体"/>
          <w:color w:val="auto"/>
          <w:sz w:val="22"/>
          <w:szCs w:val="22"/>
          <w:highlight w:val="none"/>
        </w:rPr>
      </w:pPr>
    </w:p>
    <w:p w14:paraId="7517F31C">
      <w:pPr>
        <w:pStyle w:val="2"/>
        <w:tabs>
          <w:tab w:val="left" w:pos="9092"/>
        </w:tabs>
        <w:ind w:left="1798" w:right="92"/>
        <w:rPr>
          <w:rFonts w:ascii="宋体" w:hAnsi="宋体" w:eastAsia="宋体" w:cs="宋体"/>
          <w:color w:val="auto"/>
          <w:sz w:val="22"/>
          <w:szCs w:val="22"/>
          <w:highlight w:val="none"/>
        </w:rPr>
      </w:pPr>
    </w:p>
    <w:p w14:paraId="5953FB7D">
      <w:pPr>
        <w:pStyle w:val="2"/>
        <w:tabs>
          <w:tab w:val="left" w:pos="9092"/>
        </w:tabs>
        <w:ind w:left="1798" w:right="92"/>
        <w:rPr>
          <w:rFonts w:ascii="宋体" w:hAnsi="宋体" w:eastAsia="宋体" w:cs="宋体"/>
          <w:color w:val="auto"/>
          <w:sz w:val="22"/>
          <w:szCs w:val="22"/>
          <w:highlight w:val="none"/>
        </w:rPr>
      </w:pPr>
    </w:p>
    <w:p w14:paraId="5D988607">
      <w:pPr>
        <w:pStyle w:val="2"/>
        <w:tabs>
          <w:tab w:val="left" w:pos="9092"/>
        </w:tabs>
        <w:ind w:left="1798" w:right="92"/>
        <w:rPr>
          <w:rFonts w:ascii="宋体" w:hAnsi="宋体" w:eastAsia="宋体" w:cs="宋体"/>
          <w:color w:val="auto"/>
          <w:sz w:val="22"/>
          <w:szCs w:val="22"/>
          <w:highlight w:val="none"/>
        </w:rPr>
      </w:pPr>
    </w:p>
    <w:p w14:paraId="406FB8E0">
      <w:pPr>
        <w:pStyle w:val="2"/>
        <w:tabs>
          <w:tab w:val="left" w:pos="9092"/>
        </w:tabs>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 CA证书签章）：</w:t>
      </w:r>
      <w:r>
        <w:rPr>
          <w:rFonts w:hint="eastAsia" w:ascii="宋体" w:hAnsi="宋体" w:eastAsia="宋体" w:cs="宋体"/>
          <w:color w:val="auto"/>
          <w:sz w:val="21"/>
          <w:szCs w:val="21"/>
          <w:highlight w:val="none"/>
          <w:u w:val="single"/>
        </w:rPr>
        <w:t xml:space="preserve">           </w:t>
      </w:r>
    </w:p>
    <w:p w14:paraId="2219C235">
      <w:pPr>
        <w:spacing w:before="8"/>
        <w:rPr>
          <w:rFonts w:ascii="宋体" w:hAnsi="宋体" w:cs="宋体"/>
          <w:color w:val="auto"/>
          <w:szCs w:val="21"/>
          <w:highlight w:val="none"/>
        </w:rPr>
      </w:pPr>
    </w:p>
    <w:p w14:paraId="1DF411DB">
      <w:pPr>
        <w:pStyle w:val="2"/>
        <w:tabs>
          <w:tab w:val="left" w:pos="9092"/>
        </w:tabs>
        <w:spacing w:before="123"/>
        <w:ind w:right="92" w:firstLine="2100" w:firstLineChars="10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5B4019DF">
      <w:pPr>
        <w:spacing w:before="3"/>
        <w:rPr>
          <w:rFonts w:ascii="宋体" w:hAnsi="宋体" w:cs="宋体"/>
          <w:color w:val="auto"/>
          <w:szCs w:val="21"/>
          <w:highlight w:val="none"/>
        </w:rPr>
      </w:pPr>
    </w:p>
    <w:p w14:paraId="46D1F8BF">
      <w:pPr>
        <w:pStyle w:val="36"/>
        <w:ind w:firstLine="2100" w:firstLineChars="1000"/>
        <w:rPr>
          <w:rFonts w:ascii="宋体" w:hAnsi="宋体" w:cs="宋体"/>
          <w:color w:val="auto"/>
          <w:szCs w:val="21"/>
          <w:highlight w:val="none"/>
        </w:r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09397161">
      <w:pPr>
        <w:pStyle w:val="36"/>
        <w:rPr>
          <w:rFonts w:ascii="宋体" w:hAnsi="宋体" w:cs="宋体"/>
          <w:color w:val="auto"/>
          <w:sz w:val="22"/>
          <w:szCs w:val="22"/>
          <w:highlight w:val="none"/>
        </w:rPr>
      </w:pPr>
    </w:p>
    <w:p w14:paraId="6E0CB563">
      <w:pPr>
        <w:pStyle w:val="36"/>
        <w:rPr>
          <w:rFonts w:ascii="宋体" w:hAnsi="宋体" w:cs="宋体"/>
          <w:color w:val="auto"/>
          <w:sz w:val="22"/>
          <w:szCs w:val="22"/>
          <w:highlight w:val="none"/>
        </w:rPr>
      </w:pPr>
    </w:p>
    <w:p w14:paraId="56FEE0AC">
      <w:pPr>
        <w:pStyle w:val="36"/>
        <w:rPr>
          <w:rFonts w:ascii="宋体" w:hAnsi="宋体" w:cs="宋体"/>
          <w:color w:val="auto"/>
          <w:sz w:val="22"/>
          <w:szCs w:val="22"/>
          <w:highlight w:val="none"/>
        </w:rPr>
      </w:pPr>
    </w:p>
    <w:p w14:paraId="7FADCC8A">
      <w:pPr>
        <w:pStyle w:val="36"/>
        <w:rPr>
          <w:rFonts w:ascii="宋体" w:hAnsi="宋体" w:cs="宋体"/>
          <w:color w:val="auto"/>
          <w:sz w:val="22"/>
          <w:szCs w:val="22"/>
          <w:highlight w:val="none"/>
        </w:rPr>
      </w:pPr>
    </w:p>
    <w:p w14:paraId="6B21F5E7">
      <w:pPr>
        <w:pStyle w:val="36"/>
        <w:rPr>
          <w:rFonts w:ascii="宋体" w:hAnsi="宋体" w:cs="宋体"/>
          <w:color w:val="auto"/>
          <w:sz w:val="22"/>
          <w:szCs w:val="22"/>
          <w:highlight w:val="none"/>
        </w:rPr>
      </w:pPr>
    </w:p>
    <w:p w14:paraId="5F936769">
      <w:pPr>
        <w:pStyle w:val="36"/>
        <w:rPr>
          <w:rFonts w:ascii="宋体" w:hAnsi="宋体" w:cs="宋体"/>
          <w:color w:val="auto"/>
          <w:sz w:val="22"/>
          <w:szCs w:val="22"/>
          <w:highlight w:val="none"/>
        </w:rPr>
      </w:pPr>
    </w:p>
    <w:p w14:paraId="60BB3176">
      <w:pPr>
        <w:pStyle w:val="36"/>
        <w:rPr>
          <w:rFonts w:ascii="宋体" w:hAnsi="宋体" w:cs="宋体"/>
          <w:color w:val="auto"/>
          <w:sz w:val="22"/>
          <w:szCs w:val="22"/>
          <w:highlight w:val="none"/>
        </w:rPr>
      </w:pPr>
    </w:p>
    <w:p w14:paraId="088FCF42">
      <w:pPr>
        <w:pStyle w:val="36"/>
        <w:rPr>
          <w:rFonts w:ascii="宋体" w:hAnsi="宋体" w:cs="宋体"/>
          <w:color w:val="auto"/>
          <w:sz w:val="22"/>
          <w:szCs w:val="22"/>
          <w:highlight w:val="none"/>
        </w:rPr>
      </w:pPr>
    </w:p>
    <w:p w14:paraId="2B901A6F">
      <w:pPr>
        <w:pStyle w:val="36"/>
        <w:rPr>
          <w:rFonts w:ascii="宋体" w:hAnsi="宋体" w:cs="宋体"/>
          <w:color w:val="auto"/>
          <w:sz w:val="22"/>
          <w:szCs w:val="22"/>
          <w:highlight w:val="none"/>
        </w:rPr>
      </w:pPr>
    </w:p>
    <w:p w14:paraId="4977CD58">
      <w:pPr>
        <w:pStyle w:val="36"/>
        <w:rPr>
          <w:rFonts w:ascii="宋体" w:hAnsi="宋体" w:cs="宋体"/>
          <w:color w:val="auto"/>
          <w:sz w:val="22"/>
          <w:szCs w:val="22"/>
          <w:highlight w:val="none"/>
        </w:rPr>
      </w:pPr>
    </w:p>
    <w:p w14:paraId="1B1C04B0">
      <w:pPr>
        <w:pStyle w:val="36"/>
        <w:rPr>
          <w:rFonts w:ascii="宋体" w:hAnsi="宋体" w:cs="宋体"/>
          <w:color w:val="auto"/>
          <w:sz w:val="22"/>
          <w:szCs w:val="22"/>
          <w:highlight w:val="none"/>
        </w:rPr>
      </w:pPr>
    </w:p>
    <w:p w14:paraId="0E0A0640">
      <w:pPr>
        <w:pStyle w:val="36"/>
        <w:rPr>
          <w:rFonts w:ascii="宋体" w:hAnsi="宋体" w:cs="宋体"/>
          <w:color w:val="auto"/>
          <w:sz w:val="22"/>
          <w:szCs w:val="22"/>
          <w:highlight w:val="none"/>
        </w:rPr>
      </w:pPr>
    </w:p>
    <w:p w14:paraId="7771502F">
      <w:pPr>
        <w:pStyle w:val="36"/>
        <w:rPr>
          <w:rFonts w:ascii="宋体" w:hAnsi="宋体" w:cs="宋体"/>
          <w:color w:val="auto"/>
          <w:sz w:val="22"/>
          <w:szCs w:val="22"/>
          <w:highlight w:val="none"/>
        </w:rPr>
      </w:pPr>
    </w:p>
    <w:p w14:paraId="317EB8F8">
      <w:pPr>
        <w:pStyle w:val="36"/>
        <w:rPr>
          <w:rFonts w:ascii="宋体" w:hAnsi="宋体" w:cs="宋体"/>
          <w:color w:val="auto"/>
          <w:sz w:val="22"/>
          <w:szCs w:val="22"/>
          <w:highlight w:val="none"/>
        </w:rPr>
      </w:pPr>
    </w:p>
    <w:p w14:paraId="67A1DC02">
      <w:pPr>
        <w:pStyle w:val="36"/>
        <w:rPr>
          <w:rFonts w:ascii="宋体" w:hAnsi="宋体" w:cs="宋体"/>
          <w:color w:val="auto"/>
          <w:sz w:val="22"/>
          <w:szCs w:val="22"/>
          <w:highlight w:val="none"/>
        </w:rPr>
      </w:pPr>
    </w:p>
    <w:p w14:paraId="55C965F8">
      <w:pPr>
        <w:pStyle w:val="36"/>
        <w:rPr>
          <w:rFonts w:ascii="宋体" w:hAnsi="宋体" w:cs="宋体"/>
          <w:color w:val="auto"/>
          <w:sz w:val="22"/>
          <w:szCs w:val="22"/>
          <w:highlight w:val="none"/>
        </w:rPr>
      </w:pPr>
    </w:p>
    <w:p w14:paraId="114FEB24">
      <w:pPr>
        <w:pStyle w:val="36"/>
        <w:rPr>
          <w:rFonts w:ascii="宋体" w:hAnsi="宋体" w:cs="宋体"/>
          <w:color w:val="auto"/>
          <w:sz w:val="22"/>
          <w:szCs w:val="22"/>
          <w:highlight w:val="none"/>
        </w:rPr>
      </w:pPr>
    </w:p>
    <w:p w14:paraId="6F841A92">
      <w:pPr>
        <w:pStyle w:val="36"/>
        <w:rPr>
          <w:rFonts w:ascii="宋体" w:hAnsi="宋体" w:cs="宋体"/>
          <w:color w:val="auto"/>
          <w:sz w:val="22"/>
          <w:szCs w:val="22"/>
          <w:highlight w:val="none"/>
        </w:rPr>
      </w:pPr>
    </w:p>
    <w:p w14:paraId="4E6680BD">
      <w:pPr>
        <w:pStyle w:val="36"/>
        <w:rPr>
          <w:rFonts w:ascii="宋体" w:hAnsi="宋体" w:cs="宋体"/>
          <w:color w:val="auto"/>
          <w:sz w:val="22"/>
          <w:szCs w:val="22"/>
          <w:highlight w:val="none"/>
        </w:rPr>
      </w:pPr>
    </w:p>
    <w:p w14:paraId="3EDDEA2B">
      <w:pPr>
        <w:pStyle w:val="36"/>
        <w:rPr>
          <w:rFonts w:ascii="宋体" w:hAnsi="宋体" w:cs="宋体"/>
          <w:color w:val="auto"/>
          <w:sz w:val="22"/>
          <w:szCs w:val="22"/>
          <w:highlight w:val="none"/>
        </w:rPr>
      </w:pPr>
    </w:p>
    <w:p w14:paraId="30E7E349">
      <w:pPr>
        <w:pStyle w:val="36"/>
        <w:rPr>
          <w:rFonts w:ascii="宋体" w:hAnsi="宋体" w:cs="宋体"/>
          <w:color w:val="auto"/>
          <w:sz w:val="22"/>
          <w:szCs w:val="22"/>
          <w:highlight w:val="none"/>
        </w:rPr>
      </w:pPr>
    </w:p>
    <w:p w14:paraId="2A51C887">
      <w:pPr>
        <w:pStyle w:val="36"/>
        <w:rPr>
          <w:rFonts w:ascii="宋体" w:hAnsi="宋体" w:cs="宋体"/>
          <w:color w:val="auto"/>
          <w:sz w:val="22"/>
          <w:szCs w:val="22"/>
          <w:highlight w:val="none"/>
        </w:rPr>
      </w:pPr>
    </w:p>
    <w:p w14:paraId="268C7F23">
      <w:pPr>
        <w:pStyle w:val="36"/>
        <w:rPr>
          <w:rFonts w:ascii="宋体" w:hAnsi="宋体" w:cs="宋体"/>
          <w:color w:val="auto"/>
          <w:sz w:val="22"/>
          <w:szCs w:val="22"/>
          <w:highlight w:val="none"/>
        </w:rPr>
      </w:pPr>
    </w:p>
    <w:p w14:paraId="720972C9">
      <w:pPr>
        <w:pStyle w:val="36"/>
        <w:rPr>
          <w:rFonts w:ascii="宋体" w:hAnsi="宋体" w:cs="宋体"/>
          <w:color w:val="auto"/>
          <w:sz w:val="22"/>
          <w:szCs w:val="22"/>
          <w:highlight w:val="none"/>
        </w:rPr>
      </w:pPr>
    </w:p>
    <w:p w14:paraId="3353C1BF">
      <w:pPr>
        <w:pStyle w:val="36"/>
        <w:rPr>
          <w:rFonts w:ascii="宋体" w:hAnsi="宋体" w:cs="宋体"/>
          <w:color w:val="auto"/>
          <w:sz w:val="22"/>
          <w:szCs w:val="22"/>
          <w:highlight w:val="none"/>
        </w:rPr>
      </w:pPr>
    </w:p>
    <w:p w14:paraId="66089C76">
      <w:pPr>
        <w:pStyle w:val="36"/>
        <w:rPr>
          <w:rFonts w:ascii="宋体" w:hAnsi="宋体" w:cs="宋体"/>
          <w:color w:val="auto"/>
          <w:sz w:val="22"/>
          <w:szCs w:val="22"/>
          <w:highlight w:val="none"/>
        </w:rPr>
      </w:pPr>
    </w:p>
    <w:p w14:paraId="3EF23535">
      <w:pPr>
        <w:pStyle w:val="36"/>
        <w:rPr>
          <w:rFonts w:ascii="宋体" w:hAnsi="宋体" w:cs="宋体"/>
          <w:color w:val="auto"/>
          <w:sz w:val="22"/>
          <w:szCs w:val="22"/>
          <w:highlight w:val="none"/>
        </w:rPr>
      </w:pPr>
    </w:p>
    <w:p w14:paraId="48144CCA">
      <w:pPr>
        <w:pStyle w:val="36"/>
        <w:spacing w:line="480" w:lineRule="auto"/>
        <w:rPr>
          <w:rFonts w:ascii="宋体" w:hAnsi="宋体" w:cs="宋体"/>
          <w:color w:val="auto"/>
          <w:sz w:val="24"/>
          <w:highlight w:val="none"/>
        </w:rPr>
      </w:pP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、售后服务方案</w:t>
      </w:r>
      <w:r>
        <w:rPr>
          <w:rFonts w:hint="eastAsia" w:ascii="宋体" w:hAnsi="宋体" w:cs="宋体"/>
          <w:b w:val="0"/>
          <w:bCs/>
          <w:color w:val="auto"/>
          <w:kern w:val="0"/>
          <w:szCs w:val="21"/>
          <w:highlight w:val="none"/>
        </w:rPr>
        <w:t>【</w:t>
      </w:r>
      <w:r>
        <w:rPr>
          <w:rFonts w:hint="eastAsia" w:hAnsi="宋体" w:cs="宋体"/>
          <w:bCs/>
          <w:color w:val="auto"/>
          <w:szCs w:val="21"/>
          <w:highlight w:val="none"/>
        </w:rPr>
        <w:t>包含但不限于：①到达故障现场时间、故障出现解决方案、②定期维护 （注明时间）、③售后服务承诺、④保修期（免费软件升级期）外维修方案、⑤其他增值售后服务或其它实质性优惠措施等</w:t>
      </w:r>
      <w:r>
        <w:rPr>
          <w:rFonts w:hint="eastAsia" w:ascii="宋体" w:hAnsi="宋体" w:cs="宋体"/>
          <w:b w:val="0"/>
          <w:bCs/>
          <w:color w:val="auto"/>
          <w:kern w:val="0"/>
          <w:szCs w:val="21"/>
          <w:highlight w:val="none"/>
        </w:rPr>
        <w:t>】</w:t>
      </w:r>
      <w:r>
        <w:rPr>
          <w:rFonts w:hint="eastAsia" w:ascii="宋体" w:hAnsi="宋体" w:cs="宋体"/>
          <w:b/>
          <w:bCs/>
          <w:color w:val="auto"/>
          <w:sz w:val="24"/>
          <w:highlight w:val="none"/>
        </w:rPr>
        <w:t>（必须提供）</w:t>
      </w:r>
    </w:p>
    <w:p w14:paraId="186D459E">
      <w:pPr>
        <w:rPr>
          <w:rFonts w:ascii="宋体" w:hAnsi="宋体" w:cs="宋体"/>
          <w:b/>
          <w:bCs/>
          <w:color w:val="auto"/>
          <w:sz w:val="24"/>
          <w:highlight w:val="none"/>
        </w:rPr>
      </w:pPr>
    </w:p>
    <w:p w14:paraId="6BC63E62">
      <w:pPr>
        <w:spacing w:before="255"/>
        <w:ind w:left="3089" w:right="92"/>
        <w:rPr>
          <w:rFonts w:ascii="宋体" w:hAnsi="宋体" w:cs="宋体"/>
          <w:color w:val="auto"/>
          <w:sz w:val="24"/>
          <w:highlight w:val="none"/>
        </w:rPr>
      </w:pPr>
      <w:r>
        <w:rPr>
          <w:rFonts w:hint="eastAsia" w:ascii="宋体" w:hAnsi="宋体" w:cs="宋体"/>
          <w:b/>
          <w:bCs/>
          <w:color w:val="auto"/>
          <w:sz w:val="24"/>
          <w:highlight w:val="none"/>
        </w:rPr>
        <w:t>售后服务方案（格式）</w:t>
      </w:r>
    </w:p>
    <w:p w14:paraId="1F412880">
      <w:pPr>
        <w:rPr>
          <w:rFonts w:ascii="宋体" w:hAnsi="宋体" w:cs="宋体"/>
          <w:b/>
          <w:bCs/>
          <w:color w:val="auto"/>
          <w:sz w:val="32"/>
          <w:szCs w:val="32"/>
          <w:highlight w:val="none"/>
        </w:rPr>
      </w:pPr>
    </w:p>
    <w:p w14:paraId="668D6748">
      <w:pPr>
        <w:pStyle w:val="36"/>
        <w:rPr>
          <w:rFonts w:ascii="宋体" w:hAnsi="宋体" w:cs="宋体"/>
          <w:b/>
          <w:bCs/>
          <w:color w:val="auto"/>
          <w:szCs w:val="21"/>
          <w:highlight w:val="none"/>
        </w:rPr>
      </w:pPr>
    </w:p>
    <w:p w14:paraId="1F2A92A7">
      <w:pPr>
        <w:pStyle w:val="2"/>
        <w:tabs>
          <w:tab w:val="left" w:pos="9092"/>
        </w:tabs>
        <w:ind w:left="1798" w:right="92"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投标人（CA证书签章）：</w:t>
      </w:r>
      <w:r>
        <w:rPr>
          <w:rFonts w:hint="eastAsia" w:ascii="宋体" w:hAnsi="宋体" w:eastAsia="宋体" w:cs="宋体"/>
          <w:color w:val="auto"/>
          <w:sz w:val="21"/>
          <w:szCs w:val="21"/>
          <w:highlight w:val="none"/>
          <w:u w:val="single"/>
        </w:rPr>
        <w:t xml:space="preserve">                   </w:t>
      </w:r>
    </w:p>
    <w:p w14:paraId="7652D23C">
      <w:pPr>
        <w:spacing w:before="8"/>
        <w:rPr>
          <w:rFonts w:ascii="宋体" w:hAnsi="宋体" w:cs="宋体"/>
          <w:color w:val="auto"/>
          <w:szCs w:val="21"/>
          <w:highlight w:val="none"/>
        </w:rPr>
      </w:pPr>
    </w:p>
    <w:p w14:paraId="7E7C3465">
      <w:pPr>
        <w:pStyle w:val="2"/>
        <w:tabs>
          <w:tab w:val="left" w:pos="9092"/>
        </w:tabs>
        <w:spacing w:before="123"/>
        <w:ind w:left="1798" w:right="92" w:firstLine="1260" w:firstLineChars="6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法定代表人、负责人、自然人或相应的委托代理人签字（或个人CA证书签章）：</w:t>
      </w:r>
      <w:r>
        <w:rPr>
          <w:rFonts w:hint="eastAsia" w:ascii="宋体" w:hAnsi="宋体" w:eastAsia="宋体" w:cs="宋体"/>
          <w:color w:val="auto"/>
          <w:sz w:val="21"/>
          <w:szCs w:val="21"/>
          <w:highlight w:val="none"/>
          <w:u w:val="single"/>
        </w:rPr>
        <w:t xml:space="preserve">            </w:t>
      </w:r>
    </w:p>
    <w:p w14:paraId="6210DEAC">
      <w:pPr>
        <w:spacing w:before="3"/>
        <w:rPr>
          <w:rFonts w:ascii="宋体" w:hAnsi="宋体" w:cs="宋体"/>
          <w:color w:val="auto"/>
          <w:szCs w:val="21"/>
          <w:highlight w:val="none"/>
        </w:rPr>
      </w:pPr>
    </w:p>
    <w:p w14:paraId="0301E6CB">
      <w:pPr>
        <w:pStyle w:val="36"/>
        <w:ind w:firstLine="3360" w:firstLineChars="1600"/>
        <w:rPr>
          <w:rFonts w:ascii="宋体" w:hAnsi="宋体" w:cs="宋体"/>
          <w:color w:val="auto"/>
          <w:szCs w:val="21"/>
          <w:highlight w:val="none"/>
        </w:rPr>
        <w:sectPr>
          <w:footerReference r:id="rId12" w:type="default"/>
          <w:pgSz w:w="11906" w:h="16838"/>
          <w:pgMar w:top="1440" w:right="935" w:bottom="1440" w:left="779" w:header="851" w:footer="992" w:gutter="0"/>
          <w:cols w:space="720" w:num="1"/>
          <w:docGrid w:type="linesAndChars" w:linePitch="312" w:charSpace="0"/>
        </w:sectPr>
      </w:pPr>
      <w:r>
        <w:rPr>
          <w:rFonts w:hint="eastAsia" w:ascii="宋体" w:hAnsi="宋体" w:cs="宋体"/>
          <w:color w:val="auto"/>
          <w:szCs w:val="21"/>
          <w:highlight w:val="none"/>
        </w:rPr>
        <w:t xml:space="preserve">日  </w:t>
      </w:r>
      <w:r>
        <w:rPr>
          <w:rFonts w:hint="eastAsia" w:ascii="宋体" w:hAnsi="宋体" w:cs="宋体"/>
          <w:color w:val="auto"/>
          <w:szCs w:val="21"/>
          <w:highlight w:val="none"/>
        </w:rPr>
        <w:tab/>
      </w:r>
      <w:r>
        <w:rPr>
          <w:rFonts w:hint="eastAsia" w:ascii="宋体" w:hAnsi="宋体" w:cs="宋体"/>
          <w:color w:val="auto"/>
          <w:szCs w:val="21"/>
          <w:highlight w:val="none"/>
        </w:rPr>
        <w:t>期：</w:t>
      </w:r>
    </w:p>
    <w:p w14:paraId="1AEF1F6F">
      <w:pPr>
        <w:rPr>
          <w:color w:val="auto"/>
          <w:highlight w:val="none"/>
        </w:rPr>
      </w:pPr>
    </w:p>
    <w:p w14:paraId="130752F2">
      <w:pPr>
        <w:spacing w:line="409" w:lineRule="exact"/>
        <w:ind w:right="92"/>
        <w:rPr>
          <w:rFonts w:ascii="宋体" w:hAnsi="宋体" w:cs="宋体"/>
          <w:b/>
          <w:bCs/>
          <w:color w:val="auto"/>
          <w:sz w:val="24"/>
          <w:highlight w:val="none"/>
        </w:rPr>
      </w:pP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、中小企业有效证明材料（如有，请提供）。</w:t>
      </w:r>
    </w:p>
    <w:p w14:paraId="2495AFC8">
      <w:pPr>
        <w:spacing w:line="400" w:lineRule="exact"/>
        <w:ind w:firstLine="480"/>
        <w:rPr>
          <w:rFonts w:ascii="宋体" w:hAnsi="宋体"/>
          <w:color w:val="auto"/>
          <w:highlight w:val="none"/>
        </w:rPr>
      </w:pPr>
    </w:p>
    <w:p w14:paraId="1BAB1AE8">
      <w:pPr>
        <w:spacing w:line="400" w:lineRule="exact"/>
        <w:ind w:firstLine="480"/>
        <w:rPr>
          <w:rFonts w:ascii="宋体" w:hAnsi="宋体"/>
          <w:b/>
          <w:bCs/>
          <w:color w:val="auto"/>
          <w:highlight w:val="none"/>
        </w:rPr>
      </w:pPr>
      <w:r>
        <w:rPr>
          <w:rFonts w:hint="eastAsia" w:ascii="宋体" w:hAnsi="宋体"/>
          <w:b/>
          <w:bCs/>
          <w:color w:val="auto"/>
          <w:highlight w:val="none"/>
          <w:lang w:val="en-US" w:eastAsia="zh-CN"/>
        </w:rPr>
        <w:t>5</w:t>
      </w:r>
      <w:r>
        <w:rPr>
          <w:rFonts w:hint="eastAsia" w:ascii="宋体" w:hAnsi="宋体"/>
          <w:b/>
          <w:bCs/>
          <w:color w:val="auto"/>
          <w:highlight w:val="none"/>
        </w:rPr>
        <w:t>.1.中小企业声明函（如供应商为中小微型企业的，格式见附件，供应商对出具的声明函真实性负责，成交结果将同时公告企业《中小企业声明函》，接受社会监督；</w:t>
      </w:r>
    </w:p>
    <w:p w14:paraId="3720FD47">
      <w:pPr>
        <w:snapToGrid w:val="0"/>
        <w:spacing w:after="160" w:line="360" w:lineRule="exact"/>
        <w:jc w:val="left"/>
        <w:rPr>
          <w:rFonts w:ascii="宋体" w:hAnsi="宋体" w:cs="宋体"/>
          <w:b/>
          <w:bCs/>
          <w:color w:val="auto"/>
          <w:sz w:val="24"/>
          <w:highlight w:val="none"/>
        </w:rPr>
      </w:pPr>
    </w:p>
    <w:p w14:paraId="4FBF92A3">
      <w:pPr>
        <w:snapToGrid w:val="0"/>
        <w:spacing w:after="160" w:line="360" w:lineRule="exact"/>
        <w:ind w:left="937" w:hanging="525"/>
        <w:jc w:val="left"/>
        <w:rPr>
          <w:rFonts w:ascii="宋体" w:hAnsi="宋体" w:cs="宋体"/>
          <w:b/>
          <w:bCs/>
          <w:color w:val="auto"/>
          <w:sz w:val="24"/>
          <w:highlight w:val="none"/>
        </w:rPr>
      </w:pPr>
      <w:r>
        <w:rPr>
          <w:rFonts w:hint="eastAsia" w:ascii="宋体" w:hAnsi="宋体" w:cs="宋体"/>
          <w:b/>
          <w:bCs/>
          <w:color w:val="auto"/>
          <w:sz w:val="24"/>
          <w:highlight w:val="none"/>
        </w:rPr>
        <w:t>附件一：</w:t>
      </w:r>
    </w:p>
    <w:p w14:paraId="78A6570C">
      <w:pPr>
        <w:pStyle w:val="39"/>
        <w:spacing w:after="0" w:line="400" w:lineRule="exact"/>
        <w:rPr>
          <w:b/>
          <w:color w:val="auto"/>
          <w:sz w:val="24"/>
          <w:szCs w:val="24"/>
          <w:highlight w:val="none"/>
        </w:rPr>
      </w:pPr>
      <w:r>
        <w:rPr>
          <w:rFonts w:hint="eastAsia"/>
          <w:b/>
          <w:color w:val="auto"/>
          <w:sz w:val="24"/>
          <w:szCs w:val="24"/>
          <w:highlight w:val="none"/>
        </w:rPr>
        <w:t>中小企业声明函(格式)</w:t>
      </w:r>
    </w:p>
    <w:p w14:paraId="77B2D293">
      <w:pPr>
        <w:pStyle w:val="39"/>
        <w:spacing w:after="0" w:line="400" w:lineRule="exact"/>
        <w:rPr>
          <w:color w:val="auto"/>
          <w:sz w:val="21"/>
          <w:szCs w:val="21"/>
          <w:highlight w:val="none"/>
        </w:rPr>
      </w:pPr>
    </w:p>
    <w:p w14:paraId="34B5A71C">
      <w:pPr>
        <w:spacing w:line="500" w:lineRule="exact"/>
        <w:ind w:firstLine="480"/>
        <w:rPr>
          <w:rFonts w:ascii="宋体" w:hAnsi="宋体"/>
          <w:color w:val="auto"/>
          <w:highlight w:val="none"/>
        </w:rPr>
      </w:pPr>
      <w:r>
        <w:rPr>
          <w:rFonts w:hint="eastAsia" w:ascii="宋体" w:hAnsi="宋体"/>
          <w:color w:val="auto"/>
          <w:highlight w:val="none"/>
        </w:rPr>
        <w:t>本公司（联合体）郑重声明，根据《政府采购促进中小企业发展管理办法》（财库﹝2020﹞46 号）的规定，本公司（联合体）参加</w:t>
      </w:r>
      <w:r>
        <w:rPr>
          <w:rFonts w:hint="eastAsia" w:ascii="宋体" w:hAnsi="宋体"/>
          <w:color w:val="auto"/>
          <w:highlight w:val="none"/>
          <w:u w:val="single"/>
        </w:rPr>
        <w:t>（单位名称）</w:t>
      </w:r>
      <w:r>
        <w:rPr>
          <w:rFonts w:hint="eastAsia" w:ascii="宋体" w:hAnsi="宋体"/>
          <w:color w:val="auto"/>
          <w:highlight w:val="none"/>
        </w:rPr>
        <w:t>的</w:t>
      </w:r>
      <w:r>
        <w:rPr>
          <w:rFonts w:hint="eastAsia" w:ascii="宋体" w:hAnsi="宋体"/>
          <w:color w:val="auto"/>
          <w:highlight w:val="none"/>
          <w:u w:val="single"/>
        </w:rPr>
        <w:t>（项目名称）</w:t>
      </w:r>
      <w:r>
        <w:rPr>
          <w:rFonts w:hint="eastAsia" w:ascii="宋体" w:hAnsi="宋体"/>
          <w:color w:val="auto"/>
          <w:highlight w:val="none"/>
        </w:rPr>
        <w:t>采购活动，提供的货物全部由符合政策要求的中小企业制造。相关企业（含联合体中的中小企业、签订分包意向协议的中小企业）的具体情况如下：</w:t>
      </w:r>
    </w:p>
    <w:p w14:paraId="17B9986B">
      <w:pPr>
        <w:spacing w:line="500" w:lineRule="exact"/>
        <w:ind w:firstLine="480"/>
        <w:rPr>
          <w:rFonts w:ascii="宋体" w:hAnsi="宋体"/>
          <w:color w:val="auto"/>
          <w:highlight w:val="none"/>
        </w:rPr>
      </w:pPr>
      <w:r>
        <w:rPr>
          <w:rFonts w:hint="eastAsia" w:ascii="宋体" w:hAnsi="宋体"/>
          <w:color w:val="auto"/>
          <w:highlight w:val="none"/>
        </w:rPr>
        <w:t xml:space="preserve">1. </w:t>
      </w:r>
      <w:r>
        <w:rPr>
          <w:rFonts w:hint="eastAsia" w:ascii="宋体" w:hAnsi="宋体"/>
          <w:color w:val="auto"/>
          <w:highlight w:val="none"/>
          <w:u w:val="single"/>
        </w:rPr>
        <w:t xml:space="preserve">（标的名称） </w:t>
      </w:r>
      <w:r>
        <w:rPr>
          <w:rFonts w:hint="eastAsia" w:ascii="宋体" w:hAnsi="宋体"/>
          <w:color w:val="auto"/>
          <w:highlight w:val="none"/>
        </w:rPr>
        <w:t>，属于</w:t>
      </w:r>
      <w:r>
        <w:rPr>
          <w:rFonts w:hint="eastAsia" w:ascii="宋体" w:hAnsi="宋体"/>
          <w:color w:val="auto"/>
          <w:highlight w:val="none"/>
          <w:u w:val="single"/>
        </w:rPr>
        <w:t>（采购文件中明确的所属行业）</w:t>
      </w:r>
      <w:r>
        <w:rPr>
          <w:rFonts w:hint="eastAsia" w:ascii="宋体" w:hAnsi="宋体"/>
          <w:color w:val="auto"/>
          <w:highlight w:val="none"/>
        </w:rPr>
        <w:t>行业；制造商为</w:t>
      </w:r>
      <w:r>
        <w:rPr>
          <w:rFonts w:hint="eastAsia" w:ascii="宋体" w:hAnsi="宋体"/>
          <w:color w:val="auto"/>
          <w:highlight w:val="none"/>
          <w:u w:val="single"/>
        </w:rPr>
        <w:t>（企业名称）</w:t>
      </w:r>
      <w:r>
        <w:rPr>
          <w:rFonts w:hint="eastAsia" w:ascii="宋体" w:hAnsi="宋体"/>
          <w:color w:val="auto"/>
          <w:highlight w:val="none"/>
        </w:rPr>
        <w:t>，从业人员</w:t>
      </w:r>
      <w:r>
        <w:rPr>
          <w:rFonts w:hint="eastAsia" w:ascii="宋体" w:hAnsi="宋体"/>
          <w:color w:val="auto"/>
          <w:highlight w:val="none"/>
          <w:u w:val="single"/>
        </w:rPr>
        <w:t xml:space="preserve">     </w:t>
      </w:r>
      <w:r>
        <w:rPr>
          <w:rFonts w:hint="eastAsia" w:ascii="宋体" w:hAnsi="宋体"/>
          <w:color w:val="auto"/>
          <w:highlight w:val="none"/>
        </w:rPr>
        <w:t>人，营业收入为</w:t>
      </w:r>
      <w:r>
        <w:rPr>
          <w:rFonts w:hint="eastAsia" w:ascii="宋体" w:hAnsi="宋体"/>
          <w:color w:val="auto"/>
          <w:highlight w:val="none"/>
          <w:u w:val="single"/>
        </w:rPr>
        <w:t xml:space="preserve">     </w:t>
      </w:r>
      <w:r>
        <w:rPr>
          <w:rFonts w:hint="eastAsia" w:ascii="宋体" w:hAnsi="宋体"/>
          <w:color w:val="auto"/>
          <w:highlight w:val="none"/>
        </w:rPr>
        <w:t>万元，资产总额为</w:t>
      </w:r>
      <w:r>
        <w:rPr>
          <w:rFonts w:hint="eastAsia" w:ascii="宋体" w:hAnsi="宋体"/>
          <w:color w:val="auto"/>
          <w:highlight w:val="none"/>
          <w:u w:val="single"/>
        </w:rPr>
        <w:t xml:space="preserve">     </w:t>
      </w:r>
      <w:r>
        <w:rPr>
          <w:rFonts w:hint="eastAsia" w:ascii="宋体" w:hAnsi="宋体"/>
          <w:color w:val="auto"/>
          <w:highlight w:val="none"/>
        </w:rPr>
        <w:t>万元，属于（中型企业、小型企业、微型企业）；</w:t>
      </w:r>
    </w:p>
    <w:p w14:paraId="25403F01">
      <w:pPr>
        <w:spacing w:line="500" w:lineRule="exact"/>
        <w:ind w:firstLine="480"/>
        <w:rPr>
          <w:rFonts w:ascii="宋体" w:hAnsi="宋体"/>
          <w:color w:val="auto"/>
          <w:highlight w:val="none"/>
        </w:rPr>
      </w:pPr>
      <w:r>
        <w:rPr>
          <w:rFonts w:hint="eastAsia" w:ascii="宋体" w:hAnsi="宋体"/>
          <w:color w:val="auto"/>
          <w:highlight w:val="none"/>
        </w:rPr>
        <w:t xml:space="preserve">2. </w:t>
      </w:r>
      <w:r>
        <w:rPr>
          <w:rFonts w:hint="eastAsia" w:ascii="宋体" w:hAnsi="宋体"/>
          <w:color w:val="auto"/>
          <w:highlight w:val="none"/>
          <w:u w:val="single"/>
        </w:rPr>
        <w:t xml:space="preserve">（标的名称） </w:t>
      </w:r>
      <w:r>
        <w:rPr>
          <w:rFonts w:hint="eastAsia" w:ascii="宋体" w:hAnsi="宋体"/>
          <w:color w:val="auto"/>
          <w:highlight w:val="none"/>
        </w:rPr>
        <w:t>，属于</w:t>
      </w:r>
      <w:r>
        <w:rPr>
          <w:rFonts w:hint="eastAsia" w:ascii="宋体" w:hAnsi="宋体"/>
          <w:color w:val="auto"/>
          <w:highlight w:val="none"/>
          <w:u w:val="single"/>
        </w:rPr>
        <w:t>（采购文件中明确的所属行业）</w:t>
      </w:r>
      <w:r>
        <w:rPr>
          <w:rFonts w:hint="eastAsia" w:ascii="宋体" w:hAnsi="宋体"/>
          <w:color w:val="auto"/>
          <w:highlight w:val="none"/>
        </w:rPr>
        <w:t>行业；制造商为</w:t>
      </w:r>
      <w:r>
        <w:rPr>
          <w:rFonts w:hint="eastAsia" w:ascii="宋体" w:hAnsi="宋体"/>
          <w:color w:val="auto"/>
          <w:highlight w:val="none"/>
          <w:u w:val="single"/>
        </w:rPr>
        <w:t>（企业名称）</w:t>
      </w:r>
      <w:r>
        <w:rPr>
          <w:rFonts w:hint="eastAsia" w:ascii="宋体" w:hAnsi="宋体"/>
          <w:color w:val="auto"/>
          <w:highlight w:val="none"/>
        </w:rPr>
        <w:t>，从业人员</w:t>
      </w:r>
      <w:r>
        <w:rPr>
          <w:rFonts w:hint="eastAsia" w:ascii="宋体" w:hAnsi="宋体"/>
          <w:color w:val="auto"/>
          <w:highlight w:val="none"/>
          <w:u w:val="single"/>
        </w:rPr>
        <w:t xml:space="preserve">     </w:t>
      </w:r>
      <w:r>
        <w:rPr>
          <w:rFonts w:hint="eastAsia" w:ascii="宋体" w:hAnsi="宋体"/>
          <w:color w:val="auto"/>
          <w:highlight w:val="none"/>
        </w:rPr>
        <w:t>人，营业收入为</w:t>
      </w:r>
      <w:r>
        <w:rPr>
          <w:rFonts w:hint="eastAsia" w:ascii="宋体" w:hAnsi="宋体"/>
          <w:color w:val="auto"/>
          <w:highlight w:val="none"/>
          <w:u w:val="single"/>
        </w:rPr>
        <w:t xml:space="preserve">     </w:t>
      </w:r>
      <w:r>
        <w:rPr>
          <w:rFonts w:hint="eastAsia" w:ascii="宋体" w:hAnsi="宋体"/>
          <w:color w:val="auto"/>
          <w:highlight w:val="none"/>
        </w:rPr>
        <w:t>万元，资产总额为</w:t>
      </w:r>
      <w:r>
        <w:rPr>
          <w:rFonts w:hint="eastAsia" w:ascii="宋体" w:hAnsi="宋体"/>
          <w:color w:val="auto"/>
          <w:highlight w:val="none"/>
          <w:u w:val="single"/>
        </w:rPr>
        <w:t xml:space="preserve">     </w:t>
      </w:r>
      <w:r>
        <w:rPr>
          <w:rFonts w:hint="eastAsia" w:ascii="宋体" w:hAnsi="宋体"/>
          <w:color w:val="auto"/>
          <w:highlight w:val="none"/>
        </w:rPr>
        <w:t>万元，属于（中型企业、小型企业、微型企业）；</w:t>
      </w:r>
    </w:p>
    <w:p w14:paraId="5E7A0910">
      <w:pPr>
        <w:spacing w:line="500" w:lineRule="exact"/>
        <w:ind w:firstLine="480"/>
        <w:rPr>
          <w:rFonts w:ascii="宋体" w:hAnsi="宋体"/>
          <w:color w:val="auto"/>
          <w:highlight w:val="none"/>
        </w:rPr>
      </w:pPr>
      <w:r>
        <w:rPr>
          <w:rFonts w:hint="eastAsia" w:ascii="宋体" w:hAnsi="宋体"/>
          <w:color w:val="auto"/>
          <w:highlight w:val="none"/>
        </w:rPr>
        <w:t>……</w:t>
      </w:r>
    </w:p>
    <w:p w14:paraId="34BC4490">
      <w:pPr>
        <w:spacing w:line="500" w:lineRule="exact"/>
        <w:ind w:firstLine="480"/>
        <w:rPr>
          <w:rFonts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7F83B4D6">
      <w:pPr>
        <w:spacing w:before="25" w:after="120" w:line="500" w:lineRule="exact"/>
        <w:ind w:right="142" w:firstLine="442"/>
        <w:rPr>
          <w:rFonts w:ascii="宋体" w:hAnsi="宋体" w:cs="宋体"/>
          <w:color w:val="auto"/>
          <w:spacing w:val="-10"/>
          <w:szCs w:val="21"/>
          <w:highlight w:val="none"/>
        </w:rPr>
      </w:pPr>
      <w:r>
        <w:rPr>
          <w:rFonts w:hint="eastAsia" w:ascii="宋体" w:hAnsi="宋体"/>
          <w:color w:val="auto"/>
          <w:highlight w:val="none"/>
        </w:rPr>
        <w:t>本企业对上述声明内容的真实性负责。如有虚假，将依法承担相应责任。</w:t>
      </w:r>
    </w:p>
    <w:p w14:paraId="65759AEB">
      <w:pPr>
        <w:tabs>
          <w:tab w:val="left" w:pos="4860"/>
        </w:tabs>
        <w:spacing w:line="588" w:lineRule="exact"/>
        <w:ind w:right="1560" w:firstLine="640"/>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企业名称[公章（CA签章）]： </w:t>
      </w:r>
    </w:p>
    <w:p w14:paraId="5342E9FC">
      <w:pPr>
        <w:tabs>
          <w:tab w:val="left" w:pos="4860"/>
        </w:tabs>
        <w:spacing w:line="588" w:lineRule="exact"/>
        <w:ind w:right="1560" w:firstLine="640"/>
        <w:jc w:val="center"/>
        <w:rPr>
          <w:rFonts w:ascii="宋体" w:hAnsi="宋体"/>
          <w:b/>
          <w:color w:val="auto"/>
          <w:kern w:val="0"/>
          <w:szCs w:val="21"/>
          <w:highlight w:val="none"/>
        </w:rPr>
      </w:pPr>
      <w:r>
        <w:rPr>
          <w:rFonts w:hint="eastAsia" w:ascii="宋体" w:hAnsi="宋体" w:cs="宋体"/>
          <w:color w:val="auto"/>
          <w:kern w:val="0"/>
          <w:szCs w:val="21"/>
          <w:highlight w:val="none"/>
        </w:rPr>
        <w:t>日 期：</w:t>
      </w:r>
      <w:r>
        <w:rPr>
          <w:rFonts w:hint="eastAsia" w:ascii="宋体" w:hAnsi="宋体" w:cs="宋体"/>
          <w:color w:val="auto"/>
          <w:highlight w:val="none"/>
          <w:u w:val="single"/>
        </w:rPr>
        <w:t xml:space="preserve">               </w:t>
      </w:r>
    </w:p>
    <w:p w14:paraId="44D0905F">
      <w:pPr>
        <w:spacing w:line="400" w:lineRule="exact"/>
        <w:rPr>
          <w:rFonts w:ascii="宋体" w:hAnsi="宋体"/>
          <w:b/>
          <w:color w:val="auto"/>
          <w:kern w:val="0"/>
          <w:szCs w:val="21"/>
          <w:highlight w:val="none"/>
        </w:rPr>
      </w:pPr>
    </w:p>
    <w:p w14:paraId="404217B9">
      <w:pPr>
        <w:spacing w:line="400" w:lineRule="exact"/>
        <w:rPr>
          <w:rFonts w:ascii="宋体" w:hAnsi="宋体"/>
          <w:b/>
          <w:color w:val="auto"/>
          <w:kern w:val="0"/>
          <w:szCs w:val="21"/>
          <w:highlight w:val="none"/>
        </w:rPr>
      </w:pPr>
      <w:r>
        <w:rPr>
          <w:rFonts w:hint="eastAsia" w:ascii="宋体" w:hAnsi="宋体"/>
          <w:b/>
          <w:color w:val="auto"/>
          <w:kern w:val="0"/>
          <w:szCs w:val="21"/>
          <w:highlight w:val="none"/>
        </w:rPr>
        <w:t>注：</w:t>
      </w:r>
    </w:p>
    <w:p w14:paraId="61E082CD">
      <w:pPr>
        <w:spacing w:line="400" w:lineRule="exact"/>
        <w:ind w:left="210" w:leftChars="100" w:firstLine="422" w:firstLineChars="200"/>
        <w:rPr>
          <w:rFonts w:ascii="宋体" w:hAnsi="宋体"/>
          <w:b/>
          <w:color w:val="auto"/>
          <w:kern w:val="0"/>
          <w:szCs w:val="21"/>
          <w:highlight w:val="none"/>
        </w:rPr>
      </w:pPr>
      <w:r>
        <w:rPr>
          <w:rFonts w:hint="eastAsia" w:ascii="宋体" w:hAnsi="宋体"/>
          <w:b/>
          <w:color w:val="auto"/>
          <w:kern w:val="0"/>
          <w:szCs w:val="21"/>
          <w:highlight w:val="none"/>
        </w:rPr>
        <w:t>1.从业人员、营业收入、资产总额填报上一年度数据，无上一年度数据的新成立企业可不填报。</w:t>
      </w:r>
    </w:p>
    <w:p w14:paraId="04E67709">
      <w:pPr>
        <w:spacing w:line="400" w:lineRule="exact"/>
        <w:ind w:firstLine="632" w:firstLineChars="300"/>
        <w:rPr>
          <w:rFonts w:ascii="宋体" w:hAnsi="宋体"/>
          <w:b/>
          <w:color w:val="auto"/>
          <w:kern w:val="0"/>
          <w:szCs w:val="21"/>
          <w:highlight w:val="none"/>
        </w:rPr>
      </w:pPr>
      <w:r>
        <w:rPr>
          <w:rFonts w:hint="eastAsia" w:ascii="宋体" w:hAnsi="宋体"/>
          <w:b/>
          <w:color w:val="auto"/>
          <w:kern w:val="0"/>
          <w:szCs w:val="21"/>
          <w:highlight w:val="none"/>
        </w:rPr>
        <w:t>2.如《中小企业声明函》的“标的名称”是多项，可在表中一并列完或另行编制表格附件。</w:t>
      </w:r>
    </w:p>
    <w:p w14:paraId="737003BD">
      <w:pPr>
        <w:spacing w:line="500" w:lineRule="exact"/>
        <w:ind w:firstLine="632" w:firstLineChars="300"/>
        <w:rPr>
          <w:rFonts w:ascii="宋体" w:hAnsi="宋体"/>
          <w:b/>
          <w:color w:val="auto"/>
          <w:kern w:val="0"/>
          <w:szCs w:val="21"/>
          <w:highlight w:val="none"/>
        </w:rPr>
      </w:pPr>
      <w:r>
        <w:rPr>
          <w:rFonts w:hint="eastAsia" w:ascii="宋体" w:hAnsi="宋体"/>
          <w:b/>
          <w:color w:val="auto"/>
          <w:kern w:val="0"/>
          <w:szCs w:val="21"/>
          <w:highlight w:val="none"/>
        </w:rPr>
        <w:t>3.中小企业在政府采购活动过程中，请根据自己的真实情况出具本声明函。依法享受中小企业优惠政策的，采购人或采购代理机构在公告成交结果时，同时公告其《中小企业声明函》，接受社会监督。</w:t>
      </w:r>
    </w:p>
    <w:p w14:paraId="75E6874E">
      <w:pPr>
        <w:pStyle w:val="18"/>
        <w:spacing w:before="0" w:after="0"/>
        <w:ind w:firstLine="632" w:firstLineChars="300"/>
        <w:jc w:val="left"/>
        <w:rPr>
          <w:rFonts w:ascii="宋体" w:hAnsi="宋体"/>
          <w:bCs w:val="0"/>
          <w:color w:val="auto"/>
          <w:kern w:val="0"/>
          <w:sz w:val="21"/>
          <w:szCs w:val="21"/>
          <w:highlight w:val="none"/>
        </w:rPr>
      </w:pPr>
      <w:r>
        <w:rPr>
          <w:rFonts w:hint="eastAsia" w:ascii="宋体" w:hAnsi="宋体"/>
          <w:bCs w:val="0"/>
          <w:color w:val="auto"/>
          <w:kern w:val="0"/>
          <w:sz w:val="21"/>
          <w:szCs w:val="21"/>
          <w:highlight w:val="none"/>
        </w:rPr>
        <w:t>4.所属行业依照《中小企业划型标准规定》（工信部联企业〔2011〕300号）及《国民经济行业分类》（GB/T4754-2017）的有关规定执行，本项目服务在《统计上大中小微型企业划分标准》中所属行业均为“</w:t>
      </w:r>
      <w:r>
        <w:rPr>
          <w:rFonts w:hint="eastAsia" w:ascii="宋体" w:hAnsi="宋体" w:cs="宋体"/>
          <w:color w:val="auto"/>
          <w:sz w:val="21"/>
          <w:szCs w:val="21"/>
          <w:highlight w:val="none"/>
        </w:rPr>
        <w:t>其他未列明行业</w:t>
      </w:r>
      <w:r>
        <w:rPr>
          <w:rFonts w:hint="eastAsia" w:ascii="宋体" w:hAnsi="宋体"/>
          <w:bCs w:val="0"/>
          <w:color w:val="auto"/>
          <w:kern w:val="0"/>
          <w:sz w:val="21"/>
          <w:szCs w:val="21"/>
          <w:highlight w:val="none"/>
        </w:rPr>
        <w:t>”</w:t>
      </w:r>
    </w:p>
    <w:p w14:paraId="634D6449">
      <w:pPr>
        <w:pStyle w:val="11"/>
        <w:adjustRightInd w:val="0"/>
        <w:spacing w:line="390" w:lineRule="exact"/>
        <w:contextualSpacing/>
        <w:rPr>
          <w:b/>
          <w:bCs/>
          <w:color w:val="auto"/>
          <w:highlight w:val="none"/>
        </w:rPr>
      </w:pPr>
    </w:p>
    <w:p w14:paraId="3941F985">
      <w:pPr>
        <w:pStyle w:val="11"/>
        <w:adjustRightInd w:val="0"/>
        <w:spacing w:line="390" w:lineRule="exact"/>
        <w:contextualSpacing/>
        <w:rPr>
          <w:b/>
          <w:bCs/>
          <w:color w:val="auto"/>
          <w:highlight w:val="none"/>
        </w:rPr>
      </w:pPr>
    </w:p>
    <w:p w14:paraId="2F9A18D2">
      <w:pPr>
        <w:pStyle w:val="11"/>
        <w:adjustRightInd w:val="0"/>
        <w:spacing w:line="390" w:lineRule="exact"/>
        <w:contextualSpacing/>
        <w:rPr>
          <w:rFonts w:hAnsi="宋体" w:cs="宋体"/>
          <w:b/>
          <w:bCs/>
          <w:color w:val="auto"/>
          <w:highlight w:val="none"/>
        </w:rPr>
      </w:pPr>
      <w:r>
        <w:rPr>
          <w:rFonts w:hint="eastAsia"/>
          <w:b/>
          <w:bCs/>
          <w:color w:val="auto"/>
          <w:highlight w:val="none"/>
        </w:rPr>
        <w:t>附表</w:t>
      </w:r>
    </w:p>
    <w:p w14:paraId="6863C7FA">
      <w:pPr>
        <w:widowControl/>
        <w:spacing w:beforeLines="50" w:afterLines="50" w:line="400" w:lineRule="exact"/>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统计上大中小微型企业划分标准</w:t>
      </w:r>
    </w:p>
    <w:tbl>
      <w:tblPr>
        <w:tblStyle w:val="22"/>
        <w:tblW w:w="9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1451"/>
        <w:gridCol w:w="750"/>
        <w:gridCol w:w="1191"/>
        <w:gridCol w:w="1803"/>
        <w:gridCol w:w="1511"/>
        <w:gridCol w:w="1049"/>
      </w:tblGrid>
      <w:tr w14:paraId="3F1B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2239" w:type="dxa"/>
            <w:shd w:val="clear" w:color="auto" w:fill="8DB3E2"/>
            <w:vAlign w:val="center"/>
          </w:tcPr>
          <w:p w14:paraId="404F5F14">
            <w:pPr>
              <w:widowControl/>
              <w:spacing w:line="24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451" w:type="dxa"/>
            <w:shd w:val="clear" w:color="auto" w:fill="8DB3E2"/>
            <w:vAlign w:val="center"/>
          </w:tcPr>
          <w:p w14:paraId="4A2A0BE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50" w:type="dxa"/>
            <w:shd w:val="clear" w:color="auto" w:fill="8DB3E2"/>
            <w:vAlign w:val="center"/>
          </w:tcPr>
          <w:p w14:paraId="7E46DEC0">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6C67A62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91" w:type="dxa"/>
            <w:shd w:val="clear" w:color="auto" w:fill="8DB3E2"/>
            <w:vAlign w:val="center"/>
          </w:tcPr>
          <w:p w14:paraId="53F4331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803" w:type="dxa"/>
            <w:shd w:val="clear" w:color="auto" w:fill="8DB3E2"/>
            <w:vAlign w:val="center"/>
          </w:tcPr>
          <w:p w14:paraId="4A091A04">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511" w:type="dxa"/>
            <w:shd w:val="clear" w:color="auto" w:fill="8DB3E2"/>
            <w:vAlign w:val="center"/>
          </w:tcPr>
          <w:p w14:paraId="3C97267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1049" w:type="dxa"/>
            <w:shd w:val="clear" w:color="auto" w:fill="8DB3E2"/>
            <w:vAlign w:val="center"/>
          </w:tcPr>
          <w:p w14:paraId="0E755645">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009D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Align w:val="center"/>
          </w:tcPr>
          <w:p w14:paraId="731A5943">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451" w:type="dxa"/>
            <w:vAlign w:val="center"/>
          </w:tcPr>
          <w:p w14:paraId="7F1A3C7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7095C41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2B551A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803" w:type="dxa"/>
            <w:vAlign w:val="center"/>
          </w:tcPr>
          <w:p w14:paraId="2295969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11" w:type="dxa"/>
            <w:vAlign w:val="center"/>
          </w:tcPr>
          <w:p w14:paraId="51054FC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049" w:type="dxa"/>
            <w:vAlign w:val="center"/>
          </w:tcPr>
          <w:p w14:paraId="12D0674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351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75448B4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451" w:type="dxa"/>
            <w:vAlign w:val="center"/>
          </w:tcPr>
          <w:p w14:paraId="7D0F03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2E8B3C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016F2A4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539876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3985F64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9" w:type="dxa"/>
            <w:vAlign w:val="center"/>
          </w:tcPr>
          <w:p w14:paraId="459FDE9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88E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2239" w:type="dxa"/>
            <w:vMerge w:val="continue"/>
            <w:vAlign w:val="center"/>
          </w:tcPr>
          <w:p w14:paraId="66CE9DD8">
            <w:pPr>
              <w:widowControl/>
              <w:jc w:val="left"/>
              <w:rPr>
                <w:rFonts w:ascii="宋体" w:hAnsi="宋体" w:cs="宋体"/>
                <w:color w:val="auto"/>
                <w:kern w:val="0"/>
                <w:sz w:val="18"/>
                <w:szCs w:val="18"/>
                <w:highlight w:val="none"/>
              </w:rPr>
            </w:pPr>
          </w:p>
        </w:tc>
        <w:tc>
          <w:tcPr>
            <w:tcW w:w="1451" w:type="dxa"/>
            <w:vAlign w:val="center"/>
          </w:tcPr>
          <w:p w14:paraId="4AB1DAC1">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4A91D37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4D3F9F0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803" w:type="dxa"/>
            <w:vAlign w:val="center"/>
          </w:tcPr>
          <w:p w14:paraId="7601A80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511" w:type="dxa"/>
            <w:vAlign w:val="center"/>
          </w:tcPr>
          <w:p w14:paraId="285174B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049" w:type="dxa"/>
            <w:vAlign w:val="center"/>
          </w:tcPr>
          <w:p w14:paraId="52CF8D1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D98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7B886B2B">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451" w:type="dxa"/>
            <w:vAlign w:val="center"/>
          </w:tcPr>
          <w:p w14:paraId="22E0825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67158F0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767480E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803" w:type="dxa"/>
            <w:vAlign w:val="center"/>
          </w:tcPr>
          <w:p w14:paraId="34DEBA2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511" w:type="dxa"/>
            <w:vAlign w:val="center"/>
          </w:tcPr>
          <w:p w14:paraId="032D11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049" w:type="dxa"/>
            <w:vAlign w:val="center"/>
          </w:tcPr>
          <w:p w14:paraId="34DA5A3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E37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4B1986FB">
            <w:pPr>
              <w:widowControl/>
              <w:jc w:val="left"/>
              <w:rPr>
                <w:rFonts w:ascii="宋体" w:hAnsi="宋体" w:cs="宋体"/>
                <w:color w:val="auto"/>
                <w:kern w:val="0"/>
                <w:sz w:val="18"/>
                <w:szCs w:val="18"/>
                <w:highlight w:val="none"/>
              </w:rPr>
            </w:pPr>
          </w:p>
        </w:tc>
        <w:tc>
          <w:tcPr>
            <w:tcW w:w="1451" w:type="dxa"/>
            <w:vAlign w:val="center"/>
          </w:tcPr>
          <w:p w14:paraId="714B64CA">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50" w:type="dxa"/>
            <w:vAlign w:val="center"/>
          </w:tcPr>
          <w:p w14:paraId="300FA48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E0D9EA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803" w:type="dxa"/>
            <w:vAlign w:val="center"/>
          </w:tcPr>
          <w:p w14:paraId="602B854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511" w:type="dxa"/>
            <w:vAlign w:val="center"/>
          </w:tcPr>
          <w:p w14:paraId="2548021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049" w:type="dxa"/>
            <w:vAlign w:val="center"/>
          </w:tcPr>
          <w:p w14:paraId="14307FE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3958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0C719F7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451" w:type="dxa"/>
            <w:vAlign w:val="center"/>
          </w:tcPr>
          <w:p w14:paraId="2B7F47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2D0383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1CC2DE0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803" w:type="dxa"/>
            <w:vAlign w:val="center"/>
          </w:tcPr>
          <w:p w14:paraId="07BEC44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511" w:type="dxa"/>
            <w:vAlign w:val="center"/>
          </w:tcPr>
          <w:p w14:paraId="116811E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049" w:type="dxa"/>
            <w:vAlign w:val="center"/>
          </w:tcPr>
          <w:p w14:paraId="3B55E80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34B1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79130CDA">
            <w:pPr>
              <w:widowControl/>
              <w:jc w:val="left"/>
              <w:rPr>
                <w:rFonts w:ascii="宋体" w:hAnsi="宋体" w:cs="宋体"/>
                <w:color w:val="auto"/>
                <w:kern w:val="0"/>
                <w:sz w:val="18"/>
                <w:szCs w:val="18"/>
                <w:highlight w:val="none"/>
              </w:rPr>
            </w:pPr>
          </w:p>
        </w:tc>
        <w:tc>
          <w:tcPr>
            <w:tcW w:w="1451" w:type="dxa"/>
            <w:vAlign w:val="center"/>
          </w:tcPr>
          <w:p w14:paraId="19DEC71A">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1266575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086259E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803" w:type="dxa"/>
            <w:vAlign w:val="center"/>
          </w:tcPr>
          <w:p w14:paraId="7E7D3D5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511" w:type="dxa"/>
            <w:vAlign w:val="center"/>
          </w:tcPr>
          <w:p w14:paraId="452D6E61">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049" w:type="dxa"/>
            <w:vAlign w:val="center"/>
          </w:tcPr>
          <w:p w14:paraId="513E89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6B80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684165D7">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451" w:type="dxa"/>
            <w:vAlign w:val="center"/>
          </w:tcPr>
          <w:p w14:paraId="02F076E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1C3F1FC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786F336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77D3361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511" w:type="dxa"/>
            <w:vAlign w:val="center"/>
          </w:tcPr>
          <w:p w14:paraId="4291E66B">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1049" w:type="dxa"/>
            <w:vAlign w:val="center"/>
          </w:tcPr>
          <w:p w14:paraId="3DD444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60D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77AED9D1">
            <w:pPr>
              <w:widowControl/>
              <w:jc w:val="left"/>
              <w:rPr>
                <w:rFonts w:ascii="宋体" w:hAnsi="宋体" w:cs="宋体"/>
                <w:color w:val="auto"/>
                <w:kern w:val="0"/>
                <w:sz w:val="18"/>
                <w:szCs w:val="18"/>
                <w:highlight w:val="none"/>
              </w:rPr>
            </w:pPr>
          </w:p>
        </w:tc>
        <w:tc>
          <w:tcPr>
            <w:tcW w:w="1451" w:type="dxa"/>
            <w:vAlign w:val="center"/>
          </w:tcPr>
          <w:p w14:paraId="3DE83683">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2C85978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1130E19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803" w:type="dxa"/>
            <w:vAlign w:val="center"/>
          </w:tcPr>
          <w:p w14:paraId="2A1040D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11" w:type="dxa"/>
            <w:vAlign w:val="center"/>
          </w:tcPr>
          <w:p w14:paraId="5AF07BCF">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049" w:type="dxa"/>
            <w:vAlign w:val="center"/>
          </w:tcPr>
          <w:p w14:paraId="27AD9A8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03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16026DB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451" w:type="dxa"/>
            <w:vAlign w:val="center"/>
          </w:tcPr>
          <w:p w14:paraId="1CDD407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7F3E163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615E25E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182E0F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6E0C7D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9" w:type="dxa"/>
            <w:vAlign w:val="center"/>
          </w:tcPr>
          <w:p w14:paraId="5A49D4D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068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62310E5C">
            <w:pPr>
              <w:widowControl/>
              <w:jc w:val="left"/>
              <w:rPr>
                <w:rFonts w:ascii="宋体" w:hAnsi="宋体" w:cs="宋体"/>
                <w:color w:val="auto"/>
                <w:kern w:val="0"/>
                <w:sz w:val="18"/>
                <w:szCs w:val="18"/>
                <w:highlight w:val="none"/>
              </w:rPr>
            </w:pPr>
          </w:p>
        </w:tc>
        <w:tc>
          <w:tcPr>
            <w:tcW w:w="1451" w:type="dxa"/>
            <w:vAlign w:val="center"/>
          </w:tcPr>
          <w:p w14:paraId="7240EEF0">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48D432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6D948E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803" w:type="dxa"/>
            <w:vAlign w:val="center"/>
          </w:tcPr>
          <w:p w14:paraId="711F263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511" w:type="dxa"/>
            <w:vAlign w:val="center"/>
          </w:tcPr>
          <w:p w14:paraId="5F87437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049" w:type="dxa"/>
            <w:vAlign w:val="center"/>
          </w:tcPr>
          <w:p w14:paraId="1193245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0BA1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27FDE5F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451" w:type="dxa"/>
            <w:vAlign w:val="center"/>
          </w:tcPr>
          <w:p w14:paraId="217876C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7C15295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39A775C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803" w:type="dxa"/>
            <w:vAlign w:val="center"/>
          </w:tcPr>
          <w:p w14:paraId="507F5FFF">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511" w:type="dxa"/>
            <w:vAlign w:val="center"/>
          </w:tcPr>
          <w:p w14:paraId="3A09574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049" w:type="dxa"/>
            <w:vAlign w:val="center"/>
          </w:tcPr>
          <w:p w14:paraId="2356467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E17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297A57E0">
            <w:pPr>
              <w:widowControl/>
              <w:jc w:val="left"/>
              <w:rPr>
                <w:rFonts w:ascii="宋体" w:hAnsi="宋体" w:cs="宋体"/>
                <w:color w:val="auto"/>
                <w:kern w:val="0"/>
                <w:sz w:val="18"/>
                <w:szCs w:val="18"/>
                <w:highlight w:val="none"/>
              </w:rPr>
            </w:pPr>
          </w:p>
        </w:tc>
        <w:tc>
          <w:tcPr>
            <w:tcW w:w="1451" w:type="dxa"/>
            <w:vAlign w:val="center"/>
          </w:tcPr>
          <w:p w14:paraId="684CBD6F">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380F03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F8ABF8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803" w:type="dxa"/>
            <w:vAlign w:val="center"/>
          </w:tcPr>
          <w:p w14:paraId="7D62E33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511" w:type="dxa"/>
            <w:vAlign w:val="center"/>
          </w:tcPr>
          <w:p w14:paraId="054D012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9" w:type="dxa"/>
            <w:vAlign w:val="center"/>
          </w:tcPr>
          <w:p w14:paraId="2490F0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4CA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6CC67D7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451" w:type="dxa"/>
            <w:vAlign w:val="center"/>
          </w:tcPr>
          <w:p w14:paraId="6860B40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437EBBD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685A82B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4B0A1E8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17F77EB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049" w:type="dxa"/>
            <w:vAlign w:val="center"/>
          </w:tcPr>
          <w:p w14:paraId="328DA8E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A94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315590D4">
            <w:pPr>
              <w:widowControl/>
              <w:jc w:val="left"/>
              <w:rPr>
                <w:rFonts w:ascii="宋体" w:hAnsi="宋体" w:cs="宋体"/>
                <w:color w:val="auto"/>
                <w:kern w:val="0"/>
                <w:sz w:val="18"/>
                <w:szCs w:val="18"/>
                <w:highlight w:val="none"/>
              </w:rPr>
            </w:pPr>
          </w:p>
        </w:tc>
        <w:tc>
          <w:tcPr>
            <w:tcW w:w="1451" w:type="dxa"/>
            <w:vAlign w:val="center"/>
          </w:tcPr>
          <w:p w14:paraId="65BC8BD7">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6DB5F60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1ED910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803" w:type="dxa"/>
            <w:vAlign w:val="center"/>
          </w:tcPr>
          <w:p w14:paraId="6A8DEC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511" w:type="dxa"/>
            <w:vAlign w:val="center"/>
          </w:tcPr>
          <w:p w14:paraId="3413F79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9" w:type="dxa"/>
            <w:vAlign w:val="center"/>
          </w:tcPr>
          <w:p w14:paraId="3E0CB0D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D3B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18CD8042">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451" w:type="dxa"/>
            <w:vAlign w:val="center"/>
          </w:tcPr>
          <w:p w14:paraId="326EEC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3A8C6B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135A2F1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463C8751">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11" w:type="dxa"/>
            <w:vAlign w:val="center"/>
          </w:tcPr>
          <w:p w14:paraId="1CF0696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7A7E636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C24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53ABF064">
            <w:pPr>
              <w:widowControl/>
              <w:jc w:val="left"/>
              <w:rPr>
                <w:rFonts w:ascii="宋体" w:hAnsi="宋体" w:cs="宋体"/>
                <w:color w:val="auto"/>
                <w:kern w:val="0"/>
                <w:sz w:val="18"/>
                <w:szCs w:val="18"/>
                <w:highlight w:val="none"/>
              </w:rPr>
            </w:pPr>
          </w:p>
        </w:tc>
        <w:tc>
          <w:tcPr>
            <w:tcW w:w="1451" w:type="dxa"/>
            <w:vAlign w:val="center"/>
          </w:tcPr>
          <w:p w14:paraId="03AAE6B2">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655D1A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001B985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803" w:type="dxa"/>
            <w:vAlign w:val="center"/>
          </w:tcPr>
          <w:p w14:paraId="6A13E52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11" w:type="dxa"/>
            <w:vAlign w:val="center"/>
          </w:tcPr>
          <w:p w14:paraId="40B0BE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9" w:type="dxa"/>
            <w:vAlign w:val="center"/>
          </w:tcPr>
          <w:p w14:paraId="51F0085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91B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444B9E0C">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451" w:type="dxa"/>
            <w:vAlign w:val="center"/>
          </w:tcPr>
          <w:p w14:paraId="54FE89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65034E7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471137E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68612A35">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511" w:type="dxa"/>
            <w:vAlign w:val="center"/>
          </w:tcPr>
          <w:p w14:paraId="545EB35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0B6DBF7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147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0AB417BF">
            <w:pPr>
              <w:widowControl/>
              <w:jc w:val="left"/>
              <w:rPr>
                <w:rFonts w:ascii="宋体" w:hAnsi="宋体" w:cs="宋体"/>
                <w:color w:val="auto"/>
                <w:kern w:val="0"/>
                <w:sz w:val="18"/>
                <w:szCs w:val="18"/>
                <w:highlight w:val="none"/>
              </w:rPr>
            </w:pPr>
          </w:p>
        </w:tc>
        <w:tc>
          <w:tcPr>
            <w:tcW w:w="1451" w:type="dxa"/>
            <w:vAlign w:val="center"/>
          </w:tcPr>
          <w:p w14:paraId="643F4179">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2C715A9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2DC3D30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803" w:type="dxa"/>
            <w:vAlign w:val="center"/>
          </w:tcPr>
          <w:p w14:paraId="1B7D80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11" w:type="dxa"/>
            <w:vAlign w:val="center"/>
          </w:tcPr>
          <w:p w14:paraId="3E9215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049" w:type="dxa"/>
            <w:vAlign w:val="center"/>
          </w:tcPr>
          <w:p w14:paraId="218BF5B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CA3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restart"/>
            <w:vAlign w:val="center"/>
          </w:tcPr>
          <w:p w14:paraId="5BE51246">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451" w:type="dxa"/>
            <w:vAlign w:val="center"/>
          </w:tcPr>
          <w:p w14:paraId="0930647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07B7BBB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2053A07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803" w:type="dxa"/>
            <w:vAlign w:val="center"/>
          </w:tcPr>
          <w:p w14:paraId="54DCEDB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511" w:type="dxa"/>
            <w:vAlign w:val="center"/>
          </w:tcPr>
          <w:p w14:paraId="600CFC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7A9EEBD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4EB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Merge w:val="continue"/>
            <w:vAlign w:val="center"/>
          </w:tcPr>
          <w:p w14:paraId="4032678F">
            <w:pPr>
              <w:widowControl/>
              <w:jc w:val="left"/>
              <w:rPr>
                <w:rFonts w:ascii="宋体" w:hAnsi="宋体" w:cs="宋体"/>
                <w:color w:val="auto"/>
                <w:kern w:val="0"/>
                <w:sz w:val="18"/>
                <w:szCs w:val="18"/>
                <w:highlight w:val="none"/>
              </w:rPr>
            </w:pPr>
          </w:p>
        </w:tc>
        <w:tc>
          <w:tcPr>
            <w:tcW w:w="1451" w:type="dxa"/>
            <w:vAlign w:val="center"/>
          </w:tcPr>
          <w:p w14:paraId="27009F44">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3727A34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3150B1C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803" w:type="dxa"/>
            <w:vAlign w:val="center"/>
          </w:tcPr>
          <w:p w14:paraId="32E9EE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511" w:type="dxa"/>
            <w:vAlign w:val="center"/>
          </w:tcPr>
          <w:p w14:paraId="2169BF4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9" w:type="dxa"/>
            <w:vAlign w:val="center"/>
          </w:tcPr>
          <w:p w14:paraId="7E1888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AF0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1D056DD4">
            <w:pPr>
              <w:widowControl/>
              <w:spacing w:line="24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451" w:type="dxa"/>
            <w:vAlign w:val="center"/>
          </w:tcPr>
          <w:p w14:paraId="45FAE8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6967C2A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70B8DB2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0D286B9B">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511" w:type="dxa"/>
            <w:vAlign w:val="center"/>
          </w:tcPr>
          <w:p w14:paraId="682285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38A78E9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71C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17B4CDD2">
            <w:pPr>
              <w:widowControl/>
              <w:jc w:val="left"/>
              <w:rPr>
                <w:rFonts w:ascii="宋体" w:hAnsi="宋体" w:cs="宋体"/>
                <w:color w:val="auto"/>
                <w:spacing w:val="-12"/>
                <w:kern w:val="0"/>
                <w:sz w:val="18"/>
                <w:szCs w:val="18"/>
                <w:highlight w:val="none"/>
              </w:rPr>
            </w:pPr>
          </w:p>
        </w:tc>
        <w:tc>
          <w:tcPr>
            <w:tcW w:w="1451" w:type="dxa"/>
            <w:vAlign w:val="center"/>
          </w:tcPr>
          <w:p w14:paraId="29AAA3A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0199EE2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1FD79E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803" w:type="dxa"/>
            <w:vAlign w:val="center"/>
          </w:tcPr>
          <w:p w14:paraId="0BB8104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511" w:type="dxa"/>
            <w:vAlign w:val="center"/>
          </w:tcPr>
          <w:p w14:paraId="556A0EB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049" w:type="dxa"/>
            <w:vAlign w:val="center"/>
          </w:tcPr>
          <w:p w14:paraId="2AF5DA0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39E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26954B1C">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451" w:type="dxa"/>
            <w:vAlign w:val="center"/>
          </w:tcPr>
          <w:p w14:paraId="77D73EC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5CBCBB1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6773EE8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803" w:type="dxa"/>
            <w:vAlign w:val="center"/>
          </w:tcPr>
          <w:p w14:paraId="15EF971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511" w:type="dxa"/>
            <w:vAlign w:val="center"/>
          </w:tcPr>
          <w:p w14:paraId="7851C55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049" w:type="dxa"/>
            <w:vAlign w:val="center"/>
          </w:tcPr>
          <w:p w14:paraId="58C0900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19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2DF06D51">
            <w:pPr>
              <w:widowControl/>
              <w:jc w:val="left"/>
              <w:rPr>
                <w:rFonts w:ascii="宋体" w:hAnsi="宋体" w:cs="宋体"/>
                <w:color w:val="auto"/>
                <w:kern w:val="0"/>
                <w:sz w:val="18"/>
                <w:szCs w:val="18"/>
                <w:highlight w:val="none"/>
              </w:rPr>
            </w:pPr>
          </w:p>
        </w:tc>
        <w:tc>
          <w:tcPr>
            <w:tcW w:w="1451" w:type="dxa"/>
            <w:vAlign w:val="center"/>
          </w:tcPr>
          <w:p w14:paraId="2C9BB0CD">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50" w:type="dxa"/>
            <w:vAlign w:val="center"/>
          </w:tcPr>
          <w:p w14:paraId="3079C2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43C9B62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803" w:type="dxa"/>
            <w:vAlign w:val="center"/>
          </w:tcPr>
          <w:p w14:paraId="6C287E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511" w:type="dxa"/>
            <w:vAlign w:val="center"/>
          </w:tcPr>
          <w:p w14:paraId="78E843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1049" w:type="dxa"/>
            <w:vAlign w:val="center"/>
          </w:tcPr>
          <w:p w14:paraId="496E1C7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6A97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363D9963">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451" w:type="dxa"/>
            <w:vAlign w:val="center"/>
          </w:tcPr>
          <w:p w14:paraId="77A4F34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0F3D90D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01F557B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803" w:type="dxa"/>
            <w:vAlign w:val="center"/>
          </w:tcPr>
          <w:p w14:paraId="388C60F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11" w:type="dxa"/>
            <w:vAlign w:val="center"/>
          </w:tcPr>
          <w:p w14:paraId="77A292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049" w:type="dxa"/>
            <w:vAlign w:val="center"/>
          </w:tcPr>
          <w:p w14:paraId="39DBC2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E6D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0C1F0974">
            <w:pPr>
              <w:widowControl/>
              <w:jc w:val="left"/>
              <w:rPr>
                <w:rFonts w:ascii="宋体" w:hAnsi="宋体" w:cs="宋体"/>
                <w:color w:val="auto"/>
                <w:kern w:val="0"/>
                <w:sz w:val="18"/>
                <w:szCs w:val="18"/>
                <w:highlight w:val="none"/>
              </w:rPr>
            </w:pPr>
          </w:p>
        </w:tc>
        <w:tc>
          <w:tcPr>
            <w:tcW w:w="1451" w:type="dxa"/>
            <w:vAlign w:val="center"/>
          </w:tcPr>
          <w:p w14:paraId="3AF9E772">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50" w:type="dxa"/>
            <w:vAlign w:val="center"/>
          </w:tcPr>
          <w:p w14:paraId="17E362F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5F27F2F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803" w:type="dxa"/>
            <w:vAlign w:val="center"/>
          </w:tcPr>
          <w:p w14:paraId="39E3A6E9">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511" w:type="dxa"/>
            <w:vAlign w:val="center"/>
          </w:tcPr>
          <w:p w14:paraId="0691A4A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049" w:type="dxa"/>
            <w:vAlign w:val="center"/>
          </w:tcPr>
          <w:p w14:paraId="167E9F3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3EE3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restart"/>
            <w:vAlign w:val="center"/>
          </w:tcPr>
          <w:p w14:paraId="4D0B32B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451" w:type="dxa"/>
            <w:vAlign w:val="center"/>
          </w:tcPr>
          <w:p w14:paraId="044D4D9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7849C1C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2F9CA53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7DFABB90">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11" w:type="dxa"/>
            <w:vAlign w:val="center"/>
          </w:tcPr>
          <w:p w14:paraId="6FA2D4E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35B95E6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A9F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9" w:type="dxa"/>
            <w:vMerge w:val="continue"/>
            <w:vAlign w:val="center"/>
          </w:tcPr>
          <w:p w14:paraId="6270F362">
            <w:pPr>
              <w:widowControl/>
              <w:jc w:val="left"/>
              <w:rPr>
                <w:rFonts w:ascii="宋体" w:hAnsi="宋体" w:cs="宋体"/>
                <w:color w:val="auto"/>
                <w:kern w:val="0"/>
                <w:sz w:val="18"/>
                <w:szCs w:val="18"/>
                <w:highlight w:val="none"/>
              </w:rPr>
            </w:pPr>
          </w:p>
        </w:tc>
        <w:tc>
          <w:tcPr>
            <w:tcW w:w="1451" w:type="dxa"/>
            <w:vAlign w:val="center"/>
          </w:tcPr>
          <w:p w14:paraId="0B70FD10">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50" w:type="dxa"/>
            <w:vAlign w:val="center"/>
          </w:tcPr>
          <w:p w14:paraId="10DC7D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91" w:type="dxa"/>
            <w:vAlign w:val="center"/>
          </w:tcPr>
          <w:p w14:paraId="6F39F6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803" w:type="dxa"/>
            <w:vAlign w:val="center"/>
          </w:tcPr>
          <w:p w14:paraId="263E8A4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511" w:type="dxa"/>
            <w:vAlign w:val="center"/>
          </w:tcPr>
          <w:p w14:paraId="0A520CA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049" w:type="dxa"/>
            <w:vAlign w:val="center"/>
          </w:tcPr>
          <w:p w14:paraId="42B6541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012D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9" w:type="dxa"/>
            <w:vAlign w:val="center"/>
          </w:tcPr>
          <w:p w14:paraId="37711D34">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451" w:type="dxa"/>
            <w:vAlign w:val="center"/>
          </w:tcPr>
          <w:p w14:paraId="7C1721C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50" w:type="dxa"/>
            <w:vAlign w:val="center"/>
          </w:tcPr>
          <w:p w14:paraId="08A828C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91" w:type="dxa"/>
            <w:vAlign w:val="center"/>
          </w:tcPr>
          <w:p w14:paraId="326751A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803" w:type="dxa"/>
            <w:vAlign w:val="center"/>
          </w:tcPr>
          <w:p w14:paraId="0DE12AAE">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11" w:type="dxa"/>
            <w:vAlign w:val="center"/>
          </w:tcPr>
          <w:p w14:paraId="5A9F272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049" w:type="dxa"/>
            <w:vAlign w:val="center"/>
          </w:tcPr>
          <w:p w14:paraId="16BF008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649D0DAD">
      <w:pPr>
        <w:widowControl/>
        <w:spacing w:line="540" w:lineRule="exact"/>
        <w:rPr>
          <w:rFonts w:ascii="宋体" w:hAnsi="宋体" w:cs="宋体"/>
          <w:color w:val="auto"/>
          <w:spacing w:val="8"/>
          <w:kern w:val="0"/>
          <w:sz w:val="24"/>
          <w:highlight w:val="none"/>
        </w:rPr>
      </w:pPr>
    </w:p>
    <w:p w14:paraId="2FDB7EF1">
      <w:pPr>
        <w:widowControl/>
        <w:spacing w:line="540" w:lineRule="exact"/>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14:paraId="2B702F3A">
      <w:pPr>
        <w:pStyle w:val="11"/>
        <w:adjustRightInd w:val="0"/>
        <w:spacing w:line="380" w:lineRule="exact"/>
        <w:ind w:firstLine="432" w:firstLineChars="200"/>
        <w:contextualSpacing/>
        <w:rPr>
          <w:rFonts w:hAnsi="宋体" w:cs="宋体"/>
          <w:color w:val="auto"/>
          <w:spacing w:val="8"/>
          <w:szCs w:val="21"/>
          <w:highlight w:val="none"/>
        </w:rPr>
      </w:pPr>
      <w:r>
        <w:rPr>
          <w:rFonts w:hint="eastAsia" w:hAnsi="宋体" w:cs="宋体"/>
          <w:color w:val="auto"/>
          <w:spacing w:val="8"/>
          <w:szCs w:val="21"/>
          <w:highlight w:val="none"/>
        </w:rPr>
        <w:t>1.大型、中型和小型企业须同时满足所列指标的下限，否则下划一档；微型企业只须满足所列指标中的一项即可。</w:t>
      </w:r>
    </w:p>
    <w:p w14:paraId="04CBE066">
      <w:pPr>
        <w:pStyle w:val="11"/>
        <w:adjustRightInd w:val="0"/>
        <w:spacing w:line="380" w:lineRule="exact"/>
        <w:ind w:firstLine="432" w:firstLineChars="200"/>
        <w:contextualSpacing/>
        <w:rPr>
          <w:rFonts w:hAnsi="宋体" w:cs="宋体"/>
          <w:color w:val="auto"/>
          <w:spacing w:val="8"/>
          <w:szCs w:val="21"/>
          <w:highlight w:val="none"/>
        </w:rPr>
      </w:pPr>
      <w:r>
        <w:rPr>
          <w:rFonts w:hint="eastAsia" w:hAnsi="宋体" w:cs="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67284FA4">
      <w:pPr>
        <w:pStyle w:val="11"/>
        <w:adjustRightInd w:val="0"/>
        <w:spacing w:line="380" w:lineRule="exact"/>
        <w:ind w:firstLine="432" w:firstLineChars="200"/>
        <w:contextualSpacing/>
        <w:rPr>
          <w:rFonts w:hAnsi="宋体"/>
          <w:color w:val="auto"/>
          <w:sz w:val="28"/>
          <w:szCs w:val="28"/>
          <w:highlight w:val="none"/>
        </w:rPr>
      </w:pPr>
      <w:r>
        <w:rPr>
          <w:rFonts w:hint="eastAsia" w:hAnsi="宋体" w:cs="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E84BDF0">
      <w:pPr>
        <w:spacing w:line="400" w:lineRule="exact"/>
        <w:rPr>
          <w:rFonts w:ascii="宋体" w:hAnsi="宋体"/>
          <w:b/>
          <w:bCs/>
          <w:color w:val="auto"/>
          <w:highlight w:val="none"/>
        </w:rPr>
      </w:pPr>
    </w:p>
    <w:p w14:paraId="6A118E8B">
      <w:pPr>
        <w:spacing w:line="400" w:lineRule="exact"/>
        <w:ind w:firstLine="480"/>
        <w:rPr>
          <w:rFonts w:ascii="宋体" w:hAnsi="宋体"/>
          <w:b/>
          <w:bCs/>
          <w:color w:val="auto"/>
          <w:highlight w:val="none"/>
        </w:rPr>
      </w:pPr>
    </w:p>
    <w:p w14:paraId="6DA662A7">
      <w:pPr>
        <w:spacing w:line="400" w:lineRule="exact"/>
        <w:ind w:firstLine="480"/>
        <w:rPr>
          <w:rFonts w:ascii="宋体" w:hAnsi="宋体"/>
          <w:b/>
          <w:bCs/>
          <w:color w:val="auto"/>
          <w:highlight w:val="none"/>
        </w:rPr>
      </w:pPr>
    </w:p>
    <w:p w14:paraId="1A6EE970">
      <w:pPr>
        <w:spacing w:line="400" w:lineRule="exact"/>
        <w:ind w:firstLine="480"/>
        <w:rPr>
          <w:rFonts w:ascii="宋体" w:hAnsi="宋体"/>
          <w:b/>
          <w:bCs/>
          <w:color w:val="auto"/>
          <w:highlight w:val="none"/>
        </w:rPr>
      </w:pPr>
    </w:p>
    <w:p w14:paraId="536E5BA7">
      <w:pPr>
        <w:spacing w:line="400" w:lineRule="exact"/>
        <w:ind w:firstLine="480"/>
        <w:rPr>
          <w:rFonts w:ascii="宋体" w:hAnsi="宋体"/>
          <w:b/>
          <w:bCs/>
          <w:color w:val="auto"/>
          <w:highlight w:val="none"/>
        </w:rPr>
      </w:pPr>
    </w:p>
    <w:p w14:paraId="68DE0987">
      <w:pPr>
        <w:spacing w:line="400" w:lineRule="exact"/>
        <w:ind w:firstLine="480"/>
        <w:rPr>
          <w:rFonts w:ascii="宋体" w:hAnsi="宋体"/>
          <w:b/>
          <w:bCs/>
          <w:color w:val="auto"/>
          <w:highlight w:val="none"/>
        </w:rPr>
      </w:pPr>
    </w:p>
    <w:p w14:paraId="5C9389F7">
      <w:pPr>
        <w:spacing w:line="400" w:lineRule="exact"/>
        <w:ind w:firstLine="480"/>
        <w:rPr>
          <w:rFonts w:ascii="宋体" w:hAnsi="宋体"/>
          <w:b/>
          <w:bCs/>
          <w:color w:val="auto"/>
          <w:highlight w:val="none"/>
        </w:rPr>
      </w:pPr>
    </w:p>
    <w:p w14:paraId="2F0DE946">
      <w:pPr>
        <w:spacing w:line="400" w:lineRule="exact"/>
        <w:ind w:firstLine="480"/>
        <w:rPr>
          <w:rFonts w:ascii="宋体" w:hAnsi="宋体"/>
          <w:b/>
          <w:bCs/>
          <w:color w:val="auto"/>
          <w:highlight w:val="none"/>
        </w:rPr>
      </w:pPr>
    </w:p>
    <w:p w14:paraId="0D3628A9">
      <w:pPr>
        <w:spacing w:line="400" w:lineRule="exact"/>
        <w:ind w:firstLine="480"/>
        <w:rPr>
          <w:rFonts w:ascii="宋体" w:hAnsi="宋体"/>
          <w:b/>
          <w:bCs/>
          <w:color w:val="auto"/>
          <w:highlight w:val="none"/>
        </w:rPr>
      </w:pPr>
    </w:p>
    <w:p w14:paraId="07169431">
      <w:pPr>
        <w:pStyle w:val="2"/>
        <w:rPr>
          <w:rFonts w:ascii="宋体" w:hAnsi="宋体"/>
          <w:b/>
          <w:bCs/>
          <w:color w:val="auto"/>
          <w:highlight w:val="none"/>
        </w:rPr>
      </w:pPr>
    </w:p>
    <w:p w14:paraId="70BE68B4">
      <w:pPr>
        <w:rPr>
          <w:rFonts w:ascii="宋体" w:hAnsi="宋体"/>
          <w:b/>
          <w:bCs/>
          <w:color w:val="auto"/>
          <w:highlight w:val="none"/>
        </w:rPr>
      </w:pPr>
    </w:p>
    <w:p w14:paraId="2A230B68">
      <w:pPr>
        <w:pStyle w:val="2"/>
        <w:rPr>
          <w:rFonts w:ascii="宋体" w:hAnsi="宋体"/>
          <w:b/>
          <w:bCs/>
          <w:color w:val="auto"/>
          <w:highlight w:val="none"/>
        </w:rPr>
      </w:pPr>
    </w:p>
    <w:p w14:paraId="1E8DCCB7">
      <w:pPr>
        <w:rPr>
          <w:rFonts w:ascii="宋体" w:hAnsi="宋体"/>
          <w:b/>
          <w:bCs/>
          <w:color w:val="auto"/>
          <w:highlight w:val="none"/>
        </w:rPr>
      </w:pPr>
    </w:p>
    <w:p w14:paraId="4945AB29">
      <w:pPr>
        <w:pStyle w:val="2"/>
        <w:rPr>
          <w:rFonts w:ascii="宋体" w:hAnsi="宋体"/>
          <w:b/>
          <w:bCs/>
          <w:color w:val="auto"/>
          <w:highlight w:val="none"/>
        </w:rPr>
      </w:pPr>
    </w:p>
    <w:p w14:paraId="1CB19256">
      <w:pPr>
        <w:rPr>
          <w:rFonts w:ascii="宋体" w:hAnsi="宋体"/>
          <w:b/>
          <w:bCs/>
          <w:color w:val="auto"/>
          <w:highlight w:val="none"/>
        </w:rPr>
      </w:pPr>
    </w:p>
    <w:p w14:paraId="0F24EB76">
      <w:pPr>
        <w:pStyle w:val="2"/>
        <w:rPr>
          <w:color w:val="auto"/>
          <w:highlight w:val="none"/>
        </w:rPr>
      </w:pPr>
    </w:p>
    <w:p w14:paraId="5CB187F3">
      <w:pPr>
        <w:spacing w:line="400" w:lineRule="exact"/>
        <w:ind w:firstLine="480"/>
        <w:rPr>
          <w:rFonts w:ascii="宋体" w:hAnsi="宋体"/>
          <w:b/>
          <w:bCs/>
          <w:color w:val="auto"/>
          <w:highlight w:val="none"/>
        </w:rPr>
      </w:pPr>
    </w:p>
    <w:p w14:paraId="41A608C4">
      <w:pPr>
        <w:spacing w:line="400" w:lineRule="exact"/>
        <w:ind w:firstLine="480"/>
        <w:rPr>
          <w:rFonts w:ascii="宋体" w:hAnsi="宋体"/>
          <w:b/>
          <w:bCs/>
          <w:color w:val="auto"/>
          <w:highlight w:val="none"/>
        </w:rPr>
      </w:pPr>
    </w:p>
    <w:p w14:paraId="512AD4ED">
      <w:pPr>
        <w:spacing w:line="400" w:lineRule="exact"/>
        <w:ind w:firstLine="480"/>
        <w:rPr>
          <w:rFonts w:ascii="宋体" w:hAnsi="宋体"/>
          <w:b/>
          <w:bCs/>
          <w:color w:val="auto"/>
          <w:highlight w:val="none"/>
        </w:rPr>
      </w:pPr>
    </w:p>
    <w:p w14:paraId="135112CB">
      <w:pPr>
        <w:spacing w:line="400" w:lineRule="exact"/>
        <w:ind w:firstLine="480"/>
        <w:rPr>
          <w:rFonts w:ascii="宋体" w:hAnsi="宋体"/>
          <w:b/>
          <w:bCs/>
          <w:color w:val="auto"/>
          <w:highlight w:val="none"/>
        </w:rPr>
      </w:pPr>
    </w:p>
    <w:p w14:paraId="0537A466">
      <w:pPr>
        <w:spacing w:line="400" w:lineRule="exact"/>
        <w:ind w:firstLine="480"/>
        <w:rPr>
          <w:rFonts w:ascii="宋体" w:hAnsi="宋体"/>
          <w:b/>
          <w:bCs/>
          <w:color w:val="auto"/>
          <w:highlight w:val="none"/>
        </w:rPr>
      </w:pPr>
    </w:p>
    <w:p w14:paraId="7A8BFA5E">
      <w:pPr>
        <w:spacing w:line="400" w:lineRule="exact"/>
        <w:ind w:firstLine="480"/>
        <w:rPr>
          <w:rFonts w:ascii="宋体" w:hAnsi="宋体"/>
          <w:b/>
          <w:bCs/>
          <w:color w:val="auto"/>
          <w:highlight w:val="none"/>
        </w:rPr>
      </w:pPr>
      <w:r>
        <w:rPr>
          <w:rFonts w:hint="eastAsia" w:ascii="宋体" w:hAnsi="宋体"/>
          <w:b/>
          <w:bCs/>
          <w:color w:val="auto"/>
          <w:highlight w:val="none"/>
          <w:lang w:val="en-US" w:eastAsia="zh-CN"/>
        </w:rPr>
        <w:t>5</w:t>
      </w:r>
      <w:r>
        <w:rPr>
          <w:rFonts w:hint="eastAsia" w:ascii="宋体" w:hAnsi="宋体"/>
          <w:b/>
          <w:bCs/>
          <w:color w:val="auto"/>
          <w:highlight w:val="none"/>
        </w:rPr>
        <w:t>.2监狱企业的证明文件[供应商如为监狱企业的，应当提供由省级以上监狱管理局、戒毒管理局（含新疆生产建设兵团）出具的属于监狱企业的证明文件, 否则不予享受优惠政策]；</w:t>
      </w:r>
    </w:p>
    <w:p w14:paraId="51137560">
      <w:pPr>
        <w:pStyle w:val="31"/>
        <w:rPr>
          <w:rFonts w:hAnsi="宋体"/>
          <w:b/>
          <w:bCs/>
          <w:color w:val="auto"/>
          <w:highlight w:val="none"/>
        </w:rPr>
      </w:pPr>
    </w:p>
    <w:p w14:paraId="5203A4B2">
      <w:pPr>
        <w:pStyle w:val="32"/>
        <w:rPr>
          <w:rFonts w:hAnsi="宋体"/>
          <w:color w:val="auto"/>
          <w:highlight w:val="none"/>
        </w:rPr>
      </w:pPr>
    </w:p>
    <w:p w14:paraId="553BB792">
      <w:pPr>
        <w:rPr>
          <w:color w:val="auto"/>
          <w:highlight w:val="none"/>
        </w:rPr>
      </w:pPr>
    </w:p>
    <w:p w14:paraId="497350D6">
      <w:pPr>
        <w:spacing w:line="400" w:lineRule="exact"/>
        <w:ind w:firstLine="480"/>
        <w:rPr>
          <w:rFonts w:ascii="宋体" w:hAnsi="宋体"/>
          <w:color w:val="auto"/>
          <w:highlight w:val="none"/>
        </w:rPr>
      </w:pPr>
      <w:r>
        <w:rPr>
          <w:rFonts w:hint="eastAsia" w:ascii="宋体" w:hAnsi="宋体"/>
          <w:b/>
          <w:bCs/>
          <w:color w:val="auto"/>
          <w:highlight w:val="none"/>
          <w:lang w:val="en-US" w:eastAsia="zh-CN"/>
        </w:rPr>
        <w:t>5</w:t>
      </w:r>
      <w:r>
        <w:rPr>
          <w:rFonts w:hint="eastAsia" w:ascii="宋体" w:hAnsi="宋体"/>
          <w:b/>
          <w:bCs/>
          <w:color w:val="auto"/>
          <w:highlight w:val="none"/>
        </w:rPr>
        <w:t>.3《残疾人福利性单位声明函》【符合条件的残疾人福利性单位在参加政府采购活动时，应当提供《残疾人福利性单位声明函》（格式见附件），并对声明的真实性负责，成交结果将同时公告企业《残疾人福利性单位声明函》，接受社会监督】；</w:t>
      </w:r>
    </w:p>
    <w:p w14:paraId="5B26B27E">
      <w:pPr>
        <w:pStyle w:val="31"/>
        <w:rPr>
          <w:color w:val="auto"/>
          <w:highlight w:val="none"/>
        </w:rPr>
      </w:pPr>
    </w:p>
    <w:p w14:paraId="60AC1DFD">
      <w:pPr>
        <w:spacing w:after="160" w:line="588" w:lineRule="exact"/>
        <w:jc w:val="center"/>
        <w:rPr>
          <w:rFonts w:ascii="宋体" w:hAnsi="宋体" w:cs="宋体"/>
          <w:b/>
          <w:color w:val="auto"/>
          <w:spacing w:val="6"/>
          <w:sz w:val="24"/>
          <w:highlight w:val="none"/>
        </w:rPr>
      </w:pPr>
      <w:r>
        <w:rPr>
          <w:rFonts w:hint="eastAsia" w:ascii="宋体" w:hAnsi="宋体" w:cs="宋体"/>
          <w:b/>
          <w:color w:val="auto"/>
          <w:spacing w:val="6"/>
          <w:sz w:val="24"/>
          <w:highlight w:val="none"/>
        </w:rPr>
        <w:t>残疾人福利性单位声明函</w:t>
      </w:r>
    </w:p>
    <w:p w14:paraId="41066B77">
      <w:pPr>
        <w:spacing w:after="160" w:line="588" w:lineRule="exact"/>
        <w:rPr>
          <w:rFonts w:ascii="宋体" w:hAnsi="宋体" w:cs="宋体"/>
          <w:b/>
          <w:color w:val="auto"/>
          <w:spacing w:val="6"/>
          <w:sz w:val="30"/>
          <w:szCs w:val="30"/>
          <w:highlight w:val="none"/>
        </w:rPr>
      </w:pPr>
    </w:p>
    <w:p w14:paraId="45C0744B">
      <w:pPr>
        <w:spacing w:after="160" w:line="588" w:lineRule="exact"/>
        <w:ind w:firstLine="444"/>
        <w:rPr>
          <w:rFonts w:ascii="宋体" w:hAnsi="宋体" w:cs="宋体"/>
          <w:color w:val="auto"/>
          <w:spacing w:val="6"/>
          <w:highlight w:val="none"/>
        </w:rPr>
      </w:pPr>
      <w:r>
        <w:rPr>
          <w:rFonts w:hint="eastAsia" w:ascii="宋体" w:hAnsi="宋体" w:cs="宋体"/>
          <w:color w:val="auto"/>
          <w:spacing w:val="6"/>
          <w:highlight w:val="none"/>
        </w:rPr>
        <w:t>本单位郑重声明，根据《财政部 民政部 中国残疾人联合会关于促进残疾人就业政府采购政策的通知》（财库</w:t>
      </w:r>
      <w:r>
        <w:rPr>
          <w:rFonts w:hint="eastAsia" w:ascii="宋体" w:hAnsi="宋体" w:cs="宋体"/>
          <w:color w:val="auto"/>
          <w:highlight w:val="none"/>
        </w:rPr>
        <w:t>〔2017〕 141</w:t>
      </w:r>
      <w:r>
        <w:rPr>
          <w:rFonts w:hint="eastAsia" w:ascii="宋体" w:hAnsi="宋体" w:cs="宋体"/>
          <w:color w:val="auto"/>
          <w:spacing w:val="6"/>
          <w:highlight w:val="none"/>
        </w:rPr>
        <w:t>号）的规定，本单位为符合条件的残疾人福利性单位，且本单位参加</w:t>
      </w: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单位的</w:t>
      </w: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项目采购活动提供本单位制造的货物（由本单位承担工程/提供服务），或者提供其他残疾人福利性单位制造的货物（不包括使用非残疾人福利性单位注册商标的货物）。</w:t>
      </w:r>
    </w:p>
    <w:p w14:paraId="6AE0C07E">
      <w:pPr>
        <w:spacing w:after="160" w:line="588" w:lineRule="exact"/>
        <w:ind w:firstLine="444"/>
        <w:rPr>
          <w:rFonts w:ascii="宋体" w:hAnsi="宋体" w:cs="宋体"/>
          <w:color w:val="auto"/>
          <w:spacing w:val="6"/>
          <w:highlight w:val="none"/>
        </w:rPr>
      </w:pPr>
      <w:r>
        <w:rPr>
          <w:rFonts w:hint="eastAsia" w:ascii="宋体" w:hAnsi="宋体" w:cs="宋体"/>
          <w:color w:val="auto"/>
          <w:spacing w:val="6"/>
          <w:highlight w:val="none"/>
        </w:rPr>
        <w:t>本单位对上述声明的真实性负责。如有虚假，将依法承担相应责任。</w:t>
      </w:r>
    </w:p>
    <w:p w14:paraId="624E7C96">
      <w:pPr>
        <w:spacing w:after="160" w:line="588" w:lineRule="exact"/>
        <w:ind w:firstLine="444"/>
        <w:rPr>
          <w:rFonts w:ascii="宋体" w:hAnsi="宋体" w:cs="宋体"/>
          <w:color w:val="auto"/>
          <w:spacing w:val="6"/>
          <w:highlight w:val="none"/>
        </w:rPr>
      </w:pPr>
    </w:p>
    <w:p w14:paraId="24F37103">
      <w:pPr>
        <w:tabs>
          <w:tab w:val="left" w:pos="4860"/>
        </w:tabs>
        <w:spacing w:after="160" w:line="588" w:lineRule="exact"/>
        <w:ind w:right="1560" w:firstLine="444"/>
        <w:jc w:val="center"/>
        <w:rPr>
          <w:rFonts w:ascii="宋体" w:hAnsi="宋体" w:cs="宋体"/>
          <w:color w:val="auto"/>
          <w:spacing w:val="6"/>
          <w:highlight w:val="none"/>
          <w:u w:val="single"/>
        </w:rPr>
      </w:pPr>
      <w:r>
        <w:rPr>
          <w:rFonts w:hint="eastAsia" w:ascii="宋体" w:hAnsi="宋体" w:cs="宋体"/>
          <w:color w:val="auto"/>
          <w:kern w:val="0"/>
          <w:szCs w:val="21"/>
          <w:highlight w:val="none"/>
        </w:rPr>
        <w:t xml:space="preserve"> 企业名称[公章（CA签章）]</w:t>
      </w:r>
      <w:r>
        <w:rPr>
          <w:rFonts w:hint="eastAsia" w:ascii="宋体" w:hAnsi="宋体" w:cs="宋体"/>
          <w:color w:val="auto"/>
          <w:spacing w:val="6"/>
          <w:highlight w:val="none"/>
        </w:rPr>
        <w:t>：</w:t>
      </w:r>
      <w:r>
        <w:rPr>
          <w:rFonts w:hint="eastAsia" w:ascii="宋体" w:hAnsi="宋体" w:cs="宋体"/>
          <w:color w:val="auto"/>
          <w:spacing w:val="6"/>
          <w:highlight w:val="none"/>
          <w:u w:val="single"/>
        </w:rPr>
        <w:t>         </w:t>
      </w:r>
    </w:p>
    <w:p w14:paraId="640B5140">
      <w:pPr>
        <w:tabs>
          <w:tab w:val="left" w:pos="4860"/>
        </w:tabs>
        <w:spacing w:after="160" w:line="588" w:lineRule="exact"/>
        <w:ind w:right="1560" w:firstLine="444"/>
        <w:jc w:val="center"/>
        <w:rPr>
          <w:rFonts w:ascii="宋体" w:hAnsi="宋体" w:cs="宋体"/>
          <w:color w:val="auto"/>
          <w:spacing w:val="6"/>
          <w:highlight w:val="none"/>
        </w:rPr>
      </w:pPr>
      <w:r>
        <w:rPr>
          <w:rFonts w:hint="eastAsia" w:ascii="宋体" w:hAnsi="宋体" w:cs="宋体"/>
          <w:color w:val="auto"/>
          <w:spacing w:val="6"/>
          <w:highlight w:val="none"/>
        </w:rPr>
        <w:t>日  期：</w:t>
      </w:r>
      <w:r>
        <w:rPr>
          <w:rFonts w:hint="eastAsia" w:ascii="宋体" w:hAnsi="宋体" w:cs="宋体"/>
          <w:color w:val="auto"/>
          <w:szCs w:val="21"/>
          <w:highlight w:val="none"/>
          <w:u w:val="single" w:color="000000"/>
        </w:rPr>
        <w:tab/>
      </w:r>
    </w:p>
    <w:p w14:paraId="6F3ACEEB">
      <w:pPr>
        <w:pStyle w:val="11"/>
        <w:rPr>
          <w:rFonts w:hAnsi="宋体"/>
          <w:b/>
          <w:bCs/>
          <w:color w:val="auto"/>
          <w:sz w:val="24"/>
          <w:szCs w:val="24"/>
          <w:highlight w:val="none"/>
        </w:rPr>
      </w:pPr>
    </w:p>
    <w:p w14:paraId="5DBED122">
      <w:pPr>
        <w:pStyle w:val="2"/>
        <w:rPr>
          <w:color w:val="auto"/>
          <w:highlight w:val="none"/>
        </w:rPr>
      </w:pPr>
    </w:p>
    <w:p w14:paraId="5BBE185F">
      <w:pPr>
        <w:rPr>
          <w:rFonts w:ascii="宋体" w:hAnsi="宋体" w:cs="宋体"/>
          <w:b/>
          <w:bCs/>
          <w:color w:val="auto"/>
          <w:sz w:val="24"/>
          <w:highlight w:val="none"/>
        </w:rPr>
      </w:pPr>
      <w:r>
        <w:rPr>
          <w:rFonts w:hint="eastAsia" w:ascii="宋体" w:hAnsi="宋体" w:cs="宋体"/>
          <w:b/>
          <w:bCs/>
          <w:color w:val="auto"/>
          <w:sz w:val="24"/>
          <w:highlight w:val="none"/>
        </w:rPr>
        <w:br w:type="page"/>
      </w:r>
    </w:p>
    <w:p w14:paraId="12F93852">
      <w:pPr>
        <w:spacing w:line="409" w:lineRule="exact"/>
        <w:ind w:right="92"/>
        <w:rPr>
          <w:rFonts w:ascii="宋体" w:hAnsi="宋体" w:cs="宋体"/>
          <w:color w:val="auto"/>
          <w:sz w:val="24"/>
          <w:highlight w:val="none"/>
        </w:rPr>
      </w:pP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、节能方面的证书复印件（如有，请提供）</w:t>
      </w:r>
    </w:p>
    <w:p w14:paraId="75982181">
      <w:pPr>
        <w:pStyle w:val="11"/>
        <w:spacing w:line="400" w:lineRule="exact"/>
        <w:rPr>
          <w:rFonts w:hAnsi="宋体" w:cs="宋体"/>
          <w:b/>
          <w:bCs/>
          <w:color w:val="auto"/>
          <w:sz w:val="24"/>
          <w:szCs w:val="24"/>
          <w:highlight w:val="none"/>
        </w:rPr>
      </w:pPr>
    </w:p>
    <w:p w14:paraId="000C0419">
      <w:pPr>
        <w:pStyle w:val="33"/>
        <w:rPr>
          <w:rFonts w:hAnsi="宋体" w:cs="宋体"/>
          <w:b/>
          <w:color w:val="auto"/>
          <w:highlight w:val="none"/>
        </w:rPr>
      </w:pPr>
    </w:p>
    <w:p w14:paraId="156727E0">
      <w:pPr>
        <w:pStyle w:val="11"/>
        <w:spacing w:line="400" w:lineRule="exact"/>
        <w:rPr>
          <w:rFonts w:hAnsi="宋体" w:cs="宋体"/>
          <w:b/>
          <w:bCs/>
          <w:color w:val="auto"/>
          <w:sz w:val="24"/>
          <w:szCs w:val="24"/>
          <w:highlight w:val="none"/>
        </w:rPr>
      </w:pPr>
      <w:r>
        <w:rPr>
          <w:rFonts w:hint="eastAsia" w:hAnsi="宋体" w:cs="宋体"/>
          <w:b/>
          <w:bCs/>
          <w:color w:val="auto"/>
          <w:sz w:val="24"/>
          <w:szCs w:val="24"/>
          <w:highlight w:val="none"/>
          <w:lang w:val="en-US" w:eastAsia="zh-CN"/>
        </w:rPr>
        <w:t>7</w:t>
      </w:r>
      <w:r>
        <w:rPr>
          <w:rFonts w:hint="eastAsia" w:hAnsi="宋体" w:cs="宋体"/>
          <w:b/>
          <w:bCs/>
          <w:color w:val="auto"/>
          <w:sz w:val="24"/>
          <w:szCs w:val="24"/>
          <w:highlight w:val="none"/>
        </w:rPr>
        <w:t>、环保方面的证书复印件（如有，请提供）</w:t>
      </w:r>
    </w:p>
    <w:p w14:paraId="31D4D75B">
      <w:pPr>
        <w:pStyle w:val="2"/>
        <w:rPr>
          <w:rFonts w:ascii="宋体" w:hAnsi="宋体" w:eastAsia="宋体" w:cs="宋体"/>
          <w:b/>
          <w:bCs/>
          <w:color w:val="auto"/>
          <w:sz w:val="24"/>
          <w:szCs w:val="24"/>
          <w:highlight w:val="none"/>
        </w:rPr>
      </w:pPr>
    </w:p>
    <w:p w14:paraId="5225E413">
      <w:pPr>
        <w:rPr>
          <w:color w:val="auto"/>
          <w:highlight w:val="none"/>
        </w:rPr>
      </w:pPr>
    </w:p>
    <w:p w14:paraId="7BBFE008">
      <w:pPr>
        <w:rPr>
          <w:color w:val="auto"/>
          <w:highlight w:val="none"/>
        </w:rPr>
      </w:pPr>
    </w:p>
    <w:p w14:paraId="1DC1695A">
      <w:pPr>
        <w:tabs>
          <w:tab w:val="left" w:pos="1305"/>
        </w:tabs>
        <w:spacing w:line="400" w:lineRule="exact"/>
        <w:rPr>
          <w:rFonts w:ascii="宋体" w:hAnsi="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、投标人202</w:t>
      </w: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年以来具有投标产品的销售业绩的相关证明材料（无不良记录，以中标、成交通知书或签订的销售合同为准，并能清晰反映所销售的货物名称、种类、金额）（如有，请提供）；</w:t>
      </w:r>
    </w:p>
    <w:p w14:paraId="67A4C113">
      <w:pPr>
        <w:pStyle w:val="36"/>
        <w:rPr>
          <w:rFonts w:ascii="宋体" w:hAnsi="宋体" w:cs="宋体"/>
          <w:color w:val="auto"/>
          <w:sz w:val="24"/>
          <w:highlight w:val="none"/>
        </w:rPr>
      </w:pPr>
    </w:p>
    <w:p w14:paraId="53014951">
      <w:pPr>
        <w:pStyle w:val="36"/>
        <w:rPr>
          <w:rFonts w:ascii="宋体" w:hAnsi="宋体" w:cs="宋体"/>
          <w:color w:val="auto"/>
          <w:sz w:val="24"/>
          <w:highlight w:val="none"/>
        </w:rPr>
      </w:pPr>
    </w:p>
    <w:p w14:paraId="07168B66">
      <w:pPr>
        <w:pStyle w:val="36"/>
        <w:spacing w:line="400" w:lineRule="exact"/>
        <w:rPr>
          <w:rFonts w:ascii="宋体" w:hAnsi="宋体" w:cs="宋体"/>
          <w:b/>
          <w:bCs/>
          <w:color w:val="auto"/>
          <w:sz w:val="24"/>
          <w:highlight w:val="none"/>
        </w:rPr>
      </w:pPr>
    </w:p>
    <w:p w14:paraId="71CF2849">
      <w:pPr>
        <w:pStyle w:val="36"/>
        <w:spacing w:line="400" w:lineRule="exact"/>
        <w:rPr>
          <w:rFonts w:ascii="宋体" w:hAnsi="宋体" w:cs="宋体"/>
          <w:b/>
          <w:bCs/>
          <w:color w:val="auto"/>
          <w:sz w:val="24"/>
          <w:highlight w:val="none"/>
        </w:rPr>
      </w:pPr>
    </w:p>
    <w:p w14:paraId="5D9370A6">
      <w:pPr>
        <w:pStyle w:val="36"/>
        <w:spacing w:line="400" w:lineRule="exact"/>
        <w:rPr>
          <w:rFonts w:ascii="宋体" w:hAnsi="宋体" w:cs="宋体"/>
          <w:b/>
          <w:bCs/>
          <w:color w:val="auto"/>
          <w:sz w:val="24"/>
          <w:highlight w:val="none"/>
        </w:rPr>
      </w:pPr>
      <w:r>
        <w:rPr>
          <w:rFonts w:hint="eastAsia" w:ascii="宋体" w:hAnsi="宋体" w:cs="宋体"/>
          <w:b/>
          <w:bCs/>
          <w:color w:val="auto"/>
          <w:sz w:val="24"/>
          <w:highlight w:val="none"/>
          <w:lang w:val="en-US" w:eastAsia="zh-CN"/>
        </w:rPr>
        <w:t>9</w:t>
      </w:r>
      <w:r>
        <w:rPr>
          <w:rFonts w:hint="eastAsia" w:ascii="宋体" w:hAnsi="宋体" w:cs="宋体"/>
          <w:b/>
          <w:bCs/>
          <w:color w:val="auto"/>
          <w:sz w:val="24"/>
          <w:highlight w:val="none"/>
        </w:rPr>
        <w:t>、投标人相关获奖证书、认证证书等复印件（如有，请提供）；</w:t>
      </w:r>
    </w:p>
    <w:p w14:paraId="68765C51">
      <w:pPr>
        <w:pStyle w:val="36"/>
        <w:rPr>
          <w:rFonts w:ascii="宋体" w:hAnsi="宋体" w:cs="宋体"/>
          <w:color w:val="auto"/>
          <w:sz w:val="24"/>
          <w:highlight w:val="none"/>
        </w:rPr>
      </w:pPr>
    </w:p>
    <w:p w14:paraId="092D1C0F">
      <w:pPr>
        <w:pStyle w:val="36"/>
        <w:rPr>
          <w:rFonts w:ascii="宋体" w:hAnsi="宋体" w:cs="宋体"/>
          <w:color w:val="auto"/>
          <w:sz w:val="24"/>
          <w:highlight w:val="none"/>
        </w:rPr>
      </w:pPr>
    </w:p>
    <w:p w14:paraId="01ED8FD9">
      <w:pPr>
        <w:pStyle w:val="36"/>
        <w:rPr>
          <w:rFonts w:ascii="宋体" w:hAnsi="宋体" w:cs="宋体"/>
          <w:color w:val="auto"/>
          <w:sz w:val="24"/>
          <w:highlight w:val="none"/>
        </w:rPr>
      </w:pPr>
    </w:p>
    <w:p w14:paraId="5A79E353">
      <w:pPr>
        <w:pStyle w:val="36"/>
        <w:rPr>
          <w:rFonts w:ascii="宋体" w:hAnsi="宋体" w:cs="宋体"/>
          <w:b/>
          <w:bCs/>
          <w:color w:val="auto"/>
          <w:sz w:val="24"/>
          <w:highlight w:val="none"/>
        </w:rPr>
      </w:pPr>
    </w:p>
    <w:p w14:paraId="1850F3C0">
      <w:pPr>
        <w:pStyle w:val="36"/>
        <w:rPr>
          <w:rFonts w:ascii="宋体" w:hAnsi="宋体" w:cs="宋体"/>
          <w:b/>
          <w:bCs/>
          <w:color w:val="auto"/>
          <w:sz w:val="24"/>
          <w:highlight w:val="none"/>
        </w:rPr>
      </w:pPr>
    </w:p>
    <w:p w14:paraId="36BAF927">
      <w:pPr>
        <w:pStyle w:val="36"/>
        <w:rPr>
          <w:rFonts w:ascii="宋体" w:hAnsi="宋体" w:cs="宋体"/>
          <w:b/>
          <w:bCs/>
          <w:color w:val="auto"/>
          <w:sz w:val="24"/>
          <w:highlight w:val="none"/>
        </w:rPr>
      </w:pPr>
      <w:r>
        <w:rPr>
          <w:rFonts w:hint="eastAsia" w:ascii="宋体" w:hAnsi="宋体" w:cs="宋体"/>
          <w:b/>
          <w:bCs/>
          <w:color w:val="auto"/>
          <w:sz w:val="24"/>
          <w:highlight w:val="none"/>
          <w:lang w:val="en-US" w:eastAsia="zh-CN"/>
        </w:rPr>
        <w:t>10</w:t>
      </w:r>
      <w:r>
        <w:rPr>
          <w:rFonts w:hint="eastAsia" w:ascii="宋体" w:hAnsi="宋体" w:cs="宋体"/>
          <w:b/>
          <w:bCs/>
          <w:color w:val="auto"/>
          <w:sz w:val="24"/>
          <w:highlight w:val="none"/>
        </w:rPr>
        <w:t>、投标人可结合本项目的评标办法视自身情况自行提交相关证明材料（如有，请提供）。</w:t>
      </w:r>
    </w:p>
    <w:p w14:paraId="1214AAB1">
      <w:pPr>
        <w:spacing w:line="400" w:lineRule="exact"/>
        <w:jc w:val="center"/>
        <w:outlineLvl w:val="1"/>
        <w:rPr>
          <w:rFonts w:ascii="宋体" w:hAnsi="宋体" w:cs="宋体"/>
          <w:color w:val="auto"/>
          <w:highlight w:val="none"/>
        </w:rPr>
      </w:pPr>
    </w:p>
    <w:p w14:paraId="2BCCF60E">
      <w:pPr>
        <w:rPr>
          <w:color w:val="auto"/>
          <w:highlight w:val="none"/>
        </w:rPr>
      </w:pPr>
    </w:p>
    <w:sectPr>
      <w:footerReference r:id="rId13" w:type="default"/>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KSOFA7146913">
    <w:panose1 w:val="020B060402020209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26B07">
    <w:pPr>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CF151">
    <w:pPr>
      <w:pStyle w:val="13"/>
      <w:framePr w:wrap="around" w:vAnchor="text" w:hAnchor="margin" w:xAlign="center" w:y="1"/>
      <w:ind w:firstLine="360"/>
      <w:rPr>
        <w:rStyle w:val="26"/>
      </w:rPr>
    </w:pPr>
    <w:r>
      <w:fldChar w:fldCharType="begin"/>
    </w:r>
    <w:r>
      <w:rPr>
        <w:rStyle w:val="26"/>
      </w:rPr>
      <w:instrText xml:space="preserve">PAGE  </w:instrText>
    </w:r>
    <w:r>
      <w:fldChar w:fldCharType="separate"/>
    </w:r>
    <w:r>
      <w:rPr>
        <w:rStyle w:val="26"/>
      </w:rPr>
      <w:t>1</w:t>
    </w:r>
    <w:r>
      <w:fldChar w:fldCharType="end"/>
    </w:r>
  </w:p>
  <w:p w14:paraId="297B678A">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E8425">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CB80A">
    <w:pPr>
      <w:pStyle w:val="13"/>
      <w:jc w:val="center"/>
    </w:pPr>
  </w:p>
  <w:p w14:paraId="3A5EFE66">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E243E">
    <w:pPr>
      <w:pStyle w:val="13"/>
      <w:rPr>
        <w:rStyle w:val="26"/>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81DB111">
                          <w:pPr>
                            <w:pStyle w:val="13"/>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wrap="none" lIns="0" tIns="0" rIns="0" bIns="0" upright="0">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UGXbQ2gEAALQDAAAOAAAAAAAA&#10;AAEAIAAAACIBAABkcnMvZTJvRG9jLnhtbFBLBQYAAAAABgAGAFkBAABuBQAAAAA=&#10;">
              <v:fill on="f" focussize="0,0"/>
              <v:stroke on="f" weight="1.25pt"/>
              <v:imagedata o:title=""/>
              <o:lock v:ext="edit" aspectratio="f"/>
              <v:textbox inset="0mm,0mm,0mm,0mm" style="mso-fit-shape-to-text:t;">
                <w:txbxContent>
                  <w:p w14:paraId="481DB111">
                    <w:pPr>
                      <w:pStyle w:val="13"/>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p>
  <w:p w14:paraId="6BBBDDE9">
    <w:pPr>
      <w:pStyle w:val="1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2941D">
    <w:pPr>
      <w:spacing w:line="14" w:lineRule="auto"/>
      <w:rPr>
        <w:sz w:val="20"/>
        <w:szCs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481A13F">
                          <w:pPr>
                            <w:pStyle w:val="1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wrap="none" lIns="0" tIns="0" rIns="0" bIns="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ffRvY2gEAALQDAAAOAAAAAAAA&#10;AAEAIAAAACIBAABkcnMvZTJvRG9jLnhtbFBLBQYAAAAABgAGAFkBAABuBQAAAAA=&#10;">
              <v:fill on="f" focussize="0,0"/>
              <v:stroke on="f" weight="1.25pt"/>
              <v:imagedata o:title=""/>
              <o:lock v:ext="edit" aspectratio="f"/>
              <v:textbox inset="0mm,0mm,0mm,0mm" style="mso-fit-shape-to-text:t;">
                <w:txbxContent>
                  <w:p w14:paraId="5481A13F">
                    <w:pPr>
                      <w:pStyle w:val="1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56425">
    <w:pPr>
      <w:spacing w:line="14" w:lineRule="auto"/>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6C9C29A">
                          <w:pPr>
                            <w:pStyle w:val="13"/>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PpV1d2gEAALQDAAAOAAAAAAAA&#10;AAEAIAAAACIBAABkcnMvZTJvRG9jLnhtbFBLBQYAAAAABgAGAFkBAABuBQAAAAA=&#10;">
              <v:fill on="f" focussize="0,0"/>
              <v:stroke on="f" weight="1.25pt"/>
              <v:imagedata o:title=""/>
              <o:lock v:ext="edit" aspectratio="f"/>
              <v:textbox inset="0mm,0mm,0mm,0mm" style="mso-fit-shape-to-text:t;">
                <w:txbxContent>
                  <w:p w14:paraId="36C9C29A">
                    <w:pPr>
                      <w:pStyle w:val="13"/>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37E24">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0FB383">
                          <w:pPr>
                            <w:pStyle w:val="13"/>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206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qmVXY5AEAAM8DAAAO&#10;AAAAAAAAAAEAIAAAAB4BAABkcnMvZTJvRG9jLnhtbFBLBQYAAAAABgAGAFkBAAB0BQAAAAA=&#10;">
              <v:fill on="f" focussize="0,0"/>
              <v:stroke on="f"/>
              <v:imagedata o:title=""/>
              <o:lock v:ext="edit" aspectratio="f"/>
              <v:textbox inset="0mm,0mm,0mm,0mm" style="mso-fit-shape-to-text:t;">
                <w:txbxContent>
                  <w:p w14:paraId="120FB383">
                    <w:pPr>
                      <w:pStyle w:val="13"/>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v:textbox>
            </v:shape>
          </w:pict>
        </mc:Fallback>
      </mc:AlternateContent>
    </w:r>
  </w:p>
  <w:p w14:paraId="53768010">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A79E">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93827">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6054A">
    <w:pPr>
      <w:pStyle w:val="14"/>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011B4C"/>
    <w:multiLevelType w:val="multilevel"/>
    <w:tmpl w:val="1F011B4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471DB9CA"/>
    <w:multiLevelType w:val="singleLevel"/>
    <w:tmpl w:val="471DB9CA"/>
    <w:lvl w:ilvl="0" w:tentative="0">
      <w:start w:val="6"/>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3NTI3YmE5Y2NiZWI5YTE0Y2Y3ODA3NTY0NjhkYjYifQ=="/>
  </w:docVars>
  <w:rsids>
    <w:rsidRoot w:val="2DF44043"/>
    <w:rsid w:val="00153497"/>
    <w:rsid w:val="00157F78"/>
    <w:rsid w:val="001D7251"/>
    <w:rsid w:val="00200102"/>
    <w:rsid w:val="00202892"/>
    <w:rsid w:val="00223053"/>
    <w:rsid w:val="0025196F"/>
    <w:rsid w:val="00254F96"/>
    <w:rsid w:val="002F50F3"/>
    <w:rsid w:val="003061EE"/>
    <w:rsid w:val="003701CA"/>
    <w:rsid w:val="00551BE2"/>
    <w:rsid w:val="00572D47"/>
    <w:rsid w:val="005C671D"/>
    <w:rsid w:val="00623335"/>
    <w:rsid w:val="00731A07"/>
    <w:rsid w:val="00731D8F"/>
    <w:rsid w:val="009959B0"/>
    <w:rsid w:val="00B05D86"/>
    <w:rsid w:val="00B47109"/>
    <w:rsid w:val="00B73F97"/>
    <w:rsid w:val="00BD09AF"/>
    <w:rsid w:val="00C8114D"/>
    <w:rsid w:val="00CC2F11"/>
    <w:rsid w:val="00D2377A"/>
    <w:rsid w:val="00D54C72"/>
    <w:rsid w:val="00D703D0"/>
    <w:rsid w:val="00E861E1"/>
    <w:rsid w:val="00F66E0B"/>
    <w:rsid w:val="00F714B6"/>
    <w:rsid w:val="00F96298"/>
    <w:rsid w:val="00FE276D"/>
    <w:rsid w:val="01352CEB"/>
    <w:rsid w:val="027A4DA6"/>
    <w:rsid w:val="02BE0FBD"/>
    <w:rsid w:val="03761C3A"/>
    <w:rsid w:val="0390530E"/>
    <w:rsid w:val="03C46AB9"/>
    <w:rsid w:val="03FC5090"/>
    <w:rsid w:val="04075D54"/>
    <w:rsid w:val="04260B6F"/>
    <w:rsid w:val="046C41B6"/>
    <w:rsid w:val="095C18FB"/>
    <w:rsid w:val="097074A3"/>
    <w:rsid w:val="09B951C0"/>
    <w:rsid w:val="09DA56F1"/>
    <w:rsid w:val="0AFB334F"/>
    <w:rsid w:val="0B750558"/>
    <w:rsid w:val="0B9A7838"/>
    <w:rsid w:val="0C4F46BB"/>
    <w:rsid w:val="0C712247"/>
    <w:rsid w:val="0D2F3621"/>
    <w:rsid w:val="0D346B4C"/>
    <w:rsid w:val="0D640091"/>
    <w:rsid w:val="0E537332"/>
    <w:rsid w:val="0EE31394"/>
    <w:rsid w:val="0F140BB6"/>
    <w:rsid w:val="0F476BAA"/>
    <w:rsid w:val="0F55238B"/>
    <w:rsid w:val="10233CCF"/>
    <w:rsid w:val="10D130FB"/>
    <w:rsid w:val="10D34B99"/>
    <w:rsid w:val="10FF726F"/>
    <w:rsid w:val="12865EBC"/>
    <w:rsid w:val="13196734"/>
    <w:rsid w:val="1345239B"/>
    <w:rsid w:val="135968D9"/>
    <w:rsid w:val="144B2F1F"/>
    <w:rsid w:val="153B0062"/>
    <w:rsid w:val="159C1350"/>
    <w:rsid w:val="15BF43EC"/>
    <w:rsid w:val="168A27E2"/>
    <w:rsid w:val="16D518F7"/>
    <w:rsid w:val="16DF15B9"/>
    <w:rsid w:val="172E69DF"/>
    <w:rsid w:val="174162DB"/>
    <w:rsid w:val="190F3B10"/>
    <w:rsid w:val="1929245C"/>
    <w:rsid w:val="1A086A26"/>
    <w:rsid w:val="1A48710B"/>
    <w:rsid w:val="1B387853"/>
    <w:rsid w:val="1C134A01"/>
    <w:rsid w:val="1DA3507D"/>
    <w:rsid w:val="1E1E6894"/>
    <w:rsid w:val="1EBA08F7"/>
    <w:rsid w:val="1F6B0692"/>
    <w:rsid w:val="1F6B7C4E"/>
    <w:rsid w:val="20460CFE"/>
    <w:rsid w:val="21075EB4"/>
    <w:rsid w:val="21FE665E"/>
    <w:rsid w:val="22FC4D73"/>
    <w:rsid w:val="23290648"/>
    <w:rsid w:val="233D1BA5"/>
    <w:rsid w:val="2384127A"/>
    <w:rsid w:val="23B90CD0"/>
    <w:rsid w:val="23E624AC"/>
    <w:rsid w:val="24C13D50"/>
    <w:rsid w:val="24CD723D"/>
    <w:rsid w:val="25B10EEC"/>
    <w:rsid w:val="25C2126C"/>
    <w:rsid w:val="25CD0281"/>
    <w:rsid w:val="268B3EC3"/>
    <w:rsid w:val="26D861F3"/>
    <w:rsid w:val="273378F4"/>
    <w:rsid w:val="2792059D"/>
    <w:rsid w:val="28E526F9"/>
    <w:rsid w:val="29434037"/>
    <w:rsid w:val="298E7B9C"/>
    <w:rsid w:val="2AC553DF"/>
    <w:rsid w:val="2BFD08C4"/>
    <w:rsid w:val="2C265AF6"/>
    <w:rsid w:val="2CCA7693"/>
    <w:rsid w:val="2CF70B39"/>
    <w:rsid w:val="2DF44043"/>
    <w:rsid w:val="2F0A3761"/>
    <w:rsid w:val="2F713553"/>
    <w:rsid w:val="2FA77885"/>
    <w:rsid w:val="2FE06533"/>
    <w:rsid w:val="3050602F"/>
    <w:rsid w:val="30825825"/>
    <w:rsid w:val="30F009F7"/>
    <w:rsid w:val="30FC74DE"/>
    <w:rsid w:val="31E01842"/>
    <w:rsid w:val="325D0A0C"/>
    <w:rsid w:val="331974C0"/>
    <w:rsid w:val="335F0421"/>
    <w:rsid w:val="34886BC0"/>
    <w:rsid w:val="356542DC"/>
    <w:rsid w:val="35C74C72"/>
    <w:rsid w:val="3623694C"/>
    <w:rsid w:val="370451FC"/>
    <w:rsid w:val="37B865B1"/>
    <w:rsid w:val="37EC0D47"/>
    <w:rsid w:val="383D609C"/>
    <w:rsid w:val="384E5F06"/>
    <w:rsid w:val="38692049"/>
    <w:rsid w:val="3B7E233B"/>
    <w:rsid w:val="3BF43A19"/>
    <w:rsid w:val="3C10474C"/>
    <w:rsid w:val="3D332F76"/>
    <w:rsid w:val="3D5E7DB5"/>
    <w:rsid w:val="3E5D3A03"/>
    <w:rsid w:val="3EC07E4D"/>
    <w:rsid w:val="3F6D4FAF"/>
    <w:rsid w:val="3F7E6BC8"/>
    <w:rsid w:val="3F841018"/>
    <w:rsid w:val="3FF25F3B"/>
    <w:rsid w:val="404C68B7"/>
    <w:rsid w:val="40CF50E4"/>
    <w:rsid w:val="411C2282"/>
    <w:rsid w:val="426F629F"/>
    <w:rsid w:val="429E2DCC"/>
    <w:rsid w:val="43121276"/>
    <w:rsid w:val="433A5F25"/>
    <w:rsid w:val="44105769"/>
    <w:rsid w:val="44731111"/>
    <w:rsid w:val="450E5003"/>
    <w:rsid w:val="45901EE5"/>
    <w:rsid w:val="45AA0974"/>
    <w:rsid w:val="462A2146"/>
    <w:rsid w:val="4651369D"/>
    <w:rsid w:val="46520CDC"/>
    <w:rsid w:val="46C81548"/>
    <w:rsid w:val="473066CC"/>
    <w:rsid w:val="478B2DD0"/>
    <w:rsid w:val="482259DD"/>
    <w:rsid w:val="4865138D"/>
    <w:rsid w:val="493C303F"/>
    <w:rsid w:val="493E76D9"/>
    <w:rsid w:val="49EF7CF8"/>
    <w:rsid w:val="4A9571BD"/>
    <w:rsid w:val="4B6D4795"/>
    <w:rsid w:val="4BC86461"/>
    <w:rsid w:val="4BD44D46"/>
    <w:rsid w:val="4C3A5F4E"/>
    <w:rsid w:val="4C453E95"/>
    <w:rsid w:val="4D862EA5"/>
    <w:rsid w:val="4EA54511"/>
    <w:rsid w:val="4F86326C"/>
    <w:rsid w:val="4FA31103"/>
    <w:rsid w:val="50000E95"/>
    <w:rsid w:val="501A1195"/>
    <w:rsid w:val="502F7A03"/>
    <w:rsid w:val="505E5337"/>
    <w:rsid w:val="512E66FB"/>
    <w:rsid w:val="51E46C6F"/>
    <w:rsid w:val="524373DC"/>
    <w:rsid w:val="53430D36"/>
    <w:rsid w:val="541740C4"/>
    <w:rsid w:val="554F056C"/>
    <w:rsid w:val="55950CEB"/>
    <w:rsid w:val="55BD6992"/>
    <w:rsid w:val="56102E1E"/>
    <w:rsid w:val="56656179"/>
    <w:rsid w:val="56BA4704"/>
    <w:rsid w:val="56DF11E5"/>
    <w:rsid w:val="570127F3"/>
    <w:rsid w:val="57232601"/>
    <w:rsid w:val="577152BB"/>
    <w:rsid w:val="583A23D4"/>
    <w:rsid w:val="592C5F4E"/>
    <w:rsid w:val="59345240"/>
    <w:rsid w:val="5B5E2C50"/>
    <w:rsid w:val="5C7A70D0"/>
    <w:rsid w:val="5C82056F"/>
    <w:rsid w:val="5C9F314E"/>
    <w:rsid w:val="5D551FC3"/>
    <w:rsid w:val="5D986834"/>
    <w:rsid w:val="5E436B83"/>
    <w:rsid w:val="5FBA445A"/>
    <w:rsid w:val="60711BD7"/>
    <w:rsid w:val="6167331D"/>
    <w:rsid w:val="6176277F"/>
    <w:rsid w:val="61933C58"/>
    <w:rsid w:val="61F0316D"/>
    <w:rsid w:val="634C4DED"/>
    <w:rsid w:val="637666C3"/>
    <w:rsid w:val="64805613"/>
    <w:rsid w:val="655D37FA"/>
    <w:rsid w:val="656237A1"/>
    <w:rsid w:val="65B85280"/>
    <w:rsid w:val="66DA4C20"/>
    <w:rsid w:val="67267422"/>
    <w:rsid w:val="67284C5F"/>
    <w:rsid w:val="67985093"/>
    <w:rsid w:val="67FA1634"/>
    <w:rsid w:val="69381AD5"/>
    <w:rsid w:val="6984040D"/>
    <w:rsid w:val="69CF0A12"/>
    <w:rsid w:val="69D266C9"/>
    <w:rsid w:val="6A576C3F"/>
    <w:rsid w:val="6A95147A"/>
    <w:rsid w:val="6B250CC2"/>
    <w:rsid w:val="6B7B36D6"/>
    <w:rsid w:val="6D257406"/>
    <w:rsid w:val="6DEF3809"/>
    <w:rsid w:val="6E325ED7"/>
    <w:rsid w:val="6EB760D5"/>
    <w:rsid w:val="6F75243B"/>
    <w:rsid w:val="70420332"/>
    <w:rsid w:val="70C16E68"/>
    <w:rsid w:val="70E2785F"/>
    <w:rsid w:val="70F01A9F"/>
    <w:rsid w:val="71040422"/>
    <w:rsid w:val="712F28C5"/>
    <w:rsid w:val="715B1D52"/>
    <w:rsid w:val="71936D89"/>
    <w:rsid w:val="727B2910"/>
    <w:rsid w:val="72B52EB2"/>
    <w:rsid w:val="734D0EA5"/>
    <w:rsid w:val="747A4799"/>
    <w:rsid w:val="74D95337"/>
    <w:rsid w:val="75032B7A"/>
    <w:rsid w:val="757C0970"/>
    <w:rsid w:val="769B227B"/>
    <w:rsid w:val="76BE73A7"/>
    <w:rsid w:val="77792AA3"/>
    <w:rsid w:val="779203C6"/>
    <w:rsid w:val="781F1647"/>
    <w:rsid w:val="782345F7"/>
    <w:rsid w:val="794541E0"/>
    <w:rsid w:val="798F7FA6"/>
    <w:rsid w:val="79BA7846"/>
    <w:rsid w:val="7B4E6EB0"/>
    <w:rsid w:val="7BAC39EC"/>
    <w:rsid w:val="7C4B39BF"/>
    <w:rsid w:val="7C9A0DE4"/>
    <w:rsid w:val="7CD75F40"/>
    <w:rsid w:val="7D565B84"/>
    <w:rsid w:val="7D837413"/>
    <w:rsid w:val="7D995BB2"/>
    <w:rsid w:val="7E2A45B2"/>
    <w:rsid w:val="7E446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34"/>
    <w:qFormat/>
    <w:uiPriority w:val="0"/>
    <w:pPr>
      <w:spacing w:beforeAutospacing="1" w:afterAutospacing="1" w:line="360" w:lineRule="auto"/>
      <w:jc w:val="center"/>
      <w:outlineLvl w:val="0"/>
    </w:pPr>
    <w:rPr>
      <w:rFonts w:ascii="宋体" w:hAnsi="宋体" w:cs="宋体"/>
      <w:b/>
      <w:kern w:val="44"/>
      <w:sz w:val="32"/>
      <w:szCs w:val="48"/>
    </w:rPr>
  </w:style>
  <w:style w:type="paragraph" w:styleId="4">
    <w:name w:val="heading 2"/>
    <w:basedOn w:val="1"/>
    <w:next w:val="1"/>
    <w:qFormat/>
    <w:uiPriority w:val="0"/>
    <w:pPr>
      <w:keepNext/>
      <w:keepLines/>
      <w:spacing w:before="260" w:after="260" w:line="416" w:lineRule="auto"/>
      <w:outlineLvl w:val="1"/>
    </w:pPr>
    <w:rPr>
      <w:rFonts w:ascii="Cambria" w:hAnsi="Cambria"/>
      <w:b/>
      <w:bCs/>
      <w:kern w:val="0"/>
      <w:sz w:val="32"/>
      <w:szCs w:val="32"/>
    </w:rPr>
  </w:style>
  <w:style w:type="paragraph" w:styleId="5">
    <w:name w:val="heading 4"/>
    <w:basedOn w:val="1"/>
    <w:next w:val="1"/>
    <w:qFormat/>
    <w:uiPriority w:val="0"/>
    <w:pPr>
      <w:widowControl/>
      <w:tabs>
        <w:tab w:val="left" w:pos="567"/>
        <w:tab w:val="left" w:pos="1080"/>
      </w:tabs>
      <w:spacing w:after="120"/>
      <w:jc w:val="left"/>
      <w:outlineLvl w:val="3"/>
    </w:pPr>
    <w:rPr>
      <w:kern w:val="0"/>
      <w:sz w:val="24"/>
      <w:lang w:val="en-NZ"/>
    </w:rPr>
  </w:style>
  <w:style w:type="paragraph" w:styleId="6">
    <w:name w:val="heading 5"/>
    <w:basedOn w:val="1"/>
    <w:next w:val="1"/>
    <w:qFormat/>
    <w:uiPriority w:val="0"/>
    <w:pPr>
      <w:widowControl/>
      <w:tabs>
        <w:tab w:val="left" w:pos="1021"/>
      </w:tabs>
      <w:spacing w:before="240" w:after="120"/>
      <w:jc w:val="left"/>
      <w:outlineLvl w:val="4"/>
    </w:pPr>
    <w:rPr>
      <w:rFonts w:ascii="Arial Narrow" w:hAnsi="Arial Narrow"/>
      <w:i/>
      <w:kern w:val="0"/>
      <w:sz w:val="24"/>
      <w:szCs w:val="20"/>
      <w:lang w:val="en-NZ"/>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rPr>
      <w:rFonts w:ascii="等线" w:hAnsi="等线" w:eastAsia="等线"/>
      <w:kern w:val="0"/>
      <w:sz w:val="20"/>
      <w:szCs w:val="20"/>
    </w:rPr>
  </w:style>
  <w:style w:type="paragraph" w:styleId="7">
    <w:name w:val="index 8"/>
    <w:basedOn w:val="1"/>
    <w:next w:val="1"/>
    <w:qFormat/>
    <w:uiPriority w:val="0"/>
    <w:pPr>
      <w:ind w:left="2940"/>
    </w:pPr>
  </w:style>
  <w:style w:type="paragraph" w:styleId="8">
    <w:name w:val="annotation text"/>
    <w:basedOn w:val="1"/>
    <w:link w:val="45"/>
    <w:qFormat/>
    <w:uiPriority w:val="0"/>
    <w:pPr>
      <w:jc w:val="left"/>
    </w:pPr>
  </w:style>
  <w:style w:type="paragraph" w:styleId="9">
    <w:name w:val="Body Text Indent"/>
    <w:basedOn w:val="1"/>
    <w:next w:val="10"/>
    <w:qFormat/>
    <w:uiPriority w:val="0"/>
    <w:pPr>
      <w:spacing w:before="72" w:after="120"/>
      <w:ind w:left="360"/>
    </w:pPr>
    <w:rPr>
      <w:color w:val="000000"/>
      <w:kern w:val="0"/>
      <w:sz w:val="24"/>
    </w:rPr>
  </w:style>
  <w:style w:type="paragraph" w:styleId="10">
    <w:name w:val="envelope return"/>
    <w:basedOn w:val="1"/>
    <w:qFormat/>
    <w:uiPriority w:val="0"/>
    <w:pPr>
      <w:snapToGrid w:val="0"/>
    </w:pPr>
    <w:rPr>
      <w:rFonts w:ascii="Arial" w:hAnsi="Arial"/>
    </w:rPr>
  </w:style>
  <w:style w:type="paragraph" w:styleId="11">
    <w:name w:val="Plain Text"/>
    <w:basedOn w:val="1"/>
    <w:qFormat/>
    <w:uiPriority w:val="0"/>
    <w:rPr>
      <w:rFonts w:ascii="宋体" w:hAnsi="Courier New"/>
      <w:kern w:val="0"/>
      <w:sz w:val="20"/>
      <w:szCs w:val="20"/>
    </w:rPr>
  </w:style>
  <w:style w:type="paragraph" w:styleId="12">
    <w:name w:val="Balloon Text"/>
    <w:basedOn w:val="1"/>
    <w:link w:val="43"/>
    <w:qFormat/>
    <w:uiPriority w:val="0"/>
    <w:rPr>
      <w:sz w:val="18"/>
      <w:szCs w:val="18"/>
    </w:rPr>
  </w:style>
  <w:style w:type="paragraph" w:styleId="13">
    <w:name w:val="footer"/>
    <w:basedOn w:val="1"/>
    <w:qFormat/>
    <w:uiPriority w:val="0"/>
    <w:pPr>
      <w:tabs>
        <w:tab w:val="center" w:pos="4153"/>
        <w:tab w:val="right" w:pos="8306"/>
      </w:tabs>
      <w:snapToGrid w:val="0"/>
      <w:jc w:val="left"/>
    </w:pPr>
    <w:rPr>
      <w:kern w:val="0"/>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0"/>
    <w:pPr>
      <w:spacing w:line="360" w:lineRule="auto"/>
      <w:ind w:firstLine="480" w:firstLineChars="200"/>
    </w:pPr>
    <w:rPr>
      <w:sz w:val="24"/>
      <w:szCs w:val="21"/>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index 1"/>
    <w:basedOn w:val="1"/>
    <w:next w:val="1"/>
    <w:qFormat/>
    <w:uiPriority w:val="0"/>
    <w:pPr>
      <w:spacing w:line="400" w:lineRule="exact"/>
      <w:ind w:firstLine="420" w:firstLineChars="200"/>
    </w:pPr>
    <w:rPr>
      <w:rFonts w:ascii="宋体" w:hAnsi="Courier New"/>
      <w:b/>
      <w:szCs w:val="20"/>
    </w:rPr>
  </w:style>
  <w:style w:type="paragraph" w:styleId="18">
    <w:name w:val="Title"/>
    <w:basedOn w:val="1"/>
    <w:next w:val="1"/>
    <w:qFormat/>
    <w:uiPriority w:val="0"/>
    <w:pPr>
      <w:spacing w:before="240" w:after="60"/>
      <w:jc w:val="center"/>
      <w:outlineLvl w:val="0"/>
    </w:pPr>
    <w:rPr>
      <w:rFonts w:ascii="Cambria" w:hAnsi="Cambria"/>
      <w:b/>
      <w:bCs/>
      <w:sz w:val="32"/>
      <w:szCs w:val="32"/>
    </w:rPr>
  </w:style>
  <w:style w:type="paragraph" w:styleId="19">
    <w:name w:val="annotation subject"/>
    <w:basedOn w:val="8"/>
    <w:next w:val="8"/>
    <w:link w:val="46"/>
    <w:qFormat/>
    <w:uiPriority w:val="0"/>
    <w:rPr>
      <w:b/>
      <w:bCs/>
    </w:rPr>
  </w:style>
  <w:style w:type="paragraph" w:styleId="20">
    <w:name w:val="Body Text First Indent 2"/>
    <w:basedOn w:val="9"/>
    <w:next w:val="21"/>
    <w:unhideWhenUsed/>
    <w:qFormat/>
    <w:uiPriority w:val="99"/>
    <w:pPr>
      <w:ind w:firstLine="420" w:firstLineChars="200"/>
    </w:pPr>
  </w:style>
  <w:style w:type="paragraph" w:customStyle="1" w:styleId="21">
    <w:name w:val="**正文"/>
    <w:basedOn w:val="1"/>
    <w:qFormat/>
    <w:uiPriority w:val="0"/>
    <w:pPr>
      <w:ind w:firstLine="482"/>
    </w:pPr>
    <w:rPr>
      <w:rFonts w:ascii="宋体" w:hAnsi="宋体"/>
      <w:sz w:val="24"/>
    </w:rPr>
  </w:style>
  <w:style w:type="table" w:styleId="23">
    <w:name w:val="Table Grid"/>
    <w:basedOn w:val="2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bCs/>
    </w:rPr>
  </w:style>
  <w:style w:type="character" w:styleId="26">
    <w:name w:val="page number"/>
    <w:basedOn w:val="24"/>
    <w:qFormat/>
    <w:uiPriority w:val="0"/>
  </w:style>
  <w:style w:type="character" w:styleId="27">
    <w:name w:val="Hyperlink"/>
    <w:qFormat/>
    <w:uiPriority w:val="99"/>
    <w:rPr>
      <w:color w:val="0000FF"/>
      <w:u w:val="single"/>
    </w:rPr>
  </w:style>
  <w:style w:type="character" w:styleId="28">
    <w:name w:val="annotation reference"/>
    <w:qFormat/>
    <w:uiPriority w:val="0"/>
    <w:rPr>
      <w:sz w:val="21"/>
      <w:szCs w:val="21"/>
    </w:rPr>
  </w:style>
  <w:style w:type="paragraph" w:customStyle="1" w:styleId="29">
    <w:name w:val="样式 正文文本缩进 + 首行缩进:  2 字符 行距: 1.5 倍行距"/>
    <w:basedOn w:val="9"/>
    <w:qFormat/>
    <w:uiPriority w:val="0"/>
    <w:rPr>
      <w:rFonts w:cs="宋体"/>
    </w:rPr>
  </w:style>
  <w:style w:type="paragraph" w:customStyle="1" w:styleId="30">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1">
    <w:name w:val="Default"/>
    <w:qFormat/>
    <w:uiPriority w:val="0"/>
    <w:pPr>
      <w:widowControl w:val="0"/>
      <w:autoSpaceDE w:val="0"/>
      <w:autoSpaceDN w:val="0"/>
      <w:adjustRightInd w:val="0"/>
    </w:pPr>
    <w:rPr>
      <w:rFonts w:ascii="宋体" w:hAnsi="Calibri" w:eastAsia="Times New Roman" w:cs="Times New Roman"/>
      <w:color w:val="000000"/>
      <w:sz w:val="24"/>
      <w:lang w:val="en-US" w:eastAsia="zh-CN" w:bidi="ar-SA"/>
    </w:rPr>
  </w:style>
  <w:style w:type="paragraph" w:customStyle="1" w:styleId="3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3">
    <w:name w:val="表格文字"/>
    <w:basedOn w:val="1"/>
    <w:next w:val="2"/>
    <w:qFormat/>
    <w:uiPriority w:val="0"/>
    <w:pPr>
      <w:spacing w:before="25" w:after="25"/>
      <w:jc w:val="left"/>
    </w:pPr>
    <w:rPr>
      <w:bCs/>
      <w:spacing w:val="10"/>
      <w:kern w:val="0"/>
      <w:sz w:val="24"/>
    </w:rPr>
  </w:style>
  <w:style w:type="character" w:customStyle="1" w:styleId="34">
    <w:name w:val="标题 1 Char"/>
    <w:link w:val="3"/>
    <w:qFormat/>
    <w:uiPriority w:val="0"/>
    <w:rPr>
      <w:rFonts w:ascii="宋体" w:hAnsi="宋体" w:eastAsia="宋体" w:cs="宋体"/>
      <w:b/>
      <w:kern w:val="44"/>
      <w:sz w:val="32"/>
      <w:szCs w:val="48"/>
    </w:rPr>
  </w:style>
  <w:style w:type="paragraph" w:customStyle="1" w:styleId="35">
    <w:name w:val="1"/>
    <w:basedOn w:val="1"/>
    <w:next w:val="11"/>
    <w:qFormat/>
    <w:uiPriority w:val="0"/>
    <w:rPr>
      <w:rFonts w:ascii="宋体" w:hAnsi="Courier New"/>
      <w:szCs w:val="20"/>
    </w:rPr>
  </w:style>
  <w:style w:type="paragraph" w:customStyle="1" w:styleId="36">
    <w:name w:val="_Style 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No Spacing1"/>
    <w:qFormat/>
    <w:uiPriority w:val="0"/>
    <w:pPr>
      <w:widowControl w:val="0"/>
      <w:jc w:val="both"/>
    </w:pPr>
    <w:rPr>
      <w:rFonts w:ascii="Calibri" w:hAnsi="Calibri" w:eastAsia="宋体" w:cs="Times New Roman"/>
      <w:sz w:val="21"/>
      <w:szCs w:val="22"/>
      <w:lang w:val="en-US" w:eastAsia="zh-CN" w:bidi="ar-SA"/>
    </w:rPr>
  </w:style>
  <w:style w:type="paragraph" w:customStyle="1" w:styleId="38">
    <w:name w:val="Table Paragraph"/>
    <w:basedOn w:val="1"/>
    <w:qFormat/>
    <w:uiPriority w:val="1"/>
  </w:style>
  <w:style w:type="paragraph" w:customStyle="1" w:styleId="39">
    <w:name w:val="Body text|3"/>
    <w:basedOn w:val="1"/>
    <w:qFormat/>
    <w:uiPriority w:val="0"/>
    <w:pPr>
      <w:spacing w:after="460"/>
      <w:jc w:val="center"/>
    </w:pPr>
    <w:rPr>
      <w:rFonts w:ascii="宋体" w:hAnsi="宋体" w:cs="宋体"/>
      <w:kern w:val="0"/>
      <w:sz w:val="34"/>
      <w:szCs w:val="34"/>
    </w:rPr>
  </w:style>
  <w:style w:type="paragraph" w:customStyle="1" w:styleId="40">
    <w:name w:val="正文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首行缩进"/>
    <w:basedOn w:val="1"/>
    <w:qFormat/>
    <w:uiPriority w:val="0"/>
    <w:pPr>
      <w:ind w:firstLine="480" w:firstLineChars="200"/>
    </w:pPr>
  </w:style>
  <w:style w:type="paragraph" w:customStyle="1" w:styleId="42">
    <w:name w:val="List Paragraph"/>
    <w:basedOn w:val="1"/>
    <w:unhideWhenUsed/>
    <w:qFormat/>
    <w:uiPriority w:val="34"/>
    <w:pPr>
      <w:ind w:firstLine="420" w:firstLineChars="200"/>
    </w:pPr>
  </w:style>
  <w:style w:type="character" w:customStyle="1" w:styleId="43">
    <w:name w:val="批注框文本 Char"/>
    <w:basedOn w:val="24"/>
    <w:link w:val="12"/>
    <w:qFormat/>
    <w:uiPriority w:val="0"/>
    <w:rPr>
      <w:rFonts w:ascii="Calibri" w:hAnsi="Calibri" w:eastAsia="宋体" w:cs="Times New Roman"/>
      <w:kern w:val="2"/>
      <w:sz w:val="18"/>
      <w:szCs w:val="18"/>
    </w:rPr>
  </w:style>
  <w:style w:type="table" w:customStyle="1" w:styleId="44">
    <w:name w:val="Table Normal"/>
    <w:unhideWhenUsed/>
    <w:qFormat/>
    <w:uiPriority w:val="0"/>
    <w:tblPr>
      <w:tblCellMar>
        <w:top w:w="0" w:type="dxa"/>
        <w:left w:w="0" w:type="dxa"/>
        <w:bottom w:w="0" w:type="dxa"/>
        <w:right w:w="0" w:type="dxa"/>
      </w:tblCellMar>
    </w:tblPr>
  </w:style>
  <w:style w:type="character" w:customStyle="1" w:styleId="45">
    <w:name w:val="批注文字 Char"/>
    <w:basedOn w:val="24"/>
    <w:link w:val="8"/>
    <w:qFormat/>
    <w:uiPriority w:val="0"/>
    <w:rPr>
      <w:rFonts w:ascii="Calibri" w:hAnsi="Calibri"/>
      <w:kern w:val="2"/>
      <w:sz w:val="21"/>
      <w:szCs w:val="24"/>
    </w:rPr>
  </w:style>
  <w:style w:type="character" w:customStyle="1" w:styleId="46">
    <w:name w:val="批注主题 Char"/>
    <w:basedOn w:val="45"/>
    <w:link w:val="19"/>
    <w:qFormat/>
    <w:uiPriority w:val="0"/>
    <w:rPr>
      <w:rFonts w:ascii="Calibri" w:hAnsi="Calibri"/>
      <w:b/>
      <w:bCs/>
      <w:kern w:val="2"/>
      <w:sz w:val="21"/>
      <w:szCs w:val="24"/>
    </w:rPr>
  </w:style>
  <w:style w:type="paragraph" w:customStyle="1" w:styleId="47">
    <w:name w:val="TOC 标题1"/>
    <w:basedOn w:val="3"/>
    <w:next w:val="1"/>
    <w:unhideWhenUsed/>
    <w:qFormat/>
    <w:uiPriority w:val="39"/>
    <w:pPr>
      <w:spacing w:before="240" w:line="259" w:lineRule="auto"/>
      <w:outlineLvl w:val="9"/>
    </w:pPr>
    <w:rPr>
      <w:rFonts w:ascii="Cambria" w:hAnsi="Cambria" w:cs="Times New Roman"/>
      <w:b w:val="0"/>
      <w:color w:val="365F91"/>
      <w:kern w:val="0"/>
      <w:szCs w:val="32"/>
    </w:rPr>
  </w:style>
  <w:style w:type="paragraph" w:customStyle="1" w:styleId="48">
    <w:name w:val="_Style 7"/>
    <w:basedOn w:val="1"/>
    <w:next w:val="42"/>
    <w:qFormat/>
    <w:uiPriority w:val="34"/>
    <w:pPr>
      <w:ind w:firstLine="420" w:firstLineChars="200"/>
    </w:pPr>
    <w:rPr>
      <w:rFonts w:ascii="Times New Roman" w:hAnsi="Times New Roman"/>
    </w:rPr>
  </w:style>
  <w:style w:type="paragraph" w:customStyle="1" w:styleId="49">
    <w:name w:val="_Style 5"/>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
    <w:name w:val="Table Text"/>
    <w:basedOn w:val="1"/>
    <w:semiHidden/>
    <w:qFormat/>
    <w:uiPriority w:val="0"/>
    <w:rPr>
      <w:rFonts w:ascii="宋体" w:hAnsi="宋体" w:eastAsia="宋体" w:cs="宋体"/>
      <w:sz w:val="22"/>
      <w:szCs w:val="22"/>
      <w:lang w:val="en-US" w:eastAsia="en-US" w:bidi="ar-SA"/>
    </w:rPr>
  </w:style>
  <w:style w:type="paragraph" w:customStyle="1" w:styleId="51">
    <w:name w:val="列表段落1"/>
    <w:basedOn w:val="1"/>
    <w:unhideWhenUsed/>
    <w:qFormat/>
    <w:uiPriority w:val="99"/>
    <w:pPr>
      <w:ind w:firstLine="420" w:firstLineChars="200"/>
    </w:pPr>
  </w:style>
  <w:style w:type="paragraph" w:customStyle="1" w:styleId="52">
    <w:name w:val="列表段落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23585</Words>
  <Characters>25485</Characters>
  <Lines>365</Lines>
  <Paragraphs>102</Paragraphs>
  <TotalTime>16</TotalTime>
  <ScaleCrop>false</ScaleCrop>
  <LinksUpToDate>false</LinksUpToDate>
  <CharactersWithSpaces>28790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2022-10-28T02:36:00Z</dcterms:created>
  <dc:creator>你猜</dc:creator>
  <cp:lastModifiedBy>狠淡de幸福</cp:lastModifiedBy>
  <cp:lastPrinted>2023-08-02T08:25:00Z</cp:lastPrinted>
  <dcterms:modified xsi:type="dcterms:W3CDTF">2026-05-11T08:35:49Z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123A8316A21B4589BC6A0E381246BCB5_13</vt:lpwstr>
  </property>
  <property fmtid="{D5CDD505-2E9C-101B-9397-08002B2CF9AE}" pid="4" name="GrammarlyDocumentId">
    <vt:lpwstr>c0f92c854542184c3c2c04a8885e95b716361bc6155590853289907c13ce3cf1</vt:lpwstr>
  </property>
  <property fmtid="{D5CDD505-2E9C-101B-9397-08002B2CF9AE}" pid="5" name="KSOTemplateDocerSaveRecord">
    <vt:lpwstr>eyJoZGlkIjoiYzgyN2ExYzNkNjQ1M2QwMmNiM2ZiNGNkMTBhZThkODYiLCJ1c2VySWQiOiI0MTA2ODA5NjkifQ==</vt:lpwstr>
  </property>
</Properties>
</file>