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5D8FC">
      <w:pPr>
        <w:spacing w:before="169" w:beforeLines="50" w:line="360" w:lineRule="auto"/>
        <w:jc w:val="center"/>
        <w:rPr>
          <w:rFonts w:hint="eastAsia" w:ascii="仿宋" w:hAnsi="仿宋" w:eastAsia="仿宋" w:cs="仿宋"/>
          <w:sz w:val="48"/>
          <w:szCs w:val="48"/>
          <w:highlight w:val="none"/>
        </w:rPr>
      </w:pPr>
    </w:p>
    <w:p w14:paraId="498EA5ED">
      <w:pPr>
        <w:spacing w:before="169" w:beforeLines="50" w:line="360" w:lineRule="auto"/>
        <w:jc w:val="center"/>
        <w:rPr>
          <w:rFonts w:hint="eastAsia" w:ascii="仿宋" w:hAnsi="仿宋" w:eastAsia="仿宋" w:cs="仿宋"/>
          <w:sz w:val="48"/>
          <w:szCs w:val="48"/>
          <w:highlight w:val="none"/>
        </w:rPr>
      </w:pPr>
      <w:r>
        <w:rPr>
          <w:rFonts w:hint="eastAsia" w:ascii="仿宋" w:hAnsi="仿宋" w:eastAsia="仿宋" w:cs="仿宋"/>
          <w:sz w:val="48"/>
          <w:szCs w:val="48"/>
          <w:highlight w:val="none"/>
        </w:rPr>
        <w:t>南宁市政府采购</w:t>
      </w:r>
    </w:p>
    <w:p w14:paraId="1D4C7740">
      <w:pPr>
        <w:spacing w:before="169" w:beforeLines="50" w:line="360" w:lineRule="auto"/>
        <w:jc w:val="center"/>
        <w:rPr>
          <w:rFonts w:hint="eastAsia" w:ascii="仿宋" w:hAnsi="仿宋" w:eastAsia="仿宋" w:cs="仿宋"/>
          <w:sz w:val="48"/>
          <w:szCs w:val="48"/>
          <w:highlight w:val="none"/>
        </w:rPr>
      </w:pPr>
      <w:r>
        <w:rPr>
          <w:rFonts w:hint="eastAsia" w:ascii="仿宋" w:hAnsi="仿宋" w:eastAsia="仿宋" w:cs="仿宋"/>
          <w:sz w:val="48"/>
          <w:szCs w:val="48"/>
          <w:highlight w:val="none"/>
        </w:rPr>
        <w:t>竞争性磋商文件（服务类）</w:t>
      </w:r>
    </w:p>
    <w:p w14:paraId="5010A8BD">
      <w:pPr>
        <w:spacing w:before="169" w:beforeLines="50" w:line="360" w:lineRule="auto"/>
        <w:jc w:val="center"/>
        <w:rPr>
          <w:rFonts w:hint="eastAsia" w:ascii="仿宋" w:hAnsi="仿宋" w:eastAsia="仿宋" w:cs="仿宋"/>
          <w:sz w:val="36"/>
          <w:szCs w:val="36"/>
          <w:highlight w:val="none"/>
        </w:rPr>
      </w:pPr>
    </w:p>
    <w:p w14:paraId="30ACEED2">
      <w:pPr>
        <w:jc w:val="center"/>
        <w:rPr>
          <w:rFonts w:hint="eastAsia" w:ascii="仿宋" w:hAnsi="仿宋" w:eastAsia="仿宋" w:cs="仿宋"/>
          <w:szCs w:val="44"/>
          <w:highlight w:val="none"/>
        </w:rPr>
      </w:pPr>
      <w:bookmarkStart w:id="0" w:name="_Toc10740"/>
      <w:r>
        <w:rPr>
          <w:rFonts w:hint="eastAsia" w:ascii="仿宋" w:hAnsi="仿宋" w:eastAsia="仿宋" w:cs="仿宋"/>
          <w:b/>
          <w:bCs/>
          <w:sz w:val="84"/>
          <w:szCs w:val="84"/>
          <w:highlight w:val="none"/>
        </w:rPr>
        <w:t>竞争性磋商文件</w:t>
      </w:r>
      <w:bookmarkEnd w:id="0"/>
    </w:p>
    <w:p w14:paraId="5BC05BD5">
      <w:pPr>
        <w:snapToGrid w:val="0"/>
        <w:spacing w:before="50" w:after="120" w:line="360" w:lineRule="auto"/>
        <w:ind w:left="1506" w:hanging="1506" w:hangingChars="500"/>
        <w:jc w:val="center"/>
        <w:rPr>
          <w:rFonts w:hint="eastAsia" w:ascii="仿宋" w:hAnsi="仿宋" w:eastAsia="仿宋" w:cs="仿宋"/>
          <w:b/>
          <w:bCs/>
          <w:kern w:val="0"/>
          <w:sz w:val="30"/>
          <w:szCs w:val="30"/>
          <w:highlight w:val="none"/>
        </w:rPr>
      </w:pPr>
      <w:bookmarkStart w:id="1" w:name="_Toc20882"/>
      <w:r>
        <w:rPr>
          <w:rFonts w:hint="eastAsia" w:ascii="仿宋" w:hAnsi="仿宋" w:eastAsia="仿宋" w:cs="仿宋"/>
          <w:b/>
          <w:bCs/>
          <w:kern w:val="0"/>
          <w:sz w:val="30"/>
          <w:szCs w:val="30"/>
          <w:highlight w:val="none"/>
        </w:rPr>
        <w:t>（全流程电子化评标）</w:t>
      </w:r>
      <w:bookmarkEnd w:id="1"/>
    </w:p>
    <w:p w14:paraId="54883536">
      <w:pPr>
        <w:spacing w:line="360" w:lineRule="auto"/>
        <w:rPr>
          <w:rFonts w:hint="eastAsia" w:ascii="仿宋" w:hAnsi="仿宋" w:eastAsia="仿宋" w:cs="仿宋"/>
          <w:b/>
          <w:sz w:val="32"/>
          <w:szCs w:val="32"/>
          <w:highlight w:val="none"/>
        </w:rPr>
      </w:pPr>
    </w:p>
    <w:p w14:paraId="7FC5659F">
      <w:pPr>
        <w:spacing w:line="360" w:lineRule="auto"/>
        <w:jc w:val="center"/>
        <w:rPr>
          <w:rFonts w:hint="eastAsia" w:ascii="仿宋" w:hAnsi="仿宋" w:eastAsia="仿宋" w:cs="仿宋"/>
          <w:b/>
          <w:sz w:val="32"/>
          <w:szCs w:val="32"/>
          <w:highlight w:val="none"/>
        </w:rPr>
      </w:pPr>
    </w:p>
    <w:p w14:paraId="4CF60961">
      <w:pPr>
        <w:snapToGrid w:val="0"/>
        <w:spacing w:before="50" w:after="120" w:line="360" w:lineRule="auto"/>
        <w:ind w:left="2556" w:leftChars="500" w:hanging="1506" w:hangingChars="500"/>
        <w:rPr>
          <w:rFonts w:hint="eastAsia" w:ascii="仿宋" w:hAnsi="仿宋" w:eastAsia="仿宋" w:cs="仿宋"/>
          <w:b/>
          <w:bCs/>
          <w:kern w:val="0"/>
          <w:sz w:val="30"/>
          <w:szCs w:val="30"/>
          <w:highlight w:val="none"/>
          <w:lang w:eastAsia="zh-CN"/>
        </w:rPr>
      </w:pPr>
      <w:r>
        <w:rPr>
          <w:rFonts w:hint="eastAsia" w:ascii="仿宋" w:hAnsi="仿宋" w:eastAsia="仿宋" w:cs="仿宋"/>
          <w:b/>
          <w:bCs/>
          <w:kern w:val="0"/>
          <w:sz w:val="30"/>
          <w:szCs w:val="30"/>
          <w:highlight w:val="none"/>
        </w:rPr>
        <w:t>项目</w:t>
      </w:r>
      <w:r>
        <w:rPr>
          <w:rFonts w:hint="eastAsia" w:ascii="仿宋" w:hAnsi="仿宋" w:eastAsia="仿宋" w:cs="仿宋"/>
          <w:b/>
          <w:bCs/>
          <w:w w:val="95"/>
          <w:kern w:val="0"/>
          <w:sz w:val="30"/>
          <w:szCs w:val="30"/>
          <w:highlight w:val="none"/>
        </w:rPr>
        <w:t>名称</w:t>
      </w:r>
      <w:r>
        <w:rPr>
          <w:rFonts w:hint="eastAsia" w:ascii="仿宋" w:hAnsi="仿宋" w:eastAsia="仿宋" w:cs="仿宋"/>
          <w:b/>
          <w:bCs/>
          <w:kern w:val="0"/>
          <w:sz w:val="30"/>
          <w:szCs w:val="30"/>
          <w:highlight w:val="none"/>
        </w:rPr>
        <w:t>：</w:t>
      </w:r>
      <w:r>
        <w:rPr>
          <w:rFonts w:hint="eastAsia" w:ascii="仿宋" w:hAnsi="仿宋" w:eastAsia="仿宋" w:cs="仿宋"/>
          <w:b/>
          <w:bCs/>
          <w:kern w:val="0"/>
          <w:sz w:val="30"/>
          <w:szCs w:val="30"/>
          <w:highlight w:val="none"/>
          <w:lang w:eastAsia="zh-CN"/>
        </w:rPr>
        <w:t>轨道交通第三方安全评估</w:t>
      </w:r>
    </w:p>
    <w:p w14:paraId="5700271B">
      <w:pPr>
        <w:snapToGrid w:val="0"/>
        <w:spacing w:before="50" w:after="120" w:line="360" w:lineRule="auto"/>
        <w:ind w:left="2556" w:leftChars="500" w:hanging="1506" w:hangingChars="500"/>
        <w:rPr>
          <w:rFonts w:hint="eastAsia" w:ascii="仿宋" w:hAnsi="仿宋" w:eastAsia="仿宋" w:cs="仿宋"/>
          <w:b/>
          <w:bCs/>
          <w:kern w:val="0"/>
          <w:sz w:val="30"/>
          <w:szCs w:val="30"/>
          <w:highlight w:val="none"/>
          <w:lang w:eastAsia="zh-CN"/>
        </w:rPr>
      </w:pPr>
      <w:r>
        <w:rPr>
          <w:rFonts w:hint="eastAsia" w:ascii="仿宋" w:hAnsi="仿宋" w:eastAsia="仿宋" w:cs="仿宋"/>
          <w:b/>
          <w:bCs/>
          <w:kern w:val="0"/>
          <w:sz w:val="30"/>
          <w:szCs w:val="30"/>
          <w:highlight w:val="none"/>
        </w:rPr>
        <w:t>项目编号：</w:t>
      </w:r>
      <w:r>
        <w:rPr>
          <w:rFonts w:hint="eastAsia" w:ascii="仿宋" w:hAnsi="仿宋" w:eastAsia="仿宋" w:cs="仿宋"/>
          <w:b/>
          <w:bCs/>
          <w:kern w:val="0"/>
          <w:sz w:val="30"/>
          <w:szCs w:val="30"/>
          <w:highlight w:val="none"/>
          <w:lang w:eastAsia="zh-CN"/>
        </w:rPr>
        <w:t>NNZC2026-C3-990387-GXZX</w:t>
      </w:r>
    </w:p>
    <w:p w14:paraId="60E77E9C">
      <w:pPr>
        <w:snapToGrid w:val="0"/>
        <w:spacing w:before="50" w:after="120" w:line="360" w:lineRule="auto"/>
        <w:ind w:left="2556" w:leftChars="500" w:hanging="1506" w:hangingChars="500"/>
        <w:rPr>
          <w:rFonts w:hint="eastAsia" w:ascii="仿宋" w:hAnsi="仿宋" w:eastAsia="仿宋" w:cs="仿宋"/>
          <w:b/>
          <w:bCs/>
          <w:kern w:val="0"/>
          <w:sz w:val="30"/>
          <w:szCs w:val="30"/>
          <w:highlight w:val="none"/>
        </w:rPr>
      </w:pPr>
      <w:bookmarkStart w:id="2" w:name="_Toc20247"/>
      <w:r>
        <w:rPr>
          <w:rFonts w:hint="eastAsia" w:ascii="仿宋" w:hAnsi="仿宋" w:eastAsia="仿宋" w:cs="仿宋"/>
          <w:b/>
          <w:bCs/>
          <w:kern w:val="0"/>
          <w:sz w:val="30"/>
          <w:szCs w:val="30"/>
          <w:highlight w:val="none"/>
        </w:rPr>
        <w:t>项目所属区划：南宁市</w:t>
      </w:r>
      <w:bookmarkEnd w:id="2"/>
    </w:p>
    <w:p w14:paraId="4EC3F602">
      <w:pPr>
        <w:snapToGrid w:val="0"/>
        <w:spacing w:before="50" w:after="120" w:line="360" w:lineRule="auto"/>
        <w:ind w:left="2556" w:leftChars="500" w:hanging="1506" w:hangingChars="500"/>
        <w:rPr>
          <w:rFonts w:hint="eastAsia" w:ascii="仿宋" w:hAnsi="仿宋" w:eastAsia="仿宋" w:cs="仿宋"/>
          <w:b/>
          <w:bCs/>
          <w:kern w:val="0"/>
          <w:sz w:val="30"/>
          <w:szCs w:val="30"/>
          <w:highlight w:val="none"/>
        </w:rPr>
      </w:pPr>
      <w:bookmarkStart w:id="3" w:name="_Toc22362"/>
      <w:r>
        <w:rPr>
          <w:rFonts w:hint="eastAsia" w:ascii="仿宋" w:hAnsi="仿宋" w:eastAsia="仿宋" w:cs="仿宋"/>
          <w:b/>
          <w:bCs/>
          <w:kern w:val="0"/>
          <w:sz w:val="30"/>
          <w:szCs w:val="30"/>
          <w:highlight w:val="none"/>
        </w:rPr>
        <w:t>采 购 人：南宁市交通运输局</w:t>
      </w:r>
      <w:bookmarkEnd w:id="3"/>
    </w:p>
    <w:p w14:paraId="2792EB20">
      <w:pPr>
        <w:snapToGrid w:val="0"/>
        <w:spacing w:before="50" w:after="120" w:line="360" w:lineRule="auto"/>
        <w:ind w:left="2556" w:leftChars="500" w:hanging="1506" w:hangingChars="500"/>
        <w:rPr>
          <w:rFonts w:hint="eastAsia" w:ascii="仿宋" w:hAnsi="仿宋" w:eastAsia="仿宋" w:cs="仿宋"/>
          <w:b/>
          <w:bCs/>
          <w:kern w:val="0"/>
          <w:sz w:val="30"/>
          <w:szCs w:val="30"/>
          <w:highlight w:val="none"/>
        </w:rPr>
      </w:pPr>
      <w:r>
        <w:rPr>
          <w:rFonts w:hint="eastAsia" w:ascii="仿宋" w:hAnsi="仿宋" w:eastAsia="仿宋" w:cs="仿宋"/>
          <w:b/>
          <w:bCs/>
          <w:kern w:val="0"/>
          <w:sz w:val="30"/>
          <w:szCs w:val="30"/>
          <w:highlight w:val="none"/>
        </w:rPr>
        <w:t>采购代理机构：广西中信恒泰工程顾问有限公司</w:t>
      </w:r>
    </w:p>
    <w:p w14:paraId="634596A1">
      <w:pPr>
        <w:snapToGrid w:val="0"/>
        <w:spacing w:before="50" w:after="120" w:line="360" w:lineRule="auto"/>
        <w:ind w:firstLine="841" w:firstLineChars="294"/>
        <w:rPr>
          <w:rFonts w:hint="eastAsia" w:ascii="仿宋" w:hAnsi="仿宋" w:eastAsia="仿宋" w:cs="仿宋"/>
          <w:b/>
          <w:bCs/>
          <w:w w:val="95"/>
          <w:kern w:val="0"/>
          <w:sz w:val="30"/>
          <w:szCs w:val="30"/>
          <w:highlight w:val="none"/>
        </w:rPr>
      </w:pPr>
      <w:r>
        <w:rPr>
          <w:rFonts w:hint="eastAsia" w:ascii="仿宋" w:hAnsi="仿宋" w:eastAsia="仿宋" w:cs="仿宋"/>
          <w:b/>
          <w:bCs/>
          <w:w w:val="95"/>
          <w:kern w:val="0"/>
          <w:sz w:val="30"/>
          <w:szCs w:val="30"/>
          <w:highlight w:val="none"/>
        </w:rPr>
        <w:t xml:space="preserve">  </w:t>
      </w:r>
    </w:p>
    <w:p w14:paraId="3DFE0E86">
      <w:pPr>
        <w:snapToGrid w:val="0"/>
        <w:spacing w:before="50" w:after="120" w:line="360" w:lineRule="auto"/>
        <w:jc w:val="center"/>
        <w:rPr>
          <w:rFonts w:hint="eastAsia" w:ascii="仿宋" w:hAnsi="仿宋" w:eastAsia="仿宋" w:cs="仿宋"/>
          <w:b/>
          <w:bCs/>
          <w:w w:val="95"/>
          <w:kern w:val="0"/>
          <w:sz w:val="30"/>
          <w:szCs w:val="30"/>
          <w:highlight w:val="none"/>
        </w:rPr>
        <w:sectPr>
          <w:footerReference r:id="rId3" w:type="default"/>
          <w:footerReference r:id="rId4" w:type="even"/>
          <w:pgSz w:w="11905" w:h="16838"/>
          <w:pgMar w:top="1304" w:right="1304" w:bottom="1304" w:left="1304" w:header="720" w:footer="720" w:gutter="0"/>
          <w:pgNumType w:start="0"/>
          <w:cols w:space="720" w:num="1"/>
          <w:docGrid w:type="lines" w:linePitch="339" w:charSpace="0"/>
        </w:sectPr>
      </w:pPr>
      <w:r>
        <w:rPr>
          <w:rFonts w:hint="eastAsia" w:ascii="仿宋" w:hAnsi="仿宋" w:eastAsia="仿宋" w:cs="仿宋"/>
          <w:b/>
          <w:bCs/>
          <w:w w:val="95"/>
          <w:kern w:val="0"/>
          <w:sz w:val="30"/>
          <w:szCs w:val="30"/>
          <w:highlight w:val="none"/>
        </w:rPr>
        <w:t>202</w:t>
      </w:r>
      <w:r>
        <w:rPr>
          <w:rFonts w:hint="eastAsia" w:ascii="仿宋" w:hAnsi="仿宋" w:eastAsia="仿宋" w:cs="仿宋"/>
          <w:b/>
          <w:bCs/>
          <w:w w:val="95"/>
          <w:kern w:val="0"/>
          <w:sz w:val="30"/>
          <w:szCs w:val="30"/>
          <w:highlight w:val="none"/>
          <w:lang w:val="en-US" w:eastAsia="zh-CN"/>
        </w:rPr>
        <w:t>6</w:t>
      </w:r>
      <w:r>
        <w:rPr>
          <w:rFonts w:hint="eastAsia" w:ascii="仿宋" w:hAnsi="仿宋" w:eastAsia="仿宋" w:cs="仿宋"/>
          <w:b/>
          <w:bCs/>
          <w:w w:val="95"/>
          <w:kern w:val="0"/>
          <w:sz w:val="30"/>
          <w:szCs w:val="30"/>
          <w:highlight w:val="none"/>
        </w:rPr>
        <w:t>年</w:t>
      </w:r>
      <w:r>
        <w:rPr>
          <w:rFonts w:hint="eastAsia" w:ascii="仿宋" w:hAnsi="仿宋" w:eastAsia="仿宋" w:cs="仿宋"/>
          <w:b/>
          <w:bCs/>
          <w:w w:val="95"/>
          <w:kern w:val="0"/>
          <w:sz w:val="30"/>
          <w:szCs w:val="30"/>
          <w:highlight w:val="none"/>
          <w:lang w:val="en-US" w:eastAsia="zh-CN"/>
        </w:rPr>
        <w:t>7</w:t>
      </w:r>
      <w:r>
        <w:rPr>
          <w:rFonts w:hint="eastAsia" w:ascii="仿宋" w:hAnsi="仿宋" w:eastAsia="仿宋" w:cs="仿宋"/>
          <w:b/>
          <w:bCs/>
          <w:w w:val="95"/>
          <w:kern w:val="0"/>
          <w:sz w:val="30"/>
          <w:szCs w:val="30"/>
          <w:highlight w:val="none"/>
        </w:rPr>
        <w:t>月</w:t>
      </w:r>
    </w:p>
    <w:p w14:paraId="4D53A45F">
      <w:pPr>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目   录</w:t>
      </w:r>
    </w:p>
    <w:p w14:paraId="6A2054B0">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TOC \o "1-2" \h \u </w:instrText>
      </w:r>
      <w:r>
        <w:rPr>
          <w:rFonts w:hint="eastAsia" w:ascii="仿宋" w:hAnsi="仿宋" w:eastAsia="仿宋" w:cs="仿宋"/>
          <w:b/>
          <w:bCs/>
          <w:sz w:val="24"/>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"_Toc30710" </w:instrText>
      </w:r>
      <w:r>
        <w:rPr>
          <w:rFonts w:hint="eastAsia" w:ascii="仿宋" w:hAnsi="仿宋" w:eastAsia="仿宋" w:cs="仿宋"/>
          <w:highlight w:val="none"/>
        </w:rPr>
        <w:fldChar w:fldCharType="separate"/>
      </w:r>
      <w:r>
        <w:rPr>
          <w:rFonts w:hint="eastAsia" w:ascii="仿宋" w:hAnsi="仿宋" w:eastAsia="仿宋" w:cs="仿宋"/>
          <w:b/>
          <w:bCs/>
          <w:kern w:val="44"/>
          <w:sz w:val="24"/>
          <w:highlight w:val="none"/>
        </w:rPr>
        <w:t>第一章 竞争性磋商公告</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_Toc30710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1</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4D53ED66">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"_Toc26321" </w:instrText>
      </w:r>
      <w:r>
        <w:rPr>
          <w:rFonts w:hint="eastAsia" w:ascii="仿宋" w:hAnsi="仿宋" w:eastAsia="仿宋" w:cs="仿宋"/>
          <w:highlight w:val="none"/>
        </w:rPr>
        <w:fldChar w:fldCharType="separate"/>
      </w:r>
      <w:r>
        <w:rPr>
          <w:rFonts w:hint="eastAsia" w:ascii="仿宋" w:hAnsi="仿宋" w:eastAsia="仿宋" w:cs="仿宋"/>
          <w:b/>
          <w:bCs/>
          <w:kern w:val="44"/>
          <w:sz w:val="24"/>
          <w:highlight w:val="none"/>
        </w:rPr>
        <w:t>第二章 采购需求</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_Toc26321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4</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6E106038">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"_Toc27264" </w:instrText>
      </w:r>
      <w:r>
        <w:rPr>
          <w:rFonts w:hint="eastAsia" w:ascii="仿宋" w:hAnsi="仿宋" w:eastAsia="仿宋" w:cs="仿宋"/>
          <w:highlight w:val="none"/>
        </w:rPr>
        <w:fldChar w:fldCharType="separate"/>
      </w:r>
      <w:r>
        <w:rPr>
          <w:rFonts w:hint="eastAsia" w:ascii="仿宋" w:hAnsi="仿宋" w:eastAsia="仿宋" w:cs="仿宋"/>
          <w:b/>
          <w:bCs/>
          <w:kern w:val="44"/>
          <w:sz w:val="24"/>
          <w:highlight w:val="none"/>
        </w:rPr>
        <w:t>第三章 供应商须知</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_Toc27264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12</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2A6F3748">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"_Toc30429"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第一节 供应商须知前附表</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_Toc30429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12</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670174BB">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"_Toc25854"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第二节 供应商须知正文</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_Toc25854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19</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5177A659">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"_Toc5279" </w:instrText>
      </w:r>
      <w:r>
        <w:rPr>
          <w:rFonts w:hint="eastAsia" w:ascii="仿宋" w:hAnsi="仿宋" w:eastAsia="仿宋" w:cs="仿宋"/>
          <w:highlight w:val="none"/>
        </w:rPr>
        <w:fldChar w:fldCharType="separate"/>
      </w:r>
      <w:r>
        <w:rPr>
          <w:rFonts w:hint="eastAsia" w:ascii="仿宋" w:hAnsi="仿宋" w:eastAsia="仿宋" w:cs="仿宋"/>
          <w:b/>
          <w:bCs/>
          <w:kern w:val="0"/>
          <w:sz w:val="24"/>
          <w:highlight w:val="none"/>
        </w:rPr>
        <w:t>第四章 评审程序、评审方法和评审标准</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_Toc5279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30</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251116CB">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"_Toc15520"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第一节 评审程序和评审方法</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_Toc15520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30</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589C5B01">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"_Toc28964"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第二节 评审报告</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_Toc28964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39</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622C220B">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"_Toc6767"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第三节 评审过程的保密与录像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_Toc6767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39</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66ABADEE">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"_Toc9402" </w:instrText>
      </w:r>
      <w:r>
        <w:rPr>
          <w:rFonts w:hint="eastAsia" w:ascii="仿宋" w:hAnsi="仿宋" w:eastAsia="仿宋" w:cs="仿宋"/>
          <w:highlight w:val="none"/>
        </w:rPr>
        <w:fldChar w:fldCharType="separate"/>
      </w:r>
      <w:r>
        <w:rPr>
          <w:rFonts w:hint="eastAsia" w:ascii="仿宋" w:hAnsi="仿宋" w:eastAsia="仿宋" w:cs="仿宋"/>
          <w:b/>
          <w:bCs/>
          <w:kern w:val="44"/>
          <w:sz w:val="24"/>
          <w:highlight w:val="none"/>
        </w:rPr>
        <w:t>第五章 响应文件格式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_Toc9402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40</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0AE3DC19">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"_Toc9031"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第一节 封面格式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_Toc9031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41</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4D787C16">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"_Toc32645"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第二节 资格证明文件格式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_Toc32645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42</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0DDA41F4">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"_Toc4748"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第三节 商务文件格式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_Toc4748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52</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3A2462DC">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"_Toc5092"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第四节 技术文件格式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_Toc5092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63</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40BE2AA5">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"_Toc2947"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第五节 报价文件格式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_Toc2947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67</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4BF27CFB">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"_Toc28900"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第六节 其他文书、文件格式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_Toc28900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73</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66417B49">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"_Toc24183" </w:instrText>
      </w:r>
      <w:r>
        <w:rPr>
          <w:rFonts w:hint="eastAsia" w:ascii="仿宋" w:hAnsi="仿宋" w:eastAsia="仿宋" w:cs="仿宋"/>
          <w:highlight w:val="none"/>
        </w:rPr>
        <w:fldChar w:fldCharType="separate"/>
      </w:r>
      <w:r>
        <w:rPr>
          <w:rFonts w:hint="eastAsia" w:ascii="仿宋" w:hAnsi="仿宋" w:eastAsia="仿宋" w:cs="仿宋"/>
          <w:b/>
          <w:bCs/>
          <w:kern w:val="44"/>
          <w:sz w:val="24"/>
          <w:highlight w:val="none"/>
        </w:rPr>
        <w:t>第六章 合同文本</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_Toc24183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75</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39CDB9C7">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"_Toc30027"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第一部分 合同书</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_Toc30027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78</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7957675F">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"_Toc10263"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第二部分 合同一般条款</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_Toc10263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83</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38EF23A4">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"_Toc10247"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第三部分 合同专用条款</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_Toc10247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88</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69A5121D">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"_Toc9390" </w:instrText>
      </w:r>
      <w:r>
        <w:rPr>
          <w:rFonts w:hint="eastAsia" w:ascii="仿宋" w:hAnsi="仿宋" w:eastAsia="仿宋" w:cs="仿宋"/>
          <w:highlight w:val="none"/>
        </w:rPr>
        <w:fldChar w:fldCharType="separate"/>
      </w:r>
      <w:r>
        <w:rPr>
          <w:rFonts w:hint="eastAsia" w:ascii="仿宋" w:hAnsi="仿宋" w:eastAsia="仿宋" w:cs="仿宋"/>
          <w:b/>
          <w:bCs/>
          <w:kern w:val="44"/>
          <w:sz w:val="24"/>
          <w:highlight w:val="none"/>
        </w:rPr>
        <w:t>第七章 质疑、投诉材料格式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_Toc9390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91</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033EAE28">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szCs w:val="28"/>
          <w:highlight w:val="none"/>
        </w:rPr>
      </w:pPr>
      <w:r>
        <w:rPr>
          <w:rFonts w:hint="eastAsia" w:ascii="仿宋" w:hAnsi="仿宋" w:eastAsia="仿宋" w:cs="仿宋"/>
          <w:b/>
          <w:bCs/>
          <w:sz w:val="24"/>
          <w:highlight w:val="none"/>
        </w:rPr>
        <w:fldChar w:fldCharType="end"/>
      </w:r>
    </w:p>
    <w:p w14:paraId="7BB663CB">
      <w:pPr>
        <w:pStyle w:val="19"/>
        <w:rPr>
          <w:rFonts w:hint="eastAsia" w:ascii="仿宋" w:hAnsi="仿宋" w:eastAsia="仿宋" w:cs="仿宋"/>
          <w:highlight w:val="none"/>
        </w:rPr>
      </w:pPr>
    </w:p>
    <w:p w14:paraId="1BFDC907">
      <w:pPr>
        <w:tabs>
          <w:tab w:val="left" w:pos="7470"/>
        </w:tabs>
        <w:spacing w:line="4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ab/>
      </w:r>
    </w:p>
    <w:p w14:paraId="26FD0400">
      <w:pPr>
        <w:spacing w:line="400" w:lineRule="exact"/>
        <w:rPr>
          <w:rFonts w:hint="eastAsia" w:ascii="仿宋" w:hAnsi="仿宋" w:eastAsia="仿宋" w:cs="仿宋"/>
          <w:b/>
          <w:sz w:val="32"/>
          <w:szCs w:val="32"/>
          <w:highlight w:val="none"/>
        </w:rPr>
        <w:sectPr>
          <w:headerReference r:id="rId6" w:type="first"/>
          <w:footerReference r:id="rId8" w:type="first"/>
          <w:headerReference r:id="rId5" w:type="default"/>
          <w:footerReference r:id="rId7" w:type="default"/>
          <w:pgSz w:w="11905" w:h="16838"/>
          <w:pgMar w:top="1304" w:right="1304" w:bottom="1304" w:left="1304" w:header="720" w:footer="720" w:gutter="0"/>
          <w:pgNumType w:start="0"/>
          <w:cols w:space="720" w:num="1"/>
          <w:docGrid w:type="lines" w:linePitch="339" w:charSpace="0"/>
        </w:sectPr>
      </w:pPr>
    </w:p>
    <w:p w14:paraId="251F8502">
      <w:pPr>
        <w:keepNext/>
        <w:keepLines/>
        <w:spacing w:before="340" w:after="330" w:line="400" w:lineRule="exact"/>
        <w:jc w:val="center"/>
        <w:outlineLvl w:val="0"/>
        <w:rPr>
          <w:rFonts w:hint="eastAsia" w:ascii="仿宋" w:hAnsi="仿宋" w:eastAsia="仿宋" w:cs="仿宋"/>
          <w:b/>
          <w:bCs/>
          <w:kern w:val="44"/>
          <w:sz w:val="32"/>
          <w:szCs w:val="32"/>
          <w:highlight w:val="none"/>
        </w:rPr>
      </w:pPr>
      <w:bookmarkStart w:id="4" w:name="_Toc30710"/>
      <w:bookmarkStart w:id="5" w:name="_Toc127516318"/>
      <w:r>
        <w:rPr>
          <w:rFonts w:hint="eastAsia" w:ascii="仿宋" w:hAnsi="仿宋" w:eastAsia="仿宋" w:cs="仿宋"/>
          <w:b/>
          <w:bCs/>
          <w:kern w:val="44"/>
          <w:sz w:val="32"/>
          <w:szCs w:val="32"/>
          <w:highlight w:val="none"/>
        </w:rPr>
        <w:t>第一章 竞争性磋商公告</w:t>
      </w:r>
      <w:bookmarkEnd w:id="4"/>
      <w:bookmarkEnd w:id="5"/>
      <w:bookmarkStart w:id="6" w:name="_Toc44229878"/>
      <w:bookmarkStart w:id="7" w:name="_Toc28359089"/>
      <w:bookmarkStart w:id="8" w:name="_Toc35393629"/>
      <w:bookmarkStart w:id="9" w:name="_Toc35393798"/>
      <w:bookmarkStart w:id="10" w:name="_Toc28359012"/>
      <w:bookmarkStart w:id="11" w:name="_Toc35393792"/>
      <w:bookmarkStart w:id="12" w:name="_Toc28359081"/>
      <w:bookmarkStart w:id="13" w:name="_Toc28359004"/>
      <w:bookmarkStart w:id="14" w:name="_Toc35393623"/>
    </w:p>
    <w:tbl>
      <w:tblPr>
        <w:tblStyle w:val="32"/>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0"/>
      </w:tblGrid>
      <w:tr w14:paraId="7AE6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9560" w:type="dxa"/>
          </w:tcPr>
          <w:p w14:paraId="1E4F98B4">
            <w:pPr>
              <w:keepNext w:val="0"/>
              <w:keepLines w:val="0"/>
              <w:suppressLineNumbers w:val="0"/>
              <w:spacing w:before="0" w:beforeAutospacing="0" w:after="0" w:afterAutospacing="0"/>
              <w:ind w:left="0" w:right="0"/>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377EDF61">
            <w:pPr>
              <w:keepNext w:val="0"/>
              <w:keepLines w:val="0"/>
              <w:suppressLineNumbers w:val="0"/>
              <w:spacing w:before="0" w:beforeAutospacing="0" w:after="0" w:afterAutospacing="0" w:line="400" w:lineRule="exact"/>
              <w:ind w:left="0" w:right="0" w:firstLine="420" w:firstLineChars="200"/>
              <w:rPr>
                <w:rFonts w:hint="eastAsia" w:ascii="仿宋" w:hAnsi="仿宋" w:eastAsia="仿宋" w:cs="仿宋"/>
                <w:color w:val="auto"/>
                <w:highlight w:val="none"/>
              </w:rPr>
            </w:pPr>
            <w:r>
              <w:rPr>
                <w:rFonts w:hint="eastAsia" w:ascii="仿宋" w:hAnsi="仿宋" w:eastAsia="仿宋" w:cs="仿宋"/>
                <w:color w:val="auto"/>
                <w:highlight w:val="none"/>
                <w:u w:val="single"/>
                <w:lang w:eastAsia="zh-CN"/>
              </w:rPr>
              <w:t>轨道交通第三方安全评估</w:t>
            </w:r>
            <w:r>
              <w:rPr>
                <w:rFonts w:hint="eastAsia" w:ascii="仿宋" w:hAnsi="仿宋" w:eastAsia="仿宋" w:cs="仿宋"/>
                <w:color w:val="auto"/>
                <w:highlight w:val="none"/>
              </w:rPr>
              <w:t>项目的潜在供应商应在广西政府采购云平台（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"https://www.zcygov.cn/）获取（下载）竞争性磋商文件，并于2023年"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https://www.gcy.zfcg.gxzf.gov.cn/）获取（下载）竞争性磋商文件，并于202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rPr>
              <w:fldChar w:fldCharType="end"/>
            </w:r>
            <w:bookmarkStart w:id="15" w:name="PO_3000001868_PM015_2"/>
            <w:r>
              <w:rPr>
                <w:rFonts w:hint="eastAsia" w:ascii="仿宋" w:hAnsi="仿宋" w:eastAsia="仿宋" w:cs="仿宋"/>
                <w:color w:val="auto"/>
                <w:highlight w:val="none"/>
                <w:lang w:val="en-US" w:eastAsia="zh-CN"/>
              </w:rPr>
              <w:t>7月14日09</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0</w:t>
            </w:r>
            <w:r>
              <w:rPr>
                <w:rFonts w:hint="eastAsia" w:ascii="仿宋" w:hAnsi="仿宋" w:eastAsia="仿宋" w:cs="仿宋"/>
                <w:color w:val="auto"/>
                <w:highlight w:val="none"/>
              </w:rPr>
              <w:t>:00</w:t>
            </w:r>
            <w:bookmarkEnd w:id="15"/>
            <w:r>
              <w:rPr>
                <w:rFonts w:hint="eastAsia" w:ascii="仿宋" w:hAnsi="仿宋" w:eastAsia="仿宋" w:cs="仿宋"/>
                <w:color w:val="auto"/>
                <w:highlight w:val="none"/>
              </w:rPr>
              <w:t>（北京时间）前提交响应文件。</w:t>
            </w:r>
          </w:p>
        </w:tc>
      </w:tr>
      <w:bookmarkEnd w:id="6"/>
      <w:bookmarkEnd w:id="7"/>
      <w:bookmarkEnd w:id="8"/>
      <w:bookmarkEnd w:id="9"/>
      <w:bookmarkEnd w:id="10"/>
    </w:tbl>
    <w:p w14:paraId="0D82F3E5">
      <w:pPr>
        <w:spacing w:line="360" w:lineRule="auto"/>
        <w:outlineLvl w:val="1"/>
        <w:rPr>
          <w:rFonts w:hint="eastAsia" w:ascii="仿宋" w:hAnsi="仿宋" w:eastAsia="仿宋" w:cs="仿宋"/>
          <w:b/>
          <w:bCs/>
          <w:color w:val="auto"/>
          <w:szCs w:val="21"/>
          <w:highlight w:val="none"/>
        </w:rPr>
      </w:pPr>
      <w:bookmarkStart w:id="16" w:name="_Toc24680"/>
      <w:bookmarkStart w:id="17" w:name="_Toc35393790"/>
      <w:bookmarkStart w:id="18" w:name="_Toc26191"/>
      <w:bookmarkStart w:id="19" w:name="_Toc28359079"/>
      <w:bookmarkStart w:id="20" w:name="_Toc9172"/>
      <w:bookmarkStart w:id="21" w:name="_Toc28359002"/>
      <w:bookmarkStart w:id="22" w:name="_Toc35393621"/>
      <w:r>
        <w:rPr>
          <w:rFonts w:hint="eastAsia" w:ascii="仿宋" w:hAnsi="仿宋" w:eastAsia="仿宋" w:cs="仿宋"/>
          <w:b/>
          <w:bCs/>
          <w:color w:val="auto"/>
          <w:szCs w:val="21"/>
          <w:highlight w:val="none"/>
        </w:rPr>
        <w:t>一、项目基本情况</w:t>
      </w:r>
      <w:bookmarkEnd w:id="16"/>
      <w:bookmarkEnd w:id="17"/>
      <w:bookmarkEnd w:id="18"/>
      <w:bookmarkEnd w:id="19"/>
      <w:bookmarkEnd w:id="20"/>
      <w:bookmarkEnd w:id="21"/>
      <w:bookmarkEnd w:id="22"/>
    </w:p>
    <w:p w14:paraId="59925CED">
      <w:pPr>
        <w:spacing w:line="400" w:lineRule="exact"/>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lang w:eastAsia="zh-CN"/>
        </w:rPr>
        <w:t>NNZC2026-C3-990387-GXZX</w:t>
      </w:r>
      <w:r>
        <w:rPr>
          <w:rFonts w:hint="eastAsia" w:ascii="仿宋" w:hAnsi="仿宋" w:eastAsia="仿宋" w:cs="仿宋"/>
          <w:color w:val="auto"/>
          <w:szCs w:val="21"/>
          <w:highlight w:val="none"/>
        </w:rPr>
        <w:t xml:space="preserve">  采购计划编号：</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"https://pay.zcygov.cn/purchaseplan_front/" \l "/plan/list/view?id=1000000000009848385" \t "_blank"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lang w:eastAsia="zh-CN"/>
        </w:rPr>
        <w:t>NNZC[2026]1672</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lang w:val="en-US" w:eastAsia="zh-CN"/>
        </w:rPr>
        <w:t>号</w:t>
      </w:r>
    </w:p>
    <w:p w14:paraId="19A0D0F9">
      <w:pPr>
        <w:spacing w:line="40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lang w:eastAsia="zh-CN"/>
        </w:rPr>
        <w:t>轨道交通第三方安全评估</w:t>
      </w:r>
    </w:p>
    <w:p w14:paraId="27A37C95">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采购方式：竞争性磋商</w:t>
      </w:r>
    </w:p>
    <w:p w14:paraId="391E3D39">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预算金额：</w:t>
      </w:r>
      <w:r>
        <w:rPr>
          <w:rFonts w:hint="eastAsia" w:ascii="仿宋" w:hAnsi="仿宋" w:eastAsia="仿宋" w:cs="仿宋"/>
          <w:color w:val="auto"/>
          <w:szCs w:val="21"/>
          <w:highlight w:val="none"/>
          <w:lang w:eastAsia="zh-CN"/>
        </w:rPr>
        <w:t>768500.00</w:t>
      </w:r>
      <w:r>
        <w:rPr>
          <w:rFonts w:hint="eastAsia" w:ascii="仿宋" w:hAnsi="仿宋" w:eastAsia="仿宋" w:cs="仿宋"/>
          <w:color w:val="auto"/>
          <w:szCs w:val="21"/>
          <w:highlight w:val="none"/>
        </w:rPr>
        <w:t>元</w:t>
      </w:r>
    </w:p>
    <w:p w14:paraId="504D7EEC">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最高限价</w:t>
      </w:r>
      <w:bookmarkStart w:id="23" w:name="_Hlk66782034"/>
      <w:r>
        <w:rPr>
          <w:rFonts w:hint="eastAsia" w:ascii="仿宋" w:hAnsi="仿宋" w:eastAsia="仿宋" w:cs="仿宋"/>
          <w:color w:val="auto"/>
          <w:szCs w:val="21"/>
          <w:highlight w:val="none"/>
        </w:rPr>
        <w:t>（如有）</w:t>
      </w:r>
      <w:bookmarkEnd w:id="23"/>
      <w:r>
        <w:rPr>
          <w:rFonts w:hint="eastAsia" w:ascii="仿宋" w:hAnsi="仿宋" w:eastAsia="仿宋" w:cs="仿宋"/>
          <w:color w:val="auto"/>
          <w:szCs w:val="21"/>
          <w:highlight w:val="none"/>
        </w:rPr>
        <w:t>：与采购预算金额一致</w:t>
      </w:r>
    </w:p>
    <w:p w14:paraId="2CEF2635">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采购需求：</w:t>
      </w:r>
    </w:p>
    <w:p w14:paraId="09B935DD">
      <w:pPr>
        <w:rPr>
          <w:rFonts w:hint="eastAsia" w:ascii="仿宋" w:hAnsi="仿宋" w:eastAsia="仿宋" w:cs="仿宋"/>
          <w:color w:val="auto"/>
          <w:highlight w:val="none"/>
        </w:rPr>
      </w:pPr>
    </w:p>
    <w:p w14:paraId="601127B9">
      <w:pPr>
        <w:spacing w:line="40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标项名称:</w:t>
      </w:r>
      <w:r>
        <w:rPr>
          <w:rFonts w:hint="eastAsia" w:ascii="仿宋" w:hAnsi="仿宋" w:eastAsia="仿宋" w:cs="仿宋"/>
          <w:color w:val="auto"/>
          <w:szCs w:val="21"/>
          <w:highlight w:val="none"/>
          <w:lang w:eastAsia="zh-CN"/>
        </w:rPr>
        <w:t>轨道交通第三方安全评估</w:t>
      </w:r>
    </w:p>
    <w:p w14:paraId="5B675782">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数量:不限</w:t>
      </w:r>
    </w:p>
    <w:p w14:paraId="4A12F4B8">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预算金额（元）:</w:t>
      </w:r>
      <w:r>
        <w:rPr>
          <w:rFonts w:hint="eastAsia" w:ascii="仿宋" w:hAnsi="仿宋" w:eastAsia="仿宋" w:cs="仿宋"/>
          <w:color w:val="auto"/>
          <w:szCs w:val="21"/>
          <w:highlight w:val="none"/>
          <w:lang w:eastAsia="zh-CN"/>
        </w:rPr>
        <w:t>768500.00</w:t>
      </w:r>
    </w:p>
    <w:p w14:paraId="375CF8F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简要规格描述或项目基本概况介绍、用途：</w:t>
      </w:r>
      <w:r>
        <w:rPr>
          <w:rFonts w:hint="eastAsia" w:ascii="仿宋" w:hAnsi="仿宋" w:eastAsia="仿宋" w:cs="仿宋"/>
          <w:color w:val="auto"/>
          <w:szCs w:val="21"/>
          <w:highlight w:val="none"/>
          <w:lang w:eastAsia="zh-CN"/>
        </w:rPr>
        <w:t>根据相关政策要求，对南宁市轨道交通运营4、5号线的安全管理、运营组织与管理、车辆系统、供电系统、线路及轨道系统、消防设备、机电设备、通信系统、信号系统、环境与设备监控系统、自动售检票系统、土建设施、车辆段及综合基地、外界环境、应急管理等方面进行安全评估，出具评估报告，评估周期结束出具总评估报告，评估安全水平、风险等级，对潜在风险进行预测，提出合理化建议或意见</w:t>
      </w:r>
      <w:r>
        <w:rPr>
          <w:rFonts w:hint="eastAsia" w:ascii="仿宋" w:hAnsi="仿宋" w:eastAsia="仿宋" w:cs="仿宋"/>
          <w:color w:val="auto"/>
          <w:sz w:val="21"/>
          <w:szCs w:val="21"/>
          <w:highlight w:val="none"/>
        </w:rPr>
        <w:t>。</w:t>
      </w:r>
      <w:r>
        <w:rPr>
          <w:rFonts w:hint="eastAsia" w:ascii="仿宋" w:hAnsi="仿宋" w:eastAsia="仿宋" w:cs="仿宋"/>
          <w:color w:val="auto"/>
          <w:szCs w:val="21"/>
          <w:highlight w:val="none"/>
          <w:lang w:val="en-US" w:eastAsia="zh-CN"/>
        </w:rPr>
        <w:t>如需进一步了解详细内容，详见竞争性磋商文件。</w:t>
      </w:r>
    </w:p>
    <w:p w14:paraId="3E737099">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最高限价（如有）：</w:t>
      </w:r>
      <w:r>
        <w:rPr>
          <w:rFonts w:hint="eastAsia" w:ascii="仿宋" w:hAnsi="仿宋" w:eastAsia="仿宋" w:cs="仿宋"/>
          <w:color w:val="auto"/>
          <w:szCs w:val="21"/>
          <w:highlight w:val="none"/>
          <w:lang w:eastAsia="zh-CN"/>
        </w:rPr>
        <w:t>768500.00</w:t>
      </w:r>
      <w:r>
        <w:rPr>
          <w:rFonts w:hint="eastAsia" w:ascii="仿宋" w:hAnsi="仿宋" w:eastAsia="仿宋" w:cs="仿宋"/>
          <w:color w:val="auto"/>
          <w:szCs w:val="21"/>
          <w:highlight w:val="none"/>
        </w:rPr>
        <w:t>元</w:t>
      </w:r>
    </w:p>
    <w:p w14:paraId="206EF1C3">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合同履约期限：</w:t>
      </w:r>
    </w:p>
    <w:p w14:paraId="2441E035">
      <w:pPr>
        <w:spacing w:line="400" w:lineRule="exact"/>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（一）2026年9月30日前，提交2026年南宁市轨道交通安全评估工作实施方案；</w:t>
      </w:r>
    </w:p>
    <w:p w14:paraId="0BF1A983">
      <w:pPr>
        <w:spacing w:line="400" w:lineRule="exact"/>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（二）2027年1月20日前，提交《2026年南宁市轨道交通第三方安全评估报告》（一期）；</w:t>
      </w:r>
    </w:p>
    <w:p w14:paraId="20D2E2C5">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（三）2027年7月10日前，提交《2026年南宁市轨道交通第三方安全评估报告》（二期）。</w:t>
      </w:r>
    </w:p>
    <w:p w14:paraId="5F2AED30">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本标项</w:t>
      </w:r>
      <w:r>
        <w:rPr>
          <w:rFonts w:hint="eastAsia" w:ascii="仿宋" w:hAnsi="仿宋" w:eastAsia="仿宋" w:cs="仿宋"/>
          <w:b/>
          <w:bCs/>
          <w:color w:val="auto"/>
          <w:szCs w:val="21"/>
          <w:highlight w:val="none"/>
          <w:u w:val="single"/>
        </w:rPr>
        <w:t>（</w:t>
      </w:r>
      <w:r>
        <w:rPr>
          <w:rFonts w:hint="eastAsia" w:ascii="仿宋" w:hAnsi="仿宋" w:eastAsia="仿宋" w:cs="仿宋"/>
          <w:b/>
          <w:bCs/>
          <w:color w:val="auto"/>
          <w:szCs w:val="21"/>
          <w:highlight w:val="none"/>
          <w:u w:val="single"/>
          <w:lang w:val="en-US" w:eastAsia="zh-CN"/>
        </w:rPr>
        <w:t>是</w:t>
      </w:r>
      <w:r>
        <w:rPr>
          <w:rFonts w:hint="eastAsia" w:ascii="仿宋" w:hAnsi="仿宋" w:eastAsia="仿宋" w:cs="仿宋"/>
          <w:b/>
          <w:bCs/>
          <w:color w:val="auto"/>
          <w:szCs w:val="21"/>
          <w:highlight w:val="none"/>
          <w:u w:val="single"/>
        </w:rPr>
        <w:t>）</w:t>
      </w:r>
      <w:r>
        <w:rPr>
          <w:rFonts w:hint="eastAsia" w:ascii="仿宋" w:hAnsi="仿宋" w:eastAsia="仿宋" w:cs="仿宋"/>
          <w:color w:val="auto"/>
          <w:szCs w:val="21"/>
          <w:highlight w:val="none"/>
          <w:lang w:val="en-US" w:eastAsia="zh-CN"/>
        </w:rPr>
        <w:t>接受</w:t>
      </w:r>
      <w:r>
        <w:rPr>
          <w:rFonts w:hint="eastAsia" w:ascii="仿宋" w:hAnsi="仿宋" w:eastAsia="仿宋" w:cs="仿宋"/>
          <w:color w:val="auto"/>
          <w:szCs w:val="21"/>
          <w:highlight w:val="none"/>
        </w:rPr>
        <w:t>联合体竞标</w:t>
      </w:r>
    </w:p>
    <w:p w14:paraId="13205C4E">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备注：无</w:t>
      </w:r>
    </w:p>
    <w:p w14:paraId="35643CD1">
      <w:pPr>
        <w:rPr>
          <w:rFonts w:hint="eastAsia" w:ascii="仿宋" w:hAnsi="仿宋" w:eastAsia="仿宋" w:cs="仿宋"/>
          <w:color w:val="auto"/>
          <w:highlight w:val="none"/>
        </w:rPr>
      </w:pPr>
    </w:p>
    <w:p w14:paraId="70DE2767">
      <w:pPr>
        <w:spacing w:line="400" w:lineRule="exact"/>
        <w:ind w:firstLine="422" w:firstLineChars="200"/>
        <w:outlineLvl w:val="1"/>
        <w:rPr>
          <w:rFonts w:hint="eastAsia" w:ascii="仿宋" w:hAnsi="仿宋" w:eastAsia="仿宋" w:cs="仿宋"/>
          <w:bCs/>
          <w:color w:val="auto"/>
          <w:szCs w:val="21"/>
          <w:highlight w:val="none"/>
        </w:rPr>
      </w:pPr>
      <w:bookmarkStart w:id="24" w:name="_Toc35393799"/>
      <w:bookmarkStart w:id="25" w:name="_Toc18924"/>
      <w:bookmarkStart w:id="26" w:name="_Toc28359013"/>
      <w:bookmarkStart w:id="27" w:name="_Toc28359090"/>
      <w:bookmarkStart w:id="28" w:name="_Toc35393630"/>
      <w:bookmarkStart w:id="29" w:name="_Toc44229879"/>
      <w:bookmarkStart w:id="30" w:name="_Toc4069"/>
      <w:bookmarkStart w:id="31" w:name="_Toc9995"/>
      <w:r>
        <w:rPr>
          <w:rFonts w:hint="eastAsia" w:ascii="仿宋" w:hAnsi="仿宋" w:eastAsia="仿宋" w:cs="仿宋"/>
          <w:b/>
          <w:color w:val="auto"/>
          <w:kern w:val="44"/>
          <w:szCs w:val="21"/>
          <w:highlight w:val="none"/>
        </w:rPr>
        <w:t>二、申请人的资格条件</w:t>
      </w:r>
      <w:bookmarkEnd w:id="24"/>
      <w:bookmarkEnd w:id="25"/>
      <w:bookmarkEnd w:id="26"/>
      <w:bookmarkEnd w:id="27"/>
      <w:bookmarkEnd w:id="28"/>
      <w:bookmarkEnd w:id="29"/>
      <w:bookmarkEnd w:id="30"/>
      <w:bookmarkEnd w:id="31"/>
    </w:p>
    <w:p w14:paraId="0F9D5295">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1.满足《中华人民共和国政府采购法》第二十二条规定。</w:t>
      </w:r>
    </w:p>
    <w:p w14:paraId="47C61E8B">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2.落实政府采购政策需满足的资格要求：【</w:t>
      </w:r>
      <w:r>
        <w:rPr>
          <w:rFonts w:hint="eastAsia" w:ascii="仿宋" w:hAnsi="仿宋" w:eastAsia="仿宋" w:cs="仿宋"/>
          <w:color w:val="auto"/>
          <w:szCs w:val="21"/>
          <w:highlight w:val="none"/>
          <w:lang w:val="en-US" w:eastAsia="zh-CN"/>
        </w:rPr>
        <w:t>分标1</w:t>
      </w:r>
      <w:r>
        <w:rPr>
          <w:rFonts w:hint="eastAsia" w:ascii="仿宋" w:hAnsi="仿宋" w:eastAsia="仿宋" w:cs="仿宋"/>
          <w:color w:val="auto"/>
          <w:szCs w:val="21"/>
          <w:highlight w:val="none"/>
        </w:rPr>
        <w:t>】本项目非专门面向中小企业采购的项目</w:t>
      </w:r>
    </w:p>
    <w:p w14:paraId="21EF84FE">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3.本项目的特定资格要求：</w:t>
      </w:r>
      <w:r>
        <w:rPr>
          <w:rFonts w:hint="eastAsia" w:ascii="仿宋" w:hAnsi="仿宋" w:eastAsia="仿宋" w:cs="仿宋"/>
          <w:color w:val="auto"/>
          <w:szCs w:val="21"/>
          <w:highlight w:val="none"/>
          <w:u w:val="single"/>
        </w:rPr>
        <w:t>无。</w:t>
      </w:r>
    </w:p>
    <w:p w14:paraId="5D61656F">
      <w:pPr>
        <w:spacing w:line="400" w:lineRule="exact"/>
        <w:ind w:firstLine="422" w:firstLineChars="200"/>
        <w:outlineLvl w:val="1"/>
        <w:rPr>
          <w:rFonts w:hint="eastAsia" w:ascii="仿宋" w:hAnsi="仿宋" w:eastAsia="仿宋" w:cs="仿宋"/>
          <w:b/>
          <w:bCs/>
          <w:color w:val="auto"/>
          <w:szCs w:val="21"/>
          <w:highlight w:val="none"/>
        </w:rPr>
      </w:pPr>
      <w:bookmarkStart w:id="32" w:name="_Toc29302"/>
      <w:bookmarkStart w:id="33" w:name="_Toc5551"/>
      <w:bookmarkStart w:id="34" w:name="_Toc5302"/>
      <w:r>
        <w:rPr>
          <w:rFonts w:hint="eastAsia" w:ascii="仿宋" w:hAnsi="仿宋" w:eastAsia="仿宋" w:cs="仿宋"/>
          <w:b/>
          <w:bCs/>
          <w:color w:val="auto"/>
          <w:szCs w:val="21"/>
          <w:highlight w:val="none"/>
        </w:rPr>
        <w:t>三、获取采购文件</w:t>
      </w:r>
      <w:bookmarkEnd w:id="11"/>
      <w:bookmarkEnd w:id="12"/>
      <w:bookmarkEnd w:id="13"/>
      <w:bookmarkEnd w:id="14"/>
      <w:bookmarkEnd w:id="32"/>
      <w:bookmarkEnd w:id="33"/>
      <w:bookmarkEnd w:id="34"/>
    </w:p>
    <w:p w14:paraId="20295EAD">
      <w:pPr>
        <w:snapToGrid w:val="0"/>
        <w:spacing w:line="400" w:lineRule="exact"/>
        <w:ind w:firstLine="420" w:firstLineChars="200"/>
        <w:rPr>
          <w:rFonts w:hint="eastAsia" w:ascii="仿宋" w:hAnsi="仿宋" w:eastAsia="仿宋" w:cs="仿宋"/>
          <w:color w:val="auto"/>
          <w:szCs w:val="21"/>
          <w:highlight w:val="none"/>
        </w:rPr>
      </w:pPr>
      <w:bookmarkStart w:id="35" w:name="_Toc35393624"/>
      <w:bookmarkStart w:id="36" w:name="_Toc28359082"/>
      <w:bookmarkStart w:id="37" w:name="_Toc28359005"/>
      <w:bookmarkStart w:id="38" w:name="_Toc35393793"/>
      <w:r>
        <w:rPr>
          <w:rFonts w:hint="eastAsia" w:ascii="仿宋" w:hAnsi="仿宋" w:eastAsia="仿宋" w:cs="仿宋"/>
          <w:color w:val="auto"/>
          <w:szCs w:val="21"/>
          <w:highlight w:val="none"/>
        </w:rPr>
        <w:t>时间：自公告发布之日起至响应文件递交截止时间止，每天上午00:00至12:00，下午12:00至23:59（北京时间，法定节假日除外）</w:t>
      </w:r>
    </w:p>
    <w:p w14:paraId="0B23FD39">
      <w:pPr>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地点：广西政府采购云平台线上获取</w:t>
      </w:r>
    </w:p>
    <w:p w14:paraId="2727ED23">
      <w:pPr>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方式：供应商登录广西政府采购云平台https://www.gcy.zfcg.gxzf.gov.cn/在线申请获取采购文件（进入“项目采购”应用，在获取采购文件菜单中选择项目，申请获取采购文件） </w:t>
      </w:r>
    </w:p>
    <w:p w14:paraId="72A7CB04">
      <w:pPr>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售价（元）：0</w:t>
      </w:r>
    </w:p>
    <w:p w14:paraId="64B6A11E">
      <w:pPr>
        <w:spacing w:line="400" w:lineRule="exact"/>
        <w:ind w:firstLine="422" w:firstLineChars="200"/>
        <w:outlineLvl w:val="1"/>
        <w:rPr>
          <w:rFonts w:hint="eastAsia" w:ascii="仿宋" w:hAnsi="仿宋" w:eastAsia="仿宋" w:cs="仿宋"/>
          <w:b/>
          <w:bCs/>
          <w:color w:val="auto"/>
          <w:szCs w:val="21"/>
          <w:highlight w:val="none"/>
        </w:rPr>
      </w:pPr>
      <w:bookmarkStart w:id="39" w:name="_Toc31398"/>
      <w:bookmarkStart w:id="40" w:name="_Toc13575"/>
      <w:bookmarkStart w:id="41" w:name="_Toc27560"/>
      <w:r>
        <w:rPr>
          <w:rFonts w:hint="eastAsia" w:ascii="仿宋" w:hAnsi="仿宋" w:eastAsia="仿宋" w:cs="仿宋"/>
          <w:b/>
          <w:bCs/>
          <w:color w:val="auto"/>
          <w:szCs w:val="21"/>
          <w:highlight w:val="none"/>
        </w:rPr>
        <w:t>四、</w:t>
      </w:r>
      <w:bookmarkEnd w:id="35"/>
      <w:bookmarkEnd w:id="36"/>
      <w:bookmarkEnd w:id="37"/>
      <w:bookmarkEnd w:id="38"/>
      <w:r>
        <w:rPr>
          <w:rFonts w:hint="eastAsia" w:ascii="仿宋" w:hAnsi="仿宋" w:eastAsia="仿宋" w:cs="仿宋"/>
          <w:b/>
          <w:bCs/>
          <w:color w:val="auto"/>
          <w:szCs w:val="21"/>
          <w:highlight w:val="none"/>
        </w:rPr>
        <w:t>响应文件提交</w:t>
      </w:r>
      <w:bookmarkEnd w:id="39"/>
      <w:bookmarkEnd w:id="40"/>
      <w:bookmarkEnd w:id="41"/>
    </w:p>
    <w:p w14:paraId="5264DF29">
      <w:pPr>
        <w:snapToGrid w:val="0"/>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截止时间：202</w:t>
      </w: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rPr>
        <w:t>年</w:t>
      </w:r>
      <w:r>
        <w:rPr>
          <w:rFonts w:hint="eastAsia" w:ascii="仿宋" w:hAnsi="仿宋" w:eastAsia="仿宋" w:cs="仿宋"/>
          <w:color w:val="auto"/>
          <w:highlight w:val="none"/>
          <w:lang w:val="en-US" w:eastAsia="zh-CN"/>
        </w:rPr>
        <w:t>7月14日</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en-US" w:eastAsia="zh-CN"/>
        </w:rPr>
        <w:t>09</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lang w:eastAsia="zh-CN"/>
        </w:rPr>
        <w:t>0</w:t>
      </w:r>
      <w:r>
        <w:rPr>
          <w:rFonts w:hint="eastAsia" w:ascii="仿宋" w:hAnsi="仿宋" w:eastAsia="仿宋" w:cs="仿宋"/>
          <w:color w:val="auto"/>
          <w:kern w:val="0"/>
          <w:szCs w:val="21"/>
          <w:highlight w:val="none"/>
        </w:rPr>
        <w:t>（北京时间）</w:t>
      </w:r>
    </w:p>
    <w:p w14:paraId="0A015A7B">
      <w:pPr>
        <w:snapToGrid w:val="0"/>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地点：请登录广西政府采购云平台投标客户端竞标 </w:t>
      </w:r>
    </w:p>
    <w:p w14:paraId="79876DBC">
      <w:pPr>
        <w:spacing w:line="400" w:lineRule="exact"/>
        <w:ind w:firstLine="422" w:firstLineChars="200"/>
        <w:outlineLvl w:val="1"/>
        <w:rPr>
          <w:rFonts w:hint="eastAsia" w:ascii="仿宋" w:hAnsi="仿宋" w:eastAsia="仿宋" w:cs="仿宋"/>
          <w:b/>
          <w:bCs/>
          <w:color w:val="auto"/>
          <w:szCs w:val="21"/>
          <w:highlight w:val="none"/>
        </w:rPr>
      </w:pPr>
      <w:bookmarkStart w:id="42" w:name="_Toc11980"/>
      <w:bookmarkStart w:id="43" w:name="_Toc19959"/>
      <w:bookmarkStart w:id="44" w:name="_Toc7632"/>
      <w:r>
        <w:rPr>
          <w:rFonts w:hint="eastAsia" w:ascii="仿宋" w:hAnsi="仿宋" w:eastAsia="仿宋" w:cs="仿宋"/>
          <w:b/>
          <w:bCs/>
          <w:color w:val="auto"/>
          <w:szCs w:val="21"/>
          <w:highlight w:val="none"/>
        </w:rPr>
        <w:t>五、响应文件开启（首次响应文件开启时间）</w:t>
      </w:r>
      <w:bookmarkEnd w:id="42"/>
      <w:bookmarkEnd w:id="43"/>
      <w:bookmarkEnd w:id="44"/>
    </w:p>
    <w:p w14:paraId="2183E386">
      <w:pPr>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开启时间：</w:t>
      </w:r>
      <w:r>
        <w:rPr>
          <w:rFonts w:hint="eastAsia" w:ascii="仿宋" w:hAnsi="仿宋" w:eastAsia="仿宋" w:cs="仿宋"/>
          <w:color w:val="auto"/>
          <w:kern w:val="0"/>
          <w:szCs w:val="21"/>
          <w:highlight w:val="none"/>
        </w:rPr>
        <w:t>202</w:t>
      </w: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rPr>
        <w:t>年</w:t>
      </w:r>
      <w:r>
        <w:rPr>
          <w:rFonts w:hint="eastAsia" w:ascii="仿宋" w:hAnsi="仿宋" w:eastAsia="仿宋" w:cs="仿宋"/>
          <w:color w:val="auto"/>
          <w:highlight w:val="none"/>
          <w:lang w:val="en-US" w:eastAsia="zh-CN"/>
        </w:rPr>
        <w:t>7月14日</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en-US" w:eastAsia="zh-CN"/>
        </w:rPr>
        <w:t>09</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lang w:eastAsia="zh-CN"/>
        </w:rPr>
        <w:t>0</w:t>
      </w:r>
      <w:r>
        <w:rPr>
          <w:rFonts w:hint="eastAsia" w:ascii="仿宋" w:hAnsi="仿宋" w:eastAsia="仿宋" w:cs="仿宋"/>
          <w:bCs/>
          <w:color w:val="auto"/>
          <w:szCs w:val="21"/>
          <w:highlight w:val="none"/>
        </w:rPr>
        <w:t>（北京时间）</w:t>
      </w:r>
    </w:p>
    <w:p w14:paraId="03B2A75F">
      <w:pPr>
        <w:spacing w:line="400" w:lineRule="exact"/>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地点：广西政府采购云平台远程开标大厅</w:t>
      </w:r>
    </w:p>
    <w:p w14:paraId="555FF74B">
      <w:pPr>
        <w:spacing w:line="400" w:lineRule="exact"/>
        <w:ind w:firstLine="422" w:firstLineChars="200"/>
        <w:outlineLvl w:val="1"/>
        <w:rPr>
          <w:rFonts w:hint="eastAsia" w:ascii="仿宋" w:hAnsi="仿宋" w:eastAsia="仿宋" w:cs="仿宋"/>
          <w:b/>
          <w:bCs/>
          <w:color w:val="auto"/>
          <w:szCs w:val="21"/>
          <w:highlight w:val="none"/>
        </w:rPr>
      </w:pPr>
      <w:bookmarkStart w:id="45" w:name="_Toc35393794"/>
      <w:bookmarkStart w:id="46" w:name="_Toc18473"/>
      <w:bookmarkStart w:id="47" w:name="_Toc28359007"/>
      <w:bookmarkStart w:id="48" w:name="_Toc27849"/>
      <w:bookmarkStart w:id="49" w:name="_Toc28359084"/>
      <w:bookmarkStart w:id="50" w:name="_Toc24999"/>
      <w:bookmarkStart w:id="51" w:name="_Toc35393625"/>
      <w:r>
        <w:rPr>
          <w:rFonts w:hint="eastAsia" w:ascii="仿宋" w:hAnsi="仿宋" w:eastAsia="仿宋" w:cs="仿宋"/>
          <w:b/>
          <w:bCs/>
          <w:color w:val="auto"/>
          <w:szCs w:val="21"/>
          <w:highlight w:val="none"/>
        </w:rPr>
        <w:t>六、公告期限</w:t>
      </w:r>
      <w:bookmarkEnd w:id="45"/>
      <w:bookmarkEnd w:id="46"/>
      <w:bookmarkEnd w:id="47"/>
      <w:bookmarkEnd w:id="48"/>
      <w:bookmarkEnd w:id="49"/>
      <w:bookmarkEnd w:id="50"/>
      <w:bookmarkEnd w:id="51"/>
    </w:p>
    <w:p w14:paraId="40FC5EDC">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自本公告发布之日起5个工作日。</w:t>
      </w:r>
    </w:p>
    <w:p w14:paraId="0339BC36">
      <w:pPr>
        <w:spacing w:line="400" w:lineRule="exact"/>
        <w:ind w:firstLine="422" w:firstLineChars="200"/>
        <w:outlineLvl w:val="1"/>
        <w:rPr>
          <w:rFonts w:hint="eastAsia" w:ascii="仿宋" w:hAnsi="仿宋" w:eastAsia="仿宋" w:cs="仿宋"/>
          <w:b/>
          <w:bCs/>
          <w:color w:val="auto"/>
          <w:szCs w:val="21"/>
          <w:highlight w:val="none"/>
        </w:rPr>
      </w:pPr>
      <w:bookmarkStart w:id="52" w:name="_Toc35393626"/>
      <w:bookmarkStart w:id="53" w:name="_Toc32214"/>
      <w:bookmarkStart w:id="54" w:name="_Toc26247"/>
      <w:bookmarkStart w:id="55" w:name="_Toc35393795"/>
      <w:bookmarkStart w:id="56" w:name="_Toc21374"/>
      <w:r>
        <w:rPr>
          <w:rFonts w:hint="eastAsia" w:ascii="仿宋" w:hAnsi="仿宋" w:eastAsia="仿宋" w:cs="仿宋"/>
          <w:b/>
          <w:bCs/>
          <w:color w:val="auto"/>
          <w:szCs w:val="21"/>
          <w:highlight w:val="none"/>
        </w:rPr>
        <w:t>七、其他补充事宜</w:t>
      </w:r>
      <w:bookmarkEnd w:id="52"/>
      <w:bookmarkEnd w:id="53"/>
      <w:bookmarkEnd w:id="54"/>
      <w:bookmarkEnd w:id="55"/>
      <w:bookmarkEnd w:id="56"/>
    </w:p>
    <w:p w14:paraId="2318526E">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kern w:val="0"/>
          <w:szCs w:val="21"/>
          <w:highlight w:val="none"/>
        </w:rPr>
        <w:t>磋商保证金：本项目不收取磋商保证金</w:t>
      </w:r>
    </w:p>
    <w:p w14:paraId="17DF0019">
      <w:pPr>
        <w:spacing w:line="400" w:lineRule="exact"/>
        <w:ind w:left="399" w:leftChars="190" w:firstLine="0" w:firstLineChars="0"/>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rPr>
        <w:t>2.采购意向公开链接：</w:t>
      </w:r>
      <w:bookmarkStart w:id="57" w:name="_Hlk37429585"/>
      <w:bookmarkStart w:id="58" w:name="_Hlk37429595"/>
      <w:r>
        <w:rPr>
          <w:rFonts w:hint="eastAsia" w:ascii="仿宋" w:hAnsi="仿宋" w:eastAsia="仿宋" w:cs="仿宋"/>
          <w:color w:val="auto"/>
          <w:kern w:val="0"/>
          <w:szCs w:val="21"/>
          <w:highlight w:val="none"/>
        </w:rPr>
        <w:t>http://www.ccgp-guangxi.gov.cn/site/detail?parentId=66485&amp;articleId=BjgzKiozHMfMe1ms5xpRiQ==</w:t>
      </w:r>
    </w:p>
    <w:p w14:paraId="4FC63662">
      <w:pPr>
        <w:spacing w:line="40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3.网上查询地址：</w:t>
      </w:r>
      <w:bookmarkEnd w:id="57"/>
      <w:bookmarkEnd w:id="58"/>
      <w:bookmarkStart w:id="59" w:name="_Hlk37429674"/>
      <w:r>
        <w:rPr>
          <w:rFonts w:hint="eastAsia" w:ascii="仿宋" w:hAnsi="仿宋" w:eastAsia="仿宋" w:cs="仿宋"/>
          <w:color w:val="auto"/>
          <w:kern w:val="0"/>
          <w:szCs w:val="21"/>
          <w:highlight w:val="none"/>
        </w:rPr>
        <w:t>中国政府采购网（www.ccgp.gov.cn）、广西壮族自治区政府采购网（zfcg.gxzf.gov.cn）、全国公共资源交易平台（广西•南宁）（http://ggzy.jgswj.gxzf.gov.cn/nnggzy/）。</w:t>
      </w:r>
    </w:p>
    <w:p w14:paraId="12DE9A31">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4.</w:t>
      </w:r>
      <w:r>
        <w:rPr>
          <w:rFonts w:hint="eastAsia" w:ascii="仿宋" w:hAnsi="仿宋" w:eastAsia="仿宋" w:cs="仿宋"/>
          <w:color w:val="auto"/>
          <w:kern w:val="0"/>
          <w:szCs w:val="21"/>
          <w:highlight w:val="none"/>
        </w:rPr>
        <w:t>本项目需要落实的政府采购政策：</w:t>
      </w:r>
    </w:p>
    <w:bookmarkEnd w:id="59"/>
    <w:p w14:paraId="019529D2">
      <w:pPr>
        <w:spacing w:line="400" w:lineRule="exact"/>
        <w:ind w:firstLine="420" w:firstLineChars="200"/>
        <w:rPr>
          <w:rFonts w:hint="eastAsia" w:ascii="仿宋" w:hAnsi="仿宋" w:eastAsia="仿宋" w:cs="仿宋"/>
          <w:color w:val="auto"/>
          <w:kern w:val="0"/>
          <w:szCs w:val="21"/>
          <w:highlight w:val="none"/>
        </w:rPr>
      </w:pPr>
      <w:bookmarkStart w:id="60" w:name="PO_3000001868_PM023"/>
      <w:bookmarkEnd w:id="60"/>
      <w:r>
        <w:rPr>
          <w:rFonts w:hint="eastAsia" w:ascii="仿宋" w:hAnsi="仿宋" w:eastAsia="仿宋" w:cs="仿宋"/>
          <w:color w:val="auto"/>
          <w:kern w:val="0"/>
          <w:szCs w:val="21"/>
          <w:highlight w:val="none"/>
        </w:rPr>
        <w:t>《政府采购促进中小企业发展暂行办法》（财库〔2020〕46号）</w:t>
      </w:r>
    </w:p>
    <w:p w14:paraId="1471BBD1">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《关于我区政府采购支持监狱企业发展有关问题的通知》（桂财采〔2015〕24号）</w:t>
      </w:r>
    </w:p>
    <w:p w14:paraId="6118CBDD">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《三部门联合发布关于促进残疾人就业政府采购政策的通知》（财库〔2017〕141号）</w:t>
      </w:r>
    </w:p>
    <w:p w14:paraId="00A7B023">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5.</w:t>
      </w:r>
      <w:r>
        <w:rPr>
          <w:rFonts w:hint="eastAsia" w:ascii="仿宋" w:hAnsi="仿宋" w:eastAsia="仿宋" w:cs="仿宋"/>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w:t>
      </w:r>
      <w:r>
        <w:rPr>
          <w:rFonts w:hint="eastAsia" w:ascii="仿宋" w:hAnsi="仿宋" w:eastAsia="仿宋" w:cs="仿宋"/>
          <w:color w:val="auto"/>
          <w:kern w:val="0"/>
          <w:szCs w:val="21"/>
          <w:highlight w:val="none"/>
          <w:lang w:eastAsia="zh-CN"/>
        </w:rPr>
        <w:t>采购代理机构</w:t>
      </w:r>
      <w:r>
        <w:rPr>
          <w:rFonts w:hint="eastAsia" w:ascii="仿宋" w:hAnsi="仿宋" w:eastAsia="仿宋" w:cs="仿宋"/>
          <w:color w:val="auto"/>
          <w:kern w:val="0"/>
          <w:szCs w:val="21"/>
          <w:highlight w:val="none"/>
        </w:rPr>
        <w:t>可不予接受。质疑供应商对采购人、采购代理机构的答复不满意或者采购人、采购代理机构未在规定的时间内作出答复的，可以在答复期满后十五个工作日内向同级政府采购监督管理部门投诉。</w:t>
      </w:r>
    </w:p>
    <w:p w14:paraId="2C71C9B5">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7E39D6A">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r>
        <w:rPr>
          <w:rFonts w:hint="eastAsia" w:ascii="仿宋" w:hAnsi="仿宋" w:eastAsia="仿宋" w:cs="仿宋"/>
          <w:color w:val="auto"/>
          <w:szCs w:val="21"/>
          <w:highlight w:val="none"/>
          <w:lang w:eastAsia="zh-CN"/>
        </w:rPr>
        <w:t>对在“信用中国”网站（www.creditchina.gov.cn） 被列入重大税收违法失信主体或在“中国执行信息公开网”网站（https://zxgk.court.gov.cn/zhixing/）被列入失信被执行人或在中国政府采购网（www.ccgp.gov.cn）被列入政府采购严重违法失信行为记录名单及其他不符合《中华人民共和国政府采购法》第二十二条规定条件的供应商，不得参与政府采购活动</w:t>
      </w:r>
      <w:r>
        <w:rPr>
          <w:rFonts w:hint="eastAsia" w:ascii="仿宋" w:hAnsi="仿宋" w:eastAsia="仿宋" w:cs="仿宋"/>
          <w:color w:val="auto"/>
          <w:szCs w:val="21"/>
          <w:highlight w:val="none"/>
        </w:rPr>
        <w:t>。</w:t>
      </w:r>
    </w:p>
    <w:p w14:paraId="5EE7D455">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8.</w:t>
      </w:r>
      <w:r>
        <w:rPr>
          <w:rFonts w:hint="eastAsia" w:ascii="仿宋" w:hAnsi="仿宋" w:eastAsia="仿宋" w:cs="仿宋"/>
          <w:color w:val="auto"/>
          <w:kern w:val="0"/>
          <w:szCs w:val="21"/>
          <w:highlight w:val="none"/>
        </w:rPr>
        <w:t xml:space="preserve">若对项目采购电子交易系统操作有疑问，可登录“广西政府采购云平台”平台（https://www.gcy.zfcg.gxzf.gov.cn/），点击右侧咨询小采，获取采小蜜智能服务管家帮助，或拨打广西政府采购云平台服务热线95763获取热线服务帮助。 </w:t>
      </w:r>
    </w:p>
    <w:p w14:paraId="70519D33">
      <w:pPr>
        <w:spacing w:line="400" w:lineRule="exact"/>
        <w:ind w:firstLine="422" w:firstLineChars="200"/>
        <w:outlineLvl w:val="1"/>
        <w:rPr>
          <w:rFonts w:hint="eastAsia" w:ascii="仿宋" w:hAnsi="仿宋" w:eastAsia="仿宋" w:cs="仿宋"/>
          <w:bCs/>
          <w:color w:val="auto"/>
          <w:szCs w:val="21"/>
          <w:highlight w:val="none"/>
        </w:rPr>
      </w:pPr>
      <w:bookmarkStart w:id="61" w:name="_Toc11765"/>
      <w:bookmarkStart w:id="62" w:name="_Toc17865"/>
      <w:bookmarkStart w:id="63" w:name="_Toc22706"/>
      <w:r>
        <w:rPr>
          <w:rFonts w:hint="eastAsia" w:ascii="仿宋" w:hAnsi="仿宋" w:eastAsia="仿宋" w:cs="仿宋"/>
          <w:b/>
          <w:color w:val="auto"/>
          <w:kern w:val="44"/>
          <w:szCs w:val="21"/>
          <w:highlight w:val="none"/>
        </w:rPr>
        <w:t>八、凡对本次采购提出询问，请按以下方式联系</w:t>
      </w:r>
      <w:bookmarkEnd w:id="61"/>
      <w:bookmarkEnd w:id="62"/>
      <w:bookmarkEnd w:id="63"/>
    </w:p>
    <w:p w14:paraId="3BFF98BE">
      <w:pPr>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1.采购人信息</w:t>
      </w:r>
    </w:p>
    <w:p w14:paraId="62402B6A">
      <w:pPr>
        <w:spacing w:line="40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名 称：</w:t>
      </w:r>
      <w:r>
        <w:rPr>
          <w:rFonts w:hint="eastAsia" w:ascii="仿宋" w:hAnsi="仿宋" w:eastAsia="仿宋" w:cs="仿宋"/>
          <w:color w:val="auto"/>
          <w:kern w:val="0"/>
          <w:szCs w:val="21"/>
          <w:highlight w:val="none"/>
          <w:u w:val="single"/>
        </w:rPr>
        <w:t>南宁市交通运输局</w:t>
      </w:r>
    </w:p>
    <w:p w14:paraId="716E45F2">
      <w:pPr>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w:t>
      </w:r>
      <w:r>
        <w:rPr>
          <w:rFonts w:hint="eastAsia" w:ascii="仿宋" w:hAnsi="仿宋" w:eastAsia="仿宋" w:cs="仿宋"/>
          <w:color w:val="auto"/>
          <w:kern w:val="0"/>
          <w:szCs w:val="21"/>
          <w:highlight w:val="none"/>
          <w:u w:val="single"/>
        </w:rPr>
        <w:t>南宁市青秀区茶花园路5-8号</w:t>
      </w:r>
    </w:p>
    <w:p w14:paraId="4EA69182">
      <w:pPr>
        <w:spacing w:line="400" w:lineRule="exact"/>
        <w:ind w:firstLine="420" w:firstLineChars="200"/>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项目联系人：</w:t>
      </w:r>
      <w:r>
        <w:rPr>
          <w:rFonts w:hint="eastAsia" w:ascii="仿宋" w:hAnsi="仿宋" w:eastAsia="仿宋" w:cs="仿宋"/>
          <w:color w:val="auto"/>
          <w:kern w:val="0"/>
          <w:szCs w:val="21"/>
          <w:highlight w:val="none"/>
          <w:u w:val="single"/>
          <w:lang w:eastAsia="zh-CN"/>
        </w:rPr>
        <w:t>屈宇航</w:t>
      </w:r>
    </w:p>
    <w:p w14:paraId="4A8EE98C">
      <w:pPr>
        <w:spacing w:line="400" w:lineRule="exact"/>
        <w:ind w:firstLine="420" w:firstLineChars="200"/>
        <w:jc w:val="left"/>
        <w:rPr>
          <w:rFonts w:hint="eastAsia" w:ascii="仿宋" w:hAnsi="仿宋" w:eastAsia="仿宋" w:cs="仿宋"/>
          <w:color w:val="auto"/>
          <w:szCs w:val="21"/>
          <w:highlight w:val="none"/>
          <w:u w:val="single"/>
          <w:lang w:eastAsia="zh-CN"/>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single"/>
          <w:lang w:eastAsia="zh-CN"/>
        </w:rPr>
        <w:t>0771-5857665</w:t>
      </w:r>
    </w:p>
    <w:p w14:paraId="784F8C86">
      <w:pPr>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2.采购代理机构信息</w:t>
      </w:r>
    </w:p>
    <w:p w14:paraId="7FA9B7C2">
      <w:pPr>
        <w:spacing w:line="40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名 称：</w:t>
      </w:r>
      <w:r>
        <w:rPr>
          <w:rFonts w:hint="eastAsia" w:ascii="仿宋" w:hAnsi="仿宋" w:eastAsia="仿宋" w:cs="仿宋"/>
          <w:color w:val="auto"/>
          <w:szCs w:val="21"/>
          <w:highlight w:val="none"/>
          <w:u w:val="single"/>
        </w:rPr>
        <w:t>广西中信恒泰工程顾问有限公司</w:t>
      </w:r>
    </w:p>
    <w:p w14:paraId="793F6350">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南宁市青秀区云景路69号南宁市轨道交通运营控制中心B楼8层</w:t>
      </w:r>
    </w:p>
    <w:p w14:paraId="093D7E73">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single"/>
        </w:rPr>
        <w:t>0771-2215359</w:t>
      </w:r>
    </w:p>
    <w:p w14:paraId="2C3423C3">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3.项目联系方式</w:t>
      </w:r>
    </w:p>
    <w:p w14:paraId="0F43934E">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项目联系人：</w:t>
      </w:r>
      <w:r>
        <w:rPr>
          <w:rFonts w:hint="eastAsia" w:ascii="仿宋" w:hAnsi="仿宋" w:eastAsia="仿宋" w:cs="仿宋"/>
          <w:color w:val="auto"/>
          <w:szCs w:val="21"/>
          <w:highlight w:val="none"/>
          <w:u w:val="single"/>
          <w:lang w:val="en-US" w:eastAsia="zh-CN"/>
        </w:rPr>
        <w:t>李秋宏</w:t>
      </w:r>
    </w:p>
    <w:p w14:paraId="66F79F9E">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    话：</w:t>
      </w:r>
      <w:r>
        <w:rPr>
          <w:rFonts w:hint="eastAsia" w:ascii="仿宋" w:hAnsi="仿宋" w:eastAsia="仿宋" w:cs="仿宋"/>
          <w:color w:val="auto"/>
          <w:szCs w:val="21"/>
          <w:highlight w:val="none"/>
          <w:u w:val="single"/>
        </w:rPr>
        <w:t>0771-2215359</w:t>
      </w:r>
    </w:p>
    <w:p w14:paraId="6F2EA414">
      <w:pPr>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附件： </w:t>
      </w:r>
    </w:p>
    <w:p w14:paraId="696B6DB4">
      <w:pPr>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1.CA证书申请方式及操作指南下载地址（现场申请方式见网址：</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"http://www.ccgp-guangxi.gov.cn/OfficeService/DownloadArea/8354055.html?utm=a0003.39a112b4.cmp001.d0002.f0464b20ff2a11eb873141bf9e381949"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1"/>
          <w:highlight w:val="none"/>
          <w:u w:val="single"/>
        </w:rPr>
        <w:t>http://www.ccgp-guangxi.gov.cn/OfficeService/DownloadArea/8354055.html?utm=a0003.39a112b4.cmp001.d0002.f0464b20ff2a11eb873141bf9e381949</w:t>
      </w:r>
      <w:r>
        <w:rPr>
          <w:rFonts w:hint="eastAsia" w:ascii="仿宋" w:hAnsi="仿宋" w:eastAsia="仿宋" w:cs="仿宋"/>
          <w:color w:val="auto"/>
          <w:szCs w:val="21"/>
          <w:highlight w:val="none"/>
          <w:u w:val="single"/>
        </w:rPr>
        <w:fldChar w:fldCharType="end"/>
      </w:r>
      <w:r>
        <w:rPr>
          <w:rFonts w:hint="eastAsia" w:ascii="仿宋" w:hAnsi="仿宋" w:eastAsia="仿宋" w:cs="仿宋"/>
          <w:color w:val="auto"/>
          <w:szCs w:val="21"/>
          <w:highlight w:val="none"/>
        </w:rPr>
        <w:t xml:space="preserve">（广西政府采购网）/网上申请方式见网址： </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"http://nncz.nanning.gov.cn/"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1"/>
          <w:highlight w:val="none"/>
          <w:u w:val="single"/>
        </w:rPr>
        <w:t>http://nncz.nanning.gov.cn/</w:t>
      </w:r>
      <w:r>
        <w:rPr>
          <w:rFonts w:hint="eastAsia" w:ascii="仿宋" w:hAnsi="仿宋" w:eastAsia="仿宋" w:cs="仿宋"/>
          <w:color w:val="auto"/>
          <w:szCs w:val="21"/>
          <w:highlight w:val="none"/>
          <w:u w:val="single"/>
        </w:rPr>
        <w:fldChar w:fldCharType="end"/>
      </w:r>
      <w:r>
        <w:rPr>
          <w:rFonts w:hint="eastAsia" w:ascii="仿宋" w:hAnsi="仿宋" w:eastAsia="仿宋" w:cs="仿宋"/>
          <w:color w:val="auto"/>
          <w:szCs w:val="21"/>
          <w:highlight w:val="none"/>
        </w:rPr>
        <w:t>（南宁市财政局官网）-下载专区-“广西广西政府采购云平台西部CA办理方式”或“南宁市广西政府采购云平台CA证书办理操作指南”）</w:t>
      </w:r>
    </w:p>
    <w:p w14:paraId="788F0058">
      <w:pPr>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2.电子响应文件制作与投送教程（在此网址下载：</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"http://nncz.nanning.gov.cn/"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1"/>
          <w:highlight w:val="none"/>
          <w:u w:val="single"/>
        </w:rPr>
        <w:t>http://nncz.nanning.gov.cn/</w:t>
      </w:r>
      <w:r>
        <w:rPr>
          <w:rFonts w:hint="eastAsia" w:ascii="仿宋" w:hAnsi="仿宋" w:eastAsia="仿宋" w:cs="仿宋"/>
          <w:color w:val="auto"/>
          <w:szCs w:val="21"/>
          <w:highlight w:val="none"/>
          <w:u w:val="single"/>
        </w:rPr>
        <w:fldChar w:fldCharType="end"/>
      </w:r>
      <w:r>
        <w:rPr>
          <w:rFonts w:hint="eastAsia" w:ascii="仿宋" w:hAnsi="仿宋" w:eastAsia="仿宋" w:cs="仿宋"/>
          <w:color w:val="auto"/>
          <w:szCs w:val="21"/>
          <w:highlight w:val="none"/>
        </w:rPr>
        <w:t>（南宁市财政局官网）-下载专区）</w:t>
      </w:r>
    </w:p>
    <w:p w14:paraId="60E6B0DB">
      <w:pPr>
        <w:spacing w:line="400" w:lineRule="exact"/>
        <w:ind w:firstLine="420" w:firstLineChars="200"/>
        <w:jc w:val="left"/>
        <w:rPr>
          <w:rFonts w:hint="eastAsia" w:ascii="仿宋" w:hAnsi="仿宋" w:eastAsia="仿宋" w:cs="仿宋"/>
          <w:color w:val="auto"/>
          <w:szCs w:val="21"/>
          <w:highlight w:val="none"/>
        </w:rPr>
      </w:pPr>
    </w:p>
    <w:p w14:paraId="25EAED02">
      <w:pPr>
        <w:keepNext w:val="0"/>
        <w:keepLines w:val="0"/>
        <w:pageBreakBefore w:val="0"/>
        <w:widowControl w:val="0"/>
        <w:kinsoku/>
        <w:wordWrap/>
        <w:overflowPunct/>
        <w:topLinePunct w:val="0"/>
        <w:autoSpaceDE/>
        <w:autoSpaceDN/>
        <w:bidi w:val="0"/>
        <w:adjustRightInd/>
        <w:snapToGrid/>
        <w:spacing w:line="400" w:lineRule="exact"/>
        <w:ind w:firstLine="3150" w:firstLineChars="150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广西中信恒泰工程顾问有限公司</w:t>
      </w:r>
    </w:p>
    <w:p w14:paraId="7E8C373C">
      <w:pPr>
        <w:keepNext w:val="0"/>
        <w:keepLines w:val="0"/>
        <w:pageBreakBefore w:val="0"/>
        <w:widowControl w:val="0"/>
        <w:kinsoku/>
        <w:wordWrap/>
        <w:overflowPunct/>
        <w:topLinePunct w:val="0"/>
        <w:autoSpaceDE/>
        <w:autoSpaceDN/>
        <w:bidi w:val="0"/>
        <w:adjustRightInd/>
        <w:snapToGrid/>
        <w:spacing w:line="400" w:lineRule="exact"/>
        <w:ind w:firstLine="3150" w:firstLineChars="1500"/>
        <w:jc w:val="center"/>
        <w:textAlignment w:val="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202</w:t>
      </w:r>
      <w:r>
        <w:rPr>
          <w:rFonts w:hint="eastAsia" w:ascii="仿宋" w:hAnsi="仿宋" w:eastAsia="仿宋" w:cs="仿宋"/>
          <w:color w:val="auto"/>
          <w:szCs w:val="21"/>
          <w:highlight w:val="none"/>
          <w:u w:val="single"/>
          <w:lang w:val="en-US" w:eastAsia="zh-CN"/>
        </w:rPr>
        <w:t>6</w:t>
      </w:r>
      <w:r>
        <w:rPr>
          <w:rFonts w:hint="eastAsia" w:ascii="仿宋" w:hAnsi="仿宋" w:eastAsia="仿宋" w:cs="仿宋"/>
          <w:color w:val="auto"/>
          <w:szCs w:val="21"/>
          <w:highlight w:val="none"/>
          <w:u w:val="single"/>
        </w:rPr>
        <w:t>年</w:t>
      </w:r>
      <w:r>
        <w:rPr>
          <w:rFonts w:hint="eastAsia" w:ascii="仿宋" w:hAnsi="仿宋" w:eastAsia="仿宋" w:cs="仿宋"/>
          <w:color w:val="auto"/>
          <w:highlight w:val="none"/>
          <w:u w:val="single"/>
          <w:lang w:val="en-US" w:eastAsia="zh-CN"/>
        </w:rPr>
        <w:t>7月</w:t>
      </w:r>
      <w:r>
        <w:rPr>
          <w:rFonts w:hint="eastAsia" w:ascii="仿宋" w:hAnsi="仿宋" w:eastAsia="仿宋" w:cs="仿宋"/>
          <w:color w:val="auto"/>
          <w:highlight w:val="none"/>
          <w:u w:val="single"/>
          <w:lang w:val="en-US" w:eastAsia="zh-CN"/>
          <w:woUserID w:val="2"/>
        </w:rPr>
        <w:t>2</w:t>
      </w:r>
      <w:r>
        <w:rPr>
          <w:rFonts w:hint="eastAsia" w:ascii="仿宋" w:hAnsi="仿宋" w:eastAsia="仿宋" w:cs="仿宋"/>
          <w:color w:val="auto"/>
          <w:highlight w:val="none"/>
          <w:u w:val="single"/>
          <w:lang w:val="en-US" w:eastAsia="zh-CN"/>
        </w:rPr>
        <w:t>日</w:t>
      </w:r>
    </w:p>
    <w:p w14:paraId="11F08679">
      <w:pPr>
        <w:spacing w:line="400" w:lineRule="exact"/>
        <w:ind w:firstLine="420" w:firstLineChars="200"/>
        <w:jc w:val="right"/>
        <w:rPr>
          <w:rFonts w:hint="eastAsia" w:ascii="仿宋" w:hAnsi="仿宋" w:eastAsia="仿宋" w:cs="仿宋"/>
          <w:szCs w:val="21"/>
          <w:highlight w:val="none"/>
          <w:u w:val="single"/>
        </w:rPr>
        <w:sectPr>
          <w:footerReference r:id="rId9" w:type="default"/>
          <w:pgSz w:w="11905" w:h="16838"/>
          <w:pgMar w:top="1304" w:right="1304" w:bottom="1304" w:left="1304" w:header="720" w:footer="720" w:gutter="0"/>
          <w:pgNumType w:fmt="decimal" w:start="1"/>
          <w:cols w:space="720" w:num="1"/>
          <w:docGrid w:type="lines" w:linePitch="339" w:charSpace="0"/>
        </w:sectPr>
      </w:pPr>
    </w:p>
    <w:p w14:paraId="5BA58065">
      <w:pPr>
        <w:keepNext/>
        <w:keepLines/>
        <w:spacing w:before="340" w:after="330" w:line="400" w:lineRule="exact"/>
        <w:jc w:val="center"/>
        <w:outlineLvl w:val="0"/>
        <w:rPr>
          <w:rFonts w:hint="eastAsia" w:ascii="仿宋" w:hAnsi="仿宋" w:eastAsia="仿宋" w:cs="仿宋"/>
          <w:b/>
          <w:bCs/>
          <w:kern w:val="44"/>
          <w:sz w:val="32"/>
          <w:szCs w:val="32"/>
          <w:highlight w:val="none"/>
        </w:rPr>
      </w:pPr>
      <w:bookmarkStart w:id="64" w:name="_Toc127516319"/>
      <w:bookmarkStart w:id="65" w:name="_Toc26321"/>
      <w:r>
        <w:rPr>
          <w:rFonts w:hint="eastAsia" w:ascii="仿宋" w:hAnsi="仿宋" w:eastAsia="仿宋" w:cs="仿宋"/>
          <w:b/>
          <w:bCs/>
          <w:kern w:val="44"/>
          <w:sz w:val="32"/>
          <w:szCs w:val="32"/>
          <w:highlight w:val="none"/>
        </w:rPr>
        <w:t>第二章 采购需求</w:t>
      </w:r>
      <w:bookmarkEnd w:id="64"/>
      <w:bookmarkEnd w:id="65"/>
    </w:p>
    <w:p w14:paraId="1746B513">
      <w:pPr>
        <w:spacing w:line="420" w:lineRule="exact"/>
        <w:jc w:val="left"/>
        <w:rPr>
          <w:rFonts w:hint="eastAsia" w:ascii="仿宋" w:hAnsi="仿宋" w:eastAsia="仿宋" w:cs="仿宋"/>
          <w:szCs w:val="21"/>
          <w:highlight w:val="none"/>
        </w:rPr>
      </w:pPr>
      <w:r>
        <w:rPr>
          <w:rFonts w:hint="eastAsia" w:ascii="仿宋" w:hAnsi="仿宋" w:eastAsia="仿宋" w:cs="仿宋"/>
          <w:szCs w:val="21"/>
          <w:highlight w:val="none"/>
        </w:rPr>
        <w:t>说明：</w:t>
      </w:r>
    </w:p>
    <w:p w14:paraId="41DD62E5">
      <w:pPr>
        <w:spacing w:line="420" w:lineRule="exact"/>
        <w:ind w:firstLine="420" w:firstLineChars="200"/>
        <w:jc w:val="left"/>
        <w:rPr>
          <w:rFonts w:hint="eastAsia" w:ascii="仿宋" w:hAnsi="仿宋" w:eastAsia="仿宋" w:cs="仿宋"/>
          <w:szCs w:val="21"/>
          <w:highlight w:val="none"/>
        </w:rPr>
      </w:pPr>
      <w:r>
        <w:rPr>
          <w:rFonts w:hint="eastAsia" w:ascii="仿宋" w:hAnsi="仿宋" w:eastAsia="仿宋" w:cs="仿宋"/>
          <w:highlight w:val="none"/>
        </w:rPr>
        <w:t>1. 为落实政府采购政策需满足的要求（根据项目实际情况填写内容）</w:t>
      </w:r>
    </w:p>
    <w:p w14:paraId="7CF90F5E">
      <w:pPr>
        <w:spacing w:line="42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（1）本竞争性磋商采购文件所称中小企业必须符合《政府采购促进中小企业发展管理办法》（财库〔2020〕46号）的规定。</w:t>
      </w:r>
    </w:p>
    <w:p w14:paraId="5CC1011B">
      <w:pPr>
        <w:tabs>
          <w:tab w:val="left" w:pos="180"/>
          <w:tab w:val="left" w:pos="1620"/>
        </w:tabs>
        <w:spacing w:line="420" w:lineRule="exact"/>
        <w:ind w:firstLine="420" w:firstLineChars="200"/>
        <w:rPr>
          <w:rFonts w:hint="eastAsia" w:ascii="仿宋" w:hAnsi="仿宋" w:eastAsia="仿宋" w:cs="仿宋"/>
          <w:b/>
          <w:bCs/>
          <w:szCs w:val="21"/>
          <w:highlight w:val="none"/>
        </w:rPr>
      </w:pPr>
      <w:r>
        <w:rPr>
          <w:rFonts w:hint="eastAsia" w:ascii="仿宋" w:hAnsi="仿宋" w:eastAsia="仿宋" w:cs="仿宋"/>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29BD6F0A">
      <w:pPr>
        <w:spacing w:line="42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网络安全专用产品安全技术要求》等相关国家标准的强制性要求，提供具备资格的机构安全认证合格或者安全检测证明材料（加盖供应商公章），否则响应文件作无效处理。</w:t>
      </w:r>
    </w:p>
    <w:p w14:paraId="20AAFABD">
      <w:pPr>
        <w:spacing w:line="420" w:lineRule="exact"/>
        <w:ind w:firstLine="413" w:firstLineChars="196"/>
        <w:rPr>
          <w:rFonts w:hint="eastAsia" w:ascii="仿宋" w:hAnsi="仿宋" w:eastAsia="仿宋" w:cs="仿宋"/>
          <w:b/>
          <w:bCs/>
          <w:szCs w:val="21"/>
          <w:highlight w:val="none"/>
        </w:rPr>
      </w:pPr>
      <w:r>
        <w:rPr>
          <w:rFonts w:hint="eastAsia" w:ascii="仿宋" w:hAnsi="仿宋" w:eastAsia="仿宋" w:cs="仿宋"/>
          <w:b/>
          <w:bCs/>
          <w:szCs w:val="21"/>
          <w:highlight w:val="none"/>
        </w:rPr>
        <w:t>2.“实质性要求”是指采购需求中带“▲”的条款或者不能负偏离的条款或者已经指明不满足按响应文件作无效处理的条款。</w:t>
      </w:r>
    </w:p>
    <w:p w14:paraId="5D8D224D">
      <w:pPr>
        <w:spacing w:line="420" w:lineRule="exact"/>
        <w:ind w:firstLine="420" w:firstLineChars="200"/>
        <w:jc w:val="left"/>
        <w:rPr>
          <w:rFonts w:hint="eastAsia" w:ascii="仿宋" w:hAnsi="仿宋" w:eastAsia="仿宋" w:cs="仿宋"/>
          <w:highlight w:val="none"/>
        </w:rPr>
      </w:pPr>
      <w:r>
        <w:rPr>
          <w:rFonts w:hint="eastAsia" w:ascii="仿宋" w:hAnsi="仿宋" w:eastAsia="仿宋" w:cs="仿宋"/>
          <w:szCs w:val="21"/>
          <w:highlight w:val="none"/>
        </w:rPr>
        <w:t>3.</w:t>
      </w:r>
      <w:r>
        <w:rPr>
          <w:rFonts w:hint="eastAsia" w:ascii="仿宋" w:hAnsi="仿宋" w:eastAsia="仿宋" w:cs="仿宋"/>
          <w:highlight w:val="none"/>
        </w:rPr>
        <w:t>如竞标供应商竞标产品存在侵犯他人的知识产权或者专利成果行为的，应承担相应法律责任。</w:t>
      </w:r>
    </w:p>
    <w:p w14:paraId="5942EE7D">
      <w:pPr>
        <w:pStyle w:val="29"/>
        <w:ind w:firstLine="210"/>
        <w:jc w:val="center"/>
        <w:rPr>
          <w:rFonts w:hint="eastAsia" w:ascii="仿宋" w:hAnsi="仿宋" w:eastAsia="仿宋" w:cs="仿宋"/>
          <w:highlight w:val="none"/>
        </w:rPr>
        <w:sectPr>
          <w:pgSz w:w="11905" w:h="16838"/>
          <w:pgMar w:top="1304" w:right="1304" w:bottom="1304" w:left="1304" w:header="720" w:footer="720" w:gutter="0"/>
          <w:pgNumType w:fmt="decimal"/>
          <w:cols w:space="720" w:num="1"/>
          <w:docGrid w:type="lines" w:linePitch="339" w:charSpace="0"/>
        </w:sectPr>
      </w:pPr>
    </w:p>
    <w:tbl>
      <w:tblPr>
        <w:tblStyle w:val="31"/>
        <w:tblW w:w="96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9"/>
        <w:gridCol w:w="464"/>
        <w:gridCol w:w="682"/>
        <w:gridCol w:w="450"/>
        <w:gridCol w:w="464"/>
        <w:gridCol w:w="4909"/>
        <w:gridCol w:w="1064"/>
        <w:gridCol w:w="1168"/>
      </w:tblGrid>
      <w:tr w14:paraId="392E9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630"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ECF23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服务需求一览表</w:t>
            </w:r>
          </w:p>
        </w:tc>
      </w:tr>
      <w:tr w14:paraId="591E4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43BA7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标段</w:t>
            </w:r>
          </w:p>
        </w:tc>
        <w:tc>
          <w:tcPr>
            <w:tcW w:w="8055" w:type="dxa"/>
            <w:gridSpan w:val="5"/>
            <w:tcBorders>
              <w:top w:val="single" w:color="auto" w:sz="4" w:space="0"/>
              <w:left w:val="single" w:color="auto" w:sz="4" w:space="0"/>
              <w:bottom w:val="single" w:color="auto" w:sz="4" w:space="0"/>
              <w:right w:val="single" w:color="auto" w:sz="4" w:space="0"/>
            </w:tcBorders>
            <w:vAlign w:val="center"/>
          </w:tcPr>
          <w:p w14:paraId="76694C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left"/>
              <w:textAlignment w:val="auto"/>
              <w:rPr>
                <w:rFonts w:hint="eastAsia"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分标</w:t>
            </w:r>
          </w:p>
        </w:tc>
      </w:tr>
      <w:tr w14:paraId="3C366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29"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14:paraId="54FB83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采购清单及技术参数</w:t>
            </w:r>
          </w:p>
        </w:tc>
        <w:tc>
          <w:tcPr>
            <w:tcW w:w="464" w:type="dxa"/>
            <w:tcBorders>
              <w:top w:val="single" w:color="auto" w:sz="4" w:space="0"/>
              <w:left w:val="single" w:color="auto" w:sz="4" w:space="0"/>
              <w:bottom w:val="single" w:color="auto" w:sz="4" w:space="0"/>
              <w:right w:val="single" w:color="auto" w:sz="4" w:space="0"/>
            </w:tcBorders>
            <w:vAlign w:val="center"/>
          </w:tcPr>
          <w:p w14:paraId="336F32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序号</w:t>
            </w:r>
          </w:p>
        </w:tc>
        <w:tc>
          <w:tcPr>
            <w:tcW w:w="682" w:type="dxa"/>
            <w:tcBorders>
              <w:top w:val="single" w:color="auto" w:sz="4" w:space="0"/>
              <w:left w:val="single" w:color="auto" w:sz="4" w:space="0"/>
              <w:bottom w:val="single" w:color="auto" w:sz="4" w:space="0"/>
              <w:right w:val="single" w:color="auto" w:sz="4" w:space="0"/>
            </w:tcBorders>
            <w:vAlign w:val="center"/>
          </w:tcPr>
          <w:p w14:paraId="486DA3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标的的名称</w:t>
            </w:r>
          </w:p>
        </w:tc>
        <w:tc>
          <w:tcPr>
            <w:tcW w:w="450" w:type="dxa"/>
            <w:tcBorders>
              <w:top w:val="single" w:color="auto" w:sz="4" w:space="0"/>
              <w:left w:val="single" w:color="auto" w:sz="4" w:space="0"/>
              <w:bottom w:val="single" w:color="auto" w:sz="4" w:space="0"/>
              <w:right w:val="single" w:color="auto" w:sz="4" w:space="0"/>
            </w:tcBorders>
            <w:vAlign w:val="center"/>
          </w:tcPr>
          <w:p w14:paraId="41438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单位</w:t>
            </w:r>
          </w:p>
        </w:tc>
        <w:tc>
          <w:tcPr>
            <w:tcW w:w="464" w:type="dxa"/>
            <w:tcBorders>
              <w:top w:val="single" w:color="auto" w:sz="4" w:space="0"/>
              <w:left w:val="single" w:color="auto" w:sz="4" w:space="0"/>
              <w:bottom w:val="single" w:color="auto" w:sz="4" w:space="0"/>
              <w:right w:val="single" w:color="auto" w:sz="4" w:space="0"/>
            </w:tcBorders>
            <w:vAlign w:val="center"/>
          </w:tcPr>
          <w:p w14:paraId="5278A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数量</w:t>
            </w:r>
          </w:p>
        </w:tc>
        <w:tc>
          <w:tcPr>
            <w:tcW w:w="4909" w:type="dxa"/>
            <w:tcBorders>
              <w:top w:val="single" w:color="auto" w:sz="4" w:space="0"/>
              <w:left w:val="single" w:color="auto" w:sz="4" w:space="0"/>
              <w:bottom w:val="single" w:color="auto" w:sz="4" w:space="0"/>
              <w:right w:val="single" w:color="auto" w:sz="4" w:space="0"/>
            </w:tcBorders>
            <w:vAlign w:val="center"/>
          </w:tcPr>
          <w:p w14:paraId="7A1D0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服务参数</w:t>
            </w:r>
          </w:p>
        </w:tc>
        <w:tc>
          <w:tcPr>
            <w:tcW w:w="1064" w:type="dxa"/>
            <w:tcBorders>
              <w:top w:val="single" w:color="auto" w:sz="4" w:space="0"/>
              <w:left w:val="single" w:color="auto" w:sz="4" w:space="0"/>
              <w:bottom w:val="single" w:color="auto" w:sz="4" w:space="0"/>
              <w:right w:val="single" w:color="auto" w:sz="4" w:space="0"/>
            </w:tcBorders>
            <w:vAlign w:val="center"/>
          </w:tcPr>
          <w:p w14:paraId="1E3F64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lang w:eastAsia="zh-CN"/>
              </w:rPr>
              <w:t>分项</w:t>
            </w:r>
            <w:r>
              <w:rPr>
                <w:rFonts w:hint="eastAsia" w:ascii="仿宋" w:hAnsi="仿宋" w:eastAsia="仿宋" w:cs="仿宋"/>
                <w:highlight w:val="none"/>
              </w:rPr>
              <w:t>预算合计（元）</w:t>
            </w:r>
          </w:p>
        </w:tc>
        <w:tc>
          <w:tcPr>
            <w:tcW w:w="1168" w:type="dxa"/>
            <w:tcBorders>
              <w:top w:val="single" w:color="auto" w:sz="4" w:space="0"/>
              <w:left w:val="single" w:color="auto" w:sz="4" w:space="0"/>
              <w:bottom w:val="single" w:color="auto" w:sz="4" w:space="0"/>
              <w:right w:val="single" w:color="auto" w:sz="4" w:space="0"/>
            </w:tcBorders>
            <w:vAlign w:val="center"/>
          </w:tcPr>
          <w:p w14:paraId="5C06D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中小企业划分标准所属行业名称（行业名称及划分见本章附件2）</w:t>
            </w:r>
          </w:p>
        </w:tc>
      </w:tr>
      <w:tr w14:paraId="11502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29" w:type="dxa"/>
            <w:vMerge w:val="continue"/>
            <w:tcBorders>
              <w:left w:val="single" w:color="auto" w:sz="4" w:space="0"/>
              <w:right w:val="single" w:color="auto" w:sz="4" w:space="0"/>
            </w:tcBorders>
            <w:tcMar>
              <w:top w:w="0" w:type="dxa"/>
              <w:left w:w="0" w:type="dxa"/>
              <w:bottom w:w="0" w:type="dxa"/>
              <w:right w:w="0" w:type="dxa"/>
            </w:tcMar>
            <w:vAlign w:val="center"/>
          </w:tcPr>
          <w:p w14:paraId="3840A4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p>
        </w:tc>
        <w:tc>
          <w:tcPr>
            <w:tcW w:w="464" w:type="dxa"/>
            <w:tcBorders>
              <w:top w:val="single" w:color="auto" w:sz="4" w:space="0"/>
              <w:left w:val="single" w:color="auto" w:sz="4" w:space="0"/>
              <w:bottom w:val="single" w:color="auto" w:sz="4" w:space="0"/>
              <w:right w:val="single" w:color="auto" w:sz="4" w:space="0"/>
            </w:tcBorders>
            <w:vAlign w:val="center"/>
          </w:tcPr>
          <w:p w14:paraId="6F78BC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1</w:t>
            </w:r>
          </w:p>
        </w:tc>
        <w:tc>
          <w:tcPr>
            <w:tcW w:w="682" w:type="dxa"/>
            <w:tcBorders>
              <w:top w:val="single" w:color="auto" w:sz="4" w:space="0"/>
              <w:left w:val="single" w:color="auto" w:sz="4" w:space="0"/>
              <w:bottom w:val="single" w:color="auto" w:sz="4" w:space="0"/>
              <w:right w:val="single" w:color="auto" w:sz="4" w:space="0"/>
            </w:tcBorders>
            <w:vAlign w:val="center"/>
          </w:tcPr>
          <w:p w14:paraId="633ECE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lang w:eastAsia="zh-CN"/>
              </w:rPr>
            </w:pPr>
            <w:r>
              <w:rPr>
                <w:rFonts w:hint="eastAsia" w:ascii="仿宋" w:hAnsi="仿宋" w:eastAsia="仿宋" w:cs="仿宋"/>
                <w:highlight w:val="none"/>
                <w:lang w:eastAsia="zh-CN"/>
              </w:rPr>
              <w:t>轨道交通第三方安全评估</w:t>
            </w:r>
          </w:p>
        </w:tc>
        <w:tc>
          <w:tcPr>
            <w:tcW w:w="450" w:type="dxa"/>
            <w:tcBorders>
              <w:top w:val="single" w:color="auto" w:sz="4" w:space="0"/>
              <w:left w:val="single" w:color="auto" w:sz="4" w:space="0"/>
              <w:bottom w:val="single" w:color="auto" w:sz="4" w:space="0"/>
              <w:right w:val="single" w:color="auto" w:sz="4" w:space="0"/>
            </w:tcBorders>
            <w:vAlign w:val="center"/>
          </w:tcPr>
          <w:p w14:paraId="2AB48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项</w:t>
            </w:r>
          </w:p>
        </w:tc>
        <w:tc>
          <w:tcPr>
            <w:tcW w:w="464" w:type="dxa"/>
            <w:tcBorders>
              <w:top w:val="single" w:color="auto" w:sz="4" w:space="0"/>
              <w:left w:val="single" w:color="auto" w:sz="4" w:space="0"/>
              <w:bottom w:val="single" w:color="auto" w:sz="4" w:space="0"/>
              <w:right w:val="single" w:color="auto" w:sz="4" w:space="0"/>
            </w:tcBorders>
            <w:vAlign w:val="center"/>
          </w:tcPr>
          <w:p w14:paraId="78FCA7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1</w:t>
            </w:r>
          </w:p>
        </w:tc>
        <w:tc>
          <w:tcPr>
            <w:tcW w:w="4909" w:type="dxa"/>
            <w:tcBorders>
              <w:top w:val="single" w:color="auto" w:sz="4" w:space="0"/>
              <w:left w:val="single" w:color="auto" w:sz="4" w:space="0"/>
              <w:bottom w:val="single" w:color="auto" w:sz="4" w:space="0"/>
              <w:right w:val="single" w:color="auto" w:sz="4" w:space="0"/>
            </w:tcBorders>
            <w:vAlign w:val="center"/>
          </w:tcPr>
          <w:p w14:paraId="46CBB0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jc w:val="both"/>
              <w:textAlignment w:val="auto"/>
              <w:rPr>
                <w:rFonts w:hint="eastAsia" w:ascii="仿宋" w:hAnsi="仿宋" w:eastAsia="仿宋" w:cs="仿宋"/>
                <w:b w:val="0"/>
                <w:bCs/>
                <w:kern w:val="1"/>
                <w:szCs w:val="20"/>
                <w:highlight w:val="none"/>
                <w:lang w:val="en-US" w:eastAsia="zh-CN"/>
              </w:rPr>
            </w:pPr>
            <w:r>
              <w:rPr>
                <w:rFonts w:hint="eastAsia" w:ascii="仿宋" w:hAnsi="仿宋" w:eastAsia="仿宋" w:cs="仿宋"/>
                <w:b w:val="0"/>
                <w:bCs/>
                <w:kern w:val="1"/>
                <w:szCs w:val="20"/>
                <w:highlight w:val="none"/>
                <w:lang w:val="en-US" w:eastAsia="zh-CN"/>
              </w:rPr>
              <w:t>一、政策文件依据</w:t>
            </w:r>
          </w:p>
          <w:p w14:paraId="5AEDFC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jc w:val="both"/>
              <w:textAlignment w:val="auto"/>
              <w:rPr>
                <w:rFonts w:hint="eastAsia" w:ascii="仿宋" w:hAnsi="仿宋" w:eastAsia="仿宋" w:cs="仿宋"/>
                <w:b w:val="0"/>
                <w:bCs/>
                <w:kern w:val="1"/>
                <w:szCs w:val="20"/>
                <w:highlight w:val="none"/>
                <w:lang w:val="en-US" w:eastAsia="zh-CN"/>
              </w:rPr>
            </w:pPr>
            <w:r>
              <w:rPr>
                <w:rFonts w:hint="eastAsia" w:ascii="仿宋" w:hAnsi="仿宋" w:eastAsia="仿宋" w:cs="仿宋"/>
                <w:b w:val="0"/>
                <w:bCs/>
                <w:kern w:val="1"/>
                <w:szCs w:val="20"/>
                <w:highlight w:val="none"/>
                <w:lang w:val="en-US" w:eastAsia="zh-CN"/>
              </w:rPr>
              <w:t>（一）《城市公共交通条例》（国务院令793号）</w:t>
            </w:r>
          </w:p>
          <w:p w14:paraId="65CC3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jc w:val="both"/>
              <w:textAlignment w:val="auto"/>
              <w:rPr>
                <w:rFonts w:hint="eastAsia" w:ascii="仿宋" w:hAnsi="仿宋" w:eastAsia="仿宋" w:cs="仿宋"/>
                <w:b w:val="0"/>
                <w:bCs/>
                <w:kern w:val="1"/>
                <w:szCs w:val="20"/>
                <w:highlight w:val="none"/>
                <w:lang w:val="en-US" w:eastAsia="zh-CN"/>
              </w:rPr>
            </w:pPr>
            <w:r>
              <w:rPr>
                <w:rFonts w:hint="eastAsia" w:ascii="仿宋" w:hAnsi="仿宋" w:eastAsia="仿宋" w:cs="仿宋"/>
                <w:b w:val="0"/>
                <w:bCs/>
                <w:kern w:val="1"/>
                <w:szCs w:val="20"/>
                <w:highlight w:val="none"/>
                <w:lang w:val="en-US" w:eastAsia="zh-CN"/>
              </w:rPr>
              <w:t>（二）《城市轨道交通运营安全评估管理办法》（交运规〔2023〕3号）</w:t>
            </w:r>
          </w:p>
          <w:p w14:paraId="358B61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jc w:val="both"/>
              <w:textAlignment w:val="auto"/>
              <w:rPr>
                <w:rFonts w:hint="eastAsia" w:ascii="仿宋" w:hAnsi="仿宋" w:eastAsia="仿宋" w:cs="仿宋"/>
                <w:b w:val="0"/>
                <w:bCs/>
                <w:kern w:val="1"/>
                <w:szCs w:val="20"/>
                <w:highlight w:val="none"/>
                <w:lang w:val="en-US" w:eastAsia="zh-CN"/>
              </w:rPr>
            </w:pPr>
            <w:r>
              <w:rPr>
                <w:rFonts w:hint="eastAsia" w:ascii="仿宋" w:hAnsi="仿宋" w:eastAsia="仿宋" w:cs="仿宋"/>
                <w:b w:val="0"/>
                <w:bCs/>
                <w:kern w:val="1"/>
                <w:szCs w:val="20"/>
                <w:highlight w:val="none"/>
                <w:lang w:val="en-US" w:eastAsia="zh-CN"/>
              </w:rPr>
              <w:t>（三）《城市轨道交通运营期间安全评估规范》（交办运〔2023〕58号）</w:t>
            </w:r>
          </w:p>
          <w:p w14:paraId="09981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jc w:val="both"/>
              <w:textAlignment w:val="auto"/>
              <w:rPr>
                <w:rFonts w:hint="eastAsia" w:ascii="仿宋" w:hAnsi="仿宋" w:eastAsia="仿宋" w:cs="仿宋"/>
                <w:b w:val="0"/>
                <w:bCs/>
                <w:kern w:val="1"/>
                <w:szCs w:val="20"/>
                <w:highlight w:val="none"/>
                <w:lang w:val="en-US" w:eastAsia="zh-CN"/>
              </w:rPr>
            </w:pPr>
            <w:r>
              <w:rPr>
                <w:rFonts w:hint="eastAsia" w:ascii="仿宋" w:hAnsi="仿宋" w:eastAsia="仿宋" w:cs="仿宋"/>
                <w:b w:val="0"/>
                <w:bCs/>
                <w:kern w:val="1"/>
                <w:szCs w:val="20"/>
                <w:highlight w:val="none"/>
                <w:lang w:val="en-US" w:eastAsia="zh-CN"/>
              </w:rPr>
              <w:t>（四）《南宁市城市轨道交通管理条例》</w:t>
            </w:r>
          </w:p>
          <w:p w14:paraId="73285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jc w:val="both"/>
              <w:textAlignment w:val="auto"/>
              <w:rPr>
                <w:rFonts w:hint="eastAsia" w:ascii="仿宋" w:hAnsi="仿宋" w:eastAsia="仿宋" w:cs="仿宋"/>
                <w:b w:val="0"/>
                <w:bCs/>
                <w:kern w:val="1"/>
                <w:szCs w:val="20"/>
                <w:highlight w:val="none"/>
                <w:lang w:val="en-US" w:eastAsia="zh-CN"/>
              </w:rPr>
            </w:pPr>
            <w:r>
              <w:rPr>
                <w:rFonts w:hint="eastAsia" w:ascii="仿宋" w:hAnsi="仿宋" w:eastAsia="仿宋" w:cs="仿宋"/>
                <w:b w:val="0"/>
                <w:bCs/>
                <w:kern w:val="1"/>
                <w:szCs w:val="20"/>
                <w:highlight w:val="none"/>
                <w:lang w:val="en-US" w:eastAsia="zh-CN"/>
              </w:rPr>
              <w:t>二、采购需求</w:t>
            </w:r>
          </w:p>
          <w:p w14:paraId="3CBE4C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jc w:val="both"/>
              <w:textAlignment w:val="auto"/>
              <w:rPr>
                <w:rFonts w:hint="eastAsia" w:ascii="仿宋" w:hAnsi="仿宋" w:eastAsia="仿宋" w:cs="仿宋"/>
                <w:b w:val="0"/>
                <w:bCs/>
                <w:kern w:val="1"/>
                <w:szCs w:val="20"/>
                <w:highlight w:val="none"/>
                <w:lang w:val="en-US" w:eastAsia="zh-CN"/>
              </w:rPr>
            </w:pPr>
            <w:r>
              <w:rPr>
                <w:rFonts w:hint="eastAsia" w:ascii="仿宋" w:hAnsi="仿宋" w:eastAsia="仿宋" w:cs="仿宋"/>
                <w:b w:val="0"/>
                <w:bCs/>
                <w:kern w:val="1"/>
                <w:szCs w:val="20"/>
                <w:highlight w:val="none"/>
                <w:lang w:val="en-US" w:eastAsia="zh-CN"/>
              </w:rPr>
              <w:t>根据相关政策要求，组织第三方机构开展2026年南宁市轨道交通4、5号线第三方安全评估工作，通过资料查阅法、现场踏勘法、观察检验法、功能测试法、访谈法等方式，对南宁市轨道交通4、5号线运营安全管理、运营组织与管理、车辆系统、供电系统、机电设备、通信系统、信号系统、自动售检票系统、土建设施、车辆段及综合基地、外界环境、应急管理等方面进行安全评估，评估安全水平、风险等级，对潜在风险进行预测，提出合理化建议意见。同时，针对南宁市轨道交通4、5号线线网运营险性事件进行安全评估，包括运营险性事件发生经过、处置情况、原因分析、整改和防范措施等。对照城市轨道交通运营安全风险分级管控和隐患排查治理、运营突发事件应急演练、行车组织、设施设备运行维护、客运组织与服务等制度，评估以风险分级管控和隐患排查治理及应急管理为核心的运营安全管理制度落实和执行情况，对风险数据库和隐患排查手册开展安全评估，梳理、核查轨道交通运营企业各项应急预案是否按法规、部令要求完善。形成阶段性及总体评价结果，出具考核报告，并提出有针对性的改进措施与建议。</w:t>
            </w:r>
          </w:p>
        </w:tc>
        <w:tc>
          <w:tcPr>
            <w:tcW w:w="1064" w:type="dxa"/>
            <w:tcBorders>
              <w:top w:val="single" w:color="auto" w:sz="4" w:space="0"/>
              <w:left w:val="single" w:color="auto" w:sz="4" w:space="0"/>
              <w:bottom w:val="single" w:color="auto" w:sz="4" w:space="0"/>
              <w:right w:val="single" w:color="auto" w:sz="4" w:space="0"/>
            </w:tcBorders>
            <w:vAlign w:val="center"/>
          </w:tcPr>
          <w:p w14:paraId="365A28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eastAsia="zh-CN"/>
              </w:rPr>
              <w:t>768500.00</w:t>
            </w:r>
          </w:p>
        </w:tc>
        <w:tc>
          <w:tcPr>
            <w:tcW w:w="1168" w:type="dxa"/>
            <w:tcBorders>
              <w:top w:val="single" w:color="auto" w:sz="4" w:space="0"/>
              <w:left w:val="single" w:color="auto" w:sz="4" w:space="0"/>
              <w:bottom w:val="single" w:color="auto" w:sz="4" w:space="0"/>
              <w:right w:val="single" w:color="auto" w:sz="4" w:space="0"/>
            </w:tcBorders>
            <w:vAlign w:val="center"/>
          </w:tcPr>
          <w:p w14:paraId="29494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Cs w:val="21"/>
                <w:highlight w:val="none"/>
                <w:lang w:val="en-US"/>
              </w:rPr>
            </w:pPr>
            <w:r>
              <w:rPr>
                <w:rFonts w:hint="eastAsia" w:ascii="仿宋" w:hAnsi="仿宋" w:eastAsia="仿宋" w:cs="仿宋"/>
                <w:szCs w:val="21"/>
                <w:highlight w:val="none"/>
                <w:lang w:val="en-US" w:eastAsia="zh-CN"/>
              </w:rPr>
              <w:t>其他未列明行业</w:t>
            </w:r>
          </w:p>
        </w:tc>
      </w:tr>
      <w:tr w14:paraId="7ACD8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14:paraId="464404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 w:val="24"/>
                <w:highlight w:val="none"/>
              </w:rPr>
            </w:pPr>
            <w:r>
              <w:rPr>
                <w:rFonts w:hint="eastAsia" w:ascii="仿宋" w:hAnsi="仿宋" w:eastAsia="仿宋" w:cs="仿宋"/>
                <w:szCs w:val="21"/>
                <w:highlight w:val="none"/>
              </w:rPr>
              <w:t>商务条款</w:t>
            </w:r>
          </w:p>
        </w:tc>
        <w:tc>
          <w:tcPr>
            <w:tcW w:w="9201" w:type="dxa"/>
            <w:gridSpan w:val="7"/>
            <w:tcBorders>
              <w:top w:val="single" w:color="auto" w:sz="4" w:space="0"/>
              <w:left w:val="single" w:color="auto" w:sz="4" w:space="0"/>
              <w:bottom w:val="single" w:color="auto" w:sz="4" w:space="0"/>
              <w:right w:val="single" w:color="auto" w:sz="4" w:space="0"/>
            </w:tcBorders>
            <w:vAlign w:val="center"/>
          </w:tcPr>
          <w:p w14:paraId="17A8AF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highlight w:val="none"/>
              </w:rPr>
            </w:pPr>
            <w:r>
              <w:rPr>
                <w:rFonts w:hint="eastAsia" w:ascii="仿宋" w:hAnsi="仿宋" w:eastAsia="仿宋" w:cs="仿宋"/>
                <w:b/>
                <w:bCs/>
                <w:highlight w:val="none"/>
              </w:rPr>
              <w:t>一、合同签订期：</w:t>
            </w:r>
            <w:r>
              <w:rPr>
                <w:rFonts w:hint="eastAsia" w:ascii="仿宋" w:hAnsi="仿宋" w:eastAsia="仿宋" w:cs="仿宋"/>
                <w:highlight w:val="none"/>
              </w:rPr>
              <w:t>自成交通知书发出之日起25日内。</w:t>
            </w:r>
          </w:p>
          <w:p w14:paraId="1C16DE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highlight w:val="none"/>
              </w:rPr>
            </w:pPr>
            <w:r>
              <w:rPr>
                <w:rFonts w:hint="eastAsia" w:ascii="仿宋" w:hAnsi="仿宋" w:eastAsia="仿宋" w:cs="仿宋"/>
                <w:b/>
                <w:bCs/>
                <w:highlight w:val="none"/>
              </w:rPr>
              <w:t>▲二、合同履</w:t>
            </w:r>
            <w:r>
              <w:rPr>
                <w:rFonts w:hint="eastAsia" w:ascii="仿宋" w:hAnsi="仿宋" w:eastAsia="仿宋" w:cs="仿宋"/>
                <w:b/>
                <w:bCs/>
                <w:highlight w:val="none"/>
                <w:lang w:val="en-US" w:eastAsia="zh-CN"/>
              </w:rPr>
              <w:t>约</w:t>
            </w:r>
            <w:r>
              <w:rPr>
                <w:rFonts w:hint="eastAsia" w:ascii="仿宋" w:hAnsi="仿宋" w:eastAsia="仿宋" w:cs="仿宋"/>
                <w:b/>
                <w:bCs/>
                <w:highlight w:val="none"/>
              </w:rPr>
              <w:t>期限：</w:t>
            </w:r>
          </w:p>
          <w:p w14:paraId="7DF17D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（一）2026年9月30日前，提交2026年南宁市轨道交通安全评估工作实施方案；</w:t>
            </w:r>
          </w:p>
          <w:p w14:paraId="7DFBE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（二）2027年1月20日前，提交《2026年南宁市轨道交通第三方安全评估报告》（一期）；</w:t>
            </w:r>
          </w:p>
          <w:p w14:paraId="3664AC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（三）2027年7月10日前，提交《2026年南宁市轨道交通第三方安全评估报告》（二期）。</w:t>
            </w:r>
          </w:p>
          <w:p w14:paraId="79603D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highlight w:val="none"/>
              </w:rPr>
            </w:pPr>
            <w:r>
              <w:rPr>
                <w:rFonts w:hint="eastAsia" w:ascii="仿宋" w:hAnsi="仿宋" w:eastAsia="仿宋" w:cs="仿宋"/>
                <w:b/>
                <w:bCs/>
                <w:highlight w:val="none"/>
              </w:rPr>
              <w:t>三、提交服务成果地点：</w:t>
            </w:r>
            <w:r>
              <w:rPr>
                <w:rFonts w:hint="eastAsia" w:ascii="仿宋" w:hAnsi="仿宋" w:eastAsia="仿宋" w:cs="仿宋"/>
                <w:highlight w:val="none"/>
              </w:rPr>
              <w:t xml:space="preserve">南宁市 </w:t>
            </w:r>
          </w:p>
          <w:p w14:paraId="5140A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b/>
                <w:bCs/>
                <w:highlight w:val="none"/>
              </w:rPr>
            </w:pPr>
            <w:r>
              <w:rPr>
                <w:rFonts w:hint="eastAsia" w:ascii="仿宋" w:hAnsi="仿宋" w:eastAsia="仿宋" w:cs="仿宋"/>
                <w:b/>
                <w:bCs/>
                <w:highlight w:val="none"/>
              </w:rPr>
              <w:t>四、提交成果要求：</w:t>
            </w:r>
          </w:p>
          <w:p w14:paraId="5BC1F1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1、响应时磋商供应商需根据采购需求服务内容提交相应《工作时间计划表》，列明拟定完成各阶段工作的工作时间、工作内容以及责任主体。在本项目咨询服务实施时，成交供应商必须根据《工作时间计划表》提交相应的阶段性成果文件。项目完成时将系统的全部有关文件、资料等文档汇集成册交付采购人。服务期工作报告与服务成果清单作为采购人支付合同款的依据。</w:t>
            </w:r>
          </w:p>
          <w:p w14:paraId="2CD33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2、提交服务成果资料份数：一式</w:t>
            </w:r>
            <w:r>
              <w:rPr>
                <w:rFonts w:hint="eastAsia" w:ascii="仿宋" w:hAnsi="仿宋" w:eastAsia="仿宋" w:cs="仿宋"/>
                <w:highlight w:val="none"/>
                <w:lang w:val="en-US" w:eastAsia="zh-CN"/>
              </w:rPr>
              <w:t>五</w:t>
            </w:r>
            <w:r>
              <w:rPr>
                <w:rFonts w:hint="eastAsia" w:ascii="仿宋" w:hAnsi="仿宋" w:eastAsia="仿宋" w:cs="仿宋"/>
                <w:highlight w:val="none"/>
              </w:rPr>
              <w:t>份。</w:t>
            </w:r>
          </w:p>
          <w:p w14:paraId="2CBEED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b/>
                <w:bCs/>
                <w:highlight w:val="none"/>
              </w:rPr>
            </w:pPr>
            <w:r>
              <w:rPr>
                <w:rFonts w:hint="eastAsia" w:ascii="仿宋" w:hAnsi="仿宋" w:eastAsia="仿宋" w:cs="仿宋"/>
                <w:b/>
                <w:bCs/>
                <w:highlight w:val="none"/>
              </w:rPr>
              <w:t>五、售后服务要求：</w:t>
            </w:r>
          </w:p>
          <w:p w14:paraId="0D2BC2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1、质量保证期：符合国家法律法规、地方有关现行条例制度要求。</w:t>
            </w:r>
          </w:p>
          <w:p w14:paraId="16F578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2、根据工作对接会、协调会、验收等意见相应修改完善服务成果。</w:t>
            </w:r>
          </w:p>
          <w:p w14:paraId="6A1DD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3、处理问题响应时间：在服务期内，供应商接到采购人通知后</w:t>
            </w:r>
            <w:r>
              <w:rPr>
                <w:rFonts w:hint="eastAsia" w:ascii="仿宋" w:hAnsi="仿宋" w:eastAsia="仿宋" w:cs="仿宋"/>
                <w:highlight w:val="none"/>
                <w:lang w:val="en-US" w:eastAsia="zh-CN"/>
              </w:rPr>
              <w:t>8</w:t>
            </w:r>
            <w:r>
              <w:rPr>
                <w:rFonts w:hint="eastAsia" w:ascii="仿宋" w:hAnsi="仿宋" w:eastAsia="仿宋" w:cs="仿宋"/>
                <w:highlight w:val="none"/>
              </w:rPr>
              <w:t>小时内到达指定地点并切实有效解决问题。</w:t>
            </w:r>
          </w:p>
          <w:p w14:paraId="606E2A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4、成交供应商对拟投入项目组人员辞退或者离职或者调整的应提前1个月书面通知采购人，对拟投入项目组人员调动的应提前1个月书面通知采购人且获得书面同意后方可调动，并对以上情况及时补充相应人员，同时确保人员在离岗前完成交接手续。</w:t>
            </w:r>
          </w:p>
          <w:p w14:paraId="6E48F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highlight w:val="none"/>
              </w:rPr>
            </w:pPr>
            <w:r>
              <w:rPr>
                <w:rFonts w:hint="eastAsia" w:ascii="仿宋" w:hAnsi="仿宋" w:eastAsia="仿宋" w:cs="仿宋"/>
                <w:b/>
                <w:bCs/>
                <w:highlight w:val="none"/>
              </w:rPr>
              <w:t>六、其他要求</w:t>
            </w:r>
            <w:r>
              <w:rPr>
                <w:rFonts w:hint="eastAsia" w:ascii="仿宋" w:hAnsi="仿宋" w:eastAsia="仿宋" w:cs="仿宋"/>
                <w:highlight w:val="none"/>
              </w:rPr>
              <w:t>：</w:t>
            </w:r>
          </w:p>
          <w:p w14:paraId="030EF0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1、报价必须含以下部分，包括：</w:t>
            </w:r>
          </w:p>
          <w:p w14:paraId="26F7F1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（1）本项目所涉及的咨询服务费；</w:t>
            </w:r>
          </w:p>
          <w:p w14:paraId="69C93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（2）包括但不限于所有编制费、调查与分析、报告汇报等费用；</w:t>
            </w:r>
          </w:p>
          <w:p w14:paraId="0289C5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（3）项目技术支持费用、培训费用、成果文件费用；</w:t>
            </w:r>
          </w:p>
          <w:p w14:paraId="0551C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（4）工作人员工资、交通及差旅费、办公费、管理费、合理利润及税费等与本项目有关的一切费用。</w:t>
            </w:r>
          </w:p>
          <w:p w14:paraId="6A367C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b/>
                <w:bCs/>
                <w:highlight w:val="none"/>
              </w:rPr>
            </w:pPr>
            <w:r>
              <w:rPr>
                <w:rFonts w:hint="eastAsia" w:ascii="仿宋" w:hAnsi="仿宋" w:eastAsia="仿宋" w:cs="仿宋"/>
                <w:b/>
                <w:bCs/>
                <w:highlight w:val="none"/>
              </w:rPr>
              <w:t>七、报价形式：总价包干。</w:t>
            </w:r>
          </w:p>
          <w:p w14:paraId="5CF612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b/>
                <w:bCs/>
                <w:highlight w:val="none"/>
              </w:rPr>
            </w:pPr>
            <w:r>
              <w:rPr>
                <w:rFonts w:hint="eastAsia" w:ascii="仿宋" w:hAnsi="仿宋" w:eastAsia="仿宋" w:cs="仿宋"/>
                <w:b/>
                <w:bCs/>
                <w:highlight w:val="none"/>
              </w:rPr>
              <w:t>八、付款方式：</w:t>
            </w:r>
          </w:p>
          <w:p w14:paraId="0423B2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本项目无预付款，成交供应商所提交的服务经采购人验收合格后，按项目进度内容支付合同款：</w:t>
            </w:r>
          </w:p>
          <w:p w14:paraId="5DBB0E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提交2026年南宁市轨道交通安全评估工作实施方案，经采购人认可后一个月内，采购人支付成交供应商合同金额的50%；</w:t>
            </w:r>
          </w:p>
          <w:p w14:paraId="28CC6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提交2026年南宁市轨道交通第三方安全评估报告（一期、二期），并经采购人验收通过后一个月内，采购人支付成交供应商合同金额的50%；</w:t>
            </w:r>
          </w:p>
          <w:p w14:paraId="07404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采购人在支付合同金额时，如因国库支付管理系统关闭暂时无法支付费用的，付款期限顺延至财政国库支付系统开通后的7个工作日内支付</w:t>
            </w:r>
          </w:p>
          <w:p w14:paraId="112BCB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九、成果归属：成果通过验收后，版权和使用权归采购人所有。未经同意，成交供应商不得擅自对外公开发表或对向他人提供成果。</w:t>
            </w:r>
          </w:p>
          <w:p w14:paraId="7023F8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十、</w:t>
            </w:r>
            <w:r>
              <w:rPr>
                <w:rFonts w:hint="eastAsia" w:ascii="仿宋" w:hAnsi="仿宋" w:eastAsia="仿宋" w:cs="仿宋"/>
                <w:highlight w:val="none"/>
                <w:lang w:val="zh-CN"/>
              </w:rPr>
              <w:t>验收标准：</w:t>
            </w:r>
            <w:r>
              <w:rPr>
                <w:rFonts w:hint="eastAsia" w:ascii="仿宋" w:hAnsi="仿宋" w:eastAsia="仿宋" w:cs="仿宋"/>
                <w:highlight w:val="none"/>
              </w:rPr>
              <w:t>供应商必须在所响应的《工作时间计划表》规定时间内按竞争性磋商文件要求、响应文件响应及时间要求提交符合采购人要求的成果材料。</w:t>
            </w:r>
          </w:p>
        </w:tc>
      </w:tr>
      <w:tr w14:paraId="39470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14:paraId="783FFE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 w:val="24"/>
                <w:highlight w:val="none"/>
              </w:rPr>
            </w:pPr>
            <w:r>
              <w:rPr>
                <w:rFonts w:hint="eastAsia" w:ascii="仿宋" w:hAnsi="仿宋" w:eastAsia="仿宋" w:cs="仿宋"/>
                <w:szCs w:val="21"/>
                <w:highlight w:val="none"/>
              </w:rPr>
              <w:t>其他说明</w:t>
            </w:r>
          </w:p>
        </w:tc>
        <w:tc>
          <w:tcPr>
            <w:tcW w:w="9201" w:type="dxa"/>
            <w:gridSpan w:val="7"/>
            <w:tcBorders>
              <w:top w:val="single" w:color="auto" w:sz="4" w:space="0"/>
              <w:left w:val="single" w:color="auto" w:sz="4" w:space="0"/>
              <w:bottom w:val="single" w:color="auto" w:sz="4" w:space="0"/>
              <w:right w:val="single" w:color="auto" w:sz="4" w:space="0"/>
            </w:tcBorders>
            <w:vAlign w:val="center"/>
          </w:tcPr>
          <w:p w14:paraId="08E40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一、</w:t>
            </w:r>
            <w:r>
              <w:rPr>
                <w:rFonts w:hint="eastAsia" w:ascii="仿宋" w:hAnsi="仿宋" w:eastAsia="仿宋" w:cs="仿宋"/>
                <w:b w:val="0"/>
                <w:bCs/>
                <w:color w:val="auto"/>
                <w:szCs w:val="21"/>
                <w:highlight w:val="none"/>
              </w:rPr>
              <w:t>▲采购预算价</w:t>
            </w:r>
          </w:p>
          <w:p w14:paraId="65AC0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以采购预算金额为最高限价，供应商的竞标报价超最高限价的作无效响应处理。采购标的和数量如需求与实际有出入可以调剂，但不能超出预算总额。</w:t>
            </w:r>
          </w:p>
          <w:p w14:paraId="2849FF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二、</w:t>
            </w:r>
            <w:r>
              <w:rPr>
                <w:rFonts w:hint="eastAsia" w:ascii="仿宋" w:hAnsi="仿宋" w:eastAsia="仿宋" w:cs="仿宋"/>
                <w:b w:val="0"/>
                <w:bCs/>
                <w:color w:val="auto"/>
                <w:szCs w:val="21"/>
                <w:highlight w:val="none"/>
              </w:rPr>
              <w:t>磋商说明</w:t>
            </w:r>
          </w:p>
          <w:p w14:paraId="694B0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在磋商过程中，磋商小组可能会根据磋商文件和磋商情况实质性变动采购需求中的技术、服务要求以及合同草案条款，对磋商文件作出的实质性变动是磋商文件的有效组成部分，磋商小组以书面形式同时通知所有参加磋商的供应商。请各供应商做好磋商应答准备。</w:t>
            </w:r>
          </w:p>
          <w:p w14:paraId="553CA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三、</w:t>
            </w:r>
            <w:r>
              <w:rPr>
                <w:rFonts w:hint="eastAsia" w:ascii="仿宋" w:hAnsi="仿宋" w:eastAsia="仿宋" w:cs="仿宋"/>
                <w:b w:val="0"/>
                <w:bCs/>
                <w:color w:val="auto"/>
                <w:szCs w:val="21"/>
                <w:highlight w:val="none"/>
              </w:rPr>
              <w:t>服务方案及要求</w:t>
            </w:r>
          </w:p>
          <w:p w14:paraId="324DC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1.磋商供应商可根据自身优势在响应本采购文件要求的基础上提供有建设性的且适用项目实际的服务方案，如：实施方案、业绩等。</w:t>
            </w:r>
          </w:p>
          <w:p w14:paraId="13F0AA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szCs w:val="22"/>
                <w:highlight w:val="none"/>
              </w:rPr>
            </w:pPr>
            <w:r>
              <w:rPr>
                <w:rFonts w:hint="eastAsia" w:ascii="仿宋" w:hAnsi="仿宋" w:eastAsia="仿宋" w:cs="仿宋"/>
                <w:b w:val="0"/>
                <w:bCs/>
                <w:color w:val="auto"/>
                <w:szCs w:val="21"/>
                <w:highlight w:val="none"/>
              </w:rPr>
              <w:t>2.如有，请提供履约能力相关证明或业绩证明。</w:t>
            </w:r>
          </w:p>
        </w:tc>
      </w:tr>
    </w:tbl>
    <w:p w14:paraId="463E4364">
      <w:pPr>
        <w:rPr>
          <w:rFonts w:hint="eastAsia" w:ascii="仿宋" w:hAnsi="仿宋" w:eastAsia="仿宋" w:cs="仿宋"/>
          <w:highlight w:val="none"/>
        </w:rPr>
      </w:pPr>
    </w:p>
    <w:p w14:paraId="361F0FA4">
      <w:pPr>
        <w:tabs>
          <w:tab w:val="left" w:pos="180"/>
          <w:tab w:val="left" w:pos="1620"/>
        </w:tabs>
        <w:spacing w:line="360" w:lineRule="auto"/>
        <w:rPr>
          <w:rFonts w:hint="eastAsia" w:ascii="仿宋" w:hAnsi="仿宋" w:eastAsia="仿宋" w:cs="仿宋"/>
          <w:b/>
          <w:bCs/>
          <w:szCs w:val="21"/>
          <w:highlight w:val="none"/>
        </w:rPr>
        <w:sectPr>
          <w:pgSz w:w="11905" w:h="16838"/>
          <w:pgMar w:top="1304" w:right="1304" w:bottom="1304" w:left="1304" w:header="720" w:footer="720" w:gutter="0"/>
          <w:pgNumType w:fmt="decimal"/>
          <w:cols w:space="720" w:num="1"/>
          <w:docGrid w:type="lines" w:linePitch="339" w:charSpace="0"/>
        </w:sectPr>
      </w:pPr>
    </w:p>
    <w:p w14:paraId="5372ADE2">
      <w:pPr>
        <w:spacing w:line="428" w:lineRule="exact"/>
        <w:ind w:left="119"/>
        <w:rPr>
          <w:rFonts w:hint="eastAsia" w:ascii="仿宋" w:hAnsi="仿宋" w:eastAsia="仿宋" w:cs="仿宋"/>
          <w:sz w:val="17"/>
          <w:szCs w:val="17"/>
          <w:highlight w:val="none"/>
        </w:rPr>
      </w:pPr>
      <w:r>
        <w:rPr>
          <w:rFonts w:hint="eastAsia" w:ascii="仿宋" w:hAnsi="仿宋" w:eastAsia="仿宋" w:cs="仿宋"/>
          <w:sz w:val="32"/>
          <w:szCs w:val="32"/>
          <w:highlight w:val="none"/>
        </w:rPr>
        <w:t>附件：</w:t>
      </w:r>
    </w:p>
    <w:p w14:paraId="0B238F76">
      <w:pPr>
        <w:spacing w:line="528" w:lineRule="exact"/>
        <w:jc w:val="center"/>
        <w:rPr>
          <w:rFonts w:hint="eastAsia" w:ascii="仿宋" w:hAnsi="仿宋" w:eastAsia="仿宋" w:cs="仿宋"/>
          <w:sz w:val="40"/>
          <w:szCs w:val="40"/>
          <w:highlight w:val="none"/>
        </w:rPr>
      </w:pPr>
      <w:r>
        <w:rPr>
          <w:rFonts w:hint="eastAsia" w:ascii="仿宋" w:hAnsi="仿宋" w:eastAsia="仿宋" w:cs="仿宋"/>
          <w:sz w:val="40"/>
          <w:szCs w:val="40"/>
          <w:highlight w:val="none"/>
        </w:rPr>
        <w:t>节能产品政府采购品目清单</w:t>
      </w:r>
    </w:p>
    <w:tbl>
      <w:tblPr>
        <w:tblStyle w:val="31"/>
        <w:tblW w:w="9606" w:type="dxa"/>
        <w:jc w:val="center"/>
        <w:tblLayout w:type="fixed"/>
        <w:tblCellMar>
          <w:top w:w="0" w:type="dxa"/>
          <w:left w:w="108" w:type="dxa"/>
          <w:bottom w:w="0" w:type="dxa"/>
          <w:right w:w="108" w:type="dxa"/>
        </w:tblCellMar>
      </w:tblPr>
      <w:tblGrid>
        <w:gridCol w:w="1162"/>
        <w:gridCol w:w="974"/>
        <w:gridCol w:w="1501"/>
        <w:gridCol w:w="1611"/>
        <w:gridCol w:w="4358"/>
      </w:tblGrid>
      <w:tr w14:paraId="6F21833A">
        <w:tblPrEx>
          <w:tblCellMar>
            <w:top w:w="0" w:type="dxa"/>
            <w:left w:w="108" w:type="dxa"/>
            <w:bottom w:w="0" w:type="dxa"/>
            <w:right w:w="108" w:type="dxa"/>
          </w:tblCellMar>
        </w:tblPrEx>
        <w:trPr>
          <w:trHeight w:val="555" w:hRule="atLeast"/>
          <w:jc w:val="center"/>
        </w:trPr>
        <w:tc>
          <w:tcPr>
            <w:tcW w:w="1162" w:type="dxa"/>
            <w:tcBorders>
              <w:top w:val="single" w:color="000000" w:sz="8" w:space="0"/>
              <w:left w:val="single" w:color="000000" w:sz="8" w:space="0"/>
              <w:bottom w:val="single" w:color="000000" w:sz="8" w:space="0"/>
              <w:right w:val="single" w:color="000000" w:sz="8" w:space="0"/>
            </w:tcBorders>
            <w:vAlign w:val="center"/>
          </w:tcPr>
          <w:p w14:paraId="5893BB6E">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品目序号</w:t>
            </w:r>
          </w:p>
        </w:tc>
        <w:tc>
          <w:tcPr>
            <w:tcW w:w="4086" w:type="dxa"/>
            <w:gridSpan w:val="3"/>
            <w:tcBorders>
              <w:top w:val="single" w:color="000000" w:sz="8" w:space="0"/>
              <w:left w:val="nil"/>
              <w:bottom w:val="single" w:color="000000" w:sz="8" w:space="0"/>
              <w:right w:val="single" w:color="000000" w:sz="8" w:space="0"/>
            </w:tcBorders>
            <w:vAlign w:val="center"/>
          </w:tcPr>
          <w:p w14:paraId="3686AEA2">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名称</w:t>
            </w:r>
          </w:p>
        </w:tc>
        <w:tc>
          <w:tcPr>
            <w:tcW w:w="4358" w:type="dxa"/>
            <w:tcBorders>
              <w:top w:val="single" w:color="000000" w:sz="8" w:space="0"/>
              <w:left w:val="nil"/>
              <w:bottom w:val="single" w:color="000000" w:sz="8" w:space="0"/>
              <w:right w:val="single" w:color="000000" w:sz="8" w:space="0"/>
            </w:tcBorders>
            <w:vAlign w:val="center"/>
          </w:tcPr>
          <w:p w14:paraId="65CE5228">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依据的标准</w:t>
            </w:r>
          </w:p>
        </w:tc>
      </w:tr>
      <w:tr w14:paraId="3C481859">
        <w:tblPrEx>
          <w:tblCellMar>
            <w:top w:w="0" w:type="dxa"/>
            <w:left w:w="108" w:type="dxa"/>
            <w:bottom w:w="0" w:type="dxa"/>
            <w:right w:w="108" w:type="dxa"/>
          </w:tblCellMar>
        </w:tblPrEx>
        <w:trPr>
          <w:trHeight w:val="495" w:hRule="atLeast"/>
          <w:jc w:val="center"/>
        </w:trPr>
        <w:tc>
          <w:tcPr>
            <w:tcW w:w="1162" w:type="dxa"/>
            <w:vMerge w:val="restart"/>
            <w:tcBorders>
              <w:top w:val="nil"/>
              <w:left w:val="single" w:color="000000" w:sz="8" w:space="0"/>
              <w:bottom w:val="single" w:color="000000" w:sz="8" w:space="0"/>
              <w:right w:val="single" w:color="000000" w:sz="8" w:space="0"/>
            </w:tcBorders>
            <w:vAlign w:val="center"/>
          </w:tcPr>
          <w:p w14:paraId="4B173BA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974" w:type="dxa"/>
            <w:vMerge w:val="restart"/>
            <w:tcBorders>
              <w:top w:val="nil"/>
              <w:left w:val="single" w:color="000000" w:sz="8" w:space="0"/>
              <w:bottom w:val="single" w:color="000000" w:sz="8" w:space="0"/>
              <w:right w:val="single" w:color="000000" w:sz="8" w:space="0"/>
            </w:tcBorders>
            <w:vAlign w:val="center"/>
          </w:tcPr>
          <w:p w14:paraId="20A2FC5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A020101计算机设备</w:t>
            </w:r>
          </w:p>
        </w:tc>
        <w:tc>
          <w:tcPr>
            <w:tcW w:w="1501" w:type="dxa"/>
            <w:tcBorders>
              <w:top w:val="nil"/>
              <w:left w:val="nil"/>
              <w:bottom w:val="single" w:color="000000" w:sz="8" w:space="0"/>
              <w:right w:val="single" w:color="000000" w:sz="8" w:space="0"/>
            </w:tcBorders>
            <w:vAlign w:val="center"/>
          </w:tcPr>
          <w:p w14:paraId="7E1FA4F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★A02010104台式计算机</w:t>
            </w:r>
          </w:p>
        </w:tc>
        <w:tc>
          <w:tcPr>
            <w:tcW w:w="1611" w:type="dxa"/>
            <w:tcBorders>
              <w:top w:val="nil"/>
              <w:left w:val="nil"/>
              <w:bottom w:val="single" w:color="000000" w:sz="8" w:space="0"/>
              <w:right w:val="single" w:color="000000" w:sz="8" w:space="0"/>
            </w:tcBorders>
            <w:vAlign w:val="center"/>
          </w:tcPr>
          <w:p w14:paraId="488D608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F4B884E">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《微型计算机能效限定值及能效等级》（GB28380）</w:t>
            </w:r>
          </w:p>
        </w:tc>
      </w:tr>
      <w:tr w14:paraId="1D7102E3">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3C54BCAF">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5639ECC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7D653A8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★A02010105便携式计算机</w:t>
            </w:r>
          </w:p>
        </w:tc>
        <w:tc>
          <w:tcPr>
            <w:tcW w:w="1611" w:type="dxa"/>
            <w:tcBorders>
              <w:top w:val="nil"/>
              <w:left w:val="nil"/>
              <w:bottom w:val="single" w:color="000000" w:sz="8" w:space="0"/>
              <w:right w:val="single" w:color="000000" w:sz="8" w:space="0"/>
            </w:tcBorders>
            <w:vAlign w:val="center"/>
          </w:tcPr>
          <w:p w14:paraId="062C31C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7B1DC7D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《微型计算机能效限定值及能效等级》（GB28380）</w:t>
            </w:r>
          </w:p>
        </w:tc>
      </w:tr>
      <w:tr w14:paraId="54100432">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3547493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6576077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4E33ACE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★A02010107平板式微型计算机</w:t>
            </w:r>
          </w:p>
        </w:tc>
        <w:tc>
          <w:tcPr>
            <w:tcW w:w="1611" w:type="dxa"/>
            <w:tcBorders>
              <w:top w:val="nil"/>
              <w:left w:val="nil"/>
              <w:bottom w:val="single" w:color="000000" w:sz="8" w:space="0"/>
              <w:right w:val="single" w:color="000000" w:sz="8" w:space="0"/>
            </w:tcBorders>
            <w:vAlign w:val="center"/>
          </w:tcPr>
          <w:p w14:paraId="0BC6AB6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5433637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《微型计算机能效限定值及能效等级》（GB28380）</w:t>
            </w:r>
          </w:p>
        </w:tc>
      </w:tr>
      <w:tr w14:paraId="29F540B8">
        <w:tblPrEx>
          <w:tblCellMar>
            <w:top w:w="0" w:type="dxa"/>
            <w:left w:w="108" w:type="dxa"/>
            <w:bottom w:w="0" w:type="dxa"/>
            <w:right w:w="108" w:type="dxa"/>
          </w:tblCellMar>
        </w:tblPrEx>
        <w:trPr>
          <w:trHeight w:val="495" w:hRule="atLeast"/>
          <w:jc w:val="center"/>
        </w:trPr>
        <w:tc>
          <w:tcPr>
            <w:tcW w:w="1162" w:type="dxa"/>
            <w:vMerge w:val="restart"/>
            <w:tcBorders>
              <w:top w:val="nil"/>
              <w:left w:val="single" w:color="000000" w:sz="8" w:space="0"/>
              <w:bottom w:val="single" w:color="000000" w:sz="8" w:space="0"/>
              <w:right w:val="single" w:color="000000" w:sz="8" w:space="0"/>
            </w:tcBorders>
            <w:vAlign w:val="center"/>
          </w:tcPr>
          <w:p w14:paraId="47D40F7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974" w:type="dxa"/>
            <w:vMerge w:val="restart"/>
            <w:tcBorders>
              <w:top w:val="nil"/>
              <w:left w:val="single" w:color="000000" w:sz="8" w:space="0"/>
              <w:bottom w:val="single" w:color="000000" w:sz="8" w:space="0"/>
              <w:right w:val="single" w:color="000000" w:sz="8" w:space="0"/>
            </w:tcBorders>
            <w:vAlign w:val="center"/>
          </w:tcPr>
          <w:p w14:paraId="4F1A429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A020106输入输出设备</w:t>
            </w:r>
          </w:p>
        </w:tc>
        <w:tc>
          <w:tcPr>
            <w:tcW w:w="1501" w:type="dxa"/>
            <w:vMerge w:val="restart"/>
            <w:tcBorders>
              <w:top w:val="nil"/>
              <w:left w:val="single" w:color="000000" w:sz="8" w:space="0"/>
              <w:bottom w:val="single" w:color="000000" w:sz="8" w:space="0"/>
              <w:right w:val="single" w:color="000000" w:sz="8" w:space="0"/>
            </w:tcBorders>
            <w:vAlign w:val="center"/>
          </w:tcPr>
          <w:p w14:paraId="46228FC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A02010601打印设备</w:t>
            </w:r>
          </w:p>
        </w:tc>
        <w:tc>
          <w:tcPr>
            <w:tcW w:w="1611" w:type="dxa"/>
            <w:tcBorders>
              <w:top w:val="nil"/>
              <w:left w:val="nil"/>
              <w:bottom w:val="single" w:color="000000" w:sz="8" w:space="0"/>
              <w:right w:val="single" w:color="000000" w:sz="8" w:space="0"/>
            </w:tcBorders>
            <w:vAlign w:val="center"/>
          </w:tcPr>
          <w:p w14:paraId="61567AC0">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A0201060101喷墨打印机</w:t>
            </w:r>
          </w:p>
        </w:tc>
        <w:tc>
          <w:tcPr>
            <w:tcW w:w="4358" w:type="dxa"/>
            <w:tcBorders>
              <w:top w:val="nil"/>
              <w:left w:val="nil"/>
              <w:bottom w:val="single" w:color="000000" w:sz="8" w:space="0"/>
              <w:right w:val="single" w:color="000000" w:sz="8" w:space="0"/>
            </w:tcBorders>
            <w:vAlign w:val="center"/>
          </w:tcPr>
          <w:p w14:paraId="3AA8AE6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《复印机、打印机和传真机能效限定值及能效等级》（GB21521）</w:t>
            </w:r>
          </w:p>
        </w:tc>
      </w:tr>
      <w:tr w14:paraId="12B68BE2">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23918C9D">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3866EF8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17D82E5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1FB4D59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★A0201060102激光打印机</w:t>
            </w:r>
          </w:p>
        </w:tc>
        <w:tc>
          <w:tcPr>
            <w:tcW w:w="4358" w:type="dxa"/>
            <w:tcBorders>
              <w:top w:val="nil"/>
              <w:left w:val="nil"/>
              <w:bottom w:val="single" w:color="000000" w:sz="8" w:space="0"/>
              <w:right w:val="single" w:color="000000" w:sz="8" w:space="0"/>
            </w:tcBorders>
            <w:vAlign w:val="center"/>
          </w:tcPr>
          <w:p w14:paraId="2F68F451">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《复印机、打印机和传真机能效限定值及能效等级》（GB21521）</w:t>
            </w:r>
          </w:p>
        </w:tc>
      </w:tr>
      <w:tr w14:paraId="2B649081">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555D787B">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08BE17EF">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631C52E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7F1E314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★A0201060104针式打印机</w:t>
            </w:r>
          </w:p>
        </w:tc>
        <w:tc>
          <w:tcPr>
            <w:tcW w:w="4358" w:type="dxa"/>
            <w:tcBorders>
              <w:top w:val="nil"/>
              <w:left w:val="nil"/>
              <w:bottom w:val="single" w:color="000000" w:sz="8" w:space="0"/>
              <w:right w:val="single" w:color="000000" w:sz="8" w:space="0"/>
            </w:tcBorders>
            <w:vAlign w:val="center"/>
          </w:tcPr>
          <w:p w14:paraId="737D9B5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《复印机、打印机和传真机能效限定值及能效等级》（GB21521）</w:t>
            </w:r>
          </w:p>
        </w:tc>
      </w:tr>
      <w:tr w14:paraId="542A6F84">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6E0E9A9D">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7544239D">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71881D2D">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A02010604显示设备</w:t>
            </w:r>
          </w:p>
        </w:tc>
        <w:tc>
          <w:tcPr>
            <w:tcW w:w="1611" w:type="dxa"/>
            <w:tcBorders>
              <w:top w:val="nil"/>
              <w:left w:val="nil"/>
              <w:bottom w:val="single" w:color="000000" w:sz="8" w:space="0"/>
              <w:right w:val="single" w:color="000000" w:sz="8" w:space="0"/>
            </w:tcBorders>
            <w:vAlign w:val="center"/>
          </w:tcPr>
          <w:p w14:paraId="243372B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★A0201060401液晶显示器</w:t>
            </w:r>
          </w:p>
        </w:tc>
        <w:tc>
          <w:tcPr>
            <w:tcW w:w="4358" w:type="dxa"/>
            <w:tcBorders>
              <w:top w:val="nil"/>
              <w:left w:val="nil"/>
              <w:bottom w:val="single" w:color="000000" w:sz="8" w:space="0"/>
              <w:right w:val="single" w:color="000000" w:sz="8" w:space="0"/>
            </w:tcBorders>
            <w:vAlign w:val="center"/>
          </w:tcPr>
          <w:p w14:paraId="7E60398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《计算机显示器能效限定值及能效等级》（GB21520）</w:t>
            </w:r>
          </w:p>
        </w:tc>
      </w:tr>
      <w:tr w14:paraId="1E798364">
        <w:tblPrEx>
          <w:tblCellMar>
            <w:top w:w="0" w:type="dxa"/>
            <w:left w:w="108" w:type="dxa"/>
            <w:bottom w:w="0" w:type="dxa"/>
            <w:right w:w="108" w:type="dxa"/>
          </w:tblCellMar>
        </w:tblPrEx>
        <w:trPr>
          <w:trHeight w:val="97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0E87EEC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0B3C9D8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1D1121E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A02010609图形图像输入设备</w:t>
            </w:r>
          </w:p>
        </w:tc>
        <w:tc>
          <w:tcPr>
            <w:tcW w:w="1611" w:type="dxa"/>
            <w:tcBorders>
              <w:top w:val="nil"/>
              <w:left w:val="nil"/>
              <w:bottom w:val="single" w:color="000000" w:sz="8" w:space="0"/>
              <w:right w:val="single" w:color="000000" w:sz="8" w:space="0"/>
            </w:tcBorders>
            <w:vAlign w:val="center"/>
          </w:tcPr>
          <w:p w14:paraId="61C1348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A0201060901扫描仪</w:t>
            </w:r>
          </w:p>
        </w:tc>
        <w:tc>
          <w:tcPr>
            <w:tcW w:w="4358" w:type="dxa"/>
            <w:tcBorders>
              <w:top w:val="nil"/>
              <w:left w:val="nil"/>
              <w:bottom w:val="single" w:color="000000" w:sz="8" w:space="0"/>
              <w:right w:val="single" w:color="000000" w:sz="8" w:space="0"/>
            </w:tcBorders>
            <w:vAlign w:val="center"/>
          </w:tcPr>
          <w:p w14:paraId="7BF0189B">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参照《复印机、打印机和传真机能效限定值及能效等级》（GB21521中打印速度为15页/分的针式打印机相关要求中打印速度为15页/分的针式打印机相关要求</w:t>
            </w:r>
          </w:p>
        </w:tc>
      </w:tr>
      <w:tr w14:paraId="5DF836ED">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5D2F38B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974" w:type="dxa"/>
            <w:tcBorders>
              <w:top w:val="nil"/>
              <w:left w:val="nil"/>
              <w:bottom w:val="single" w:color="000000" w:sz="8" w:space="0"/>
              <w:right w:val="single" w:color="000000" w:sz="8" w:space="0"/>
            </w:tcBorders>
            <w:vAlign w:val="center"/>
          </w:tcPr>
          <w:p w14:paraId="428755C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A020202投影仪</w:t>
            </w:r>
          </w:p>
        </w:tc>
        <w:tc>
          <w:tcPr>
            <w:tcW w:w="1501" w:type="dxa"/>
            <w:tcBorders>
              <w:top w:val="nil"/>
              <w:left w:val="nil"/>
              <w:bottom w:val="single" w:color="000000" w:sz="8" w:space="0"/>
              <w:right w:val="single" w:color="000000" w:sz="8" w:space="0"/>
            </w:tcBorders>
            <w:vAlign w:val="center"/>
          </w:tcPr>
          <w:p w14:paraId="0DF640F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1611" w:type="dxa"/>
            <w:tcBorders>
              <w:top w:val="nil"/>
              <w:left w:val="nil"/>
              <w:bottom w:val="single" w:color="000000" w:sz="8" w:space="0"/>
              <w:right w:val="single" w:color="000000" w:sz="8" w:space="0"/>
            </w:tcBorders>
            <w:vAlign w:val="center"/>
          </w:tcPr>
          <w:p w14:paraId="70547CB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71019620">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《投影机能效限定值及能效等级》（GB32028）</w:t>
            </w:r>
          </w:p>
        </w:tc>
      </w:tr>
      <w:tr w14:paraId="70B9B21D">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6DEC70C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974" w:type="dxa"/>
            <w:tcBorders>
              <w:top w:val="nil"/>
              <w:left w:val="nil"/>
              <w:bottom w:val="single" w:color="000000" w:sz="8" w:space="0"/>
              <w:right w:val="single" w:color="000000" w:sz="8" w:space="0"/>
            </w:tcBorders>
            <w:vAlign w:val="center"/>
          </w:tcPr>
          <w:p w14:paraId="3C64FD9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A020204多功能一体机</w:t>
            </w:r>
          </w:p>
        </w:tc>
        <w:tc>
          <w:tcPr>
            <w:tcW w:w="1501" w:type="dxa"/>
            <w:tcBorders>
              <w:top w:val="nil"/>
              <w:left w:val="nil"/>
              <w:bottom w:val="single" w:color="000000" w:sz="8" w:space="0"/>
              <w:right w:val="single" w:color="000000" w:sz="8" w:space="0"/>
            </w:tcBorders>
            <w:vAlign w:val="center"/>
          </w:tcPr>
          <w:p w14:paraId="37DB79F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1611" w:type="dxa"/>
            <w:tcBorders>
              <w:top w:val="nil"/>
              <w:left w:val="nil"/>
              <w:bottom w:val="single" w:color="000000" w:sz="8" w:space="0"/>
              <w:right w:val="single" w:color="000000" w:sz="8" w:space="0"/>
            </w:tcBorders>
            <w:vAlign w:val="center"/>
          </w:tcPr>
          <w:p w14:paraId="394B275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5FA3B45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《复印机、打印机和传真机能效限定值及能效等级》（GB21521）</w:t>
            </w:r>
          </w:p>
        </w:tc>
      </w:tr>
      <w:tr w14:paraId="1EE6FE96">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1AC4140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974" w:type="dxa"/>
            <w:tcBorders>
              <w:top w:val="nil"/>
              <w:left w:val="nil"/>
              <w:bottom w:val="single" w:color="000000" w:sz="8" w:space="0"/>
              <w:right w:val="single" w:color="000000" w:sz="8" w:space="0"/>
            </w:tcBorders>
            <w:vAlign w:val="center"/>
          </w:tcPr>
          <w:p w14:paraId="313DC55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A020519泵</w:t>
            </w:r>
          </w:p>
        </w:tc>
        <w:tc>
          <w:tcPr>
            <w:tcW w:w="1501" w:type="dxa"/>
            <w:tcBorders>
              <w:top w:val="nil"/>
              <w:left w:val="nil"/>
              <w:bottom w:val="single" w:color="000000" w:sz="8" w:space="0"/>
              <w:right w:val="single" w:color="000000" w:sz="8" w:space="0"/>
            </w:tcBorders>
            <w:vAlign w:val="center"/>
          </w:tcPr>
          <w:p w14:paraId="31B5DBC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A02051901离心泵</w:t>
            </w:r>
          </w:p>
        </w:tc>
        <w:tc>
          <w:tcPr>
            <w:tcW w:w="1611" w:type="dxa"/>
            <w:tcBorders>
              <w:top w:val="nil"/>
              <w:left w:val="nil"/>
              <w:bottom w:val="single" w:color="000000" w:sz="8" w:space="0"/>
              <w:right w:val="single" w:color="000000" w:sz="8" w:space="0"/>
            </w:tcBorders>
            <w:vAlign w:val="center"/>
          </w:tcPr>
          <w:p w14:paraId="5FAA460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75A8B080">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《清水离心泵能效限定值及节能评价值》（GB19762）</w:t>
            </w:r>
          </w:p>
        </w:tc>
      </w:tr>
      <w:tr w14:paraId="2398903D">
        <w:tblPrEx>
          <w:tblCellMar>
            <w:top w:w="0" w:type="dxa"/>
            <w:left w:w="108" w:type="dxa"/>
            <w:bottom w:w="0" w:type="dxa"/>
            <w:right w:w="108" w:type="dxa"/>
          </w:tblCellMar>
        </w:tblPrEx>
        <w:trPr>
          <w:trHeight w:val="735" w:hRule="atLeast"/>
          <w:jc w:val="center"/>
        </w:trPr>
        <w:tc>
          <w:tcPr>
            <w:tcW w:w="1162" w:type="dxa"/>
            <w:vMerge w:val="restart"/>
            <w:tcBorders>
              <w:top w:val="nil"/>
              <w:left w:val="single" w:color="000000" w:sz="8" w:space="0"/>
              <w:bottom w:val="single" w:color="000000" w:sz="8" w:space="0"/>
              <w:right w:val="single" w:color="000000" w:sz="8" w:space="0"/>
            </w:tcBorders>
            <w:vAlign w:val="center"/>
          </w:tcPr>
          <w:p w14:paraId="263FF2E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6</w:t>
            </w:r>
          </w:p>
        </w:tc>
        <w:tc>
          <w:tcPr>
            <w:tcW w:w="974" w:type="dxa"/>
            <w:vMerge w:val="restart"/>
            <w:tcBorders>
              <w:top w:val="nil"/>
              <w:left w:val="single" w:color="000000" w:sz="8" w:space="0"/>
              <w:bottom w:val="single" w:color="000000" w:sz="8" w:space="0"/>
              <w:right w:val="single" w:color="000000" w:sz="8" w:space="0"/>
            </w:tcBorders>
            <w:vAlign w:val="center"/>
          </w:tcPr>
          <w:p w14:paraId="207BFE7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A020523制冷空调设备</w:t>
            </w:r>
          </w:p>
        </w:tc>
        <w:tc>
          <w:tcPr>
            <w:tcW w:w="1501" w:type="dxa"/>
            <w:vMerge w:val="restart"/>
            <w:tcBorders>
              <w:top w:val="nil"/>
              <w:left w:val="single" w:color="000000" w:sz="8" w:space="0"/>
              <w:bottom w:val="single" w:color="000000" w:sz="8" w:space="0"/>
              <w:right w:val="single" w:color="000000" w:sz="8" w:space="0"/>
            </w:tcBorders>
            <w:vAlign w:val="center"/>
          </w:tcPr>
          <w:p w14:paraId="5B476FF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★A02052301制冷压缩机</w:t>
            </w:r>
          </w:p>
        </w:tc>
        <w:tc>
          <w:tcPr>
            <w:tcW w:w="1611" w:type="dxa"/>
            <w:tcBorders>
              <w:top w:val="nil"/>
              <w:left w:val="nil"/>
              <w:bottom w:val="single" w:color="000000" w:sz="8" w:space="0"/>
              <w:right w:val="single" w:color="000000" w:sz="8" w:space="0"/>
            </w:tcBorders>
            <w:vAlign w:val="center"/>
          </w:tcPr>
          <w:p w14:paraId="79000F9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冷水机组</w:t>
            </w:r>
          </w:p>
        </w:tc>
        <w:tc>
          <w:tcPr>
            <w:tcW w:w="4358" w:type="dxa"/>
            <w:tcBorders>
              <w:top w:val="nil"/>
              <w:left w:val="nil"/>
              <w:bottom w:val="single" w:color="000000" w:sz="8" w:space="0"/>
              <w:right w:val="single" w:color="000000" w:sz="8" w:space="0"/>
            </w:tcBorders>
            <w:vAlign w:val="center"/>
          </w:tcPr>
          <w:p w14:paraId="498E770F">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《冷水机组能效限定值及能效等级》（GB19577），《低环境温度空气源热泵（冷水）机组能效限定值及能效等级》（GB37480）</w:t>
            </w:r>
          </w:p>
        </w:tc>
      </w:tr>
      <w:tr w14:paraId="4A57BBBF">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4328B545">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315CA40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4241EF0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1981B2D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水源热泵机组</w:t>
            </w:r>
          </w:p>
        </w:tc>
        <w:tc>
          <w:tcPr>
            <w:tcW w:w="4358" w:type="dxa"/>
            <w:tcBorders>
              <w:top w:val="nil"/>
              <w:left w:val="nil"/>
              <w:bottom w:val="single" w:color="000000" w:sz="8" w:space="0"/>
              <w:right w:val="single" w:color="000000" w:sz="8" w:space="0"/>
            </w:tcBorders>
            <w:vAlign w:val="center"/>
          </w:tcPr>
          <w:p w14:paraId="4E86DB4D">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《水（地）源热泵机组能效限定值及能效等级》（GB30721）</w:t>
            </w:r>
          </w:p>
        </w:tc>
      </w:tr>
      <w:tr w14:paraId="1EA793B0">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20E44CB8">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120AB2AB">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28102D41">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6041AD1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溴化锂吸收式冷水机组</w:t>
            </w:r>
          </w:p>
        </w:tc>
        <w:tc>
          <w:tcPr>
            <w:tcW w:w="4358" w:type="dxa"/>
            <w:tcBorders>
              <w:top w:val="nil"/>
              <w:left w:val="nil"/>
              <w:bottom w:val="single" w:color="000000" w:sz="8" w:space="0"/>
              <w:right w:val="single" w:color="000000" w:sz="8" w:space="0"/>
            </w:tcBorders>
            <w:vAlign w:val="center"/>
          </w:tcPr>
          <w:p w14:paraId="2B35EF4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《溴化锂吸收式冷水机组能效限定值及能效等级》（GB29540）</w:t>
            </w:r>
          </w:p>
        </w:tc>
      </w:tr>
      <w:tr w14:paraId="5818FFBB">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72FCEAA8">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43C0BE31">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restart"/>
            <w:tcBorders>
              <w:top w:val="nil"/>
              <w:left w:val="single" w:color="000000" w:sz="8" w:space="0"/>
              <w:bottom w:val="single" w:color="000000" w:sz="8" w:space="0"/>
              <w:right w:val="single" w:color="000000" w:sz="8" w:space="0"/>
            </w:tcBorders>
            <w:vAlign w:val="center"/>
          </w:tcPr>
          <w:p w14:paraId="05E489E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★A02052305空调机组</w:t>
            </w:r>
          </w:p>
        </w:tc>
        <w:tc>
          <w:tcPr>
            <w:tcW w:w="1611" w:type="dxa"/>
            <w:tcBorders>
              <w:top w:val="nil"/>
              <w:left w:val="nil"/>
              <w:bottom w:val="single" w:color="000000" w:sz="8" w:space="0"/>
              <w:right w:val="single" w:color="000000" w:sz="8" w:space="0"/>
            </w:tcBorders>
            <w:vAlign w:val="center"/>
          </w:tcPr>
          <w:p w14:paraId="5530B8C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多联式空调（热泵）机组(制冷量&gt;14000W)</w:t>
            </w:r>
          </w:p>
        </w:tc>
        <w:tc>
          <w:tcPr>
            <w:tcW w:w="4358" w:type="dxa"/>
            <w:tcBorders>
              <w:top w:val="nil"/>
              <w:left w:val="nil"/>
              <w:bottom w:val="single" w:color="000000" w:sz="8" w:space="0"/>
              <w:right w:val="single" w:color="000000" w:sz="8" w:space="0"/>
            </w:tcBorders>
            <w:vAlign w:val="center"/>
          </w:tcPr>
          <w:p w14:paraId="04AE6DE5">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《多联式空调（热泵）机组能效限定值及能源效率等级》（GB21454）</w:t>
            </w:r>
          </w:p>
        </w:tc>
      </w:tr>
      <w:tr w14:paraId="317947BD">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F12883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507A182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1290144F">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371D07B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单元式空气调节机(制冷量&gt;14000W</w:t>
            </w:r>
          </w:p>
        </w:tc>
        <w:tc>
          <w:tcPr>
            <w:tcW w:w="4358" w:type="dxa"/>
            <w:tcBorders>
              <w:top w:val="nil"/>
              <w:left w:val="nil"/>
              <w:bottom w:val="single" w:color="000000" w:sz="8" w:space="0"/>
              <w:right w:val="single" w:color="000000" w:sz="8" w:space="0"/>
            </w:tcBorders>
            <w:vAlign w:val="center"/>
          </w:tcPr>
          <w:p w14:paraId="62E2138F">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《单元式空气调节机能效限定值及能效等级》（GB19576）《风管送风式空调机组能效限定值及能效等级》（GB37479）</w:t>
            </w:r>
          </w:p>
        </w:tc>
      </w:tr>
      <w:tr w14:paraId="3EED34C7">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2CD09AA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311704C0">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7098FC6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★A02052309专用制冷、空调设备</w:t>
            </w:r>
          </w:p>
        </w:tc>
        <w:tc>
          <w:tcPr>
            <w:tcW w:w="1611" w:type="dxa"/>
            <w:tcBorders>
              <w:top w:val="nil"/>
              <w:left w:val="nil"/>
              <w:bottom w:val="single" w:color="000000" w:sz="8" w:space="0"/>
              <w:right w:val="single" w:color="000000" w:sz="8" w:space="0"/>
            </w:tcBorders>
            <w:vAlign w:val="center"/>
          </w:tcPr>
          <w:p w14:paraId="0152E20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机房空调</w:t>
            </w:r>
          </w:p>
        </w:tc>
        <w:tc>
          <w:tcPr>
            <w:tcW w:w="4358" w:type="dxa"/>
            <w:tcBorders>
              <w:top w:val="nil"/>
              <w:left w:val="nil"/>
              <w:bottom w:val="single" w:color="000000" w:sz="8" w:space="0"/>
              <w:right w:val="single" w:color="000000" w:sz="8" w:space="0"/>
            </w:tcBorders>
            <w:vAlign w:val="center"/>
          </w:tcPr>
          <w:p w14:paraId="026BF8D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《单元式空气调节机能效限定值及能效等级》（GB19576）</w:t>
            </w:r>
          </w:p>
        </w:tc>
      </w:tr>
      <w:tr w14:paraId="142C50B7">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2E113D7E">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231C825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2AB6685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A02052399其他制冷空调设备</w:t>
            </w:r>
          </w:p>
        </w:tc>
        <w:tc>
          <w:tcPr>
            <w:tcW w:w="1611" w:type="dxa"/>
            <w:tcBorders>
              <w:top w:val="nil"/>
              <w:left w:val="nil"/>
              <w:bottom w:val="single" w:color="000000" w:sz="8" w:space="0"/>
              <w:right w:val="single" w:color="000000" w:sz="8" w:space="0"/>
            </w:tcBorders>
            <w:vAlign w:val="center"/>
          </w:tcPr>
          <w:p w14:paraId="7F2B95B0">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冷却塔</w:t>
            </w:r>
          </w:p>
        </w:tc>
        <w:tc>
          <w:tcPr>
            <w:tcW w:w="4358" w:type="dxa"/>
            <w:tcBorders>
              <w:top w:val="nil"/>
              <w:left w:val="nil"/>
              <w:bottom w:val="single" w:color="000000" w:sz="8" w:space="0"/>
              <w:right w:val="single" w:color="000000" w:sz="8" w:space="0"/>
            </w:tcBorders>
            <w:vAlign w:val="center"/>
          </w:tcPr>
          <w:p w14:paraId="035E86FE">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《机械通风冷却塔第1部分：中小型开式冷却塔》（GB/T7190.1）；《机械通风冷却塔第2部分：大型开式冷却塔》（GB/T7190.2）</w:t>
            </w:r>
          </w:p>
        </w:tc>
      </w:tr>
      <w:tr w14:paraId="3BA89A04">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2135DD0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7</w:t>
            </w:r>
          </w:p>
        </w:tc>
        <w:tc>
          <w:tcPr>
            <w:tcW w:w="974" w:type="dxa"/>
            <w:tcBorders>
              <w:top w:val="nil"/>
              <w:left w:val="nil"/>
              <w:bottom w:val="single" w:color="000000" w:sz="8" w:space="0"/>
              <w:right w:val="single" w:color="000000" w:sz="8" w:space="0"/>
            </w:tcBorders>
            <w:vAlign w:val="center"/>
          </w:tcPr>
          <w:p w14:paraId="1E083AD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A020601电机</w:t>
            </w:r>
          </w:p>
        </w:tc>
        <w:tc>
          <w:tcPr>
            <w:tcW w:w="1501" w:type="dxa"/>
            <w:tcBorders>
              <w:top w:val="nil"/>
              <w:left w:val="nil"/>
              <w:bottom w:val="single" w:color="000000" w:sz="8" w:space="0"/>
              <w:right w:val="single" w:color="000000" w:sz="8" w:space="0"/>
            </w:tcBorders>
            <w:vAlign w:val="center"/>
          </w:tcPr>
          <w:p w14:paraId="2497E5B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1611" w:type="dxa"/>
            <w:tcBorders>
              <w:top w:val="nil"/>
              <w:left w:val="nil"/>
              <w:bottom w:val="single" w:color="000000" w:sz="8" w:space="0"/>
              <w:right w:val="single" w:color="000000" w:sz="8" w:space="0"/>
            </w:tcBorders>
            <w:vAlign w:val="center"/>
          </w:tcPr>
          <w:p w14:paraId="3F7C41F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5C95EDD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《中小型三相异步电动机能效限定值及能效等级》（GB18613）</w:t>
            </w:r>
          </w:p>
        </w:tc>
      </w:tr>
      <w:tr w14:paraId="5570BA5F">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08B5EE3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8</w:t>
            </w:r>
          </w:p>
        </w:tc>
        <w:tc>
          <w:tcPr>
            <w:tcW w:w="974" w:type="dxa"/>
            <w:tcBorders>
              <w:top w:val="nil"/>
              <w:left w:val="nil"/>
              <w:bottom w:val="single" w:color="000000" w:sz="8" w:space="0"/>
              <w:right w:val="single" w:color="000000" w:sz="8" w:space="0"/>
            </w:tcBorders>
            <w:vAlign w:val="center"/>
          </w:tcPr>
          <w:p w14:paraId="2E3C264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A020602变压器</w:t>
            </w:r>
          </w:p>
        </w:tc>
        <w:tc>
          <w:tcPr>
            <w:tcW w:w="1501" w:type="dxa"/>
            <w:tcBorders>
              <w:top w:val="nil"/>
              <w:left w:val="nil"/>
              <w:bottom w:val="single" w:color="000000" w:sz="8" w:space="0"/>
              <w:right w:val="single" w:color="000000" w:sz="8" w:space="0"/>
            </w:tcBorders>
            <w:vAlign w:val="center"/>
          </w:tcPr>
          <w:p w14:paraId="1B5231B0">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配电变压器</w:t>
            </w:r>
          </w:p>
        </w:tc>
        <w:tc>
          <w:tcPr>
            <w:tcW w:w="1611" w:type="dxa"/>
            <w:tcBorders>
              <w:top w:val="nil"/>
              <w:left w:val="nil"/>
              <w:bottom w:val="single" w:color="000000" w:sz="8" w:space="0"/>
              <w:right w:val="single" w:color="000000" w:sz="8" w:space="0"/>
            </w:tcBorders>
            <w:vAlign w:val="center"/>
          </w:tcPr>
          <w:p w14:paraId="5A4B416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1F17C60">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《三相配电变压器能效限定值及能效等级》（GB20052）</w:t>
            </w:r>
          </w:p>
        </w:tc>
      </w:tr>
      <w:tr w14:paraId="5A4C6D8D">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4C9F2DA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9</w:t>
            </w:r>
          </w:p>
        </w:tc>
        <w:tc>
          <w:tcPr>
            <w:tcW w:w="974" w:type="dxa"/>
            <w:tcBorders>
              <w:top w:val="nil"/>
              <w:left w:val="nil"/>
              <w:bottom w:val="single" w:color="000000" w:sz="8" w:space="0"/>
              <w:right w:val="single" w:color="000000" w:sz="8" w:space="0"/>
            </w:tcBorders>
            <w:vAlign w:val="center"/>
          </w:tcPr>
          <w:p w14:paraId="5AF762B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★A020609镇流器</w:t>
            </w:r>
          </w:p>
        </w:tc>
        <w:tc>
          <w:tcPr>
            <w:tcW w:w="1501" w:type="dxa"/>
            <w:tcBorders>
              <w:top w:val="nil"/>
              <w:left w:val="nil"/>
              <w:bottom w:val="single" w:color="000000" w:sz="8" w:space="0"/>
              <w:right w:val="single" w:color="000000" w:sz="8" w:space="0"/>
            </w:tcBorders>
            <w:vAlign w:val="center"/>
          </w:tcPr>
          <w:p w14:paraId="4E8D742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管型荧光灯镇流器</w:t>
            </w:r>
          </w:p>
        </w:tc>
        <w:tc>
          <w:tcPr>
            <w:tcW w:w="1611" w:type="dxa"/>
            <w:tcBorders>
              <w:top w:val="nil"/>
              <w:left w:val="nil"/>
              <w:bottom w:val="single" w:color="000000" w:sz="8" w:space="0"/>
              <w:right w:val="single" w:color="000000" w:sz="8" w:space="0"/>
            </w:tcBorders>
            <w:vAlign w:val="center"/>
          </w:tcPr>
          <w:p w14:paraId="230CAA9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5FD16C2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《管形荧光灯镇流器能效限定值及能效等级》（GB17896）</w:t>
            </w:r>
          </w:p>
        </w:tc>
      </w:tr>
      <w:tr w14:paraId="5246678B">
        <w:tblPrEx>
          <w:tblCellMar>
            <w:top w:w="0" w:type="dxa"/>
            <w:left w:w="108" w:type="dxa"/>
            <w:bottom w:w="0" w:type="dxa"/>
            <w:right w:w="108" w:type="dxa"/>
          </w:tblCellMar>
        </w:tblPrEx>
        <w:trPr>
          <w:trHeight w:val="495" w:hRule="atLeast"/>
          <w:jc w:val="center"/>
        </w:trPr>
        <w:tc>
          <w:tcPr>
            <w:tcW w:w="1162" w:type="dxa"/>
            <w:vMerge w:val="restart"/>
            <w:tcBorders>
              <w:top w:val="nil"/>
              <w:left w:val="single" w:color="000000" w:sz="8" w:space="0"/>
              <w:bottom w:val="single" w:color="000000" w:sz="8" w:space="0"/>
              <w:right w:val="single" w:color="000000" w:sz="8" w:space="0"/>
            </w:tcBorders>
            <w:vAlign w:val="center"/>
          </w:tcPr>
          <w:p w14:paraId="7DDA98C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10</w:t>
            </w:r>
          </w:p>
        </w:tc>
        <w:tc>
          <w:tcPr>
            <w:tcW w:w="974" w:type="dxa"/>
            <w:vMerge w:val="restart"/>
            <w:tcBorders>
              <w:top w:val="nil"/>
              <w:left w:val="single" w:color="000000" w:sz="8" w:space="0"/>
              <w:bottom w:val="single" w:color="000000" w:sz="8" w:space="0"/>
              <w:right w:val="single" w:color="000000" w:sz="8" w:space="0"/>
            </w:tcBorders>
            <w:vAlign w:val="center"/>
          </w:tcPr>
          <w:p w14:paraId="666AFE4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A020618生活用电器</w:t>
            </w:r>
          </w:p>
        </w:tc>
        <w:tc>
          <w:tcPr>
            <w:tcW w:w="1501" w:type="dxa"/>
            <w:tcBorders>
              <w:top w:val="nil"/>
              <w:left w:val="nil"/>
              <w:bottom w:val="single" w:color="000000" w:sz="8" w:space="0"/>
              <w:right w:val="single" w:color="000000" w:sz="8" w:space="0"/>
            </w:tcBorders>
            <w:vAlign w:val="center"/>
          </w:tcPr>
          <w:p w14:paraId="406DE84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A0206180101电冰箱</w:t>
            </w:r>
          </w:p>
        </w:tc>
        <w:tc>
          <w:tcPr>
            <w:tcW w:w="1611" w:type="dxa"/>
            <w:tcBorders>
              <w:top w:val="nil"/>
              <w:left w:val="nil"/>
              <w:bottom w:val="single" w:color="000000" w:sz="8" w:space="0"/>
              <w:right w:val="single" w:color="000000" w:sz="8" w:space="0"/>
            </w:tcBorders>
            <w:vAlign w:val="center"/>
          </w:tcPr>
          <w:p w14:paraId="3A48156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3D62C0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《家用电冰箱耗电量限定值及能效等级》（GB 12021.2）</w:t>
            </w:r>
          </w:p>
        </w:tc>
      </w:tr>
      <w:tr w14:paraId="26062106">
        <w:tblPrEx>
          <w:tblCellMar>
            <w:top w:w="0" w:type="dxa"/>
            <w:left w:w="108" w:type="dxa"/>
            <w:bottom w:w="0" w:type="dxa"/>
            <w:right w:w="108" w:type="dxa"/>
          </w:tblCellMar>
        </w:tblPrEx>
        <w:trPr>
          <w:trHeight w:val="97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3EBC5FA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30E3C2BD">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restart"/>
            <w:tcBorders>
              <w:top w:val="nil"/>
              <w:left w:val="single" w:color="000000" w:sz="8" w:space="0"/>
              <w:bottom w:val="single" w:color="000000" w:sz="8" w:space="0"/>
              <w:right w:val="single" w:color="000000" w:sz="8" w:space="0"/>
            </w:tcBorders>
            <w:vAlign w:val="center"/>
          </w:tcPr>
          <w:p w14:paraId="68A5397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★A0206180203空调机</w:t>
            </w:r>
          </w:p>
        </w:tc>
        <w:tc>
          <w:tcPr>
            <w:tcW w:w="1611" w:type="dxa"/>
            <w:tcBorders>
              <w:top w:val="nil"/>
              <w:left w:val="nil"/>
              <w:bottom w:val="single" w:color="000000" w:sz="8" w:space="0"/>
              <w:right w:val="single" w:color="000000" w:sz="8" w:space="0"/>
            </w:tcBorders>
            <w:vAlign w:val="center"/>
          </w:tcPr>
          <w:p w14:paraId="0E10D3B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房间空气调节器</w:t>
            </w:r>
          </w:p>
        </w:tc>
        <w:tc>
          <w:tcPr>
            <w:tcW w:w="4358" w:type="dxa"/>
            <w:tcBorders>
              <w:top w:val="nil"/>
              <w:left w:val="nil"/>
              <w:bottom w:val="single" w:color="000000" w:sz="8" w:space="0"/>
              <w:right w:val="single" w:color="000000" w:sz="8" w:space="0"/>
            </w:tcBorders>
            <w:vAlign w:val="center"/>
          </w:tcPr>
          <w:p w14:paraId="24E245E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《转速可控型房间空气调节器能效限定值及能效等级》（GB21455-2013），待2019年修订发布后，按《房间空气调节器能效限定值及能效等级》（GB21455-2019实施。</w:t>
            </w:r>
          </w:p>
        </w:tc>
      </w:tr>
      <w:tr w14:paraId="3F129811">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5ED6E9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0C26404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61F8199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49EA946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多联式空调（热泵）机组（制冷量≤ 14000W）</w:t>
            </w:r>
          </w:p>
        </w:tc>
        <w:tc>
          <w:tcPr>
            <w:tcW w:w="4358" w:type="dxa"/>
            <w:tcBorders>
              <w:top w:val="nil"/>
              <w:left w:val="nil"/>
              <w:bottom w:val="single" w:color="000000" w:sz="8" w:space="0"/>
              <w:right w:val="single" w:color="000000" w:sz="8" w:space="0"/>
            </w:tcBorders>
            <w:vAlign w:val="center"/>
          </w:tcPr>
          <w:p w14:paraId="47667BFE">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《多联式空调（热泵）机组能效限定值及能源效率等级》（GB21454）</w:t>
            </w:r>
          </w:p>
        </w:tc>
      </w:tr>
      <w:tr w14:paraId="47566361">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FED5E3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2E9AF26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25DAE9FE">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184C91B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单元式空气调节机(制冷量≤14000W)</w:t>
            </w:r>
          </w:p>
        </w:tc>
        <w:tc>
          <w:tcPr>
            <w:tcW w:w="4358" w:type="dxa"/>
            <w:tcBorders>
              <w:top w:val="nil"/>
              <w:left w:val="nil"/>
              <w:bottom w:val="single" w:color="000000" w:sz="8" w:space="0"/>
              <w:right w:val="single" w:color="000000" w:sz="8" w:space="0"/>
            </w:tcBorders>
            <w:vAlign w:val="center"/>
          </w:tcPr>
          <w:p w14:paraId="0ACA9B95">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《单元式空气调节机能效限定值及能源效率等级》（GB19576）《风管送风式空调机组能效限定值及能效等级》（GB37479）</w:t>
            </w:r>
          </w:p>
        </w:tc>
      </w:tr>
      <w:tr w14:paraId="0101E901">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1FB3EC5">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2B708910">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6106C73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A0206180301洗衣机</w:t>
            </w:r>
          </w:p>
        </w:tc>
        <w:tc>
          <w:tcPr>
            <w:tcW w:w="1611" w:type="dxa"/>
            <w:tcBorders>
              <w:top w:val="nil"/>
              <w:left w:val="nil"/>
              <w:bottom w:val="single" w:color="000000" w:sz="8" w:space="0"/>
              <w:right w:val="single" w:color="000000" w:sz="8" w:space="0"/>
            </w:tcBorders>
            <w:vAlign w:val="center"/>
          </w:tcPr>
          <w:p w14:paraId="3517ACD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1347A415">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《电动洗衣机能效水效限定值及等级》（GB12021.4）</w:t>
            </w:r>
          </w:p>
        </w:tc>
      </w:tr>
      <w:tr w14:paraId="2934C43F">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7A7DFE4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1C6EF36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restart"/>
            <w:tcBorders>
              <w:top w:val="nil"/>
              <w:left w:val="single" w:color="000000" w:sz="8" w:space="0"/>
              <w:bottom w:val="single" w:color="000000" w:sz="8" w:space="0"/>
              <w:right w:val="single" w:color="000000" w:sz="8" w:space="0"/>
            </w:tcBorders>
            <w:vAlign w:val="center"/>
          </w:tcPr>
          <w:p w14:paraId="6035B4D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A02061808热水器</w:t>
            </w:r>
          </w:p>
        </w:tc>
        <w:tc>
          <w:tcPr>
            <w:tcW w:w="1611" w:type="dxa"/>
            <w:tcBorders>
              <w:top w:val="nil"/>
              <w:left w:val="nil"/>
              <w:bottom w:val="single" w:color="000000" w:sz="8" w:space="0"/>
              <w:right w:val="single" w:color="000000" w:sz="8" w:space="0"/>
            </w:tcBorders>
            <w:vAlign w:val="center"/>
          </w:tcPr>
          <w:p w14:paraId="4F6AE4CD">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★电热水器</w:t>
            </w:r>
          </w:p>
        </w:tc>
        <w:tc>
          <w:tcPr>
            <w:tcW w:w="4358" w:type="dxa"/>
            <w:tcBorders>
              <w:top w:val="nil"/>
              <w:left w:val="nil"/>
              <w:bottom w:val="single" w:color="000000" w:sz="8" w:space="0"/>
              <w:right w:val="single" w:color="000000" w:sz="8" w:space="0"/>
            </w:tcBorders>
            <w:vAlign w:val="center"/>
          </w:tcPr>
          <w:p w14:paraId="094E608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《储水式电热水器能效限定值及能效等级》（GB21519）</w:t>
            </w:r>
          </w:p>
        </w:tc>
      </w:tr>
      <w:tr w14:paraId="3618841E">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42B7FB8">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3B3772A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447226E3">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439C536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燃气热水器</w:t>
            </w:r>
          </w:p>
        </w:tc>
        <w:tc>
          <w:tcPr>
            <w:tcW w:w="4358" w:type="dxa"/>
            <w:tcBorders>
              <w:top w:val="nil"/>
              <w:left w:val="nil"/>
              <w:bottom w:val="single" w:color="000000" w:sz="8" w:space="0"/>
              <w:right w:val="single" w:color="000000" w:sz="8" w:space="0"/>
            </w:tcBorders>
            <w:vAlign w:val="center"/>
          </w:tcPr>
          <w:p w14:paraId="2023567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《家用燃气快速热水器和燃气采暖热水炉能效限定值及能效等级》（GB20665）</w:t>
            </w:r>
          </w:p>
        </w:tc>
      </w:tr>
      <w:tr w14:paraId="7C1FBF6E">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408A93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1A91DEC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055F177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0A5CC83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热泵热水器</w:t>
            </w:r>
          </w:p>
        </w:tc>
        <w:tc>
          <w:tcPr>
            <w:tcW w:w="4358" w:type="dxa"/>
            <w:tcBorders>
              <w:top w:val="nil"/>
              <w:left w:val="nil"/>
              <w:bottom w:val="single" w:color="000000" w:sz="8" w:space="0"/>
              <w:right w:val="single" w:color="000000" w:sz="8" w:space="0"/>
            </w:tcBorders>
            <w:vAlign w:val="center"/>
          </w:tcPr>
          <w:p w14:paraId="2B99F923">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《热泵热水机（器）能效限定值及能效等级》（GB29541）</w:t>
            </w:r>
          </w:p>
        </w:tc>
      </w:tr>
      <w:tr w14:paraId="24FC41D3">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A92C243">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45410CD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725BB96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48C4182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太阳能热水系统</w:t>
            </w:r>
          </w:p>
        </w:tc>
        <w:tc>
          <w:tcPr>
            <w:tcW w:w="4358" w:type="dxa"/>
            <w:tcBorders>
              <w:top w:val="nil"/>
              <w:left w:val="nil"/>
              <w:bottom w:val="single" w:color="000000" w:sz="8" w:space="0"/>
              <w:right w:val="single" w:color="000000" w:sz="8" w:space="0"/>
            </w:tcBorders>
            <w:vAlign w:val="center"/>
          </w:tcPr>
          <w:p w14:paraId="682F4F9D">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《家用太阳能热水系统能效限定值及能效等级》（GB26969）</w:t>
            </w:r>
          </w:p>
        </w:tc>
      </w:tr>
      <w:tr w14:paraId="4CC20961">
        <w:tblPrEx>
          <w:tblCellMar>
            <w:top w:w="0" w:type="dxa"/>
            <w:left w:w="108" w:type="dxa"/>
            <w:bottom w:w="0" w:type="dxa"/>
            <w:right w:w="108" w:type="dxa"/>
          </w:tblCellMar>
        </w:tblPrEx>
        <w:trPr>
          <w:trHeight w:val="495" w:hRule="atLeast"/>
          <w:jc w:val="center"/>
        </w:trPr>
        <w:tc>
          <w:tcPr>
            <w:tcW w:w="1162" w:type="dxa"/>
            <w:vMerge w:val="restart"/>
            <w:tcBorders>
              <w:top w:val="nil"/>
              <w:left w:val="single" w:color="000000" w:sz="8" w:space="0"/>
              <w:bottom w:val="single" w:color="000000" w:sz="8" w:space="0"/>
              <w:right w:val="single" w:color="000000" w:sz="8" w:space="0"/>
            </w:tcBorders>
            <w:vAlign w:val="center"/>
          </w:tcPr>
          <w:p w14:paraId="1BE4412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11</w:t>
            </w:r>
          </w:p>
        </w:tc>
        <w:tc>
          <w:tcPr>
            <w:tcW w:w="974" w:type="dxa"/>
            <w:vMerge w:val="restart"/>
            <w:tcBorders>
              <w:top w:val="nil"/>
              <w:left w:val="single" w:color="000000" w:sz="8" w:space="0"/>
              <w:bottom w:val="single" w:color="000000" w:sz="8" w:space="0"/>
              <w:right w:val="single" w:color="000000" w:sz="8" w:space="0"/>
            </w:tcBorders>
            <w:vAlign w:val="center"/>
          </w:tcPr>
          <w:p w14:paraId="12DDAA9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A020619照明设备</w:t>
            </w:r>
          </w:p>
        </w:tc>
        <w:tc>
          <w:tcPr>
            <w:tcW w:w="1501" w:type="dxa"/>
            <w:tcBorders>
              <w:top w:val="nil"/>
              <w:left w:val="nil"/>
              <w:bottom w:val="single" w:color="000000" w:sz="8" w:space="0"/>
              <w:right w:val="single" w:color="000000" w:sz="8" w:space="0"/>
            </w:tcBorders>
            <w:vAlign w:val="center"/>
          </w:tcPr>
          <w:p w14:paraId="52E71EC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★普通照明用双端荧光灯</w:t>
            </w:r>
          </w:p>
        </w:tc>
        <w:tc>
          <w:tcPr>
            <w:tcW w:w="1611" w:type="dxa"/>
            <w:tcBorders>
              <w:top w:val="nil"/>
              <w:left w:val="nil"/>
              <w:bottom w:val="single" w:color="000000" w:sz="8" w:space="0"/>
              <w:right w:val="single" w:color="000000" w:sz="8" w:space="0"/>
            </w:tcBorders>
            <w:vAlign w:val="center"/>
          </w:tcPr>
          <w:p w14:paraId="5C99EE6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801488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《普通照明用双端荧光灯能效限定值及能效等级》（GB19043）</w:t>
            </w:r>
          </w:p>
        </w:tc>
      </w:tr>
      <w:tr w14:paraId="681E5B2B">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3BEBF1E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1A33ECA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1065E8D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LED道路/隧道照明产品</w:t>
            </w:r>
          </w:p>
        </w:tc>
        <w:tc>
          <w:tcPr>
            <w:tcW w:w="1611" w:type="dxa"/>
            <w:tcBorders>
              <w:top w:val="nil"/>
              <w:left w:val="nil"/>
              <w:bottom w:val="single" w:color="000000" w:sz="8" w:space="0"/>
              <w:right w:val="single" w:color="000000" w:sz="8" w:space="0"/>
            </w:tcBorders>
            <w:vAlign w:val="center"/>
          </w:tcPr>
          <w:p w14:paraId="370D9DB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2AE3013">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《道路和隧道照明用LED灯具能效限定值及能效等级》（GB37478）</w:t>
            </w:r>
          </w:p>
        </w:tc>
      </w:tr>
      <w:tr w14:paraId="4194F59C">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2385A4D1">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045CB65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0FBB24F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LED筒灯</w:t>
            </w:r>
          </w:p>
        </w:tc>
        <w:tc>
          <w:tcPr>
            <w:tcW w:w="1611" w:type="dxa"/>
            <w:tcBorders>
              <w:top w:val="nil"/>
              <w:left w:val="nil"/>
              <w:bottom w:val="single" w:color="000000" w:sz="8" w:space="0"/>
              <w:right w:val="single" w:color="000000" w:sz="8" w:space="0"/>
            </w:tcBorders>
            <w:vAlign w:val="center"/>
          </w:tcPr>
          <w:p w14:paraId="3735347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5913C14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《室内照明用LED产品能效限定值及能效等级》（GB30255）</w:t>
            </w:r>
          </w:p>
        </w:tc>
      </w:tr>
      <w:tr w14:paraId="2C5DB3DA">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7096E04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3EDA62A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088AE49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普通照明用非定向自镇流LED灯</w:t>
            </w:r>
          </w:p>
        </w:tc>
        <w:tc>
          <w:tcPr>
            <w:tcW w:w="1611" w:type="dxa"/>
            <w:tcBorders>
              <w:top w:val="nil"/>
              <w:left w:val="nil"/>
              <w:bottom w:val="single" w:color="000000" w:sz="8" w:space="0"/>
              <w:right w:val="single" w:color="000000" w:sz="8" w:space="0"/>
            </w:tcBorders>
            <w:vAlign w:val="center"/>
          </w:tcPr>
          <w:p w14:paraId="5AC9346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3BC2110F">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《室内照明用LED产品能效限定值及能效等级》（GB30255）</w:t>
            </w:r>
          </w:p>
        </w:tc>
      </w:tr>
      <w:tr w14:paraId="2EEB27CC">
        <w:tblPrEx>
          <w:tblCellMar>
            <w:top w:w="0" w:type="dxa"/>
            <w:left w:w="108" w:type="dxa"/>
            <w:bottom w:w="0" w:type="dxa"/>
            <w:right w:w="108" w:type="dxa"/>
          </w:tblCellMar>
        </w:tblPrEx>
        <w:trPr>
          <w:trHeight w:val="735" w:hRule="atLeast"/>
          <w:jc w:val="center"/>
        </w:trPr>
        <w:tc>
          <w:tcPr>
            <w:tcW w:w="1162" w:type="dxa"/>
            <w:tcBorders>
              <w:top w:val="nil"/>
              <w:left w:val="single" w:color="000000" w:sz="8" w:space="0"/>
              <w:bottom w:val="single" w:color="000000" w:sz="8" w:space="0"/>
              <w:right w:val="single" w:color="000000" w:sz="8" w:space="0"/>
            </w:tcBorders>
            <w:vAlign w:val="center"/>
          </w:tcPr>
          <w:p w14:paraId="4F47617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12</w:t>
            </w:r>
          </w:p>
        </w:tc>
        <w:tc>
          <w:tcPr>
            <w:tcW w:w="974" w:type="dxa"/>
            <w:tcBorders>
              <w:top w:val="nil"/>
              <w:left w:val="nil"/>
              <w:bottom w:val="single" w:color="000000" w:sz="8" w:space="0"/>
              <w:right w:val="single" w:color="000000" w:sz="8" w:space="0"/>
            </w:tcBorders>
            <w:vAlign w:val="center"/>
          </w:tcPr>
          <w:p w14:paraId="20BD378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★A020910电视设备</w:t>
            </w:r>
          </w:p>
        </w:tc>
        <w:tc>
          <w:tcPr>
            <w:tcW w:w="1501" w:type="dxa"/>
            <w:tcBorders>
              <w:top w:val="nil"/>
              <w:left w:val="nil"/>
              <w:bottom w:val="single" w:color="000000" w:sz="8" w:space="0"/>
              <w:right w:val="single" w:color="000000" w:sz="8" w:space="0"/>
            </w:tcBorders>
            <w:vAlign w:val="center"/>
          </w:tcPr>
          <w:p w14:paraId="51AFA87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A02091001普通电视设备（电视机）</w:t>
            </w:r>
          </w:p>
        </w:tc>
        <w:tc>
          <w:tcPr>
            <w:tcW w:w="1611" w:type="dxa"/>
            <w:tcBorders>
              <w:top w:val="nil"/>
              <w:left w:val="nil"/>
              <w:bottom w:val="single" w:color="000000" w:sz="8" w:space="0"/>
              <w:right w:val="single" w:color="000000" w:sz="8" w:space="0"/>
            </w:tcBorders>
            <w:vAlign w:val="center"/>
          </w:tcPr>
          <w:p w14:paraId="4532389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4E593F5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《平板电视能效限定值及能效等级》（GB24850）</w:t>
            </w:r>
          </w:p>
        </w:tc>
      </w:tr>
      <w:tr w14:paraId="34D2313F">
        <w:tblPrEx>
          <w:tblCellMar>
            <w:top w:w="0" w:type="dxa"/>
            <w:left w:w="108" w:type="dxa"/>
            <w:bottom w:w="0" w:type="dxa"/>
            <w:right w:w="108" w:type="dxa"/>
          </w:tblCellMar>
        </w:tblPrEx>
        <w:trPr>
          <w:trHeight w:val="975" w:hRule="atLeast"/>
          <w:jc w:val="center"/>
        </w:trPr>
        <w:tc>
          <w:tcPr>
            <w:tcW w:w="1162" w:type="dxa"/>
            <w:tcBorders>
              <w:top w:val="nil"/>
              <w:left w:val="single" w:color="000000" w:sz="8" w:space="0"/>
              <w:bottom w:val="single" w:color="000000" w:sz="8" w:space="0"/>
              <w:right w:val="single" w:color="000000" w:sz="8" w:space="0"/>
            </w:tcBorders>
            <w:vAlign w:val="center"/>
          </w:tcPr>
          <w:p w14:paraId="5B84B3A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13</w:t>
            </w:r>
          </w:p>
        </w:tc>
        <w:tc>
          <w:tcPr>
            <w:tcW w:w="974" w:type="dxa"/>
            <w:tcBorders>
              <w:top w:val="nil"/>
              <w:left w:val="nil"/>
              <w:bottom w:val="single" w:color="000000" w:sz="8" w:space="0"/>
              <w:right w:val="single" w:color="000000" w:sz="8" w:space="0"/>
            </w:tcBorders>
            <w:vAlign w:val="center"/>
          </w:tcPr>
          <w:p w14:paraId="6F942D2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★A020911视频设备</w:t>
            </w:r>
          </w:p>
        </w:tc>
        <w:tc>
          <w:tcPr>
            <w:tcW w:w="1501" w:type="dxa"/>
            <w:tcBorders>
              <w:top w:val="nil"/>
              <w:left w:val="nil"/>
              <w:bottom w:val="single" w:color="000000" w:sz="8" w:space="0"/>
              <w:right w:val="single" w:color="000000" w:sz="8" w:space="0"/>
            </w:tcBorders>
            <w:vAlign w:val="center"/>
          </w:tcPr>
          <w:p w14:paraId="6721A93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A02091107视频监控设备</w:t>
            </w:r>
          </w:p>
        </w:tc>
        <w:tc>
          <w:tcPr>
            <w:tcW w:w="1611" w:type="dxa"/>
            <w:tcBorders>
              <w:top w:val="nil"/>
              <w:left w:val="nil"/>
              <w:bottom w:val="single" w:color="000000" w:sz="8" w:space="0"/>
              <w:right w:val="single" w:color="000000" w:sz="8" w:space="0"/>
            </w:tcBorders>
            <w:vAlign w:val="center"/>
          </w:tcPr>
          <w:p w14:paraId="11DACF7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监视器</w:t>
            </w:r>
          </w:p>
        </w:tc>
        <w:tc>
          <w:tcPr>
            <w:tcW w:w="4358" w:type="dxa"/>
            <w:tcBorders>
              <w:top w:val="nil"/>
              <w:left w:val="nil"/>
              <w:bottom w:val="single" w:color="000000" w:sz="8" w:space="0"/>
              <w:right w:val="single" w:color="000000" w:sz="8" w:space="0"/>
            </w:tcBorders>
            <w:vAlign w:val="center"/>
          </w:tcPr>
          <w:p w14:paraId="5CB71D7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166BCA5D">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2B5A04DD">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14</w:t>
            </w:r>
          </w:p>
        </w:tc>
        <w:tc>
          <w:tcPr>
            <w:tcW w:w="974" w:type="dxa"/>
            <w:tcBorders>
              <w:top w:val="nil"/>
              <w:left w:val="nil"/>
              <w:bottom w:val="single" w:color="000000" w:sz="8" w:space="0"/>
              <w:right w:val="single" w:color="000000" w:sz="8" w:space="0"/>
            </w:tcBorders>
            <w:vAlign w:val="center"/>
          </w:tcPr>
          <w:p w14:paraId="7A0E62A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A031210饮食炊事机械</w:t>
            </w:r>
          </w:p>
        </w:tc>
        <w:tc>
          <w:tcPr>
            <w:tcW w:w="1501" w:type="dxa"/>
            <w:tcBorders>
              <w:top w:val="nil"/>
              <w:left w:val="nil"/>
              <w:bottom w:val="single" w:color="000000" w:sz="8" w:space="0"/>
              <w:right w:val="single" w:color="000000" w:sz="8" w:space="0"/>
            </w:tcBorders>
            <w:vAlign w:val="center"/>
          </w:tcPr>
          <w:p w14:paraId="6F42FE1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商用燃气灶具</w:t>
            </w:r>
          </w:p>
        </w:tc>
        <w:tc>
          <w:tcPr>
            <w:tcW w:w="1611" w:type="dxa"/>
            <w:tcBorders>
              <w:top w:val="nil"/>
              <w:left w:val="nil"/>
              <w:bottom w:val="single" w:color="000000" w:sz="8" w:space="0"/>
              <w:right w:val="single" w:color="000000" w:sz="8" w:space="0"/>
            </w:tcBorders>
            <w:vAlign w:val="center"/>
          </w:tcPr>
          <w:p w14:paraId="033EECE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3085FA43">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《商用燃气灶具能效限定值及能效等级》（GB30531）</w:t>
            </w:r>
          </w:p>
        </w:tc>
      </w:tr>
      <w:tr w14:paraId="2924BA92">
        <w:tblPrEx>
          <w:tblCellMar>
            <w:top w:w="0" w:type="dxa"/>
            <w:left w:w="108" w:type="dxa"/>
            <w:bottom w:w="0" w:type="dxa"/>
            <w:right w:w="108" w:type="dxa"/>
          </w:tblCellMar>
        </w:tblPrEx>
        <w:trPr>
          <w:trHeight w:val="285" w:hRule="atLeast"/>
          <w:jc w:val="center"/>
        </w:trPr>
        <w:tc>
          <w:tcPr>
            <w:tcW w:w="1162" w:type="dxa"/>
            <w:vMerge w:val="restart"/>
            <w:tcBorders>
              <w:top w:val="nil"/>
              <w:left w:val="single" w:color="000000" w:sz="8" w:space="0"/>
              <w:bottom w:val="single" w:color="000000" w:sz="8" w:space="0"/>
              <w:right w:val="single" w:color="000000" w:sz="8" w:space="0"/>
            </w:tcBorders>
            <w:vAlign w:val="center"/>
          </w:tcPr>
          <w:p w14:paraId="790452D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15</w:t>
            </w:r>
          </w:p>
        </w:tc>
        <w:tc>
          <w:tcPr>
            <w:tcW w:w="974" w:type="dxa"/>
            <w:vMerge w:val="restart"/>
            <w:tcBorders>
              <w:top w:val="nil"/>
              <w:left w:val="single" w:color="000000" w:sz="8" w:space="0"/>
              <w:bottom w:val="single" w:color="000000" w:sz="8" w:space="0"/>
              <w:right w:val="single" w:color="000000" w:sz="8" w:space="0"/>
            </w:tcBorders>
            <w:vAlign w:val="center"/>
          </w:tcPr>
          <w:p w14:paraId="2F4A800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★A060805便器</w:t>
            </w:r>
          </w:p>
        </w:tc>
        <w:tc>
          <w:tcPr>
            <w:tcW w:w="1501" w:type="dxa"/>
            <w:tcBorders>
              <w:top w:val="nil"/>
              <w:left w:val="nil"/>
              <w:bottom w:val="single" w:color="000000" w:sz="8" w:space="0"/>
              <w:right w:val="single" w:color="000000" w:sz="8" w:space="0"/>
            </w:tcBorders>
            <w:vAlign w:val="center"/>
          </w:tcPr>
          <w:p w14:paraId="6365A5B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坐便器</w:t>
            </w:r>
          </w:p>
        </w:tc>
        <w:tc>
          <w:tcPr>
            <w:tcW w:w="1611" w:type="dxa"/>
            <w:tcBorders>
              <w:top w:val="nil"/>
              <w:left w:val="nil"/>
              <w:bottom w:val="single" w:color="000000" w:sz="8" w:space="0"/>
              <w:right w:val="single" w:color="000000" w:sz="8" w:space="0"/>
            </w:tcBorders>
            <w:vAlign w:val="center"/>
          </w:tcPr>
          <w:p w14:paraId="1D4C85E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49A275A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《坐便器水效限定值及水效等级》（GB25502）</w:t>
            </w:r>
          </w:p>
        </w:tc>
      </w:tr>
      <w:tr w14:paraId="6B48C247">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2EB1C643">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406380C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6184046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蹲便器</w:t>
            </w:r>
          </w:p>
        </w:tc>
        <w:tc>
          <w:tcPr>
            <w:tcW w:w="1611" w:type="dxa"/>
            <w:tcBorders>
              <w:top w:val="nil"/>
              <w:left w:val="nil"/>
              <w:bottom w:val="single" w:color="000000" w:sz="8" w:space="0"/>
              <w:right w:val="single" w:color="000000" w:sz="8" w:space="0"/>
            </w:tcBorders>
            <w:vAlign w:val="center"/>
          </w:tcPr>
          <w:p w14:paraId="464B754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4F6E4D5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《蹲便器用水效率限定值及用水效率等级》（GB30717）</w:t>
            </w:r>
          </w:p>
        </w:tc>
      </w:tr>
      <w:tr w14:paraId="36DE3627">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6BDBAA0B">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2048027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33FE34C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小便器</w:t>
            </w:r>
          </w:p>
        </w:tc>
        <w:tc>
          <w:tcPr>
            <w:tcW w:w="1611" w:type="dxa"/>
            <w:tcBorders>
              <w:top w:val="nil"/>
              <w:left w:val="nil"/>
              <w:bottom w:val="single" w:color="000000" w:sz="8" w:space="0"/>
              <w:right w:val="single" w:color="000000" w:sz="8" w:space="0"/>
            </w:tcBorders>
            <w:vAlign w:val="center"/>
          </w:tcPr>
          <w:p w14:paraId="3BDE149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7DB376B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《小便器用水效率限定值及用水效率等级》（GB28377）</w:t>
            </w:r>
          </w:p>
        </w:tc>
      </w:tr>
      <w:tr w14:paraId="17356335">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182E55E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16</w:t>
            </w:r>
          </w:p>
        </w:tc>
        <w:tc>
          <w:tcPr>
            <w:tcW w:w="974" w:type="dxa"/>
            <w:tcBorders>
              <w:top w:val="nil"/>
              <w:left w:val="nil"/>
              <w:bottom w:val="single" w:color="000000" w:sz="8" w:space="0"/>
              <w:right w:val="single" w:color="000000" w:sz="8" w:space="0"/>
            </w:tcBorders>
            <w:vAlign w:val="center"/>
          </w:tcPr>
          <w:p w14:paraId="4B7CC68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★A060806水嘴</w:t>
            </w:r>
          </w:p>
        </w:tc>
        <w:tc>
          <w:tcPr>
            <w:tcW w:w="1501" w:type="dxa"/>
            <w:tcBorders>
              <w:top w:val="nil"/>
              <w:left w:val="nil"/>
              <w:bottom w:val="single" w:color="000000" w:sz="8" w:space="0"/>
              <w:right w:val="single" w:color="000000" w:sz="8" w:space="0"/>
            </w:tcBorders>
            <w:vAlign w:val="center"/>
          </w:tcPr>
          <w:p w14:paraId="3E78C5C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1611" w:type="dxa"/>
            <w:tcBorders>
              <w:top w:val="nil"/>
              <w:left w:val="nil"/>
              <w:bottom w:val="single" w:color="000000" w:sz="8" w:space="0"/>
              <w:right w:val="single" w:color="000000" w:sz="8" w:space="0"/>
            </w:tcBorders>
            <w:vAlign w:val="center"/>
          </w:tcPr>
          <w:p w14:paraId="57E04B0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66C532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《水嘴用水效率限定值及用水效率等级》（GB 25501）</w:t>
            </w:r>
          </w:p>
        </w:tc>
      </w:tr>
      <w:tr w14:paraId="1A8B3654">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04B8A82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17</w:t>
            </w:r>
          </w:p>
        </w:tc>
        <w:tc>
          <w:tcPr>
            <w:tcW w:w="974" w:type="dxa"/>
            <w:tcBorders>
              <w:top w:val="nil"/>
              <w:left w:val="nil"/>
              <w:bottom w:val="single" w:color="000000" w:sz="8" w:space="0"/>
              <w:right w:val="single" w:color="000000" w:sz="8" w:space="0"/>
            </w:tcBorders>
            <w:vAlign w:val="center"/>
          </w:tcPr>
          <w:p w14:paraId="492ED42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A060807便器冲洗阀</w:t>
            </w:r>
          </w:p>
        </w:tc>
        <w:tc>
          <w:tcPr>
            <w:tcW w:w="1501" w:type="dxa"/>
            <w:tcBorders>
              <w:top w:val="nil"/>
              <w:left w:val="nil"/>
              <w:bottom w:val="single" w:color="000000" w:sz="8" w:space="0"/>
              <w:right w:val="single" w:color="000000" w:sz="8" w:space="0"/>
            </w:tcBorders>
            <w:vAlign w:val="center"/>
          </w:tcPr>
          <w:p w14:paraId="094E1BA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1611" w:type="dxa"/>
            <w:tcBorders>
              <w:top w:val="nil"/>
              <w:left w:val="nil"/>
              <w:bottom w:val="single" w:color="000000" w:sz="8" w:space="0"/>
              <w:right w:val="single" w:color="000000" w:sz="8" w:space="0"/>
            </w:tcBorders>
            <w:vAlign w:val="center"/>
          </w:tcPr>
          <w:p w14:paraId="4D6138F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B14532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《便器冲洗阀用水效率限定值及用水效率等级》（GB28379）</w:t>
            </w:r>
          </w:p>
        </w:tc>
      </w:tr>
      <w:tr w14:paraId="397E6059">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1E01E35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18</w:t>
            </w:r>
          </w:p>
        </w:tc>
        <w:tc>
          <w:tcPr>
            <w:tcW w:w="974" w:type="dxa"/>
            <w:tcBorders>
              <w:top w:val="nil"/>
              <w:left w:val="nil"/>
              <w:bottom w:val="single" w:color="000000" w:sz="8" w:space="0"/>
              <w:right w:val="single" w:color="000000" w:sz="8" w:space="0"/>
            </w:tcBorders>
            <w:vAlign w:val="center"/>
          </w:tcPr>
          <w:p w14:paraId="4EC990E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A060810淋浴器</w:t>
            </w:r>
          </w:p>
        </w:tc>
        <w:tc>
          <w:tcPr>
            <w:tcW w:w="1501" w:type="dxa"/>
            <w:tcBorders>
              <w:top w:val="nil"/>
              <w:left w:val="nil"/>
              <w:bottom w:val="single" w:color="000000" w:sz="8" w:space="0"/>
              <w:right w:val="single" w:color="000000" w:sz="8" w:space="0"/>
            </w:tcBorders>
            <w:vAlign w:val="center"/>
          </w:tcPr>
          <w:p w14:paraId="4AF111A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1611" w:type="dxa"/>
            <w:tcBorders>
              <w:top w:val="nil"/>
              <w:left w:val="nil"/>
              <w:bottom w:val="single" w:color="000000" w:sz="8" w:space="0"/>
              <w:right w:val="single" w:color="000000" w:sz="8" w:space="0"/>
            </w:tcBorders>
            <w:vAlign w:val="center"/>
          </w:tcPr>
          <w:p w14:paraId="67C35D70">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DD6049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《淋浴器用水效率限定值及用水效率等级》（GB28378）</w:t>
            </w:r>
          </w:p>
        </w:tc>
      </w:tr>
    </w:tbl>
    <w:p w14:paraId="4908077D">
      <w:pPr>
        <w:spacing w:after="120" w:line="360" w:lineRule="auto"/>
        <w:rPr>
          <w:rFonts w:hint="eastAsia" w:ascii="仿宋" w:hAnsi="仿宋" w:eastAsia="仿宋" w:cs="仿宋"/>
          <w:szCs w:val="21"/>
          <w:highlight w:val="none"/>
        </w:rPr>
      </w:pPr>
      <w:r>
        <w:rPr>
          <w:rFonts w:hint="eastAsia" w:ascii="仿宋" w:hAnsi="仿宋" w:eastAsia="仿宋" w:cs="仿宋"/>
          <w:spacing w:val="-3"/>
          <w:szCs w:val="21"/>
          <w:highlight w:val="none"/>
        </w:rPr>
        <w:t>注：1.节能产品认证应依据相关国家标准的最新版本，依据国家标准中二级能效（水效）</w:t>
      </w:r>
      <w:r>
        <w:rPr>
          <w:rFonts w:hint="eastAsia" w:ascii="仿宋" w:hAnsi="仿宋" w:eastAsia="仿宋" w:cs="仿宋"/>
          <w:szCs w:val="21"/>
          <w:highlight w:val="none"/>
        </w:rPr>
        <w:t>指标。</w:t>
      </w:r>
    </w:p>
    <w:p w14:paraId="171FD493">
      <w:pPr>
        <w:jc w:val="left"/>
        <w:rPr>
          <w:rFonts w:hint="eastAsia" w:ascii="仿宋" w:hAnsi="仿宋" w:eastAsia="仿宋" w:cs="仿宋"/>
          <w:kern w:val="0"/>
          <w:sz w:val="32"/>
          <w:szCs w:val="32"/>
          <w:highlight w:val="none"/>
        </w:rPr>
      </w:pPr>
      <w:r>
        <w:rPr>
          <w:rFonts w:hint="eastAsia" w:ascii="仿宋" w:hAnsi="仿宋" w:eastAsia="仿宋" w:cs="仿宋"/>
          <w:kern w:val="0"/>
          <w:sz w:val="20"/>
          <w:szCs w:val="21"/>
          <w:highlight w:val="none"/>
        </w:rPr>
        <w:t>2.以“★”标注的为政府强制采购产品。</w:t>
      </w:r>
      <w:r>
        <w:rPr>
          <w:rFonts w:hint="eastAsia" w:ascii="仿宋" w:hAnsi="仿宋" w:eastAsia="仿宋" w:cs="仿宋"/>
          <w:kern w:val="0"/>
          <w:sz w:val="20"/>
          <w:szCs w:val="21"/>
          <w:highlight w:val="none"/>
        </w:rPr>
        <w:br w:type="page"/>
      </w:r>
      <w:r>
        <w:rPr>
          <w:rFonts w:hint="eastAsia" w:ascii="仿宋" w:hAnsi="仿宋" w:eastAsia="仿宋" w:cs="仿宋"/>
          <w:kern w:val="0"/>
          <w:sz w:val="32"/>
          <w:szCs w:val="32"/>
          <w:highlight w:val="none"/>
        </w:rPr>
        <w:t>附件2：</w:t>
      </w:r>
    </w:p>
    <w:p w14:paraId="3EF1DB7F">
      <w:pPr>
        <w:spacing w:line="528" w:lineRule="exact"/>
        <w:ind w:left="11" w:hanging="11"/>
        <w:jc w:val="center"/>
        <w:rPr>
          <w:rFonts w:hint="eastAsia" w:ascii="仿宋" w:hAnsi="仿宋" w:eastAsia="仿宋" w:cs="仿宋"/>
          <w:sz w:val="40"/>
          <w:szCs w:val="40"/>
          <w:highlight w:val="none"/>
        </w:rPr>
      </w:pPr>
      <w:r>
        <w:rPr>
          <w:rFonts w:hint="eastAsia" w:ascii="仿宋" w:hAnsi="仿宋" w:eastAsia="仿宋" w:cs="仿宋"/>
          <w:sz w:val="40"/>
          <w:szCs w:val="40"/>
          <w:highlight w:val="none"/>
        </w:rPr>
        <w:t>中小微企业划型标准</w:t>
      </w:r>
    </w:p>
    <w:tbl>
      <w:tblPr>
        <w:tblStyle w:val="31"/>
        <w:tblW w:w="9497" w:type="dxa"/>
        <w:jc w:val="center"/>
        <w:tblLayout w:type="fixed"/>
        <w:tblCellMar>
          <w:top w:w="0" w:type="dxa"/>
          <w:left w:w="108" w:type="dxa"/>
          <w:bottom w:w="0" w:type="dxa"/>
          <w:right w:w="108" w:type="dxa"/>
        </w:tblCellMar>
      </w:tblPr>
      <w:tblGrid>
        <w:gridCol w:w="1985"/>
        <w:gridCol w:w="1559"/>
        <w:gridCol w:w="1276"/>
        <w:gridCol w:w="1842"/>
        <w:gridCol w:w="1701"/>
        <w:gridCol w:w="1134"/>
      </w:tblGrid>
      <w:tr w14:paraId="7AD2E091">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2D6DA284">
            <w:pPr>
              <w:keepNext w:val="0"/>
              <w:keepLines w:val="0"/>
              <w:widowControl/>
              <w:suppressLineNumbers w:val="0"/>
              <w:spacing w:before="0" w:beforeAutospacing="0" w:after="0" w:afterAutospacing="0"/>
              <w:ind w:left="0" w:right="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行业名称</w:t>
            </w:r>
          </w:p>
        </w:tc>
        <w:tc>
          <w:tcPr>
            <w:tcW w:w="1559" w:type="dxa"/>
            <w:tcBorders>
              <w:top w:val="single" w:color="auto" w:sz="4" w:space="0"/>
              <w:left w:val="nil"/>
              <w:bottom w:val="single" w:color="auto" w:sz="4" w:space="0"/>
              <w:right w:val="single" w:color="auto" w:sz="4" w:space="0"/>
            </w:tcBorders>
            <w:vAlign w:val="center"/>
          </w:tcPr>
          <w:p w14:paraId="72822BE5">
            <w:pPr>
              <w:keepNext w:val="0"/>
              <w:keepLines w:val="0"/>
              <w:widowControl/>
              <w:suppressLineNumbers w:val="0"/>
              <w:spacing w:before="0" w:beforeAutospacing="0" w:after="0" w:afterAutospacing="0"/>
              <w:ind w:left="0" w:right="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指标名称</w:t>
            </w:r>
          </w:p>
        </w:tc>
        <w:tc>
          <w:tcPr>
            <w:tcW w:w="1276" w:type="dxa"/>
            <w:tcBorders>
              <w:top w:val="single" w:color="auto" w:sz="4" w:space="0"/>
              <w:left w:val="nil"/>
              <w:bottom w:val="single" w:color="auto" w:sz="4" w:space="0"/>
              <w:right w:val="single" w:color="auto" w:sz="4" w:space="0"/>
            </w:tcBorders>
            <w:vAlign w:val="center"/>
          </w:tcPr>
          <w:p w14:paraId="791743B1">
            <w:pPr>
              <w:keepNext w:val="0"/>
              <w:keepLines w:val="0"/>
              <w:widowControl/>
              <w:suppressLineNumbers w:val="0"/>
              <w:spacing w:before="0" w:beforeAutospacing="0" w:after="0" w:afterAutospacing="0"/>
              <w:ind w:left="0" w:right="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23D0CCB1">
            <w:pPr>
              <w:keepNext w:val="0"/>
              <w:keepLines w:val="0"/>
              <w:widowControl/>
              <w:suppressLineNumbers w:val="0"/>
              <w:spacing w:before="0" w:beforeAutospacing="0" w:after="0" w:afterAutospacing="0"/>
              <w:ind w:left="0" w:right="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670513CC">
            <w:pPr>
              <w:keepNext w:val="0"/>
              <w:keepLines w:val="0"/>
              <w:widowControl/>
              <w:suppressLineNumbers w:val="0"/>
              <w:spacing w:before="0" w:beforeAutospacing="0" w:after="0" w:afterAutospacing="0"/>
              <w:ind w:left="0" w:right="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4A50461A">
            <w:pPr>
              <w:keepNext w:val="0"/>
              <w:keepLines w:val="0"/>
              <w:widowControl/>
              <w:suppressLineNumbers w:val="0"/>
              <w:spacing w:before="0" w:beforeAutospacing="0" w:after="0" w:afterAutospacing="0"/>
              <w:ind w:left="0" w:right="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微型</w:t>
            </w:r>
          </w:p>
        </w:tc>
      </w:tr>
      <w:tr w14:paraId="2DC4A0E1">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47B75D0E">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农、林、牧、渔</w:t>
            </w:r>
          </w:p>
        </w:tc>
        <w:tc>
          <w:tcPr>
            <w:tcW w:w="1559" w:type="dxa"/>
            <w:tcBorders>
              <w:top w:val="nil"/>
              <w:left w:val="nil"/>
              <w:bottom w:val="single" w:color="auto" w:sz="4" w:space="0"/>
              <w:right w:val="single" w:color="auto" w:sz="4" w:space="0"/>
            </w:tcBorders>
            <w:vAlign w:val="center"/>
          </w:tcPr>
          <w:p w14:paraId="3C4ABF9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47419A2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FC5E9E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6D17ADD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766987A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Y＜50</w:t>
            </w:r>
          </w:p>
        </w:tc>
      </w:tr>
      <w:tr w14:paraId="052D3B5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3E41260D">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工业</w:t>
            </w:r>
          </w:p>
        </w:tc>
        <w:tc>
          <w:tcPr>
            <w:tcW w:w="1559" w:type="dxa"/>
            <w:tcBorders>
              <w:top w:val="nil"/>
              <w:left w:val="nil"/>
              <w:bottom w:val="single" w:color="auto" w:sz="4" w:space="0"/>
              <w:right w:val="single" w:color="auto" w:sz="4" w:space="0"/>
            </w:tcBorders>
            <w:vAlign w:val="center"/>
          </w:tcPr>
          <w:p w14:paraId="3D33BB2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0B830E0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4E5DC7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1F7C446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6BF53C6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0614F6D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33C5260">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2AA8B33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516DE30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14B0D7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14:paraId="0945DE0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102C4AF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Y＜300</w:t>
            </w:r>
          </w:p>
        </w:tc>
      </w:tr>
      <w:tr w14:paraId="0AA9D6A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680EE3F4">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建筑业</w:t>
            </w:r>
          </w:p>
        </w:tc>
        <w:tc>
          <w:tcPr>
            <w:tcW w:w="1559" w:type="dxa"/>
            <w:tcBorders>
              <w:top w:val="nil"/>
              <w:left w:val="nil"/>
              <w:bottom w:val="single" w:color="auto" w:sz="4" w:space="0"/>
              <w:right w:val="single" w:color="auto" w:sz="4" w:space="0"/>
            </w:tcBorders>
            <w:vAlign w:val="center"/>
          </w:tcPr>
          <w:p w14:paraId="3387882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45E5D2F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C68EDE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14:paraId="7814108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7BBACA9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Y＜300</w:t>
            </w:r>
          </w:p>
        </w:tc>
      </w:tr>
      <w:tr w14:paraId="468D4A3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8CAF815">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6D2552F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1276" w:type="dxa"/>
            <w:tcBorders>
              <w:top w:val="nil"/>
              <w:left w:val="nil"/>
              <w:bottom w:val="single" w:color="auto" w:sz="4" w:space="0"/>
              <w:right w:val="single" w:color="auto" w:sz="4" w:space="0"/>
            </w:tcBorders>
            <w:vAlign w:val="center"/>
          </w:tcPr>
          <w:p w14:paraId="6258B68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9303BF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14:paraId="11A3709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306A0BF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Z＜300</w:t>
            </w:r>
          </w:p>
        </w:tc>
      </w:tr>
      <w:tr w14:paraId="3E97DF5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65EEAD4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批发业</w:t>
            </w:r>
          </w:p>
        </w:tc>
        <w:tc>
          <w:tcPr>
            <w:tcW w:w="1559" w:type="dxa"/>
            <w:tcBorders>
              <w:top w:val="nil"/>
              <w:left w:val="nil"/>
              <w:bottom w:val="single" w:color="auto" w:sz="4" w:space="0"/>
              <w:right w:val="single" w:color="auto" w:sz="4" w:space="0"/>
            </w:tcBorders>
            <w:vAlign w:val="center"/>
          </w:tcPr>
          <w:p w14:paraId="5473C91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59D0152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0FCC31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20≤X＜200</w:t>
            </w:r>
          </w:p>
        </w:tc>
        <w:tc>
          <w:tcPr>
            <w:tcW w:w="1701" w:type="dxa"/>
            <w:tcBorders>
              <w:top w:val="nil"/>
              <w:left w:val="nil"/>
              <w:bottom w:val="single" w:color="auto" w:sz="4" w:space="0"/>
              <w:right w:val="single" w:color="auto" w:sz="4" w:space="0"/>
            </w:tcBorders>
            <w:vAlign w:val="center"/>
          </w:tcPr>
          <w:p w14:paraId="4ADA93B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12E6AAE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X＜5</w:t>
            </w:r>
          </w:p>
        </w:tc>
      </w:tr>
      <w:tr w14:paraId="2047E6E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F0E31D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0301022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6767CC1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503B00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14:paraId="57C88ED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73ED982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Y＜1000</w:t>
            </w:r>
          </w:p>
        </w:tc>
      </w:tr>
      <w:tr w14:paraId="46CE4A9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3B6BA30">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零售业</w:t>
            </w:r>
          </w:p>
        </w:tc>
        <w:tc>
          <w:tcPr>
            <w:tcW w:w="1559" w:type="dxa"/>
            <w:tcBorders>
              <w:top w:val="nil"/>
              <w:left w:val="nil"/>
              <w:bottom w:val="single" w:color="auto" w:sz="4" w:space="0"/>
              <w:right w:val="single" w:color="auto" w:sz="4" w:space="0"/>
            </w:tcBorders>
            <w:vAlign w:val="center"/>
          </w:tcPr>
          <w:p w14:paraId="4FF6A8D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3EBBB68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9B2C2D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50≤X＜300</w:t>
            </w:r>
          </w:p>
        </w:tc>
        <w:tc>
          <w:tcPr>
            <w:tcW w:w="1701" w:type="dxa"/>
            <w:tcBorders>
              <w:top w:val="nil"/>
              <w:left w:val="nil"/>
              <w:bottom w:val="single" w:color="auto" w:sz="4" w:space="0"/>
              <w:right w:val="single" w:color="auto" w:sz="4" w:space="0"/>
            </w:tcBorders>
            <w:vAlign w:val="center"/>
          </w:tcPr>
          <w:p w14:paraId="3FE1C32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03925C6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1A50450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1FE8CB0">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3558343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048E108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D09A20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10C9ABD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0B1DFAE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0CB85D9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165565F4">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交通运输业</w:t>
            </w:r>
          </w:p>
        </w:tc>
        <w:tc>
          <w:tcPr>
            <w:tcW w:w="1559" w:type="dxa"/>
            <w:tcBorders>
              <w:top w:val="nil"/>
              <w:left w:val="nil"/>
              <w:bottom w:val="single" w:color="auto" w:sz="4" w:space="0"/>
              <w:right w:val="single" w:color="auto" w:sz="4" w:space="0"/>
            </w:tcBorders>
            <w:vAlign w:val="center"/>
          </w:tcPr>
          <w:p w14:paraId="4BB6224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11E7706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5D613E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6E83AF6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A203B6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6446613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61F056A">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18ACF50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71DE859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34CC8C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14:paraId="38BB365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6C16EED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Y＜200</w:t>
            </w:r>
          </w:p>
        </w:tc>
      </w:tr>
      <w:tr w14:paraId="62BAA35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464887A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仓储业</w:t>
            </w:r>
          </w:p>
        </w:tc>
        <w:tc>
          <w:tcPr>
            <w:tcW w:w="1559" w:type="dxa"/>
            <w:tcBorders>
              <w:top w:val="nil"/>
              <w:left w:val="nil"/>
              <w:bottom w:val="single" w:color="auto" w:sz="4" w:space="0"/>
              <w:right w:val="single" w:color="auto" w:sz="4" w:space="0"/>
            </w:tcBorders>
            <w:vAlign w:val="center"/>
          </w:tcPr>
          <w:p w14:paraId="1C3A111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263DEB9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5B97E6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100≤X＜200</w:t>
            </w:r>
          </w:p>
        </w:tc>
        <w:tc>
          <w:tcPr>
            <w:tcW w:w="1701" w:type="dxa"/>
            <w:tcBorders>
              <w:top w:val="nil"/>
              <w:left w:val="nil"/>
              <w:bottom w:val="single" w:color="auto" w:sz="4" w:space="0"/>
              <w:right w:val="single" w:color="auto" w:sz="4" w:space="0"/>
            </w:tcBorders>
            <w:vAlign w:val="center"/>
          </w:tcPr>
          <w:p w14:paraId="5AE0557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4F538BD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5A96900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746C443">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089F808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5CB0183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CB179E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14:paraId="2D6DA54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159D4D1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4103376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77524FC">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邮政业</w:t>
            </w:r>
          </w:p>
        </w:tc>
        <w:tc>
          <w:tcPr>
            <w:tcW w:w="1559" w:type="dxa"/>
            <w:tcBorders>
              <w:top w:val="nil"/>
              <w:left w:val="nil"/>
              <w:bottom w:val="single" w:color="auto" w:sz="4" w:space="0"/>
              <w:right w:val="single" w:color="auto" w:sz="4" w:space="0"/>
            </w:tcBorders>
            <w:vAlign w:val="center"/>
          </w:tcPr>
          <w:p w14:paraId="31BFE8D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564B303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C3613F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46809CC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FBEC34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623B989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46CFE6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3D26346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23A7394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AA86F9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14:paraId="63AF646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0663346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14CE753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08A936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住宿业</w:t>
            </w:r>
          </w:p>
        </w:tc>
        <w:tc>
          <w:tcPr>
            <w:tcW w:w="1559" w:type="dxa"/>
            <w:tcBorders>
              <w:top w:val="nil"/>
              <w:left w:val="nil"/>
              <w:bottom w:val="single" w:color="auto" w:sz="4" w:space="0"/>
              <w:right w:val="single" w:color="auto" w:sz="4" w:space="0"/>
            </w:tcBorders>
            <w:vAlign w:val="center"/>
          </w:tcPr>
          <w:p w14:paraId="2E05D88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6B44D7F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13461C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0AB73CE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B8272A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1014936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36517B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3000516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5E9D254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27096A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02558BB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02B8111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4099718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893B6E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餐饮业</w:t>
            </w:r>
          </w:p>
        </w:tc>
        <w:tc>
          <w:tcPr>
            <w:tcW w:w="1559" w:type="dxa"/>
            <w:tcBorders>
              <w:top w:val="nil"/>
              <w:left w:val="nil"/>
              <w:bottom w:val="single" w:color="auto" w:sz="4" w:space="0"/>
              <w:right w:val="single" w:color="auto" w:sz="4" w:space="0"/>
            </w:tcBorders>
            <w:vAlign w:val="center"/>
          </w:tcPr>
          <w:p w14:paraId="0C9EBFC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7A7763D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952690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1F26F98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911F50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2CBF233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B44CD45">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0EC1E97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59BA099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6E7391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761DA0D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E03D5C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3155BE1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6EDC6DB">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信息传输业</w:t>
            </w:r>
          </w:p>
        </w:tc>
        <w:tc>
          <w:tcPr>
            <w:tcW w:w="1559" w:type="dxa"/>
            <w:tcBorders>
              <w:top w:val="nil"/>
              <w:left w:val="nil"/>
              <w:bottom w:val="single" w:color="auto" w:sz="4" w:space="0"/>
              <w:right w:val="single" w:color="auto" w:sz="4" w:space="0"/>
            </w:tcBorders>
            <w:vAlign w:val="center"/>
          </w:tcPr>
          <w:p w14:paraId="00184C2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75EC487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774CC9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100≤X＜2000</w:t>
            </w:r>
          </w:p>
        </w:tc>
        <w:tc>
          <w:tcPr>
            <w:tcW w:w="1701" w:type="dxa"/>
            <w:tcBorders>
              <w:top w:val="nil"/>
              <w:left w:val="nil"/>
              <w:bottom w:val="single" w:color="auto" w:sz="4" w:space="0"/>
              <w:right w:val="single" w:color="auto" w:sz="4" w:space="0"/>
            </w:tcBorders>
            <w:vAlign w:val="center"/>
          </w:tcPr>
          <w:p w14:paraId="5104900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195453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3F85AE0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8CA2773">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1277DC5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2A99374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9D52F1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14:paraId="48E5C24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70F5EDD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3075E1F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37204A50">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软件和信息技术服务业</w:t>
            </w:r>
          </w:p>
        </w:tc>
        <w:tc>
          <w:tcPr>
            <w:tcW w:w="1559" w:type="dxa"/>
            <w:tcBorders>
              <w:top w:val="nil"/>
              <w:left w:val="nil"/>
              <w:bottom w:val="single" w:color="auto" w:sz="4" w:space="0"/>
              <w:right w:val="single" w:color="auto" w:sz="4" w:space="0"/>
            </w:tcBorders>
            <w:vAlign w:val="center"/>
          </w:tcPr>
          <w:p w14:paraId="48156DF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599DC33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CB83A7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7BBAA65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949F43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6D4D264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B43464E">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2F46C00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3F56F01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90F971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14:paraId="5B291F6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5C2073F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Y＜50</w:t>
            </w:r>
          </w:p>
        </w:tc>
      </w:tr>
      <w:tr w14:paraId="312D04D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C72BC18">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房地产开发经营</w:t>
            </w:r>
          </w:p>
        </w:tc>
        <w:tc>
          <w:tcPr>
            <w:tcW w:w="1559" w:type="dxa"/>
            <w:tcBorders>
              <w:top w:val="nil"/>
              <w:left w:val="nil"/>
              <w:bottom w:val="single" w:color="auto" w:sz="4" w:space="0"/>
              <w:right w:val="single" w:color="auto" w:sz="4" w:space="0"/>
            </w:tcBorders>
            <w:vAlign w:val="center"/>
          </w:tcPr>
          <w:p w14:paraId="20824CF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5A7F0D6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4C967E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14:paraId="2753694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4105E4C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X＜100</w:t>
            </w:r>
          </w:p>
        </w:tc>
      </w:tr>
      <w:tr w14:paraId="02BC765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8965704">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7559366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1276" w:type="dxa"/>
            <w:tcBorders>
              <w:top w:val="nil"/>
              <w:left w:val="nil"/>
              <w:bottom w:val="single" w:color="auto" w:sz="4" w:space="0"/>
              <w:right w:val="single" w:color="auto" w:sz="4" w:space="0"/>
            </w:tcBorders>
            <w:vAlign w:val="center"/>
          </w:tcPr>
          <w:p w14:paraId="6146CB0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ADB131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14:paraId="68F1054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7DDF984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Y＜2000</w:t>
            </w:r>
          </w:p>
        </w:tc>
      </w:tr>
      <w:tr w14:paraId="4421BEE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30F91E15">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物业管理</w:t>
            </w:r>
          </w:p>
        </w:tc>
        <w:tc>
          <w:tcPr>
            <w:tcW w:w="1559" w:type="dxa"/>
            <w:tcBorders>
              <w:top w:val="nil"/>
              <w:left w:val="nil"/>
              <w:bottom w:val="single" w:color="auto" w:sz="4" w:space="0"/>
              <w:right w:val="single" w:color="auto" w:sz="4" w:space="0"/>
            </w:tcBorders>
            <w:vAlign w:val="center"/>
          </w:tcPr>
          <w:p w14:paraId="6A2D5C4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2FDEB0B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BD3091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36D286A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0CB2823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X＜100</w:t>
            </w:r>
          </w:p>
        </w:tc>
      </w:tr>
      <w:tr w14:paraId="1CE9F6C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8244A14">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487F5A0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0B2AB48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1EE08F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14:paraId="657B032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3B8F667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Y＜500</w:t>
            </w:r>
          </w:p>
        </w:tc>
      </w:tr>
      <w:tr w14:paraId="33C663A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19728223">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租赁和商务服务业</w:t>
            </w:r>
          </w:p>
        </w:tc>
        <w:tc>
          <w:tcPr>
            <w:tcW w:w="1559" w:type="dxa"/>
            <w:tcBorders>
              <w:top w:val="nil"/>
              <w:left w:val="nil"/>
              <w:bottom w:val="single" w:color="auto" w:sz="4" w:space="0"/>
              <w:right w:val="single" w:color="auto" w:sz="4" w:space="0"/>
            </w:tcBorders>
            <w:vAlign w:val="center"/>
          </w:tcPr>
          <w:p w14:paraId="334CEA1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0BB15E1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A613E2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5CAC720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2206F9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7E6DEAE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2FC3094">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721A08E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1276" w:type="dxa"/>
            <w:tcBorders>
              <w:top w:val="nil"/>
              <w:left w:val="nil"/>
              <w:bottom w:val="single" w:color="auto" w:sz="4" w:space="0"/>
              <w:right w:val="single" w:color="auto" w:sz="4" w:space="0"/>
            </w:tcBorders>
            <w:vAlign w:val="center"/>
          </w:tcPr>
          <w:p w14:paraId="63D7564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7ED251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14:paraId="0D097C4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2EBE1F3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45E369F5">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center"/>
          </w:tcPr>
          <w:p w14:paraId="5B1AB542">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其他未列明行业</w:t>
            </w:r>
          </w:p>
        </w:tc>
        <w:tc>
          <w:tcPr>
            <w:tcW w:w="1559" w:type="dxa"/>
            <w:tcBorders>
              <w:top w:val="nil"/>
              <w:left w:val="nil"/>
              <w:bottom w:val="single" w:color="auto" w:sz="4" w:space="0"/>
              <w:right w:val="single" w:color="auto" w:sz="4" w:space="0"/>
            </w:tcBorders>
            <w:vAlign w:val="center"/>
          </w:tcPr>
          <w:p w14:paraId="458A43C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46EF5CC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F1542C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260E9BE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7A51FF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bl>
    <w:p w14:paraId="69EAD0A4">
      <w:pPr>
        <w:spacing w:line="560" w:lineRule="exact"/>
        <w:ind w:firstLine="525" w:firstLineChars="250"/>
        <w:rPr>
          <w:rFonts w:hint="eastAsia" w:ascii="仿宋" w:hAnsi="仿宋" w:eastAsia="仿宋" w:cs="仿宋"/>
          <w:szCs w:val="21"/>
          <w:highlight w:val="none"/>
        </w:rPr>
      </w:pPr>
      <w:r>
        <w:rPr>
          <w:rFonts w:hint="eastAsia" w:ascii="仿宋" w:hAnsi="仿宋" w:eastAsia="仿宋" w:cs="仿宋"/>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65D4CFE">
      <w:pPr>
        <w:jc w:val="center"/>
        <w:rPr>
          <w:rFonts w:hint="eastAsia" w:ascii="仿宋" w:hAnsi="仿宋" w:eastAsia="仿宋" w:cs="仿宋"/>
          <w:kern w:val="0"/>
          <w:sz w:val="20"/>
          <w:szCs w:val="21"/>
          <w:highlight w:val="none"/>
        </w:rPr>
        <w:sectPr>
          <w:pgSz w:w="11905" w:h="16838"/>
          <w:pgMar w:top="1304" w:right="1304" w:bottom="1304" w:left="1304" w:header="720" w:footer="720" w:gutter="0"/>
          <w:pgNumType w:fmt="decimal"/>
          <w:cols w:space="720" w:num="1"/>
          <w:docGrid w:type="lines" w:linePitch="339" w:charSpace="0"/>
        </w:sectPr>
      </w:pPr>
    </w:p>
    <w:p w14:paraId="55526DA6">
      <w:pPr>
        <w:keepNext/>
        <w:keepLines/>
        <w:spacing w:before="340" w:after="330"/>
        <w:jc w:val="center"/>
        <w:outlineLvl w:val="0"/>
        <w:rPr>
          <w:rFonts w:hint="eastAsia" w:ascii="仿宋" w:hAnsi="仿宋" w:eastAsia="仿宋" w:cs="仿宋"/>
          <w:b/>
          <w:bCs/>
          <w:kern w:val="44"/>
          <w:sz w:val="32"/>
          <w:szCs w:val="32"/>
          <w:highlight w:val="none"/>
        </w:rPr>
      </w:pPr>
      <w:bookmarkStart w:id="66" w:name="_Toc127516320"/>
      <w:bookmarkStart w:id="67" w:name="_Toc27264"/>
      <w:r>
        <w:rPr>
          <w:rFonts w:hint="eastAsia" w:ascii="仿宋" w:hAnsi="仿宋" w:eastAsia="仿宋" w:cs="仿宋"/>
          <w:b/>
          <w:kern w:val="44"/>
          <w:sz w:val="32"/>
          <w:szCs w:val="32"/>
          <w:highlight w:val="none"/>
        </w:rPr>
        <w:t>第三章 供应商须知</w:t>
      </w:r>
      <w:bookmarkEnd w:id="66"/>
      <w:bookmarkEnd w:id="67"/>
    </w:p>
    <w:p w14:paraId="4D7642EE">
      <w:pPr>
        <w:keepNext/>
        <w:keepLines/>
        <w:spacing w:before="260" w:after="260"/>
        <w:jc w:val="center"/>
        <w:outlineLvl w:val="1"/>
        <w:rPr>
          <w:rFonts w:hint="eastAsia" w:ascii="仿宋" w:hAnsi="仿宋" w:eastAsia="仿宋" w:cs="仿宋"/>
          <w:bCs/>
          <w:sz w:val="32"/>
          <w:szCs w:val="32"/>
          <w:highlight w:val="none"/>
        </w:rPr>
      </w:pPr>
      <w:bookmarkStart w:id="68" w:name="_Toc30429"/>
      <w:bookmarkStart w:id="69" w:name="_Toc127516321"/>
      <w:r>
        <w:rPr>
          <w:rFonts w:hint="eastAsia" w:ascii="仿宋" w:hAnsi="仿宋" w:eastAsia="仿宋" w:cs="仿宋"/>
          <w:bCs/>
          <w:sz w:val="32"/>
          <w:szCs w:val="32"/>
          <w:highlight w:val="none"/>
        </w:rPr>
        <w:t>第一节 供应商须知前附表</w:t>
      </w:r>
      <w:bookmarkEnd w:id="68"/>
      <w:bookmarkEnd w:id="69"/>
    </w:p>
    <w:tbl>
      <w:tblPr>
        <w:tblStyle w:val="31"/>
        <w:tblW w:w="94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0"/>
        <w:gridCol w:w="2385"/>
        <w:gridCol w:w="6019"/>
      </w:tblGrid>
      <w:tr w14:paraId="72B27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20" w:type="dxa"/>
          </w:tcPr>
          <w:p w14:paraId="3F5E16AC">
            <w:pPr>
              <w:keepNext w:val="0"/>
              <w:keepLines w:val="0"/>
              <w:suppressLineNumbers w:val="0"/>
              <w:spacing w:before="0" w:beforeAutospacing="0" w:after="0" w:afterAutospacing="0" w:line="400" w:lineRule="exact"/>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条款号</w:t>
            </w:r>
          </w:p>
        </w:tc>
        <w:tc>
          <w:tcPr>
            <w:tcW w:w="2385" w:type="dxa"/>
            <w:vAlign w:val="center"/>
          </w:tcPr>
          <w:p w14:paraId="5A1C2033">
            <w:pPr>
              <w:keepNext w:val="0"/>
              <w:keepLines w:val="0"/>
              <w:suppressLineNumbers w:val="0"/>
              <w:spacing w:before="0" w:beforeAutospacing="0" w:after="0" w:afterAutospacing="0" w:line="400" w:lineRule="exact"/>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条款内容</w:t>
            </w:r>
          </w:p>
        </w:tc>
        <w:tc>
          <w:tcPr>
            <w:tcW w:w="6019" w:type="dxa"/>
          </w:tcPr>
          <w:p w14:paraId="0F6C67F2">
            <w:pPr>
              <w:keepNext w:val="0"/>
              <w:keepLines w:val="0"/>
              <w:suppressLineNumbers w:val="0"/>
              <w:spacing w:before="0" w:beforeAutospacing="0" w:after="0" w:afterAutospacing="0" w:line="400" w:lineRule="exact"/>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具体要求</w:t>
            </w:r>
          </w:p>
        </w:tc>
      </w:tr>
      <w:tr w14:paraId="5016D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2501F946">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3.1</w:t>
            </w:r>
          </w:p>
        </w:tc>
        <w:tc>
          <w:tcPr>
            <w:tcW w:w="2385" w:type="dxa"/>
            <w:vAlign w:val="center"/>
          </w:tcPr>
          <w:p w14:paraId="45E1E500">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供应商资格条件</w:t>
            </w:r>
          </w:p>
        </w:tc>
        <w:tc>
          <w:tcPr>
            <w:tcW w:w="6019" w:type="dxa"/>
          </w:tcPr>
          <w:p w14:paraId="475D34FA">
            <w:pPr>
              <w:keepNext w:val="0"/>
              <w:keepLines w:val="0"/>
              <w:suppressLineNumbers w:val="0"/>
              <w:spacing w:before="0" w:beforeAutospacing="0" w:after="0" w:afterAutospacing="0" w:line="400" w:lineRule="exact"/>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供应商资格条件要求详见公告。</w:t>
            </w:r>
          </w:p>
        </w:tc>
      </w:tr>
      <w:tr w14:paraId="78E24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48E5029A">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5.1</w:t>
            </w:r>
          </w:p>
        </w:tc>
        <w:tc>
          <w:tcPr>
            <w:tcW w:w="2385" w:type="dxa"/>
            <w:vAlign w:val="center"/>
          </w:tcPr>
          <w:p w14:paraId="21A09C18">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是否接受联合体竞标</w:t>
            </w:r>
          </w:p>
        </w:tc>
        <w:tc>
          <w:tcPr>
            <w:tcW w:w="6019" w:type="dxa"/>
            <w:vAlign w:val="center"/>
          </w:tcPr>
          <w:p w14:paraId="2764A53E">
            <w:pPr>
              <w:keepNext w:val="0"/>
              <w:keepLines w:val="0"/>
              <w:suppressLineNumbers w:val="0"/>
              <w:spacing w:before="0" w:beforeAutospacing="0" w:after="0" w:afterAutospacing="0" w:line="400" w:lineRule="exact"/>
              <w:ind w:left="0" w:right="0"/>
              <w:rPr>
                <w:rFonts w:hint="eastAsia" w:ascii="仿宋" w:hAnsi="仿宋" w:eastAsia="仿宋" w:cs="仿宋"/>
                <w:color w:val="auto"/>
                <w:szCs w:val="21"/>
                <w:highlight w:val="none"/>
              </w:rPr>
            </w:pPr>
            <w:bookmarkStart w:id="70" w:name="PO_3000001868_PM007"/>
            <w:r>
              <w:rPr>
                <w:rFonts w:hint="eastAsia" w:ascii="仿宋" w:hAnsi="仿宋" w:eastAsia="仿宋" w:cs="仿宋"/>
                <w:color w:val="auto"/>
                <w:szCs w:val="21"/>
                <w:highlight w:val="none"/>
              </w:rPr>
              <w:t>允许联合体</w:t>
            </w:r>
            <w:bookmarkEnd w:id="70"/>
            <w:r>
              <w:rPr>
                <w:rFonts w:hint="eastAsia" w:ascii="仿宋" w:hAnsi="仿宋" w:eastAsia="仿宋" w:cs="仿宋"/>
                <w:color w:val="auto"/>
                <w:szCs w:val="21"/>
                <w:highlight w:val="none"/>
              </w:rPr>
              <w:t>竞标</w:t>
            </w:r>
          </w:p>
        </w:tc>
      </w:tr>
      <w:tr w14:paraId="03488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7445FC45">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5.2</w:t>
            </w:r>
          </w:p>
        </w:tc>
        <w:tc>
          <w:tcPr>
            <w:tcW w:w="2385" w:type="dxa"/>
            <w:vAlign w:val="center"/>
          </w:tcPr>
          <w:p w14:paraId="0597803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联合体竞标要求</w:t>
            </w:r>
          </w:p>
        </w:tc>
        <w:tc>
          <w:tcPr>
            <w:tcW w:w="6019" w:type="dxa"/>
            <w:vAlign w:val="center"/>
          </w:tcPr>
          <w:p w14:paraId="056F65BF">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如接受联合体竞标的，要求如下：</w:t>
            </w:r>
          </w:p>
          <w:p w14:paraId="32576712">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1.两个以上供应商可以组成一个竞标联合体，以一个竞标供应商的身份共同参加竞标，联合体竞标供应商的名称应统一按“XXX公司与XXX公司的联合体”的规则填写。</w:t>
            </w:r>
          </w:p>
          <w:p w14:paraId="50FF009C">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竞标人特定条件的，联合体各方中至少有一方必须符合采购文件“本项目的特定条件”。</w:t>
            </w:r>
          </w:p>
          <w:p w14:paraId="506ABE99">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w:t>
            </w:r>
            <w:r>
              <w:rPr>
                <w:rFonts w:hint="eastAsia" w:ascii="仿宋" w:hAnsi="仿宋" w:eastAsia="仿宋" w:cs="仿宋"/>
                <w:color w:val="auto"/>
                <w:highlight w:val="none"/>
                <w:lang w:val="zh-CN"/>
              </w:rPr>
              <w:t>其中联合体牵头人代表联合体各方成员负责</w:t>
            </w:r>
            <w:r>
              <w:rPr>
                <w:rFonts w:hint="eastAsia" w:ascii="仿宋" w:hAnsi="仿宋" w:eastAsia="仿宋" w:cs="仿宋"/>
                <w:color w:val="auto"/>
                <w:highlight w:val="none"/>
              </w:rPr>
              <w:t>竞</w:t>
            </w:r>
            <w:r>
              <w:rPr>
                <w:rFonts w:hint="eastAsia" w:ascii="仿宋" w:hAnsi="仿宋" w:eastAsia="仿宋" w:cs="仿宋"/>
                <w:color w:val="auto"/>
                <w:highlight w:val="none"/>
                <w:lang w:val="zh-CN"/>
              </w:rPr>
              <w:t>标和合同实施阶段的主办、协调工作，但联合体其他成员在</w:t>
            </w:r>
            <w:r>
              <w:rPr>
                <w:rFonts w:hint="eastAsia" w:ascii="仿宋" w:hAnsi="仿宋" w:eastAsia="仿宋" w:cs="仿宋"/>
                <w:color w:val="auto"/>
                <w:highlight w:val="none"/>
              </w:rPr>
              <w:t>竞</w:t>
            </w:r>
            <w:r>
              <w:rPr>
                <w:rFonts w:hint="eastAsia" w:ascii="仿宋" w:hAnsi="仿宋" w:eastAsia="仿宋" w:cs="仿宋"/>
                <w:color w:val="auto"/>
                <w:highlight w:val="none"/>
                <w:lang w:val="zh-CN"/>
              </w:rPr>
              <w:t>标、签约与履行合同过程中，负有连带的和各自的法律责任。</w:t>
            </w:r>
          </w:p>
          <w:p w14:paraId="1290C3F9">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4.以联合体形式参加政府采购活动的，联合体各方不得再单独参加或者与其他竞标人另外组成联合体参加同一合同项下的政府采购活动，否则与之相关的响应文件作废。</w:t>
            </w:r>
          </w:p>
          <w:p w14:paraId="5FE84533">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5.联合体中有同类资质的竞标人按照联合体分工承担相同工作的，应当按照资质等级较低的竞标人确定资质等级。</w:t>
            </w:r>
          </w:p>
          <w:p w14:paraId="574E1A2B">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6.联合体竞标业绩、履约能力按照联合体各方其中较高的一方认定并计算（采购文件另有规定的除外）。</w:t>
            </w:r>
          </w:p>
          <w:p w14:paraId="4CFE7609">
            <w:pPr>
              <w:keepNext w:val="0"/>
              <w:keepLines w:val="0"/>
              <w:suppressLineNumbers w:val="0"/>
              <w:spacing w:before="0" w:beforeAutospacing="0" w:after="0" w:afterAutospacing="0" w:line="400" w:lineRule="exact"/>
              <w:ind w:left="0" w:right="0"/>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7.联合体各方均应按照采购文件的规定提交资格证明文件。</w:t>
            </w:r>
          </w:p>
          <w:p w14:paraId="7386B46B">
            <w:pPr>
              <w:keepNext w:val="0"/>
              <w:keepLines w:val="0"/>
              <w:suppressLineNumbers w:val="0"/>
              <w:spacing w:before="0" w:beforeAutospacing="0" w:after="0" w:afterAutospacing="0" w:line="400" w:lineRule="exact"/>
              <w:ind w:left="0" w:right="0"/>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8.</w:t>
            </w:r>
            <w:r>
              <w:rPr>
                <w:rFonts w:hint="eastAsia" w:ascii="仿宋" w:hAnsi="仿宋" w:eastAsia="仿宋" w:cs="仿宋"/>
                <w:color w:val="auto"/>
                <w:highlight w:val="none"/>
              </w:rPr>
              <w:t>联合体竞标的，除联合体协议书及特定备注要求需要双方盖法人单位章（可采用纸质版盖联合体各方法人单位章后扫描上传），其他只需盖联合体任一单位的电子印章。</w:t>
            </w:r>
          </w:p>
        </w:tc>
      </w:tr>
      <w:tr w14:paraId="7B7AA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60A4D89C">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6.1</w:t>
            </w:r>
          </w:p>
        </w:tc>
        <w:tc>
          <w:tcPr>
            <w:tcW w:w="2385" w:type="dxa"/>
            <w:vAlign w:val="center"/>
          </w:tcPr>
          <w:p w14:paraId="6F571B32">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是否允许分包</w:t>
            </w:r>
          </w:p>
        </w:tc>
        <w:tc>
          <w:tcPr>
            <w:tcW w:w="6019" w:type="dxa"/>
            <w:vAlign w:val="center"/>
          </w:tcPr>
          <w:p w14:paraId="6DFDC43A">
            <w:pPr>
              <w:keepNext w:val="0"/>
              <w:keepLines w:val="0"/>
              <w:suppressLineNumbers w:val="0"/>
              <w:spacing w:before="0" w:beforeAutospacing="0" w:after="0" w:afterAutospacing="0" w:line="400" w:lineRule="exact"/>
              <w:ind w:left="0" w:right="0"/>
              <w:jc w:val="left"/>
              <w:rPr>
                <w:rFonts w:hint="eastAsia" w:ascii="仿宋" w:hAnsi="仿宋" w:eastAsia="仿宋" w:cs="仿宋"/>
                <w:szCs w:val="21"/>
                <w:highlight w:val="none"/>
              </w:rPr>
            </w:pPr>
            <w:bookmarkStart w:id="71" w:name="PO_3000001868_PM044"/>
            <w:r>
              <w:rPr>
                <w:rFonts w:hint="eastAsia" w:ascii="仿宋" w:hAnsi="仿宋" w:eastAsia="仿宋" w:cs="仿宋"/>
                <w:szCs w:val="21"/>
                <w:highlight w:val="none"/>
              </w:rPr>
              <w:sym w:font="Wingdings" w:char="00FE"/>
            </w:r>
            <w:r>
              <w:rPr>
                <w:rFonts w:hint="eastAsia" w:ascii="仿宋" w:hAnsi="仿宋" w:eastAsia="仿宋" w:cs="仿宋"/>
                <w:szCs w:val="21"/>
                <w:highlight w:val="none"/>
              </w:rPr>
              <w:t>不允许分包</w:t>
            </w:r>
            <w:bookmarkEnd w:id="71"/>
          </w:p>
          <w:p w14:paraId="4617A6F9">
            <w:pPr>
              <w:keepNext w:val="0"/>
              <w:keepLines w:val="0"/>
              <w:suppressLineNumbers w:val="0"/>
              <w:spacing w:before="0" w:beforeAutospacing="0" w:after="0" w:afterAutospacing="0" w:line="400" w:lineRule="exact"/>
              <w:ind w:left="0" w:right="0"/>
              <w:jc w:val="left"/>
              <w:rPr>
                <w:rFonts w:hint="eastAsia" w:ascii="仿宋" w:hAnsi="仿宋" w:eastAsia="仿宋" w:cs="仿宋"/>
                <w:szCs w:val="21"/>
                <w:highlight w:val="none"/>
                <w:u w:val="single"/>
              </w:rPr>
            </w:pPr>
            <w:r>
              <w:rPr>
                <w:rFonts w:hint="eastAsia" w:ascii="仿宋" w:hAnsi="仿宋" w:eastAsia="仿宋" w:cs="仿宋"/>
                <w:szCs w:val="21"/>
                <w:highlight w:val="none"/>
              </w:rPr>
              <w:sym w:font="Wingdings" w:char="00A8"/>
            </w:r>
            <w:r>
              <w:rPr>
                <w:rFonts w:hint="eastAsia" w:ascii="仿宋" w:hAnsi="仿宋" w:eastAsia="仿宋" w:cs="仿宋"/>
                <w:szCs w:val="21"/>
                <w:highlight w:val="none"/>
              </w:rPr>
              <w:t>分包内容：</w:t>
            </w:r>
            <w:r>
              <w:rPr>
                <w:rFonts w:hint="eastAsia" w:ascii="仿宋" w:hAnsi="仿宋" w:eastAsia="仿宋" w:cs="仿宋"/>
                <w:szCs w:val="21"/>
                <w:highlight w:val="none"/>
                <w:u w:val="single"/>
              </w:rPr>
              <w:t xml:space="preserve">   /  。</w:t>
            </w:r>
          </w:p>
          <w:p w14:paraId="7A0CA587">
            <w:pPr>
              <w:keepNext w:val="0"/>
              <w:keepLines w:val="0"/>
              <w:suppressLineNumbers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分包金额或者比例：</w:t>
            </w:r>
            <w:r>
              <w:rPr>
                <w:rFonts w:hint="eastAsia" w:ascii="仿宋" w:hAnsi="仿宋" w:eastAsia="仿宋" w:cs="仿宋"/>
                <w:szCs w:val="21"/>
                <w:highlight w:val="none"/>
                <w:u w:val="single"/>
              </w:rPr>
              <w:t xml:space="preserve">   /  。</w:t>
            </w:r>
          </w:p>
        </w:tc>
      </w:tr>
      <w:tr w14:paraId="41D79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74E21730">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12.1.1</w:t>
            </w:r>
          </w:p>
        </w:tc>
        <w:tc>
          <w:tcPr>
            <w:tcW w:w="2385" w:type="dxa"/>
            <w:vAlign w:val="center"/>
          </w:tcPr>
          <w:p w14:paraId="36251DFA">
            <w:pPr>
              <w:keepNext w:val="0"/>
              <w:keepLines w:val="0"/>
              <w:suppressLineNumbers w:val="0"/>
              <w:snapToGrid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b/>
                <w:szCs w:val="21"/>
                <w:highlight w:val="none"/>
              </w:rPr>
              <w:t>资格证明文件组成</w:t>
            </w:r>
          </w:p>
        </w:tc>
        <w:tc>
          <w:tcPr>
            <w:tcW w:w="6019" w:type="dxa"/>
            <w:vAlign w:val="center"/>
          </w:tcPr>
          <w:p w14:paraId="00022607">
            <w:pPr>
              <w:keepNext w:val="0"/>
              <w:keepLines w:val="0"/>
              <w:suppressLineNumbers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1.供应商为法人或者其他组织的提供其营业执照等证明文件（如营业执照或者事业单位法人证书或者执业许可证或社会团体法人登记证书等），供应商为自然人的提供其身份证复印件；（</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59B63978">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2.供应商依法缴纳税收的相关材料：</w:t>
            </w:r>
            <w:r>
              <w:rPr>
                <w:rFonts w:hint="eastAsia" w:ascii="仿宋" w:hAnsi="仿宋" w:eastAsia="仿宋" w:cs="仿宋"/>
                <w:szCs w:val="21"/>
                <w:highlight w:val="none"/>
                <w:lang w:val="en-US" w:eastAsia="zh-CN"/>
              </w:rPr>
              <w:t>竞标截止前半年内任意连续三个月的依法缴纳税收的凭据复印件；</w:t>
            </w:r>
            <w:r>
              <w:rPr>
                <w:rFonts w:hint="eastAsia" w:ascii="仿宋" w:hAnsi="仿宋" w:eastAsia="仿宋" w:cs="仿宋"/>
                <w:szCs w:val="21"/>
                <w:highlight w:val="none"/>
              </w:rPr>
              <w:t>依法免税的供应商，必须提供相应文件证明其依法免税（或国家税务机关部门出具采购公告发布之日至竞标截止时间止无欠缴税费的证明）。从取得营业执照时间起到响应文件提交截止时间为止不足要求月数的，只需提供从取得营业执照起的依法缴纳税收相应证明文件）；（</w:t>
            </w:r>
            <w:r>
              <w:rPr>
                <w:rFonts w:hint="eastAsia" w:ascii="仿宋" w:hAnsi="仿宋" w:eastAsia="仿宋" w:cs="仿宋"/>
                <w:b/>
                <w:szCs w:val="21"/>
                <w:highlight w:val="none"/>
              </w:rPr>
              <w:t>必须提供，否则作无效竞标处理</w:t>
            </w:r>
            <w:r>
              <w:rPr>
                <w:rFonts w:hint="eastAsia" w:ascii="仿宋" w:hAnsi="仿宋" w:eastAsia="仿宋" w:cs="仿宋"/>
                <w:szCs w:val="21"/>
                <w:highlight w:val="none"/>
              </w:rPr>
              <w:t>）</w:t>
            </w:r>
          </w:p>
          <w:p w14:paraId="277C5232">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3.供应商依法缴纳社会保障资金的相关材料：</w:t>
            </w:r>
            <w:r>
              <w:rPr>
                <w:rFonts w:hint="eastAsia" w:ascii="仿宋" w:hAnsi="仿宋" w:eastAsia="仿宋" w:cs="仿宋"/>
                <w:szCs w:val="21"/>
                <w:highlight w:val="none"/>
                <w:lang w:val="en-US" w:eastAsia="zh-CN"/>
              </w:rPr>
              <w:t>（</w:t>
            </w:r>
            <w:bookmarkStart w:id="72" w:name="_Hlk151585370"/>
            <w:r>
              <w:rPr>
                <w:rFonts w:hint="eastAsia" w:ascii="仿宋" w:hAnsi="仿宋" w:eastAsia="仿宋" w:cs="仿宋"/>
                <w:szCs w:val="21"/>
                <w:highlight w:val="none"/>
                <w:lang w:val="en-US" w:eastAsia="zh-CN"/>
              </w:rPr>
              <w:t>竞标截止前半年内任</w:t>
            </w:r>
            <w:bookmarkEnd w:id="72"/>
            <w:r>
              <w:rPr>
                <w:rFonts w:hint="eastAsia" w:ascii="仿宋" w:hAnsi="仿宋" w:eastAsia="仿宋" w:cs="仿宋"/>
                <w:szCs w:val="21"/>
                <w:highlight w:val="none"/>
                <w:lang w:val="en-US" w:eastAsia="zh-CN"/>
              </w:rPr>
              <w:t>意连续三个月的依法缴纳社会保障资金的缴费凭证复印件；</w:t>
            </w:r>
          </w:p>
          <w:p w14:paraId="080825CF">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仿宋" w:hAnsi="仿宋" w:eastAsia="仿宋" w:cs="仿宋"/>
                <w:b/>
                <w:szCs w:val="21"/>
                <w:highlight w:val="none"/>
              </w:rPr>
              <w:t>必须提供，否则作无效竞标处理</w:t>
            </w:r>
            <w:r>
              <w:rPr>
                <w:rFonts w:hint="eastAsia" w:ascii="仿宋" w:hAnsi="仿宋" w:eastAsia="仿宋" w:cs="仿宋"/>
                <w:szCs w:val="21"/>
                <w:highlight w:val="none"/>
              </w:rPr>
              <w:t>）</w:t>
            </w:r>
          </w:p>
          <w:p w14:paraId="4C703D2D">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4.供应商财务状况报告：供应商</w:t>
            </w:r>
            <w:r>
              <w:rPr>
                <w:rFonts w:hint="eastAsia" w:ascii="仿宋" w:hAnsi="仿宋" w:eastAsia="仿宋" w:cs="仿宋"/>
                <w:szCs w:val="21"/>
                <w:highlight w:val="none"/>
                <w:lang w:val="en-US" w:eastAsia="zh-CN"/>
              </w:rPr>
              <w:t>[2025年度]</w:t>
            </w:r>
            <w:r>
              <w:rPr>
                <w:rFonts w:hint="eastAsia" w:ascii="仿宋" w:hAnsi="仿宋" w:eastAsia="仿宋" w:cs="仿宋"/>
                <w:szCs w:val="21"/>
                <w:highlight w:val="none"/>
                <w:lang w:eastAsia="zh-CN"/>
              </w:rPr>
              <w:t>财务状况报告或者经审计的财务报告或者银行出具的资信证明</w:t>
            </w:r>
            <w:r>
              <w:rPr>
                <w:rFonts w:hint="eastAsia" w:ascii="仿宋" w:hAnsi="仿宋" w:eastAsia="仿宋" w:cs="仿宋"/>
                <w:szCs w:val="21"/>
                <w:highlight w:val="none"/>
              </w:rPr>
              <w:t>，成立不满一年的应按提交响应文件截止时间上一个月的财务状况报告</w:t>
            </w:r>
            <w:r>
              <w:rPr>
                <w:rFonts w:hint="eastAsia" w:ascii="仿宋" w:hAnsi="仿宋" w:eastAsia="仿宋" w:cs="仿宋"/>
                <w:szCs w:val="21"/>
                <w:highlight w:val="none"/>
                <w:lang w:eastAsia="zh-CN"/>
              </w:rPr>
              <w:t>或者银行出具的资信证明</w:t>
            </w:r>
            <w:r>
              <w:rPr>
                <w:rFonts w:hint="eastAsia" w:ascii="仿宋" w:hAnsi="仿宋" w:eastAsia="仿宋" w:cs="仿宋"/>
                <w:szCs w:val="21"/>
                <w:highlight w:val="none"/>
              </w:rPr>
              <w:t>扫描件。供应商是法人的【上述财务状况报告包括：①供应商执行《企业会计准则》的，提供资产负债表、利润表、现金流量表、所有者权益变动表（如有）及其附注，以下称“四表一注”；②供应商执行《小企业会计准则》的，提供资产负债表、利润表、现金流量表及其附注，以下称“三表一注”；③供应商执行《政府会计制度》的，提供资产负债表、收入费用表和净资产变动表及其附注】；供应商是其他组织或者自然人的，应提供经审计的财务报告（含第三方审计机构评估的财务报告）（包括“四表一注”、“三表一注”)或者银行出具的资信证明</w:t>
            </w:r>
            <w:r>
              <w:rPr>
                <w:rFonts w:hint="eastAsia" w:ascii="仿宋" w:hAnsi="仿宋" w:eastAsia="仿宋" w:cs="仿宋"/>
                <w:szCs w:val="21"/>
                <w:highlight w:val="none"/>
                <w:lang w:eastAsia="zh-CN"/>
              </w:rPr>
              <w:t>（资信证明应在有效期内，未注明有效期的，银行出具时间至响应文件提交截止时间不超过一年）</w:t>
            </w:r>
            <w:r>
              <w:rPr>
                <w:rFonts w:hint="eastAsia" w:ascii="仿宋" w:hAnsi="仿宋" w:eastAsia="仿宋" w:cs="仿宋"/>
                <w:szCs w:val="21"/>
                <w:highlight w:val="none"/>
              </w:rPr>
              <w:t>]（</w:t>
            </w:r>
            <w:r>
              <w:rPr>
                <w:rFonts w:hint="eastAsia" w:ascii="仿宋" w:hAnsi="仿宋" w:eastAsia="仿宋" w:cs="仿宋"/>
                <w:b/>
                <w:szCs w:val="21"/>
                <w:highlight w:val="none"/>
              </w:rPr>
              <w:t>必须提供，否则作无效竞标处理</w:t>
            </w:r>
            <w:r>
              <w:rPr>
                <w:rFonts w:hint="eastAsia" w:ascii="仿宋" w:hAnsi="仿宋" w:eastAsia="仿宋" w:cs="仿宋"/>
                <w:szCs w:val="21"/>
                <w:highlight w:val="none"/>
              </w:rPr>
              <w:t>）</w:t>
            </w:r>
          </w:p>
          <w:p w14:paraId="0ABBA078">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5.供应商直接控股、管理关系信息表；（</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5FEBECC6">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6.资格声明函；（</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687DC618">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7.</w:t>
            </w:r>
            <w:r>
              <w:rPr>
                <w:rFonts w:hint="eastAsia" w:ascii="仿宋" w:hAnsi="仿宋" w:eastAsia="仿宋" w:cs="仿宋"/>
                <w:highlight w:val="none"/>
              </w:rPr>
              <w:t>联合体协议书；（</w:t>
            </w:r>
            <w:r>
              <w:rPr>
                <w:rFonts w:hint="eastAsia" w:ascii="仿宋" w:hAnsi="仿宋" w:eastAsia="仿宋" w:cs="仿宋"/>
                <w:b/>
                <w:highlight w:val="none"/>
              </w:rPr>
              <w:t>联合体竞标时必须提供，否则响应文件按无效响应处理</w:t>
            </w:r>
            <w:r>
              <w:rPr>
                <w:rFonts w:hint="eastAsia" w:ascii="仿宋" w:hAnsi="仿宋" w:eastAsia="仿宋" w:cs="仿宋"/>
                <w:highlight w:val="none"/>
              </w:rPr>
              <w:t>）</w:t>
            </w:r>
          </w:p>
          <w:p w14:paraId="1762E060">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8.</w:t>
            </w:r>
            <w:r>
              <w:rPr>
                <w:rFonts w:hint="eastAsia" w:ascii="仿宋" w:hAnsi="仿宋" w:eastAsia="仿宋" w:cs="仿宋"/>
                <w:highlight w:val="none"/>
              </w:rPr>
              <w:t>落实政府采购政策需满足的资格要求的证明文件</w:t>
            </w:r>
            <w:r>
              <w:rPr>
                <w:rFonts w:hint="eastAsia" w:ascii="仿宋" w:hAnsi="仿宋" w:eastAsia="仿宋" w:cs="仿宋"/>
                <w:b/>
                <w:bCs/>
                <w:szCs w:val="21"/>
                <w:highlight w:val="none"/>
              </w:rPr>
              <w:t>(如有</w:t>
            </w:r>
            <w:r>
              <w:rPr>
                <w:rFonts w:hint="eastAsia" w:ascii="仿宋" w:hAnsi="仿宋" w:eastAsia="仿宋" w:cs="仿宋"/>
                <w:b/>
                <w:bCs/>
                <w:szCs w:val="21"/>
                <w:highlight w:val="none"/>
                <w:lang w:val="en-US" w:eastAsia="zh-CN"/>
              </w:rPr>
              <w:t>要求必须提供，根据要求上传《中小企业声明函》或监狱企业的证明文件或《残疾人福利性单位声明函》，否则响应文件按无效响应处理。</w:t>
            </w:r>
            <w:r>
              <w:rPr>
                <w:rFonts w:hint="eastAsia" w:ascii="仿宋" w:hAnsi="仿宋" w:eastAsia="仿宋" w:cs="仿宋"/>
                <w:b/>
                <w:bCs/>
                <w:szCs w:val="21"/>
                <w:highlight w:val="none"/>
              </w:rPr>
              <w:t>)；</w:t>
            </w:r>
          </w:p>
          <w:p w14:paraId="3E0F496C">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9.根据竞争性磋商公告对应的特定资格要求及特定条件的资格证明材料；（</w:t>
            </w:r>
            <w:r>
              <w:rPr>
                <w:rFonts w:hint="eastAsia" w:ascii="仿宋" w:hAnsi="仿宋" w:eastAsia="仿宋" w:cs="仿宋"/>
                <w:b/>
                <w:szCs w:val="21"/>
                <w:highlight w:val="none"/>
              </w:rPr>
              <w:t>如有要求则需提供，否则响应文件按无效响应处理</w:t>
            </w:r>
            <w:r>
              <w:rPr>
                <w:rFonts w:hint="eastAsia" w:ascii="仿宋" w:hAnsi="仿宋" w:eastAsia="仿宋" w:cs="仿宋"/>
                <w:szCs w:val="21"/>
                <w:highlight w:val="none"/>
              </w:rPr>
              <w:t>）</w:t>
            </w:r>
          </w:p>
          <w:p w14:paraId="64F18A6C">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10</w:t>
            </w:r>
            <w:r>
              <w:rPr>
                <w:rFonts w:hint="eastAsia" w:ascii="仿宋" w:hAnsi="仿宋" w:eastAsia="仿宋" w:cs="仿宋"/>
                <w:szCs w:val="21"/>
                <w:highlight w:val="none"/>
                <w:lang w:val="en-US" w:eastAsia="zh-CN"/>
              </w:rPr>
              <w:t>.</w:t>
            </w:r>
            <w:r>
              <w:rPr>
                <w:rFonts w:hint="eastAsia" w:ascii="仿宋" w:hAnsi="仿宋" w:eastAsia="仿宋" w:cs="仿宋"/>
                <w:szCs w:val="21"/>
                <w:highlight w:val="none"/>
              </w:rPr>
              <w:t>除磋商文件规定必须提供以外，供应商认为需要提供的其他证明材料。</w:t>
            </w:r>
          </w:p>
          <w:p w14:paraId="63F471B9">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b/>
                <w:szCs w:val="21"/>
                <w:highlight w:val="none"/>
              </w:rPr>
            </w:pPr>
            <w:r>
              <w:rPr>
                <w:rFonts w:hint="eastAsia" w:ascii="仿宋" w:hAnsi="仿宋" w:eastAsia="仿宋" w:cs="仿宋"/>
                <w:b/>
                <w:szCs w:val="21"/>
                <w:highlight w:val="none"/>
              </w:rPr>
              <w:t>注：</w:t>
            </w:r>
          </w:p>
          <w:p w14:paraId="5D490275">
            <w:pPr>
              <w:keepNext w:val="0"/>
              <w:keepLines w:val="0"/>
              <w:suppressLineNumbers w:val="0"/>
              <w:snapToGrid w:val="0"/>
              <w:spacing w:before="0" w:beforeAutospacing="0" w:after="0" w:afterAutospacing="0" w:line="400" w:lineRule="exact"/>
              <w:ind w:left="0" w:right="0" w:firstLine="413" w:firstLineChars="196"/>
              <w:jc w:val="left"/>
              <w:rPr>
                <w:rFonts w:hint="eastAsia" w:ascii="仿宋" w:hAnsi="仿宋" w:eastAsia="仿宋" w:cs="仿宋"/>
                <w:b/>
                <w:szCs w:val="21"/>
                <w:highlight w:val="none"/>
              </w:rPr>
            </w:pPr>
            <w:r>
              <w:rPr>
                <w:rFonts w:hint="eastAsia" w:ascii="仿宋" w:hAnsi="仿宋" w:eastAsia="仿宋" w:cs="仿宋"/>
                <w:b/>
                <w:szCs w:val="21"/>
                <w:highlight w:val="none"/>
              </w:rPr>
              <w:t>1.以上标明“必须提供”的材料属于复印件的扫描件的，必须加盖供应商电子公章，否则响应文件按无效响应处理。</w:t>
            </w:r>
          </w:p>
          <w:p w14:paraId="2CA9C8C2">
            <w:pPr>
              <w:keepNext w:val="0"/>
              <w:keepLines w:val="0"/>
              <w:suppressLineNumbers w:val="0"/>
              <w:snapToGrid w:val="0"/>
              <w:spacing w:before="0" w:beforeAutospacing="0" w:after="0" w:afterAutospacing="0" w:line="400" w:lineRule="exact"/>
              <w:ind w:left="0" w:right="0" w:firstLine="413" w:firstLineChars="196"/>
              <w:jc w:val="left"/>
              <w:rPr>
                <w:rFonts w:hint="eastAsia" w:ascii="仿宋" w:hAnsi="仿宋" w:eastAsia="仿宋" w:cs="仿宋"/>
                <w:b/>
                <w:szCs w:val="21"/>
                <w:highlight w:val="none"/>
              </w:rPr>
            </w:pPr>
            <w:r>
              <w:rPr>
                <w:rFonts w:hint="eastAsia" w:ascii="仿宋" w:hAnsi="仿宋" w:eastAsia="仿宋" w:cs="仿宋"/>
                <w:b/>
                <w:szCs w:val="21"/>
                <w:highlight w:val="none"/>
              </w:rPr>
              <w:t>2.</w:t>
            </w:r>
            <w:r>
              <w:rPr>
                <w:rFonts w:hint="eastAsia" w:ascii="仿宋" w:hAnsi="仿宋" w:eastAsia="仿宋" w:cs="仿宋"/>
                <w:b/>
                <w:szCs w:val="21"/>
                <w:highlight w:val="none"/>
                <w:lang w:val="en-US" w:eastAsia="zh-CN"/>
              </w:rPr>
              <w:t>联合体竞标时，第1-5项资格证明文件联合体各方均必须分别提供，联合体各方分别盖章和签字，否则响应文件按无效响应处理</w:t>
            </w:r>
            <w:r>
              <w:rPr>
                <w:rFonts w:hint="eastAsia" w:ascii="仿宋" w:hAnsi="仿宋" w:eastAsia="仿宋" w:cs="仿宋"/>
                <w:b/>
                <w:szCs w:val="21"/>
                <w:highlight w:val="none"/>
              </w:rPr>
              <w:t>。</w:t>
            </w:r>
          </w:p>
        </w:tc>
      </w:tr>
      <w:tr w14:paraId="7E974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Merge w:val="restart"/>
            <w:vAlign w:val="center"/>
          </w:tcPr>
          <w:p w14:paraId="4B2A4D6B">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12.1.2</w:t>
            </w:r>
          </w:p>
        </w:tc>
        <w:tc>
          <w:tcPr>
            <w:tcW w:w="2385" w:type="dxa"/>
            <w:vAlign w:val="center"/>
          </w:tcPr>
          <w:p w14:paraId="0963B902">
            <w:pPr>
              <w:keepNext w:val="0"/>
              <w:keepLines w:val="0"/>
              <w:suppressLineNumbers w:val="0"/>
              <w:spacing w:before="0" w:beforeAutospacing="0" w:after="0" w:afterAutospacing="0" w:line="400" w:lineRule="exact"/>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商务文件组成</w:t>
            </w:r>
          </w:p>
        </w:tc>
        <w:tc>
          <w:tcPr>
            <w:tcW w:w="6019" w:type="dxa"/>
            <w:vAlign w:val="center"/>
          </w:tcPr>
          <w:p w14:paraId="4FA2D98F">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1.无串通竞标行为的承诺函；（</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6C79ED54">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2.法定代表人身份证明书及法定代表人有效身份证正反面复印件；（</w:t>
            </w:r>
            <w:r>
              <w:rPr>
                <w:rFonts w:hint="eastAsia" w:ascii="仿宋" w:hAnsi="仿宋" w:eastAsia="仿宋" w:cs="仿宋"/>
                <w:b/>
                <w:bCs/>
                <w:szCs w:val="21"/>
                <w:highlight w:val="none"/>
              </w:rPr>
              <w:t>除自然人竞标外</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42766C69">
            <w:pPr>
              <w:keepNext w:val="0"/>
              <w:keepLines w:val="0"/>
              <w:suppressLineNumbers w:val="0"/>
              <w:spacing w:before="0" w:beforeAutospacing="0" w:after="0" w:afterAutospacing="0" w:line="400" w:lineRule="exact"/>
              <w:ind w:left="0" w:right="0"/>
              <w:rPr>
                <w:rFonts w:hint="eastAsia" w:ascii="仿宋" w:hAnsi="仿宋" w:eastAsia="仿宋" w:cs="仿宋"/>
                <w:b/>
                <w:szCs w:val="21"/>
                <w:highlight w:val="none"/>
              </w:rPr>
            </w:pPr>
            <w:r>
              <w:rPr>
                <w:rFonts w:hint="eastAsia" w:ascii="仿宋" w:hAnsi="仿宋" w:eastAsia="仿宋" w:cs="仿宋"/>
                <w:szCs w:val="21"/>
                <w:highlight w:val="none"/>
              </w:rPr>
              <w:t>3.法定代表人授权委托书及委托代理人有效身份证正反面复印件；（</w:t>
            </w:r>
            <w:r>
              <w:rPr>
                <w:rFonts w:hint="eastAsia" w:ascii="仿宋" w:hAnsi="仿宋" w:eastAsia="仿宋" w:cs="仿宋"/>
                <w:b/>
                <w:szCs w:val="21"/>
                <w:highlight w:val="none"/>
              </w:rPr>
              <w:t>委托时必须提供，否则响应文件按无效响应处理</w:t>
            </w:r>
            <w:r>
              <w:rPr>
                <w:rFonts w:hint="eastAsia" w:ascii="仿宋" w:hAnsi="仿宋" w:eastAsia="仿宋" w:cs="仿宋"/>
                <w:szCs w:val="21"/>
                <w:highlight w:val="none"/>
              </w:rPr>
              <w:t>）</w:t>
            </w:r>
          </w:p>
          <w:p w14:paraId="547B3E5A">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4.商务条款偏离表；（</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00886BC7">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5.竞标供应商情况介绍；</w:t>
            </w:r>
          </w:p>
          <w:p w14:paraId="52BA368D">
            <w:pPr>
              <w:keepNext w:val="0"/>
              <w:keepLines w:val="0"/>
              <w:suppressLineNumbers w:val="0"/>
              <w:spacing w:before="0" w:beforeAutospacing="0" w:after="0" w:afterAutospacing="0" w:line="400" w:lineRule="exact"/>
              <w:ind w:left="0" w:right="0"/>
              <w:rPr>
                <w:rFonts w:hint="eastAsia" w:ascii="仿宋" w:hAnsi="仿宋" w:eastAsia="仿宋" w:cs="仿宋"/>
                <w:bCs/>
                <w:szCs w:val="21"/>
                <w:highlight w:val="none"/>
              </w:rPr>
            </w:pPr>
            <w:r>
              <w:rPr>
                <w:rFonts w:hint="eastAsia" w:ascii="仿宋" w:hAnsi="仿宋" w:eastAsia="仿宋" w:cs="仿宋"/>
                <w:szCs w:val="21"/>
                <w:highlight w:val="none"/>
              </w:rPr>
              <w:t>6.</w:t>
            </w:r>
            <w:r>
              <w:rPr>
                <w:rFonts w:hint="eastAsia" w:ascii="仿宋" w:hAnsi="仿宋" w:eastAsia="仿宋" w:cs="仿宋"/>
                <w:bCs/>
                <w:szCs w:val="21"/>
                <w:highlight w:val="none"/>
              </w:rPr>
              <w:t>竞标供应商类似的业绩证明文件</w:t>
            </w:r>
            <w:r>
              <w:rPr>
                <w:rFonts w:hint="eastAsia" w:ascii="仿宋" w:hAnsi="仿宋" w:eastAsia="仿宋" w:cs="仿宋"/>
                <w:szCs w:val="21"/>
                <w:highlight w:val="none"/>
              </w:rPr>
              <w:t>；</w:t>
            </w:r>
          </w:p>
          <w:p w14:paraId="6A29E1AD">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7.项目实施人员一览表；</w:t>
            </w:r>
          </w:p>
          <w:p w14:paraId="1010B047">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8.供应商认为需要提供的其他有关资料。</w:t>
            </w:r>
          </w:p>
          <w:p w14:paraId="0677BCEC">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b/>
                <w:szCs w:val="21"/>
                <w:highlight w:val="none"/>
              </w:rPr>
            </w:pPr>
            <w:r>
              <w:rPr>
                <w:rFonts w:hint="eastAsia" w:ascii="仿宋" w:hAnsi="仿宋" w:eastAsia="仿宋" w:cs="仿宋"/>
                <w:b/>
                <w:szCs w:val="21"/>
                <w:highlight w:val="none"/>
              </w:rPr>
              <w:t xml:space="preserve">注： </w:t>
            </w:r>
          </w:p>
          <w:p w14:paraId="2A32E8EB">
            <w:pPr>
              <w:keepNext w:val="0"/>
              <w:keepLines w:val="0"/>
              <w:suppressLineNumbers w:val="0"/>
              <w:snapToGrid w:val="0"/>
              <w:spacing w:before="0" w:beforeAutospacing="0" w:after="0" w:afterAutospacing="0" w:line="400" w:lineRule="exact"/>
              <w:ind w:left="0" w:right="0" w:firstLine="413" w:firstLineChars="196"/>
              <w:jc w:val="left"/>
              <w:rPr>
                <w:rFonts w:hint="eastAsia" w:ascii="仿宋" w:hAnsi="仿宋" w:eastAsia="仿宋" w:cs="仿宋"/>
                <w:b/>
                <w:szCs w:val="21"/>
                <w:highlight w:val="none"/>
              </w:rPr>
            </w:pPr>
            <w:r>
              <w:rPr>
                <w:rFonts w:hint="eastAsia" w:ascii="仿宋" w:hAnsi="仿宋" w:eastAsia="仿宋" w:cs="仿宋"/>
                <w:b/>
                <w:szCs w:val="21"/>
                <w:highlight w:val="none"/>
              </w:rPr>
              <w:t>1.法定代表人授权委托书必须由法定代表人签字或盖章或电子签名，委托代理人签字或者电子签名，并加盖供应商公章，否则响应文件按无效响应处理。</w:t>
            </w:r>
          </w:p>
          <w:p w14:paraId="665689D0">
            <w:pPr>
              <w:keepNext w:val="0"/>
              <w:keepLines w:val="0"/>
              <w:suppressLineNumbers w:val="0"/>
              <w:spacing w:before="0" w:beforeAutospacing="0" w:after="0" w:afterAutospacing="0" w:line="400" w:lineRule="exact"/>
              <w:ind w:left="0" w:right="0" w:firstLine="413" w:firstLineChars="196"/>
              <w:rPr>
                <w:rFonts w:hint="eastAsia" w:ascii="仿宋" w:hAnsi="仿宋" w:eastAsia="仿宋" w:cs="仿宋"/>
                <w:b/>
                <w:szCs w:val="21"/>
                <w:highlight w:val="none"/>
              </w:rPr>
            </w:pPr>
            <w:r>
              <w:rPr>
                <w:rFonts w:hint="eastAsia" w:ascii="仿宋" w:hAnsi="仿宋" w:eastAsia="仿宋" w:cs="仿宋"/>
                <w:b/>
                <w:szCs w:val="21"/>
                <w:highlight w:val="none"/>
              </w:rPr>
              <w:t>2.以上标明“必须提供”的材料属于复印件的扫描件的，必须加盖供应商电子公章，否则响应文件按无效响应处理。</w:t>
            </w:r>
          </w:p>
        </w:tc>
      </w:tr>
      <w:tr w14:paraId="54C7F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Merge w:val="continue"/>
            <w:vAlign w:val="center"/>
          </w:tcPr>
          <w:p w14:paraId="6AA39664">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p>
        </w:tc>
        <w:tc>
          <w:tcPr>
            <w:tcW w:w="2385" w:type="dxa"/>
            <w:vAlign w:val="center"/>
          </w:tcPr>
          <w:p w14:paraId="0879C6D2">
            <w:pPr>
              <w:keepNext w:val="0"/>
              <w:keepLines w:val="0"/>
              <w:suppressLineNumbers w:val="0"/>
              <w:spacing w:before="0" w:beforeAutospacing="0" w:after="0" w:afterAutospacing="0" w:line="400" w:lineRule="exact"/>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技术文件组成</w:t>
            </w:r>
          </w:p>
        </w:tc>
        <w:tc>
          <w:tcPr>
            <w:tcW w:w="6019" w:type="dxa"/>
            <w:vAlign w:val="center"/>
          </w:tcPr>
          <w:p w14:paraId="1F0CCDF6">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1.服务需求偏离表；（</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2FB04BCC">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2.服务方案；（</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1CDEF2D9">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3.售后服务承诺；（</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7F39C96F">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4.对应采购需求的服务需求、商务条款提供的其他文件资料；</w:t>
            </w:r>
          </w:p>
          <w:p w14:paraId="2ABDF1C5">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5.供应商认为需要提供的其他有关资料。</w:t>
            </w:r>
          </w:p>
          <w:p w14:paraId="228A4161">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b/>
                <w:szCs w:val="21"/>
                <w:highlight w:val="none"/>
              </w:rPr>
              <w:t>注：1.以上标明“必须提供”的材料属于复印件的扫描件的，必须加盖供应商电子公章，否则响应文件按无效响应处理。</w:t>
            </w:r>
          </w:p>
        </w:tc>
      </w:tr>
      <w:tr w14:paraId="3CFCC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7DA16F05">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12.1.2</w:t>
            </w:r>
          </w:p>
        </w:tc>
        <w:tc>
          <w:tcPr>
            <w:tcW w:w="2385" w:type="dxa"/>
            <w:vAlign w:val="center"/>
          </w:tcPr>
          <w:p w14:paraId="7A8C72E3">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b/>
                <w:bCs/>
                <w:szCs w:val="21"/>
                <w:highlight w:val="none"/>
              </w:rPr>
              <w:t>报价文件组成</w:t>
            </w:r>
          </w:p>
        </w:tc>
        <w:tc>
          <w:tcPr>
            <w:tcW w:w="6019" w:type="dxa"/>
            <w:vAlign w:val="center"/>
          </w:tcPr>
          <w:p w14:paraId="13E0FFD3">
            <w:pPr>
              <w:keepNext w:val="0"/>
              <w:keepLines w:val="0"/>
              <w:suppressLineNumbers w:val="0"/>
              <w:tabs>
                <w:tab w:val="left" w:pos="459"/>
              </w:tabs>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1.响应函；</w:t>
            </w:r>
            <w:r>
              <w:rPr>
                <w:rFonts w:hint="eastAsia" w:ascii="仿宋" w:hAnsi="仿宋" w:eastAsia="仿宋" w:cs="仿宋"/>
                <w:b/>
                <w:szCs w:val="21"/>
                <w:highlight w:val="none"/>
              </w:rPr>
              <w:t>（必须提供，否则作无效响应处理）</w:t>
            </w:r>
          </w:p>
          <w:p w14:paraId="382AF5EF">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2.响应报价表；（</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54AA47CE">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szCs w:val="21"/>
                <w:highlight w:val="none"/>
                <w:lang w:eastAsia="zh-CN"/>
              </w:rPr>
              <w:t>《中小企业声明函》或监狱企业的证明文件或《残疾人福利性单位声明函》</w:t>
            </w:r>
            <w:r>
              <w:rPr>
                <w:rFonts w:hint="eastAsia" w:ascii="仿宋" w:hAnsi="仿宋" w:eastAsia="仿宋" w:cs="仿宋"/>
                <w:szCs w:val="21"/>
                <w:highlight w:val="none"/>
              </w:rPr>
              <w:t>。</w:t>
            </w:r>
          </w:p>
        </w:tc>
      </w:tr>
      <w:tr w14:paraId="2585E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6FCD3597">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12.2</w:t>
            </w:r>
          </w:p>
        </w:tc>
        <w:tc>
          <w:tcPr>
            <w:tcW w:w="2385" w:type="dxa"/>
            <w:vAlign w:val="center"/>
          </w:tcPr>
          <w:p w14:paraId="255BE6E5">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响应文件电子版要求</w:t>
            </w:r>
          </w:p>
        </w:tc>
        <w:tc>
          <w:tcPr>
            <w:tcW w:w="6019" w:type="dxa"/>
            <w:vAlign w:val="center"/>
          </w:tcPr>
          <w:p w14:paraId="5644D46F">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1.响应文件电子版要求：按照本采购文件“第五章 响应文件格式”编写（第五章未附格式的，由供应商自行拟定），不可涂改，并在规定加盖公章处加盖电子公章，</w:t>
            </w:r>
            <w:r>
              <w:rPr>
                <w:rFonts w:hint="eastAsia" w:ascii="仿宋" w:hAnsi="仿宋" w:eastAsia="仿宋" w:cs="仿宋"/>
                <w:b/>
                <w:szCs w:val="21"/>
                <w:highlight w:val="none"/>
              </w:rPr>
              <w:t>否则响应文件按无效响应处理</w:t>
            </w:r>
            <w:r>
              <w:rPr>
                <w:rFonts w:hint="eastAsia" w:ascii="仿宋" w:hAnsi="仿宋" w:eastAsia="仿宋" w:cs="仿宋"/>
                <w:szCs w:val="21"/>
                <w:highlight w:val="none"/>
              </w:rPr>
              <w:t>。</w:t>
            </w:r>
          </w:p>
          <w:p w14:paraId="5D2391E3">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2.响应文件电子版密封方式：电子响应文件通过平台有效CA加密后在“广西政府采购云平台”平台投送。（操作方式见公告附件“电子响应文件制作与投送教程”）</w:t>
            </w:r>
          </w:p>
        </w:tc>
      </w:tr>
      <w:tr w14:paraId="0D7FD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4E8D813B">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15.2</w:t>
            </w:r>
          </w:p>
        </w:tc>
        <w:tc>
          <w:tcPr>
            <w:tcW w:w="2385" w:type="dxa"/>
            <w:vAlign w:val="center"/>
          </w:tcPr>
          <w:p w14:paraId="7DFC5D3C">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响应报价要求</w:t>
            </w:r>
          </w:p>
        </w:tc>
        <w:tc>
          <w:tcPr>
            <w:tcW w:w="6019" w:type="dxa"/>
            <w:vAlign w:val="center"/>
          </w:tcPr>
          <w:p w14:paraId="0D5AEAEA">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仿宋" w:hAnsi="仿宋" w:eastAsia="仿宋" w:cs="仿宋"/>
                <w:b/>
                <w:szCs w:val="21"/>
                <w:highlight w:val="none"/>
              </w:rPr>
              <w:t>（采购需求另有约定的，从其约定。）</w:t>
            </w:r>
          </w:p>
        </w:tc>
      </w:tr>
      <w:tr w14:paraId="401E5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47FE9C34">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16.2</w:t>
            </w:r>
          </w:p>
        </w:tc>
        <w:tc>
          <w:tcPr>
            <w:tcW w:w="2385" w:type="dxa"/>
            <w:vAlign w:val="center"/>
          </w:tcPr>
          <w:p w14:paraId="44B328E0">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竞标有效期</w:t>
            </w:r>
          </w:p>
        </w:tc>
        <w:tc>
          <w:tcPr>
            <w:tcW w:w="6019" w:type="dxa"/>
            <w:vAlign w:val="center"/>
          </w:tcPr>
          <w:p w14:paraId="626823A4">
            <w:pPr>
              <w:keepNext w:val="0"/>
              <w:keepLines w:val="0"/>
              <w:suppressLineNumbers w:val="0"/>
              <w:tabs>
                <w:tab w:val="left" w:pos="360"/>
                <w:tab w:val="left" w:pos="720"/>
                <w:tab w:val="left" w:pos="840"/>
              </w:tabs>
              <w:snapToGrid w:val="0"/>
              <w:spacing w:before="0" w:beforeAutospacing="0" w:after="0" w:afterAutospacing="0" w:line="400" w:lineRule="exact"/>
              <w:ind w:left="283" w:right="0" w:hanging="283" w:hangingChars="135"/>
              <w:rPr>
                <w:rFonts w:hint="eastAsia" w:ascii="仿宋" w:hAnsi="仿宋" w:eastAsia="仿宋" w:cs="仿宋"/>
                <w:szCs w:val="21"/>
                <w:highlight w:val="none"/>
              </w:rPr>
            </w:pPr>
            <w:r>
              <w:rPr>
                <w:rFonts w:hint="eastAsia" w:ascii="仿宋" w:hAnsi="仿宋" w:eastAsia="仿宋" w:cs="仿宋"/>
                <w:szCs w:val="21"/>
                <w:highlight w:val="none"/>
              </w:rPr>
              <w:t>自首次响应文件提交截止之日起</w:t>
            </w:r>
            <w:bookmarkStart w:id="73" w:name="PO_3000001868_PM046"/>
            <w:r>
              <w:rPr>
                <w:rFonts w:hint="eastAsia" w:ascii="仿宋" w:hAnsi="仿宋" w:eastAsia="仿宋" w:cs="仿宋"/>
                <w:szCs w:val="21"/>
                <w:highlight w:val="none"/>
                <w:u w:val="single"/>
              </w:rPr>
              <w:t>90</w:t>
            </w:r>
            <w:r>
              <w:rPr>
                <w:rFonts w:hint="eastAsia" w:ascii="仿宋" w:hAnsi="仿宋" w:eastAsia="仿宋" w:cs="仿宋"/>
                <w:szCs w:val="21"/>
                <w:highlight w:val="none"/>
              </w:rPr>
              <w:t>日历天</w:t>
            </w:r>
            <w:bookmarkEnd w:id="73"/>
            <w:r>
              <w:rPr>
                <w:rFonts w:hint="eastAsia" w:ascii="仿宋" w:hAnsi="仿宋" w:eastAsia="仿宋" w:cs="仿宋"/>
                <w:szCs w:val="21"/>
                <w:highlight w:val="none"/>
              </w:rPr>
              <w:t>。</w:t>
            </w:r>
          </w:p>
        </w:tc>
      </w:tr>
      <w:tr w14:paraId="4FF9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31422AC2">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17.1</w:t>
            </w:r>
          </w:p>
        </w:tc>
        <w:tc>
          <w:tcPr>
            <w:tcW w:w="2385" w:type="dxa"/>
            <w:vAlign w:val="center"/>
          </w:tcPr>
          <w:p w14:paraId="19B269C2">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磋商保证金</w:t>
            </w:r>
          </w:p>
        </w:tc>
        <w:tc>
          <w:tcPr>
            <w:tcW w:w="6019" w:type="dxa"/>
            <w:vAlign w:val="center"/>
          </w:tcPr>
          <w:p w14:paraId="3CDA23A8">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 w:hAnsi="仿宋" w:eastAsia="仿宋" w:cs="仿宋"/>
                <w:szCs w:val="21"/>
                <w:highlight w:val="none"/>
              </w:rPr>
            </w:pPr>
            <w:r>
              <w:rPr>
                <w:rFonts w:hint="eastAsia" w:ascii="仿宋" w:hAnsi="仿宋" w:eastAsia="仿宋" w:cs="仿宋"/>
                <w:szCs w:val="21"/>
                <w:highlight w:val="none"/>
              </w:rPr>
              <w:t>本项目不收取磋商保证金。</w:t>
            </w:r>
          </w:p>
        </w:tc>
      </w:tr>
      <w:tr w14:paraId="2F822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20" w:type="dxa"/>
            <w:vMerge w:val="restart"/>
            <w:vAlign w:val="center"/>
          </w:tcPr>
          <w:p w14:paraId="6BCD6BDE">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20.1</w:t>
            </w:r>
          </w:p>
        </w:tc>
        <w:tc>
          <w:tcPr>
            <w:tcW w:w="2385" w:type="dxa"/>
            <w:vAlign w:val="center"/>
          </w:tcPr>
          <w:p w14:paraId="62B26DF9">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首次响应文件提交起止时间</w:t>
            </w:r>
          </w:p>
        </w:tc>
        <w:tc>
          <w:tcPr>
            <w:tcW w:w="6019" w:type="dxa"/>
            <w:vAlign w:val="center"/>
          </w:tcPr>
          <w:p w14:paraId="49A9E8DB">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u w:val="single"/>
              </w:rPr>
            </w:pPr>
            <w:r>
              <w:rPr>
                <w:rFonts w:hint="eastAsia" w:ascii="仿宋" w:hAnsi="仿宋" w:eastAsia="仿宋" w:cs="仿宋"/>
                <w:szCs w:val="21"/>
                <w:highlight w:val="none"/>
              </w:rPr>
              <w:t>详见竞争性磋商公告。</w:t>
            </w:r>
          </w:p>
        </w:tc>
      </w:tr>
      <w:tr w14:paraId="54ADE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20" w:type="dxa"/>
            <w:vMerge w:val="continue"/>
            <w:vAlign w:val="center"/>
          </w:tcPr>
          <w:p w14:paraId="37F95E6D">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p>
        </w:tc>
        <w:tc>
          <w:tcPr>
            <w:tcW w:w="2385" w:type="dxa"/>
            <w:vAlign w:val="center"/>
          </w:tcPr>
          <w:p w14:paraId="1F90A000">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首次响应文件提交地点</w:t>
            </w:r>
          </w:p>
        </w:tc>
        <w:tc>
          <w:tcPr>
            <w:tcW w:w="6019" w:type="dxa"/>
            <w:vAlign w:val="center"/>
          </w:tcPr>
          <w:p w14:paraId="42776B99">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u w:val="single"/>
              </w:rPr>
            </w:pPr>
            <w:r>
              <w:rPr>
                <w:rFonts w:hint="eastAsia" w:ascii="仿宋" w:hAnsi="仿宋" w:eastAsia="仿宋" w:cs="仿宋"/>
                <w:szCs w:val="21"/>
                <w:highlight w:val="none"/>
              </w:rPr>
              <w:t>详见竞争性磋商公告。</w:t>
            </w:r>
          </w:p>
        </w:tc>
      </w:tr>
      <w:tr w14:paraId="01AB5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20" w:type="dxa"/>
            <w:vAlign w:val="center"/>
          </w:tcPr>
          <w:p w14:paraId="58830349">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20.6</w:t>
            </w:r>
          </w:p>
        </w:tc>
        <w:tc>
          <w:tcPr>
            <w:tcW w:w="2385" w:type="dxa"/>
            <w:vAlign w:val="center"/>
          </w:tcPr>
          <w:p w14:paraId="5ED76810">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备份响应文件</w:t>
            </w:r>
          </w:p>
        </w:tc>
        <w:tc>
          <w:tcPr>
            <w:tcW w:w="6019" w:type="dxa"/>
            <w:vAlign w:val="center"/>
          </w:tcPr>
          <w:p w14:paraId="65379BB2">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本项目不接受备份响应文件。</w:t>
            </w:r>
          </w:p>
        </w:tc>
      </w:tr>
      <w:tr w14:paraId="0EE1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20" w:type="dxa"/>
            <w:vAlign w:val="center"/>
          </w:tcPr>
          <w:p w14:paraId="009244A2">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21</w:t>
            </w:r>
          </w:p>
        </w:tc>
        <w:tc>
          <w:tcPr>
            <w:tcW w:w="2385" w:type="dxa"/>
            <w:vAlign w:val="center"/>
          </w:tcPr>
          <w:p w14:paraId="3F28A30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首次响应文件的退回</w:t>
            </w:r>
          </w:p>
        </w:tc>
        <w:tc>
          <w:tcPr>
            <w:tcW w:w="6019" w:type="dxa"/>
            <w:vAlign w:val="center"/>
          </w:tcPr>
          <w:p w14:paraId="16410104">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详见竞争性磋商公告。</w:t>
            </w:r>
          </w:p>
        </w:tc>
      </w:tr>
      <w:tr w14:paraId="7CF74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20" w:type="dxa"/>
            <w:vMerge w:val="restart"/>
            <w:vAlign w:val="center"/>
          </w:tcPr>
          <w:p w14:paraId="5AFAA4A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26.2</w:t>
            </w:r>
          </w:p>
        </w:tc>
        <w:tc>
          <w:tcPr>
            <w:tcW w:w="2385" w:type="dxa"/>
            <w:vAlign w:val="center"/>
          </w:tcPr>
          <w:p w14:paraId="244B8178">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负偏离要求</w:t>
            </w:r>
          </w:p>
        </w:tc>
        <w:tc>
          <w:tcPr>
            <w:tcW w:w="6019" w:type="dxa"/>
            <w:vAlign w:val="center"/>
          </w:tcPr>
          <w:p w14:paraId="7E96C4DD">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商务条款评审中允许负偏离的条款数为</w:t>
            </w:r>
            <w:r>
              <w:rPr>
                <w:rFonts w:hint="eastAsia" w:ascii="仿宋" w:hAnsi="仿宋" w:eastAsia="仿宋" w:cs="仿宋"/>
                <w:szCs w:val="21"/>
                <w:highlight w:val="none"/>
                <w:u w:val="single"/>
              </w:rPr>
              <w:t>0</w:t>
            </w:r>
            <w:r>
              <w:rPr>
                <w:rFonts w:hint="eastAsia" w:ascii="仿宋" w:hAnsi="仿宋" w:eastAsia="仿宋" w:cs="仿宋"/>
                <w:szCs w:val="21"/>
                <w:highlight w:val="none"/>
              </w:rPr>
              <w:t>项。</w:t>
            </w:r>
          </w:p>
          <w:p w14:paraId="5631E233">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服务需求评审中允许负偏离的条款数为</w:t>
            </w:r>
            <w:r>
              <w:rPr>
                <w:rFonts w:hint="eastAsia" w:ascii="仿宋" w:hAnsi="仿宋" w:eastAsia="仿宋" w:cs="仿宋"/>
                <w:szCs w:val="21"/>
                <w:highlight w:val="none"/>
                <w:u w:val="single"/>
              </w:rPr>
              <w:t>0</w:t>
            </w:r>
            <w:r>
              <w:rPr>
                <w:rFonts w:hint="eastAsia" w:ascii="仿宋" w:hAnsi="仿宋" w:eastAsia="仿宋" w:cs="仿宋"/>
                <w:szCs w:val="21"/>
                <w:highlight w:val="none"/>
              </w:rPr>
              <w:t>项。</w:t>
            </w:r>
          </w:p>
        </w:tc>
      </w:tr>
      <w:tr w14:paraId="6940F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Merge w:val="continue"/>
            <w:vAlign w:val="center"/>
          </w:tcPr>
          <w:p w14:paraId="4EE5EBA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p>
        </w:tc>
        <w:tc>
          <w:tcPr>
            <w:tcW w:w="2385" w:type="dxa"/>
            <w:vAlign w:val="center"/>
          </w:tcPr>
          <w:p w14:paraId="79BB1C8A">
            <w:pPr>
              <w:keepNext w:val="0"/>
              <w:keepLines w:val="0"/>
              <w:suppressLineNumbers w:val="0"/>
              <w:snapToGrid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磋商的顺序</w:t>
            </w:r>
          </w:p>
          <w:p w14:paraId="2A1F145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p>
        </w:tc>
        <w:tc>
          <w:tcPr>
            <w:tcW w:w="6019" w:type="dxa"/>
            <w:vAlign w:val="center"/>
          </w:tcPr>
          <w:p w14:paraId="5020CBBD">
            <w:pPr>
              <w:keepNext w:val="0"/>
              <w:keepLines w:val="0"/>
              <w:suppressLineNumbers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□按照提交首次响应文件的顺序，通知磋商时，若某供应商不在通知现场时，该供应商排序到最后磋商，按照签到的顺序由其下一位供应商先参与磋商。</w:t>
            </w:r>
          </w:p>
          <w:p w14:paraId="1247C76E">
            <w:pPr>
              <w:keepNext w:val="0"/>
              <w:keepLines w:val="0"/>
              <w:suppressLineNumbers w:val="0"/>
              <w:snapToGrid w:val="0"/>
              <w:spacing w:before="0" w:beforeAutospacing="0" w:after="0" w:afterAutospacing="0" w:line="400" w:lineRule="exact"/>
              <w:ind w:left="0" w:right="0"/>
              <w:rPr>
                <w:rFonts w:hint="eastAsia" w:ascii="仿宋" w:hAnsi="仿宋" w:eastAsia="仿宋" w:cs="仿宋"/>
                <w:b/>
                <w:szCs w:val="21"/>
                <w:highlight w:val="none"/>
              </w:rPr>
            </w:pPr>
            <w:r>
              <w:rPr>
                <w:rFonts w:hint="eastAsia" w:ascii="仿宋" w:hAnsi="仿宋" w:eastAsia="仿宋" w:cs="仿宋"/>
                <w:szCs w:val="21"/>
                <w:highlight w:val="none"/>
              </w:rPr>
              <w:t>☑随机排序。</w:t>
            </w:r>
          </w:p>
        </w:tc>
      </w:tr>
      <w:tr w14:paraId="46E3B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4BB5571E">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28</w:t>
            </w:r>
          </w:p>
        </w:tc>
        <w:tc>
          <w:tcPr>
            <w:tcW w:w="2385" w:type="dxa"/>
            <w:vAlign w:val="center"/>
          </w:tcPr>
          <w:p w14:paraId="7B1FEB4A">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履约保证金</w:t>
            </w:r>
          </w:p>
        </w:tc>
        <w:tc>
          <w:tcPr>
            <w:tcW w:w="6019" w:type="dxa"/>
            <w:vAlign w:val="center"/>
          </w:tcPr>
          <w:p w14:paraId="1E391DFE">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 xml:space="preserve">本项目不收取履约保证金 </w:t>
            </w:r>
          </w:p>
        </w:tc>
      </w:tr>
      <w:tr w14:paraId="055F3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6461158E">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29.5</w:t>
            </w:r>
          </w:p>
        </w:tc>
        <w:tc>
          <w:tcPr>
            <w:tcW w:w="2385" w:type="dxa"/>
            <w:vAlign w:val="center"/>
          </w:tcPr>
          <w:p w14:paraId="3F1E4DE4">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签订合同携带的材料</w:t>
            </w:r>
          </w:p>
        </w:tc>
        <w:tc>
          <w:tcPr>
            <w:tcW w:w="6019" w:type="dxa"/>
            <w:vAlign w:val="center"/>
          </w:tcPr>
          <w:p w14:paraId="5C6007EC">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使用的有效CA证书加盖单位电子公章</w:t>
            </w:r>
          </w:p>
        </w:tc>
      </w:tr>
      <w:tr w14:paraId="2DA64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Merge w:val="restart"/>
            <w:vAlign w:val="center"/>
          </w:tcPr>
          <w:p w14:paraId="7F188ECE">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31.2</w:t>
            </w:r>
          </w:p>
        </w:tc>
        <w:tc>
          <w:tcPr>
            <w:tcW w:w="2385" w:type="dxa"/>
            <w:vAlign w:val="center"/>
          </w:tcPr>
          <w:p w14:paraId="7A75A01E">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接收质疑函方式</w:t>
            </w:r>
          </w:p>
        </w:tc>
        <w:tc>
          <w:tcPr>
            <w:tcW w:w="6019" w:type="dxa"/>
            <w:vAlign w:val="center"/>
          </w:tcPr>
          <w:p w14:paraId="15914BDD">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以书面形式</w:t>
            </w:r>
          </w:p>
        </w:tc>
      </w:tr>
      <w:tr w14:paraId="6AE8A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Merge w:val="continue"/>
            <w:vAlign w:val="center"/>
          </w:tcPr>
          <w:p w14:paraId="7ED37038">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p>
        </w:tc>
        <w:tc>
          <w:tcPr>
            <w:tcW w:w="2385" w:type="dxa"/>
            <w:vAlign w:val="center"/>
          </w:tcPr>
          <w:p w14:paraId="0B7DEB07">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质疑联系部门及联系方式</w:t>
            </w:r>
          </w:p>
        </w:tc>
        <w:tc>
          <w:tcPr>
            <w:tcW w:w="6019" w:type="dxa"/>
            <w:vAlign w:val="center"/>
          </w:tcPr>
          <w:p w14:paraId="53556E46">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（1）广西中信恒泰工程顾问有限公司；</w:t>
            </w:r>
          </w:p>
          <w:p w14:paraId="1D9DF3AB">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联系电话：0771-2215359</w:t>
            </w:r>
          </w:p>
          <w:p w14:paraId="66013CDC">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通讯地址：</w:t>
            </w:r>
            <w:r>
              <w:rPr>
                <w:rFonts w:hint="eastAsia" w:ascii="仿宋" w:hAnsi="仿宋" w:eastAsia="仿宋" w:cs="仿宋"/>
                <w:kern w:val="0"/>
                <w:szCs w:val="21"/>
                <w:highlight w:val="none"/>
              </w:rPr>
              <w:t>南宁市青秀区云景路69号南宁市轨道交通运营控制中心B楼8层</w:t>
            </w:r>
          </w:p>
          <w:p w14:paraId="7B5BB1C7">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kern w:val="0"/>
                <w:szCs w:val="21"/>
                <w:highlight w:val="none"/>
              </w:rPr>
              <w:t>南宁市交通运输局</w:t>
            </w:r>
            <w:r>
              <w:rPr>
                <w:rFonts w:hint="eastAsia" w:ascii="仿宋" w:hAnsi="仿宋" w:eastAsia="仿宋" w:cs="仿宋"/>
                <w:szCs w:val="21"/>
                <w:highlight w:val="none"/>
              </w:rPr>
              <w:t>；</w:t>
            </w:r>
          </w:p>
          <w:p w14:paraId="760CE6C9">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联系电话：</w:t>
            </w:r>
            <w:r>
              <w:rPr>
                <w:rFonts w:hint="eastAsia" w:ascii="仿宋" w:hAnsi="仿宋" w:eastAsia="仿宋" w:cs="仿宋"/>
                <w:szCs w:val="21"/>
                <w:highlight w:val="none"/>
                <w:lang w:eastAsia="zh-CN"/>
              </w:rPr>
              <w:t>0771-5857665</w:t>
            </w:r>
          </w:p>
          <w:p w14:paraId="04A36C54">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通讯地址：</w:t>
            </w:r>
            <w:r>
              <w:rPr>
                <w:rFonts w:hint="eastAsia" w:ascii="仿宋" w:hAnsi="仿宋" w:eastAsia="仿宋" w:cs="仿宋"/>
                <w:kern w:val="0"/>
                <w:szCs w:val="21"/>
                <w:highlight w:val="none"/>
              </w:rPr>
              <w:t>南宁市青秀区茶花园路5-8号</w:t>
            </w:r>
          </w:p>
        </w:tc>
      </w:tr>
      <w:tr w14:paraId="22754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Merge w:val="continue"/>
            <w:vAlign w:val="center"/>
          </w:tcPr>
          <w:p w14:paraId="437835D1">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p>
        </w:tc>
        <w:tc>
          <w:tcPr>
            <w:tcW w:w="2385" w:type="dxa"/>
            <w:vAlign w:val="center"/>
          </w:tcPr>
          <w:p w14:paraId="17D106C0">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现场提交质疑办理业务时间</w:t>
            </w:r>
          </w:p>
        </w:tc>
        <w:tc>
          <w:tcPr>
            <w:tcW w:w="6019" w:type="dxa"/>
            <w:vAlign w:val="center"/>
          </w:tcPr>
          <w:p w14:paraId="223A03AA">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质疑期内每个工作日</w:t>
            </w:r>
            <w:r>
              <w:rPr>
                <w:rFonts w:hint="eastAsia" w:ascii="仿宋" w:hAnsi="仿宋" w:eastAsia="仿宋" w:cs="仿宋"/>
                <w:szCs w:val="21"/>
                <w:highlight w:val="none"/>
                <w:u w:val="single"/>
              </w:rPr>
              <w:t>8</w:t>
            </w:r>
            <w:r>
              <w:rPr>
                <w:rFonts w:hint="eastAsia" w:ascii="仿宋" w:hAnsi="仿宋" w:eastAsia="仿宋" w:cs="仿宋"/>
                <w:szCs w:val="21"/>
                <w:highlight w:val="none"/>
              </w:rPr>
              <w:t>时</w:t>
            </w:r>
            <w:r>
              <w:rPr>
                <w:rFonts w:hint="eastAsia" w:ascii="仿宋" w:hAnsi="仿宋" w:eastAsia="仿宋" w:cs="仿宋"/>
                <w:szCs w:val="21"/>
                <w:highlight w:val="none"/>
                <w:u w:val="single"/>
              </w:rPr>
              <w:t>30</w:t>
            </w:r>
            <w:r>
              <w:rPr>
                <w:rFonts w:hint="eastAsia" w:ascii="仿宋" w:hAnsi="仿宋" w:eastAsia="仿宋" w:cs="仿宋"/>
                <w:szCs w:val="21"/>
                <w:highlight w:val="none"/>
              </w:rPr>
              <w:t>分到</w:t>
            </w:r>
            <w:r>
              <w:rPr>
                <w:rFonts w:hint="eastAsia" w:ascii="仿宋" w:hAnsi="仿宋" w:eastAsia="仿宋" w:cs="仿宋"/>
                <w:szCs w:val="21"/>
                <w:highlight w:val="none"/>
                <w:u w:val="single"/>
              </w:rPr>
              <w:t>12</w:t>
            </w:r>
            <w:r>
              <w:rPr>
                <w:rFonts w:hint="eastAsia" w:ascii="仿宋" w:hAnsi="仿宋" w:eastAsia="仿宋" w:cs="仿宋"/>
                <w:szCs w:val="21"/>
                <w:highlight w:val="none"/>
              </w:rPr>
              <w:t>时</w:t>
            </w:r>
            <w:r>
              <w:rPr>
                <w:rFonts w:hint="eastAsia" w:ascii="仿宋" w:hAnsi="仿宋" w:eastAsia="仿宋" w:cs="仿宋"/>
                <w:szCs w:val="21"/>
                <w:highlight w:val="none"/>
                <w:u w:val="single"/>
              </w:rPr>
              <w:t xml:space="preserve">00 </w:t>
            </w:r>
            <w:r>
              <w:rPr>
                <w:rFonts w:hint="eastAsia" w:ascii="仿宋" w:hAnsi="仿宋" w:eastAsia="仿宋" w:cs="仿宋"/>
                <w:szCs w:val="21"/>
                <w:highlight w:val="none"/>
              </w:rPr>
              <w:t>分，</w:t>
            </w:r>
            <w:r>
              <w:rPr>
                <w:rFonts w:hint="eastAsia" w:ascii="仿宋" w:hAnsi="仿宋" w:eastAsia="仿宋" w:cs="仿宋"/>
                <w:szCs w:val="21"/>
                <w:highlight w:val="none"/>
                <w:u w:val="single"/>
              </w:rPr>
              <w:t>1</w:t>
            </w:r>
            <w:r>
              <w:rPr>
                <w:rFonts w:hint="eastAsia" w:ascii="仿宋" w:hAnsi="仿宋" w:eastAsia="仿宋" w:cs="仿宋"/>
                <w:szCs w:val="21"/>
                <w:highlight w:val="none"/>
                <w:u w:val="single"/>
                <w:lang w:val="en-US" w:eastAsia="zh-CN"/>
              </w:rPr>
              <w:t>4</w:t>
            </w:r>
            <w:r>
              <w:rPr>
                <w:rFonts w:hint="eastAsia" w:ascii="仿宋" w:hAnsi="仿宋" w:eastAsia="仿宋" w:cs="仿宋"/>
                <w:szCs w:val="21"/>
                <w:highlight w:val="none"/>
              </w:rPr>
              <w:t>时</w:t>
            </w:r>
            <w:r>
              <w:rPr>
                <w:rFonts w:hint="eastAsia" w:ascii="仿宋" w:hAnsi="仿宋" w:eastAsia="仿宋" w:cs="仿宋"/>
                <w:szCs w:val="21"/>
                <w:highlight w:val="none"/>
                <w:u w:val="single"/>
                <w:lang w:val="en-US" w:eastAsia="zh-CN"/>
              </w:rPr>
              <w:t>3</w:t>
            </w:r>
            <w:r>
              <w:rPr>
                <w:rFonts w:hint="eastAsia" w:ascii="仿宋" w:hAnsi="仿宋" w:eastAsia="仿宋" w:cs="仿宋"/>
                <w:szCs w:val="21"/>
                <w:highlight w:val="none"/>
                <w:u w:val="single"/>
              </w:rPr>
              <w:t>0</w:t>
            </w:r>
            <w:r>
              <w:rPr>
                <w:rFonts w:hint="eastAsia" w:ascii="仿宋" w:hAnsi="仿宋" w:eastAsia="仿宋" w:cs="仿宋"/>
                <w:szCs w:val="21"/>
                <w:highlight w:val="none"/>
              </w:rPr>
              <w:t>分到</w:t>
            </w:r>
            <w:r>
              <w:rPr>
                <w:rFonts w:hint="eastAsia" w:ascii="仿宋" w:hAnsi="仿宋" w:eastAsia="仿宋" w:cs="仿宋"/>
                <w:szCs w:val="21"/>
                <w:highlight w:val="none"/>
                <w:u w:val="single"/>
              </w:rPr>
              <w:t>17</w:t>
            </w:r>
            <w:r>
              <w:rPr>
                <w:rFonts w:hint="eastAsia" w:ascii="仿宋" w:hAnsi="仿宋" w:eastAsia="仿宋" w:cs="仿宋"/>
                <w:szCs w:val="21"/>
                <w:highlight w:val="none"/>
              </w:rPr>
              <w:t>时</w:t>
            </w:r>
            <w:r>
              <w:rPr>
                <w:rFonts w:hint="eastAsia" w:ascii="仿宋" w:hAnsi="仿宋" w:eastAsia="仿宋" w:cs="仿宋"/>
                <w:szCs w:val="21"/>
                <w:highlight w:val="none"/>
                <w:u w:val="single"/>
              </w:rPr>
              <w:t>30</w:t>
            </w:r>
            <w:r>
              <w:rPr>
                <w:rFonts w:hint="eastAsia" w:ascii="仿宋" w:hAnsi="仿宋" w:eastAsia="仿宋" w:cs="仿宋"/>
                <w:szCs w:val="21"/>
                <w:highlight w:val="none"/>
              </w:rPr>
              <w:t>分</w:t>
            </w:r>
          </w:p>
        </w:tc>
      </w:tr>
      <w:tr w14:paraId="6251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01774E67">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31.6</w:t>
            </w:r>
          </w:p>
        </w:tc>
        <w:tc>
          <w:tcPr>
            <w:tcW w:w="2385" w:type="dxa"/>
            <w:vAlign w:val="center"/>
          </w:tcPr>
          <w:p w14:paraId="75B33054">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受理投诉方式</w:t>
            </w:r>
          </w:p>
        </w:tc>
        <w:tc>
          <w:tcPr>
            <w:tcW w:w="6019" w:type="dxa"/>
            <w:vAlign w:val="center"/>
          </w:tcPr>
          <w:p w14:paraId="5B0A018D">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1、受理方式：纸质方式受理，投诉书正、副本（经过质疑的事项才可投诉）。</w:t>
            </w:r>
          </w:p>
          <w:p w14:paraId="3864BFF5">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2、邮寄地址：</w:t>
            </w:r>
          </w:p>
          <w:p w14:paraId="75135EBE">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名称：</w:t>
            </w:r>
            <w:bookmarkStart w:id="74" w:name="PO_3000001867_PM036"/>
            <w:r>
              <w:rPr>
                <w:rFonts w:hint="eastAsia" w:ascii="仿宋" w:hAnsi="仿宋" w:eastAsia="仿宋" w:cs="仿宋"/>
                <w:szCs w:val="21"/>
                <w:highlight w:val="none"/>
              </w:rPr>
              <w:t>南宁市财政局政府采购监督管理科</w:t>
            </w:r>
            <w:bookmarkEnd w:id="74"/>
          </w:p>
          <w:p w14:paraId="3B3CD812">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地址：</w:t>
            </w:r>
            <w:bookmarkStart w:id="75" w:name="PO_3000001867_PM039"/>
            <w:r>
              <w:rPr>
                <w:rFonts w:hint="eastAsia" w:ascii="仿宋" w:hAnsi="仿宋" w:eastAsia="仿宋" w:cs="仿宋"/>
                <w:szCs w:val="21"/>
                <w:highlight w:val="none"/>
              </w:rPr>
              <w:t xml:space="preserve">广西南宁市青秀区东葛路129号 </w:t>
            </w:r>
            <w:bookmarkEnd w:id="75"/>
          </w:p>
          <w:p w14:paraId="673DBA74">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联系电话：</w:t>
            </w:r>
            <w:bookmarkStart w:id="76" w:name="PO_3000001867_PM038"/>
            <w:r>
              <w:rPr>
                <w:rFonts w:hint="eastAsia" w:ascii="仿宋" w:hAnsi="仿宋" w:eastAsia="仿宋" w:cs="仿宋"/>
                <w:szCs w:val="21"/>
                <w:highlight w:val="none"/>
              </w:rPr>
              <w:t>0771-2189091</w:t>
            </w:r>
            <w:bookmarkEnd w:id="76"/>
          </w:p>
        </w:tc>
      </w:tr>
      <w:tr w14:paraId="2F3CB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2C8A6CA4">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33</w:t>
            </w:r>
          </w:p>
        </w:tc>
        <w:tc>
          <w:tcPr>
            <w:tcW w:w="2385" w:type="dxa"/>
            <w:vAlign w:val="center"/>
          </w:tcPr>
          <w:p w14:paraId="717A381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采购代理费</w:t>
            </w:r>
          </w:p>
        </w:tc>
        <w:tc>
          <w:tcPr>
            <w:tcW w:w="6019" w:type="dxa"/>
            <w:vAlign w:val="center"/>
          </w:tcPr>
          <w:p w14:paraId="53802F51">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1.是否收取采购代理费：</w:t>
            </w:r>
          </w:p>
          <w:p w14:paraId="095C807A">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szCs w:val="21"/>
                <w:highlight w:val="none"/>
              </w:rPr>
              <w:t>☑</w:t>
            </w:r>
            <w:r>
              <w:rPr>
                <w:rFonts w:hint="eastAsia" w:ascii="仿宋" w:hAnsi="仿宋" w:eastAsia="仿宋" w:cs="仿宋"/>
                <w:kern w:val="0"/>
                <w:szCs w:val="21"/>
                <w:highlight w:val="none"/>
              </w:rPr>
              <w:t xml:space="preserve">是   </w:t>
            </w:r>
            <w:r>
              <w:rPr>
                <w:rFonts w:hint="eastAsia" w:ascii="仿宋" w:hAnsi="仿宋" w:eastAsia="仿宋" w:cs="仿宋"/>
                <w:highlight w:val="none"/>
              </w:rPr>
              <w:t>□ 否</w:t>
            </w:r>
          </w:p>
          <w:p w14:paraId="513CEDFF">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2.采购代理费支付方式：</w:t>
            </w:r>
          </w:p>
          <w:p w14:paraId="5F781E29">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szCs w:val="21"/>
                <w:highlight w:val="none"/>
              </w:rPr>
              <w:t>☑</w:t>
            </w:r>
            <w:r>
              <w:rPr>
                <w:rFonts w:hint="eastAsia" w:ascii="仿宋" w:hAnsi="仿宋" w:eastAsia="仿宋" w:cs="仿宋"/>
                <w:kern w:val="0"/>
                <w:szCs w:val="21"/>
                <w:highlight w:val="none"/>
              </w:rPr>
              <w:t>本项目代理服务费由</w:t>
            </w:r>
            <w:r>
              <w:rPr>
                <w:rFonts w:hint="eastAsia" w:ascii="仿宋" w:hAnsi="仿宋" w:eastAsia="仿宋" w:cs="仿宋"/>
                <w:kern w:val="0"/>
                <w:szCs w:val="21"/>
                <w:highlight w:val="none"/>
                <w:u w:val="single"/>
              </w:rPr>
              <w:t>成交供应商</w:t>
            </w:r>
            <w:r>
              <w:rPr>
                <w:rFonts w:hint="eastAsia" w:ascii="仿宋" w:hAnsi="仿宋" w:eastAsia="仿宋" w:cs="仿宋"/>
                <w:kern w:val="0"/>
                <w:szCs w:val="21"/>
                <w:highlight w:val="none"/>
              </w:rPr>
              <w:t>领取成交通知书前，一次性向采购代理机构支付。</w:t>
            </w:r>
          </w:p>
          <w:p w14:paraId="0FBF8FC3">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□采购人支付。</w:t>
            </w:r>
          </w:p>
          <w:p w14:paraId="25A8F344">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3.采购代理费收取标准：</w:t>
            </w:r>
            <w:bookmarkStart w:id="77" w:name="PO_3000001868_PM025"/>
            <w:r>
              <w:rPr>
                <w:rFonts w:hint="eastAsia" w:ascii="仿宋" w:hAnsi="仿宋" w:eastAsia="仿宋" w:cs="仿宋"/>
                <w:kern w:val="0"/>
                <w:szCs w:val="21"/>
                <w:highlight w:val="none"/>
              </w:rPr>
              <w:t>以成交金额为计费额，</w:t>
            </w:r>
            <w:r>
              <w:rPr>
                <w:rFonts w:hint="eastAsia" w:ascii="仿宋" w:hAnsi="仿宋" w:eastAsia="仿宋" w:cs="仿宋"/>
                <w:kern w:val="0"/>
                <w:szCs w:val="21"/>
                <w:highlight w:val="none"/>
                <w:lang w:val="en-US" w:eastAsia="zh-CN"/>
              </w:rPr>
              <w:t>参照</w:t>
            </w:r>
            <w:r>
              <w:rPr>
                <w:rFonts w:hint="eastAsia" w:ascii="仿宋" w:hAnsi="仿宋" w:eastAsia="仿宋" w:cs="仿宋"/>
                <w:kern w:val="0"/>
                <w:szCs w:val="21"/>
                <w:highlight w:val="none"/>
              </w:rPr>
              <w:t>《招标代理服务收费管理暂行办法》（计价格〔2002〕1980号）及国家发展改革委办公厅《关于招标代理服务收费有关问题的通知》（发改办价格〔2003〕857号）规定的【□货物类；□工程类；☑服务类】收费标准计取，</w:t>
            </w:r>
            <w:r>
              <w:rPr>
                <w:rFonts w:hint="eastAsia" w:ascii="仿宋" w:hAnsi="仿宋" w:eastAsia="仿宋" w:cs="仿宋"/>
                <w:kern w:val="0"/>
                <w:szCs w:val="21"/>
                <w:highlight w:val="none"/>
                <w:lang w:eastAsia="zh-CN"/>
              </w:rPr>
              <w:t>不足八千按八千收取</w:t>
            </w:r>
            <w:r>
              <w:rPr>
                <w:rFonts w:hint="eastAsia" w:ascii="仿宋" w:hAnsi="仿宋" w:eastAsia="仿宋" w:cs="仿宋"/>
                <w:kern w:val="0"/>
                <w:szCs w:val="21"/>
                <w:highlight w:val="none"/>
              </w:rPr>
              <w:t>。</w:t>
            </w:r>
          </w:p>
          <w:bookmarkEnd w:id="77"/>
          <w:p w14:paraId="25D53ED6">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4. 采购代理费收取银行账户</w:t>
            </w:r>
          </w:p>
          <w:p w14:paraId="5490477C">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账户名称：广西中信恒泰工程顾问有限公司</w:t>
            </w:r>
          </w:p>
          <w:p w14:paraId="7385B03A">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开户银行：建行南宁市金湖广场支行</w:t>
            </w:r>
          </w:p>
          <w:p w14:paraId="4DCC3F75">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银行账号：4500 1604 2660 5250 2851</w:t>
            </w:r>
          </w:p>
          <w:p w14:paraId="4883323D">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开户行行号：105611042538</w:t>
            </w:r>
          </w:p>
        </w:tc>
      </w:tr>
      <w:tr w14:paraId="5950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673199DA">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34.1</w:t>
            </w:r>
          </w:p>
        </w:tc>
        <w:tc>
          <w:tcPr>
            <w:tcW w:w="2385" w:type="dxa"/>
            <w:vAlign w:val="center"/>
          </w:tcPr>
          <w:p w14:paraId="50661265">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解释</w:t>
            </w:r>
          </w:p>
        </w:tc>
        <w:tc>
          <w:tcPr>
            <w:tcW w:w="6019" w:type="dxa"/>
            <w:vAlign w:val="center"/>
          </w:tcPr>
          <w:p w14:paraId="15826174">
            <w:pPr>
              <w:keepNext w:val="0"/>
              <w:keepLines w:val="0"/>
              <w:suppressLineNumbers w:val="0"/>
              <w:snapToGrid w:val="0"/>
              <w:spacing w:before="0" w:beforeAutospacing="0" w:after="0" w:afterAutospacing="0" w:line="400" w:lineRule="exact"/>
              <w:ind w:left="0" w:right="0"/>
              <w:rPr>
                <w:rFonts w:hint="eastAsia" w:ascii="仿宋" w:hAnsi="仿宋" w:eastAsia="仿宋" w:cs="仿宋"/>
                <w:b/>
                <w:kern w:val="0"/>
                <w:szCs w:val="21"/>
                <w:highlight w:val="none"/>
              </w:rPr>
            </w:pPr>
            <w:r>
              <w:rPr>
                <w:rFonts w:hint="eastAsia" w:ascii="仿宋" w:hAnsi="仿宋" w:eastAsia="仿宋" w:cs="仿宋"/>
                <w:b/>
                <w:kern w:val="0"/>
                <w:szCs w:val="21"/>
                <w:highlight w:val="none"/>
              </w:rPr>
              <w:t>解释权：</w:t>
            </w:r>
            <w:r>
              <w:rPr>
                <w:rFonts w:hint="eastAsia" w:ascii="仿宋" w:hAnsi="仿宋" w:eastAsia="仿宋" w:cs="仿宋"/>
                <w:kern w:val="0"/>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仿宋" w:hAnsi="仿宋" w:eastAsia="仿宋" w:cs="仿宋"/>
                <w:b/>
                <w:kern w:val="0"/>
                <w:szCs w:val="21"/>
                <w:highlight w:val="none"/>
              </w:rPr>
              <w:t>由采购人或者采购代理机构负责解释。</w:t>
            </w:r>
          </w:p>
          <w:p w14:paraId="0F4486C6">
            <w:pPr>
              <w:keepNext w:val="0"/>
              <w:keepLines w:val="0"/>
              <w:suppressLineNumbers w:val="0"/>
              <w:snapToGrid w:val="0"/>
              <w:spacing w:before="0" w:beforeAutospacing="0" w:after="0" w:afterAutospacing="0" w:line="400" w:lineRule="exact"/>
              <w:ind w:left="0" w:right="0"/>
              <w:rPr>
                <w:rFonts w:hint="eastAsia" w:ascii="仿宋" w:hAnsi="仿宋" w:eastAsia="仿宋" w:cs="仿宋"/>
                <w:b/>
                <w:kern w:val="0"/>
                <w:szCs w:val="21"/>
                <w:highlight w:val="none"/>
              </w:rPr>
            </w:pPr>
            <w:r>
              <w:rPr>
                <w:rFonts w:hint="eastAsia" w:ascii="仿宋" w:hAnsi="仿宋" w:eastAsia="仿宋" w:cs="仿宋"/>
                <w:b/>
                <w:kern w:val="0"/>
                <w:szCs w:val="21"/>
                <w:highlight w:val="none"/>
              </w:rPr>
              <w:t>法律责任：</w:t>
            </w:r>
          </w:p>
          <w:p w14:paraId="4816C371">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b/>
                <w:kern w:val="0"/>
                <w:szCs w:val="21"/>
                <w:highlight w:val="none"/>
              </w:rPr>
              <w:t>1.</w:t>
            </w:r>
            <w:r>
              <w:rPr>
                <w:rFonts w:hint="eastAsia" w:ascii="仿宋" w:hAnsi="仿宋" w:eastAsia="仿宋" w:cs="仿宋"/>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EF7FCEB">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b/>
                <w:szCs w:val="21"/>
                <w:highlight w:val="none"/>
              </w:rPr>
              <w:t>2. 本项目采购代理机构应严格按照“广西政府采购云平台”平台项目采购全流程电子化电子开评标规程执行项目采购活动，代理机构在“广西政府采购云平台”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5EA7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7D54FC4B">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34.2</w:t>
            </w:r>
          </w:p>
        </w:tc>
        <w:tc>
          <w:tcPr>
            <w:tcW w:w="2385" w:type="dxa"/>
            <w:vAlign w:val="center"/>
          </w:tcPr>
          <w:p w14:paraId="01425A3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其他</w:t>
            </w:r>
          </w:p>
        </w:tc>
        <w:tc>
          <w:tcPr>
            <w:tcW w:w="6019" w:type="dxa"/>
            <w:vAlign w:val="center"/>
          </w:tcPr>
          <w:p w14:paraId="7589CC19">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CC99E8">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B33216F">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7E6AC0BF">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4.自然人竞标的，磋商文件规定盖公章处由自然人摁手指指印。</w:t>
            </w:r>
          </w:p>
          <w:p w14:paraId="7B16B11A">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5.本磋商文件所称的“以上”“以下”“以内”“届满”，包括本数；所称的“不满”“超过”“以外”，不包括本数。</w:t>
            </w:r>
          </w:p>
        </w:tc>
      </w:tr>
    </w:tbl>
    <w:p w14:paraId="6D7A7C11">
      <w:pPr>
        <w:keepNext/>
        <w:keepLines/>
        <w:spacing w:before="260" w:after="260" w:line="420" w:lineRule="exact"/>
        <w:jc w:val="center"/>
        <w:outlineLvl w:val="1"/>
        <w:rPr>
          <w:rFonts w:hint="eastAsia" w:ascii="仿宋" w:hAnsi="仿宋" w:eastAsia="仿宋" w:cs="仿宋"/>
          <w:bCs/>
          <w:sz w:val="32"/>
          <w:szCs w:val="32"/>
          <w:highlight w:val="none"/>
        </w:rPr>
      </w:pPr>
      <w:r>
        <w:rPr>
          <w:rFonts w:hint="eastAsia" w:ascii="仿宋" w:hAnsi="仿宋" w:eastAsia="仿宋" w:cs="仿宋"/>
          <w:bCs/>
          <w:sz w:val="32"/>
          <w:szCs w:val="32"/>
          <w:highlight w:val="none"/>
        </w:rPr>
        <w:br w:type="page"/>
      </w:r>
      <w:bookmarkStart w:id="78" w:name="_Toc25854"/>
      <w:bookmarkStart w:id="79" w:name="_Toc127516322"/>
      <w:r>
        <w:rPr>
          <w:rFonts w:hint="eastAsia" w:ascii="仿宋" w:hAnsi="仿宋" w:eastAsia="仿宋" w:cs="仿宋"/>
          <w:b/>
          <w:sz w:val="32"/>
          <w:szCs w:val="32"/>
          <w:highlight w:val="none"/>
        </w:rPr>
        <w:t>第二节 供应商须知正文</w:t>
      </w:r>
      <w:bookmarkEnd w:id="78"/>
      <w:bookmarkEnd w:id="79"/>
    </w:p>
    <w:p w14:paraId="6FA28101">
      <w:pPr>
        <w:keepNext/>
        <w:keepLines/>
        <w:spacing w:line="440" w:lineRule="exact"/>
        <w:ind w:firstLine="422" w:firstLineChars="200"/>
        <w:outlineLvl w:val="2"/>
        <w:rPr>
          <w:rFonts w:hint="eastAsia" w:ascii="仿宋" w:hAnsi="仿宋" w:eastAsia="仿宋" w:cs="仿宋"/>
          <w:b/>
          <w:szCs w:val="21"/>
          <w:highlight w:val="none"/>
        </w:rPr>
      </w:pPr>
      <w:bookmarkStart w:id="80" w:name="_Toc127516323"/>
      <w:r>
        <w:rPr>
          <w:rFonts w:hint="eastAsia" w:ascii="仿宋" w:hAnsi="仿宋" w:eastAsia="仿宋" w:cs="仿宋"/>
          <w:b/>
          <w:szCs w:val="21"/>
          <w:highlight w:val="none"/>
        </w:rPr>
        <w:t>一、总则</w:t>
      </w:r>
      <w:bookmarkEnd w:id="80"/>
    </w:p>
    <w:p w14:paraId="00829C5C">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1.适用范围</w:t>
      </w:r>
    </w:p>
    <w:p w14:paraId="5952C69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FF9D1A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w:t>
      </w:r>
      <w:r>
        <w:rPr>
          <w:rFonts w:hint="eastAsia" w:ascii="仿宋" w:hAnsi="仿宋" w:eastAsia="仿宋" w:cs="仿宋"/>
          <w:spacing w:val="-6"/>
          <w:szCs w:val="21"/>
          <w:highlight w:val="none"/>
        </w:rPr>
        <w:t>本竞争性磋商文件（以下简称磋商文件）适用于本项目的所有采购程序和环节（法律、法规另有规定的，从其规定）。</w:t>
      </w:r>
    </w:p>
    <w:p w14:paraId="20249B12">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2.定义</w:t>
      </w:r>
    </w:p>
    <w:p w14:paraId="4D1F099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2.1“采购人”是指依法进行政府采购的国家机关、事业单位、团体组织。</w:t>
      </w:r>
    </w:p>
    <w:p w14:paraId="35FEE6CC">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2.2“采购代理机构”是指政府采购集中采购机构和集中采购机构以外的采购代理机构。</w:t>
      </w:r>
    </w:p>
    <w:p w14:paraId="64CCCDA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2.3“供应商”是指向采购人提供货物、工程或者服务的法人、其他组织或者自然人。</w:t>
      </w:r>
    </w:p>
    <w:p w14:paraId="6EFDB08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2.4“服务”是指除货物和工程以外的其他政府采购对象。</w:t>
      </w:r>
    </w:p>
    <w:p w14:paraId="1780D9C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2.5“竞标”是指供应商按照本项目竞争性磋商公告或者邀请函规定的方式获取磋商文件、提交响应文件并希望获得标的的行为。</w:t>
      </w:r>
    </w:p>
    <w:p w14:paraId="56D9104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2.6“响应文件”</w:t>
      </w:r>
      <w:r>
        <w:rPr>
          <w:rFonts w:hint="eastAsia" w:ascii="仿宋" w:hAnsi="仿宋" w:eastAsia="仿宋" w:cs="仿宋"/>
          <w:spacing w:val="-6"/>
          <w:szCs w:val="21"/>
          <w:highlight w:val="none"/>
        </w:rPr>
        <w:t>是指：供应商根据本磋商文件要求，编制包含资格证明、报价商务技术等所有内容的文件。</w:t>
      </w:r>
    </w:p>
    <w:p w14:paraId="48A3B63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2.7“实质性要求”是指磋商文件中已经指明不满足则响应文件按无效响应处理的条款，或者不能负偏离的条款，或者采购需求中带“▲”的条款。</w:t>
      </w:r>
    </w:p>
    <w:p w14:paraId="04CEA71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2.8“正偏离”，是指响应文件对磋商文件“采购需求”中有关条款作出的响应优于条款要求并有利于采购人的情形。</w:t>
      </w:r>
    </w:p>
    <w:p w14:paraId="0CB46E2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2.9“负偏离”，是指响应文件对磋商文件“采购需求”中有关条款作出的响应不满足条款要求，导致采购人要求不能得到满足的情形。</w:t>
      </w:r>
    </w:p>
    <w:p w14:paraId="62C712D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2.10“允许负偏离的条款”是指采购需求中的不属于“实质性要求”的条款。</w:t>
      </w:r>
    </w:p>
    <w:p w14:paraId="137F6C7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2.11“书面形式”是指合同书、信件和数据电文（包括电报、电传、传真、电子数据交换和电子邮件）等可以有形地表现所载内容的形式。</w:t>
      </w:r>
    </w:p>
    <w:p w14:paraId="221AC96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2.12“首次报价”是指供应商提交的首次响应文件中的报价。</w:t>
      </w:r>
    </w:p>
    <w:p w14:paraId="3C6433B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2.13“评审报价”是指供应商提交的最后报价并经修正（如有）和政策功能价格扣除（如有）后的价格。</w:t>
      </w:r>
    </w:p>
    <w:p w14:paraId="7CFC0AFA">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3.供应商的资格条件</w:t>
      </w:r>
    </w:p>
    <w:p w14:paraId="0DA4F03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供应商的资格条件详见“供应商须知前附表”。</w:t>
      </w:r>
    </w:p>
    <w:p w14:paraId="5AEE39C7">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4.磋商费用</w:t>
      </w:r>
    </w:p>
    <w:p w14:paraId="401F3A0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供应商应承担参与本次采购活动有关的所有费用，包括但不限于、勘查现场、编制和提交响应文件、参加磋商与应答、签订合同等，不论竞标结果如何，均应自行承担。</w:t>
      </w:r>
    </w:p>
    <w:p w14:paraId="47161E04">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5.联合体竞标</w:t>
      </w:r>
    </w:p>
    <w:p w14:paraId="7F6A381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5.1本项目是否接受联合体竞标，详见“供应商须知前附表”。</w:t>
      </w:r>
    </w:p>
    <w:p w14:paraId="2C9F980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5.2如接受联合体竞标，联合体竞标要求详见“供应商须知前附表”。</w:t>
      </w:r>
    </w:p>
    <w:p w14:paraId="6C2D7D1A">
      <w:pPr>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szCs w:val="21"/>
          <w:highlight w:val="none"/>
        </w:rPr>
        <w:t>5.3</w:t>
      </w:r>
      <w:r>
        <w:rPr>
          <w:rFonts w:hint="eastAsia" w:ascii="仿宋" w:hAnsi="仿宋" w:eastAsia="仿宋" w:cs="仿宋"/>
          <w:bCs/>
          <w:szCs w:val="21"/>
          <w:highlight w:val="none"/>
        </w:rPr>
        <w:t>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B69284A">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 xml:space="preserve">6.转包与分包             </w:t>
      </w:r>
    </w:p>
    <w:p w14:paraId="159FCAF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6.1本项目是否允许分包详见“供应商须知前附表”，本项目不允许违法分包。</w:t>
      </w:r>
    </w:p>
    <w:p w14:paraId="10B9F95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6.2</w:t>
      </w:r>
      <w:r>
        <w:rPr>
          <w:rFonts w:hint="eastAsia" w:ascii="仿宋" w:hAnsi="仿宋" w:eastAsia="仿宋" w:cs="仿宋"/>
          <w:bCs/>
          <w:szCs w:val="21"/>
          <w:highlight w:val="none"/>
        </w:rPr>
        <w:t>根据《政府采购促进中小企业发展暂行办法》（财库〔2020〕46号）第九条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44558121">
      <w:pPr>
        <w:spacing w:line="440" w:lineRule="exact"/>
        <w:ind w:firstLine="422" w:firstLineChars="200"/>
        <w:rPr>
          <w:rFonts w:hint="eastAsia" w:ascii="仿宋" w:hAnsi="仿宋" w:eastAsia="仿宋" w:cs="仿宋"/>
          <w:b/>
          <w:bCs/>
          <w:szCs w:val="21"/>
          <w:highlight w:val="none"/>
        </w:rPr>
      </w:pPr>
      <w:bookmarkStart w:id="81" w:name="_Toc254970532"/>
      <w:bookmarkStart w:id="82" w:name="_Toc254970673"/>
      <w:r>
        <w:rPr>
          <w:rFonts w:hint="eastAsia" w:ascii="仿宋" w:hAnsi="仿宋" w:eastAsia="仿宋" w:cs="仿宋"/>
          <w:b/>
          <w:bCs/>
          <w:szCs w:val="21"/>
          <w:highlight w:val="none"/>
        </w:rPr>
        <w:t>7.特别说明</w:t>
      </w:r>
      <w:bookmarkEnd w:id="81"/>
      <w:bookmarkEnd w:id="82"/>
    </w:p>
    <w:p w14:paraId="2E936C0A">
      <w:pPr>
        <w:spacing w:line="440" w:lineRule="exact"/>
        <w:ind w:firstLine="420" w:firstLineChars="200"/>
        <w:rPr>
          <w:rFonts w:hint="eastAsia" w:ascii="仿宋" w:hAnsi="仿宋" w:eastAsia="仿宋" w:cs="仿宋"/>
          <w:szCs w:val="21"/>
          <w:highlight w:val="none"/>
        </w:rPr>
      </w:pPr>
      <w:bookmarkStart w:id="83" w:name="_8.1提供相同品牌产品且通过资格审查、符合性审查的不同投标人参加同一合"/>
      <w:bookmarkEnd w:id="83"/>
      <w:r>
        <w:rPr>
          <w:rFonts w:hint="eastAsia" w:ascii="仿宋" w:hAnsi="仿宋" w:eastAsia="仿宋" w:cs="仿宋"/>
          <w:szCs w:val="21"/>
          <w:highlight w:val="none"/>
        </w:rPr>
        <w:t>7.1</w:t>
      </w:r>
      <w:bookmarkStart w:id="84" w:name="_Hlk65832145"/>
      <w:r>
        <w:rPr>
          <w:rFonts w:hint="eastAsia" w:ascii="仿宋" w:hAnsi="仿宋" w:eastAsia="仿宋" w:cs="仿宋"/>
          <w:szCs w:val="21"/>
          <w:highlight w:val="none"/>
        </w:rPr>
        <w:t>如果本磋商文件要求提供供应商或制造商的资格、信誉、荣誉、业绩与企业认证等材料的，资格、信誉、荣誉、业绩与企业认证等必须为供应商或者制造商所拥有或自身获得 。</w:t>
      </w:r>
    </w:p>
    <w:bookmarkEnd w:id="84"/>
    <w:p w14:paraId="627D8EB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7.2供应商应仔细阅读磋商文件的所有内容，按照磋商文件的要求提交响应文件，并对所提供的全部资料的真实性承担法律责任。</w:t>
      </w:r>
    </w:p>
    <w:p w14:paraId="4BA0DAC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9BC27C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7.4在政府采购活动中，采购人员及相关人员与供应商有下列利害关系之一的，应当回避：</w:t>
      </w:r>
    </w:p>
    <w:p w14:paraId="2B9C585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（1）参加采购活动前3年内与供应商存在劳动关系；</w:t>
      </w:r>
    </w:p>
    <w:p w14:paraId="219D41C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（2）参加采购活动前3年内担任供应商的董事、监事；</w:t>
      </w:r>
    </w:p>
    <w:p w14:paraId="280A290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（3）参加采购活动前3年内是供应商的控股股东或者实际控制人；</w:t>
      </w:r>
    </w:p>
    <w:p w14:paraId="19A1991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（4）与供应商的法定代表人或者负责人有夫妻、直系血亲、三代以内旁系血亲或者近姻亲关系；</w:t>
      </w:r>
    </w:p>
    <w:p w14:paraId="58591B2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（5）与供应商有其他可能影响政府采购活动公平、公正进行的关系。</w:t>
      </w:r>
    </w:p>
    <w:p w14:paraId="44457E8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D9C4C9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7.5有下列情形之一的视为供应商相互串通竞标，响应文件将被视为无效：</w:t>
      </w:r>
    </w:p>
    <w:p w14:paraId="6A654E9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（1）不同供应商的响应文件由同一单位或者个人编制； </w:t>
      </w:r>
    </w:p>
    <w:p w14:paraId="14B7D06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（2）不同供应商委托同一单位或者个人办理竞标事宜；</w:t>
      </w:r>
    </w:p>
    <w:p w14:paraId="50299C4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（3）不同的供应商的响应文件载明的项目管理员为同一个人；</w:t>
      </w:r>
    </w:p>
    <w:p w14:paraId="15A40B0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（4）不同供应商的响应文件异常一致或者报价呈规律性差异；</w:t>
      </w:r>
    </w:p>
    <w:p w14:paraId="5BC4B5F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（5）不同供应商的响应文件相互混装；</w:t>
      </w:r>
    </w:p>
    <w:p w14:paraId="0C9B1F46">
      <w:pPr>
        <w:tabs>
          <w:tab w:val="left" w:pos="6931"/>
        </w:tabs>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（6）不同供应商的磋商保证金从同一单位或者个人账户转出。</w:t>
      </w:r>
      <w:r>
        <w:rPr>
          <w:rFonts w:hint="eastAsia" w:ascii="仿宋" w:hAnsi="仿宋" w:eastAsia="仿宋" w:cs="仿宋"/>
          <w:szCs w:val="21"/>
          <w:highlight w:val="none"/>
        </w:rPr>
        <w:tab/>
      </w:r>
    </w:p>
    <w:p w14:paraId="4D35084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7.6供应商有下列情形之一的，属于恶意串通行为，将报同级监督管理部门：</w:t>
      </w:r>
    </w:p>
    <w:p w14:paraId="10A7321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（1）供应商直接或者间接从采购人或者采购代理机构处获得其他供应商的相关信息并修改其响应文件；</w:t>
      </w:r>
    </w:p>
    <w:p w14:paraId="7DC496E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（2）供应商按照采购人或者采购代理机构的授意撤换、修改响应文件；</w:t>
      </w:r>
    </w:p>
    <w:p w14:paraId="283FFEE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（3）供应商之间协商报价、技术方案等响应文件或者响应文件的实质性内容；</w:t>
      </w:r>
    </w:p>
    <w:p w14:paraId="586094C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（4）属于同一集团、协会、商会等组织成员的供应商按照该组织要求协同参加政府采购活动；</w:t>
      </w:r>
    </w:p>
    <w:p w14:paraId="7051558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（5）供应商之间事先约定一致抬高或者压低报价，或者在政府采购活动中事先约定轮流以高价位或者低价位成交，或者事先约定由某一特定供应商成交，然后再参加竞标；</w:t>
      </w:r>
    </w:p>
    <w:p w14:paraId="1BE3848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（6）供应商之间商定部分供应商放弃参加政府采购活动或者放弃成交；</w:t>
      </w:r>
    </w:p>
    <w:p w14:paraId="2822822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（7）供应商与采购人或者采购代理机构之间、供应商相互之间，为谋求特定供应商成交或者排斥其他供应商的其他串通行为。</w:t>
      </w:r>
    </w:p>
    <w:p w14:paraId="1E16944A">
      <w:pPr>
        <w:keepNext/>
        <w:keepLines/>
        <w:spacing w:line="440" w:lineRule="exact"/>
        <w:ind w:firstLine="422" w:firstLineChars="200"/>
        <w:outlineLvl w:val="2"/>
        <w:rPr>
          <w:rFonts w:hint="eastAsia" w:ascii="仿宋" w:hAnsi="仿宋" w:eastAsia="仿宋" w:cs="仿宋"/>
          <w:b/>
          <w:bCs/>
          <w:szCs w:val="21"/>
          <w:highlight w:val="none"/>
        </w:rPr>
      </w:pPr>
      <w:bookmarkStart w:id="85" w:name="_Toc254970534"/>
      <w:bookmarkStart w:id="86" w:name="_Toc127516324"/>
      <w:bookmarkStart w:id="87" w:name="_Toc254970675"/>
      <w:r>
        <w:rPr>
          <w:rFonts w:hint="eastAsia" w:ascii="仿宋" w:hAnsi="仿宋" w:eastAsia="仿宋" w:cs="仿宋"/>
          <w:b/>
          <w:bCs/>
          <w:szCs w:val="21"/>
          <w:highlight w:val="none"/>
        </w:rPr>
        <w:t>二、磋商文件</w:t>
      </w:r>
      <w:bookmarkEnd w:id="85"/>
      <w:bookmarkEnd w:id="86"/>
      <w:bookmarkEnd w:id="87"/>
    </w:p>
    <w:p w14:paraId="391D29D9">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8.磋商文件的构成</w:t>
      </w:r>
    </w:p>
    <w:p w14:paraId="31460CBC">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第一章 竞争性磋商公告；</w:t>
      </w:r>
    </w:p>
    <w:p w14:paraId="601172BF">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第二章 采购需求；</w:t>
      </w:r>
    </w:p>
    <w:p w14:paraId="607B6FA9">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 xml:space="preserve">第三章 供应商须知； </w:t>
      </w:r>
    </w:p>
    <w:p w14:paraId="11EC8EB2">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第四章 评审程序、评审方法和评审标准；</w:t>
      </w:r>
    </w:p>
    <w:p w14:paraId="65716864">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第五章 响应文件格式；</w:t>
      </w:r>
    </w:p>
    <w:p w14:paraId="00642D07">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第六章 合同文本；</w:t>
      </w:r>
    </w:p>
    <w:p w14:paraId="38A86F8F">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第七章 质疑、投诉材料格式。</w:t>
      </w:r>
    </w:p>
    <w:p w14:paraId="405EF766">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9.供应商的询问</w:t>
      </w:r>
    </w:p>
    <w:p w14:paraId="3A93FB6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4E8CFAA2">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10.磋商文件的澄清和修改</w:t>
      </w:r>
    </w:p>
    <w:p w14:paraId="2355A4A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3C55F2B">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49A4CAC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7601068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10.4</w:t>
      </w:r>
      <w:r>
        <w:rPr>
          <w:rFonts w:hint="eastAsia" w:ascii="仿宋" w:hAnsi="仿宋" w:eastAsia="仿宋" w:cs="仿宋"/>
          <w:szCs w:val="21"/>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531229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BED9B3C">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w:t>
      </w:r>
      <w:r>
        <w:rPr>
          <w:rFonts w:hint="eastAsia" w:ascii="仿宋" w:hAnsi="仿宋" w:eastAsia="仿宋" w:cs="仿宋"/>
          <w:b/>
          <w:kern w:val="0"/>
          <w:szCs w:val="21"/>
          <w:highlight w:val="none"/>
        </w:rPr>
        <w:t>响应文件未按磋商文件的澄清、修改的内容编制，又不符合实质性要求的，其响应文件作无效处理。</w:t>
      </w:r>
    </w:p>
    <w:p w14:paraId="6ACAE1F6">
      <w:pPr>
        <w:keepNext/>
        <w:keepLines/>
        <w:spacing w:line="440" w:lineRule="exact"/>
        <w:ind w:firstLine="422" w:firstLineChars="200"/>
        <w:outlineLvl w:val="2"/>
        <w:rPr>
          <w:rFonts w:hint="eastAsia" w:ascii="仿宋" w:hAnsi="仿宋" w:eastAsia="仿宋" w:cs="仿宋"/>
          <w:szCs w:val="21"/>
          <w:highlight w:val="none"/>
        </w:rPr>
      </w:pPr>
      <w:bookmarkStart w:id="88" w:name="_Toc127516325"/>
      <w:r>
        <w:rPr>
          <w:rFonts w:hint="eastAsia" w:ascii="仿宋" w:hAnsi="仿宋" w:eastAsia="仿宋" w:cs="仿宋"/>
          <w:b/>
          <w:bCs/>
          <w:szCs w:val="21"/>
          <w:highlight w:val="none"/>
        </w:rPr>
        <w:t>三、响应文件的编制</w:t>
      </w:r>
      <w:bookmarkEnd w:id="88"/>
    </w:p>
    <w:p w14:paraId="7B2DA201">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11.响应文件的编制原则</w:t>
      </w:r>
    </w:p>
    <w:p w14:paraId="0A13A75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供应商必须按照磋商文件的要求编制响应文件，并对其提交的响应文件的真实性、合法性承担法律责任。响应文件必须对磋商文件作出实质性响应。</w:t>
      </w:r>
    </w:p>
    <w:p w14:paraId="41E2B94D">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12.响应文件的组成</w:t>
      </w:r>
    </w:p>
    <w:p w14:paraId="2CA74AD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12.1响应文件由资格证明文件、报价文件、商务和技术文件三部分组成。</w:t>
      </w:r>
    </w:p>
    <w:p w14:paraId="2C7B8BF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12.1.1资格证明文件：详见须知前附表</w:t>
      </w:r>
    </w:p>
    <w:p w14:paraId="641BBDA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12.1.2商务技术文件：详见须知前附表</w:t>
      </w:r>
    </w:p>
    <w:p w14:paraId="363BBDA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12.1.3报价文件：详见须知前附表</w:t>
      </w:r>
    </w:p>
    <w:p w14:paraId="49F331E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12.2响应文件电子版：详见须知前附表</w:t>
      </w:r>
    </w:p>
    <w:p w14:paraId="11A8C135">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13.计量单位</w:t>
      </w:r>
    </w:p>
    <w:p w14:paraId="44A5BC2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磋商文件已有明确规定的，使用磋商文件规定的计量单位；磋商文件没有规定的，应采用中华人民共和国法定计量单位，货币种类为人民币，否则视同未响应。</w:t>
      </w:r>
    </w:p>
    <w:p w14:paraId="42C88C20">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14.竞标的风险</w:t>
      </w:r>
    </w:p>
    <w:p w14:paraId="25F6A80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供应商没有按照磋商文件要求提供全部资料，或者供应商没有对磋商文件在各方面作出实质性响应可能导致其响应无效，是供应商应当考虑的风险。</w:t>
      </w:r>
    </w:p>
    <w:p w14:paraId="6DE8945B">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15.响应报价要求和构成</w:t>
      </w:r>
    </w:p>
    <w:p w14:paraId="2282CB9E">
      <w:pPr>
        <w:tabs>
          <w:tab w:val="left" w:pos="2492"/>
        </w:tabs>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15.1响应报价应按“第五章 响应文件格式”中“响应报价表”格式填写。</w:t>
      </w:r>
    </w:p>
    <w:p w14:paraId="44E54C30">
      <w:pPr>
        <w:tabs>
          <w:tab w:val="left" w:pos="2492"/>
        </w:tabs>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15.2响应报价的价格构成见“供应商须知前附表”。</w:t>
      </w:r>
    </w:p>
    <w:p w14:paraId="3A62ABD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15.3响应报价要求</w:t>
      </w:r>
    </w:p>
    <w:p w14:paraId="7F14D9E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15.3.1供应商的响应报价应符合以下要求，否则响应文件按无效响应处理：</w:t>
      </w:r>
    </w:p>
    <w:p w14:paraId="5A0A32A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（1）供应商必须就“采购需求”中所竞标的每个分标的全部内容分别作完整唯一总价报价，不得存在漏项报价；</w:t>
      </w:r>
    </w:p>
    <w:p w14:paraId="5AAB28F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（2）供应商必须就所竞标的分标的单项内容作唯一报价。</w:t>
      </w:r>
    </w:p>
    <w:p w14:paraId="11C3113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15.3.2响应报价（包含首次报价、最后报价）超过所竞标分标规定的采购预算金额或者最高限价的，其响应文件将作无效处理。</w:t>
      </w:r>
    </w:p>
    <w:p w14:paraId="5FD4DC0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15.3.3</w:t>
      </w:r>
      <w:bookmarkStart w:id="89" w:name="_Hlk42592874"/>
      <w:r>
        <w:rPr>
          <w:rFonts w:hint="eastAsia" w:ascii="仿宋" w:hAnsi="仿宋" w:eastAsia="仿宋" w:cs="仿宋"/>
          <w:szCs w:val="21"/>
          <w:highlight w:val="none"/>
        </w:rPr>
        <w:t>响应报价（包含首次报价、最后报价）超过分项采购预算金额或者最高限价的，其响应文件将作无效处理。</w:t>
      </w:r>
    </w:p>
    <w:bookmarkEnd w:id="89"/>
    <w:p w14:paraId="34606A45">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16.竞标有效期</w:t>
      </w:r>
    </w:p>
    <w:p w14:paraId="3C173BB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16.1竞标有效期是指为保证采购人有足够的时间在提交响应文件后完成评审、确定成交供应商、合同签订等工作而要求供应商提交的响应文件在一定时间内保持有效的期限。</w:t>
      </w:r>
    </w:p>
    <w:p w14:paraId="552DACE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16.2 竞标有效期应由供应商按“供应商须知前附表”规定的期限作出响应。</w:t>
      </w:r>
    </w:p>
    <w:p w14:paraId="4858AFE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16.3供应商的响应文件在竞标有效期内均保持有效。</w:t>
      </w:r>
    </w:p>
    <w:p w14:paraId="084FD5B2">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17.磋商保证金</w:t>
      </w:r>
    </w:p>
    <w:p w14:paraId="6FF9104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详见“供应商须知前附表”。</w:t>
      </w:r>
    </w:p>
    <w:p w14:paraId="091D584C">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18.响应文件编制的要求</w:t>
      </w:r>
    </w:p>
    <w:p w14:paraId="0AF852A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3BA924A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18.2响应文件应按资格证明、报价分别编制，商务技术文件合并编制，本磋商只接受电子版响应文件，要求见本章“12.2响应文件电子版要求”。</w:t>
      </w:r>
    </w:p>
    <w:p w14:paraId="38CBC6F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18.</w:t>
      </w:r>
      <w:bookmarkStart w:id="90" w:name="_Hlk65832699"/>
      <w:r>
        <w:rPr>
          <w:rFonts w:hint="eastAsia" w:ascii="仿宋" w:hAnsi="仿宋" w:eastAsia="仿宋" w:cs="仿宋"/>
          <w:szCs w:val="21"/>
          <w:highlight w:val="none"/>
        </w:rPr>
        <w:t>3响应文件须由供应商在</w:t>
      </w:r>
      <w:r>
        <w:rPr>
          <w:rFonts w:hint="eastAsia" w:ascii="仿宋" w:hAnsi="仿宋" w:eastAsia="仿宋" w:cs="仿宋"/>
          <w:kern w:val="0"/>
          <w:szCs w:val="21"/>
          <w:highlight w:val="none"/>
          <w:lang w:val="zh-CN"/>
        </w:rPr>
        <w:t>“</w:t>
      </w:r>
      <w:r>
        <w:rPr>
          <w:rFonts w:hint="eastAsia" w:ascii="仿宋" w:hAnsi="仿宋" w:eastAsia="仿宋" w:cs="仿宋"/>
          <w:szCs w:val="21"/>
          <w:highlight w:val="none"/>
        </w:rPr>
        <w:t>第五章 响应文件格式</w:t>
      </w:r>
      <w:r>
        <w:rPr>
          <w:rFonts w:hint="eastAsia" w:ascii="仿宋" w:hAnsi="仿宋" w:eastAsia="仿宋" w:cs="仿宋"/>
          <w:kern w:val="0"/>
          <w:szCs w:val="21"/>
          <w:highlight w:val="none"/>
          <w:lang w:val="zh-CN"/>
        </w:rPr>
        <w:t>”</w:t>
      </w:r>
      <w:r>
        <w:rPr>
          <w:rFonts w:hint="eastAsia" w:ascii="仿宋" w:hAnsi="仿宋" w:eastAsia="仿宋" w:cs="仿宋"/>
          <w:szCs w:val="21"/>
          <w:highlight w:val="none"/>
        </w:rPr>
        <w:t>规定位置进行签署、盖章</w:t>
      </w:r>
      <w:bookmarkEnd w:id="90"/>
      <w:r>
        <w:rPr>
          <w:rFonts w:hint="eastAsia" w:ascii="仿宋" w:hAnsi="仿宋" w:eastAsia="仿宋" w:cs="仿宋"/>
          <w:szCs w:val="21"/>
          <w:highlight w:val="none"/>
        </w:rPr>
        <w:t>，否则其响应文件按无效响应处理。骑缝盖公章不视为在规定位置盖章。</w:t>
      </w:r>
    </w:p>
    <w:p w14:paraId="77FA163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18.4响应文件中标注的供应商名称应与营业执照（事业单位法人证书、执业许可证、自然人身份证）及电子公章一致，否则其响应文件按无效响应处理。</w:t>
      </w:r>
    </w:p>
    <w:p w14:paraId="508F295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18.5响应文件应避免涂改、行间插字或者删除，否则其响应文件按无效响应处理。</w:t>
      </w:r>
    </w:p>
    <w:p w14:paraId="668CE6B5">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19.响应文件的密封和标记</w:t>
      </w:r>
    </w:p>
    <w:p w14:paraId="08AAD322">
      <w:pPr>
        <w:spacing w:line="440" w:lineRule="exact"/>
        <w:ind w:firstLine="420" w:firstLineChars="200"/>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42211DF">
      <w:pPr>
        <w:spacing w:line="440" w:lineRule="exact"/>
        <w:ind w:firstLine="420" w:firstLineChars="200"/>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19.2使用“广西政府采购云平台电子交易客户端”需要提前申领CA数字证书，申领流程见该项目采购公告附件。</w:t>
      </w:r>
    </w:p>
    <w:p w14:paraId="498EE698">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515A0EF5">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20.响应文件的提交</w:t>
      </w:r>
    </w:p>
    <w:p w14:paraId="052F4C3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20.1供应商必须在“供应商须知前附表”规定的时间和地点提交响应文件。</w:t>
      </w:r>
    </w:p>
    <w:p w14:paraId="691E0EC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20.2 在响应文件提交截止时间以后，不能补充、修改响应文件。</w:t>
      </w:r>
    </w:p>
    <w:p w14:paraId="05216C1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20.3 在提交“最后报价”后，供应商不能退出谈判。</w:t>
      </w:r>
    </w:p>
    <w:p w14:paraId="196AF03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4B6CED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20.5 采购机构不可视情况延长提交响应文件的截止时间。</w:t>
      </w:r>
    </w:p>
    <w:p w14:paraId="7EF5B35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20.6备份响应文件。</w:t>
      </w:r>
      <w:r>
        <w:rPr>
          <w:rFonts w:hint="eastAsia" w:ascii="仿宋" w:hAnsi="仿宋" w:eastAsia="仿宋" w:cs="仿宋"/>
          <w:bCs/>
          <w:szCs w:val="21"/>
          <w:highlight w:val="none"/>
        </w:rPr>
        <w:t>详见在“供应商须知前附表”。</w:t>
      </w:r>
    </w:p>
    <w:p w14:paraId="51B5BC39">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21.首次响应文件的补充、修改与撤回</w:t>
      </w:r>
    </w:p>
    <w:p w14:paraId="7067666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详见“供应商须知前附表”。</w:t>
      </w:r>
    </w:p>
    <w:p w14:paraId="6350F571">
      <w:pPr>
        <w:spacing w:line="440" w:lineRule="exact"/>
        <w:ind w:firstLine="422" w:firstLineChars="200"/>
        <w:rPr>
          <w:rFonts w:hint="eastAsia" w:ascii="仿宋" w:hAnsi="仿宋" w:eastAsia="仿宋" w:cs="仿宋"/>
          <w:b/>
          <w:bCs/>
          <w:szCs w:val="21"/>
          <w:highlight w:val="none"/>
        </w:rPr>
      </w:pPr>
      <w:bookmarkStart w:id="91" w:name="_Hlk45702405"/>
      <w:r>
        <w:rPr>
          <w:rFonts w:hint="eastAsia" w:ascii="仿宋" w:hAnsi="仿宋" w:eastAsia="仿宋" w:cs="仿宋"/>
          <w:b/>
          <w:bCs/>
          <w:szCs w:val="21"/>
          <w:highlight w:val="none"/>
        </w:rPr>
        <w:t>22. 首次响应文件的退回</w:t>
      </w:r>
    </w:p>
    <w:p w14:paraId="2C5ACDD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722A7F91">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23. 截止时间后的撤回</w:t>
      </w:r>
    </w:p>
    <w:p w14:paraId="52E4C51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本项目不收取磋商保证金，供应商在首次响应文件提交截止时间后可向采购人、采购代理机构书面申请撤回电子响应文件。</w:t>
      </w:r>
      <w:bookmarkEnd w:id="91"/>
    </w:p>
    <w:p w14:paraId="230409DC">
      <w:pPr>
        <w:keepNext/>
        <w:keepLines/>
        <w:spacing w:line="440" w:lineRule="exact"/>
        <w:ind w:firstLine="422" w:firstLineChars="200"/>
        <w:outlineLvl w:val="2"/>
        <w:rPr>
          <w:rFonts w:hint="eastAsia" w:ascii="仿宋" w:hAnsi="仿宋" w:eastAsia="仿宋" w:cs="仿宋"/>
          <w:szCs w:val="21"/>
          <w:highlight w:val="none"/>
        </w:rPr>
      </w:pPr>
      <w:bookmarkStart w:id="92" w:name="_Toc127516326"/>
      <w:r>
        <w:rPr>
          <w:rFonts w:hint="eastAsia" w:ascii="仿宋" w:hAnsi="仿宋" w:eastAsia="仿宋" w:cs="仿宋"/>
          <w:b/>
          <w:bCs/>
          <w:szCs w:val="21"/>
          <w:highlight w:val="none"/>
        </w:rPr>
        <w:t>四、评审及磋商</w:t>
      </w:r>
      <w:bookmarkEnd w:id="92"/>
    </w:p>
    <w:p w14:paraId="72CFDC82">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24.磋商小组成立</w:t>
      </w:r>
    </w:p>
    <w:p w14:paraId="430F3AC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757281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7235AAB">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25.首次响应文件的开启</w:t>
      </w:r>
    </w:p>
    <w:p w14:paraId="0300E9E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25.1首次响应文件由磋商小组或者采购代理机构在“供应商须知前附表”规定的时间开启。</w:t>
      </w:r>
    </w:p>
    <w:p w14:paraId="3842EA09">
      <w:pPr>
        <w:spacing w:line="440" w:lineRule="exact"/>
        <w:ind w:firstLine="420" w:firstLineChars="200"/>
        <w:rPr>
          <w:rFonts w:hint="eastAsia" w:ascii="仿宋" w:hAnsi="仿宋" w:eastAsia="仿宋" w:cs="仿宋"/>
          <w:bCs/>
          <w:kern w:val="0"/>
          <w:szCs w:val="21"/>
          <w:highlight w:val="none"/>
        </w:rPr>
      </w:pPr>
      <w:r>
        <w:rPr>
          <w:rFonts w:hint="eastAsia" w:ascii="仿宋" w:hAnsi="仿宋" w:eastAsia="仿宋" w:cs="仿宋"/>
          <w:kern w:val="0"/>
          <w:szCs w:val="21"/>
          <w:highlight w:val="none"/>
        </w:rPr>
        <w:t xml:space="preserve">25.2 </w:t>
      </w:r>
      <w:r>
        <w:rPr>
          <w:rFonts w:hint="eastAsia" w:ascii="仿宋" w:hAnsi="仿宋" w:eastAsia="仿宋" w:cs="仿宋"/>
          <w:bCs/>
          <w:kern w:val="0"/>
          <w:szCs w:val="21"/>
          <w:highlight w:val="none"/>
        </w:rPr>
        <w:t>响应文件解密</w:t>
      </w:r>
    </w:p>
    <w:p w14:paraId="7D69BDEB">
      <w:pPr>
        <w:snapToGrid w:val="0"/>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bCs/>
          <w:kern w:val="0"/>
          <w:szCs w:val="21"/>
          <w:highlight w:val="none"/>
        </w:rPr>
        <w:t>采购代理机构将在“供应商须知前附表”规定的时</w:t>
      </w:r>
      <w:r>
        <w:rPr>
          <w:rFonts w:hint="eastAsia" w:ascii="仿宋" w:hAnsi="仿宋" w:eastAsia="仿宋" w:cs="仿宋"/>
          <w:kern w:val="0"/>
          <w:szCs w:val="21"/>
          <w:highlight w:val="none"/>
        </w:rPr>
        <w:t>间通过电子交易平台组织响应文件开启，采购机构依托电子交易平台发起开始解密指令，供应商的法定代表人或其委托代理人</w:t>
      </w:r>
      <w:r>
        <w:rPr>
          <w:rFonts w:hint="eastAsia" w:ascii="仿宋" w:hAnsi="仿宋" w:eastAsia="仿宋" w:cs="仿宋"/>
          <w:b/>
          <w:kern w:val="0"/>
          <w:szCs w:val="21"/>
          <w:highlight w:val="none"/>
        </w:rPr>
        <w:t>须携带加密时所用的CA锁按平台提示和采购文件的规定登录到“广西政府采购云平台”平台电子开标大厅签到并在发起解密指令之时起30分钟内完成对电子响应文件在线解密</w:t>
      </w:r>
      <w:r>
        <w:rPr>
          <w:rFonts w:hint="eastAsia" w:ascii="仿宋" w:hAnsi="仿宋" w:eastAsia="仿宋" w:cs="仿宋"/>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仿宋" w:hAnsi="仿宋" w:eastAsia="仿宋" w:cs="仿宋"/>
          <w:b/>
          <w:kern w:val="0"/>
          <w:szCs w:val="21"/>
          <w:highlight w:val="none"/>
        </w:rPr>
        <w:t>视为响应文件无效。</w:t>
      </w:r>
      <w:r>
        <w:rPr>
          <w:rFonts w:hint="eastAsia" w:ascii="仿宋" w:hAnsi="仿宋" w:eastAsia="仿宋" w:cs="仿宋"/>
          <w:kern w:val="0"/>
          <w:szCs w:val="21"/>
          <w:highlight w:val="none"/>
        </w:rPr>
        <w:t>（解密</w:t>
      </w:r>
      <w:r>
        <w:rPr>
          <w:rFonts w:hint="eastAsia" w:ascii="仿宋" w:hAnsi="仿宋" w:eastAsia="仿宋" w:cs="仿宋"/>
          <w:bCs/>
          <w:kern w:val="0"/>
          <w:szCs w:val="21"/>
          <w:highlight w:val="none"/>
        </w:rPr>
        <w:t>异常情况处理：详见本章</w:t>
      </w:r>
      <w:r>
        <w:rPr>
          <w:rFonts w:hint="eastAsia" w:ascii="仿宋" w:hAnsi="仿宋" w:eastAsia="仿宋" w:cs="仿宋"/>
          <w:kern w:val="0"/>
          <w:szCs w:val="21"/>
          <w:highlight w:val="none"/>
        </w:rPr>
        <w:t>26.3电子交易活动的中止。）</w:t>
      </w:r>
    </w:p>
    <w:p w14:paraId="5ABED4BF">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如</w:t>
      </w:r>
      <w:r>
        <w:rPr>
          <w:rFonts w:hint="eastAsia" w:ascii="仿宋" w:hAnsi="仿宋" w:eastAsia="仿宋" w:cs="仿宋"/>
          <w:bCs/>
          <w:kern w:val="0"/>
          <w:szCs w:val="21"/>
          <w:highlight w:val="none"/>
        </w:rPr>
        <w:t>供应商成功解密响应文件，但未在“广西政府采购云平台”电子开标大厅参加谈判的，视同认可谈判过程和结果，</w:t>
      </w:r>
      <w:r>
        <w:rPr>
          <w:rFonts w:hint="eastAsia" w:ascii="仿宋" w:hAnsi="仿宋" w:eastAsia="仿宋" w:cs="仿宋"/>
          <w:kern w:val="0"/>
          <w:szCs w:val="21"/>
          <w:highlight w:val="none"/>
        </w:rPr>
        <w:t>由此产生的后果由供应商自行负责。 参与谈判的供应商不足3家的，不得谈判。</w:t>
      </w:r>
    </w:p>
    <w:p w14:paraId="3D97C4BA">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26.评审程序、评审方法和评审标准</w:t>
      </w:r>
    </w:p>
    <w:p w14:paraId="5EDD889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26.1磋商小组按照“第四章 评审程序、评审方法和评审标准”规定的方法、评审因素、标准和程序对响应文件进行评审。</w:t>
      </w:r>
    </w:p>
    <w:p w14:paraId="4DA5CB1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26.2 采购需求负偏离要求及磋商顺序详见 “ 供应商须知前附表”。</w:t>
      </w:r>
    </w:p>
    <w:p w14:paraId="6E2CC9C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26.3电子交易活动的中止。采购过程中出现以下情形，导致电子交易平台无法正常运行，或者无法保证电子交易的公平、公正和安全时，采购机构可中止电子交易活动：</w:t>
      </w:r>
    </w:p>
    <w:p w14:paraId="2DC8F04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（1）电子交易平台发生故障而无法登录访问的； </w:t>
      </w:r>
    </w:p>
    <w:p w14:paraId="2B4BC9E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（2）电子交易平台应用或数据库出现错误，不能进行正常操作的；</w:t>
      </w:r>
    </w:p>
    <w:p w14:paraId="281BF39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（3）电子交易平台发现严重安全漏洞，有潜在泄密危险的；</w:t>
      </w:r>
    </w:p>
    <w:p w14:paraId="7B45578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（4）病毒发作导致不能进行正常操作的； </w:t>
      </w:r>
    </w:p>
    <w:p w14:paraId="405D9A4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（4）其他无法保证电子交易的公平、公正和安全的情况。</w:t>
      </w:r>
    </w:p>
    <w:p w14:paraId="23FCEC1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E30668A">
      <w:pPr>
        <w:keepNext/>
        <w:keepLines/>
        <w:spacing w:line="440" w:lineRule="exact"/>
        <w:ind w:firstLine="422" w:firstLineChars="200"/>
        <w:outlineLvl w:val="2"/>
        <w:rPr>
          <w:rFonts w:hint="eastAsia" w:ascii="仿宋" w:hAnsi="仿宋" w:eastAsia="仿宋" w:cs="仿宋"/>
          <w:b/>
          <w:bCs/>
          <w:szCs w:val="21"/>
          <w:highlight w:val="none"/>
        </w:rPr>
      </w:pPr>
      <w:bookmarkStart w:id="93" w:name="_Toc127516327"/>
      <w:r>
        <w:rPr>
          <w:rFonts w:hint="eastAsia" w:ascii="仿宋" w:hAnsi="仿宋" w:eastAsia="仿宋" w:cs="仿宋"/>
          <w:b/>
          <w:bCs/>
          <w:szCs w:val="21"/>
          <w:highlight w:val="none"/>
        </w:rPr>
        <w:t>五、成交及合同</w:t>
      </w:r>
      <w:bookmarkEnd w:id="93"/>
    </w:p>
    <w:p w14:paraId="2B370338">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27.确定成交供应商及结果公告</w:t>
      </w:r>
    </w:p>
    <w:p w14:paraId="1F7EBC6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27.1确定成交供应商。</w:t>
      </w:r>
      <w:r>
        <w:rPr>
          <w:rFonts w:hint="eastAsia" w:ascii="仿宋" w:hAnsi="仿宋" w:eastAsia="仿宋" w:cs="仿宋"/>
          <w:kern w:val="0"/>
          <w:szCs w:val="21"/>
          <w:highlight w:val="none"/>
          <w:u w:val="single"/>
        </w:rPr>
        <w:t xml:space="preserve"> 由采购人直接委托评审专家确定</w:t>
      </w:r>
      <w:r>
        <w:rPr>
          <w:rFonts w:hint="eastAsia" w:ascii="仿宋" w:hAnsi="仿宋" w:eastAsia="仿宋" w:cs="仿宋"/>
          <w:szCs w:val="21"/>
          <w:highlight w:val="none"/>
          <w:u w:val="single"/>
        </w:rPr>
        <w:t>，评审报告提出的排序第一的供应商为成交供应商。</w:t>
      </w:r>
    </w:p>
    <w:p w14:paraId="7F1ABEC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27.2成交通知及成交结果公告。</w:t>
      </w:r>
      <w:r>
        <w:rPr>
          <w:rFonts w:hint="eastAsia" w:ascii="仿宋" w:hAnsi="仿宋" w:eastAsia="仿宋" w:cs="仿宋"/>
          <w:kern w:val="0"/>
          <w:szCs w:val="21"/>
          <w:highlight w:val="none"/>
        </w:rPr>
        <w:t>成交</w:t>
      </w:r>
      <w:r>
        <w:rPr>
          <w:rFonts w:hint="eastAsia" w:ascii="仿宋" w:hAnsi="仿宋" w:eastAsia="仿宋" w:cs="仿宋"/>
          <w:szCs w:val="21"/>
          <w:highlight w:val="none"/>
        </w:rPr>
        <w:t>供应商确定后2个工作日内，在省级以上财政部门指定的媒体上公</w:t>
      </w:r>
      <w:r>
        <w:rPr>
          <w:rFonts w:hint="eastAsia" w:ascii="仿宋" w:hAnsi="仿宋" w:eastAsia="仿宋" w:cs="仿宋"/>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仿宋" w:hAnsi="仿宋" w:eastAsia="仿宋" w:cs="仿宋"/>
          <w:szCs w:val="21"/>
          <w:highlight w:val="none"/>
        </w:rPr>
        <w:t>同时向成交供应商发出成交通知书，成交通知书规定签订合同的时间不得超过25日。</w:t>
      </w:r>
    </w:p>
    <w:p w14:paraId="220D285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EDBD23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ABAC4D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bCs/>
          <w:szCs w:val="21"/>
          <w:highlight w:val="none"/>
        </w:rPr>
        <w:t>27.5</w:t>
      </w:r>
      <w:r>
        <w:rPr>
          <w:rFonts w:hint="eastAsia" w:ascii="仿宋" w:hAnsi="仿宋" w:eastAsia="仿宋" w:cs="仿宋"/>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57D01CBC">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28.履约保证金</w:t>
      </w:r>
    </w:p>
    <w:p w14:paraId="70C08B23">
      <w:pPr>
        <w:spacing w:line="440" w:lineRule="exact"/>
        <w:ind w:firstLine="420" w:firstLineChars="200"/>
        <w:rPr>
          <w:rFonts w:hint="eastAsia" w:ascii="仿宋" w:hAnsi="仿宋" w:eastAsia="仿宋" w:cs="仿宋"/>
          <w:b/>
          <w:bCs/>
          <w:szCs w:val="21"/>
          <w:highlight w:val="none"/>
        </w:rPr>
      </w:pPr>
      <w:r>
        <w:rPr>
          <w:rFonts w:hint="eastAsia" w:ascii="仿宋" w:hAnsi="仿宋" w:eastAsia="仿宋" w:cs="仿宋"/>
          <w:szCs w:val="21"/>
          <w:highlight w:val="none"/>
        </w:rPr>
        <w:t>详见 “供应商须知前附表”</w:t>
      </w:r>
    </w:p>
    <w:p w14:paraId="62E5161A">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29.签订合同</w:t>
      </w:r>
    </w:p>
    <w:p w14:paraId="7035DA7D">
      <w:pPr>
        <w:adjustRightInd w:val="0"/>
        <w:snapToGrid w:val="0"/>
        <w:spacing w:line="440" w:lineRule="exact"/>
        <w:ind w:firstLine="420" w:firstLineChars="200"/>
        <w:rPr>
          <w:rFonts w:hint="eastAsia" w:ascii="仿宋" w:hAnsi="仿宋" w:eastAsia="仿宋" w:cs="仿宋"/>
          <w:kern w:val="0"/>
          <w:szCs w:val="21"/>
          <w:highlight w:val="none"/>
          <w:lang w:val="zh-CN"/>
        </w:rPr>
      </w:pPr>
      <w:r>
        <w:rPr>
          <w:rFonts w:hint="eastAsia" w:ascii="仿宋" w:hAnsi="仿宋" w:eastAsia="仿宋" w:cs="仿宋"/>
          <w:kern w:val="0"/>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仿宋" w:hAnsi="仿宋" w:eastAsia="仿宋" w:cs="仿宋"/>
          <w:kern w:val="0"/>
          <w:szCs w:val="21"/>
          <w:highlight w:val="none"/>
          <w:lang w:val="zh-CN"/>
        </w:rPr>
        <w:t>如成交供应商为联合体的，由联合体成员各方法定代表人或其授权代表与采购人代表签订合同。</w:t>
      </w:r>
    </w:p>
    <w:p w14:paraId="39795E6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34540D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1E7ABE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29.4如签订合同并生效后，供应商无故拒绝或延期，除按照合同条款处理外，列入不良行为记录，并给予通报。</w:t>
      </w:r>
    </w:p>
    <w:p w14:paraId="7DFF46F4">
      <w:pPr>
        <w:adjustRightInd w:val="0"/>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29.5采购合同由采购人与成交供应商根据磋商文件、响应文件等内容通过政府采购电子交易平台在线签订，自动备案，在线签订须携带的材料见“ 供应商须知前附表”。</w:t>
      </w:r>
    </w:p>
    <w:p w14:paraId="07D345D0">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30.政府采购合同公告</w:t>
      </w:r>
    </w:p>
    <w:p w14:paraId="5F689A6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采购人或者受托采购代理机构应当自政府采购合同签订之日起2个工作日内，将政府采购合同</w:t>
      </w:r>
      <w:r>
        <w:rPr>
          <w:rFonts w:hint="eastAsia" w:ascii="仿宋" w:hAnsi="仿宋" w:eastAsia="仿宋" w:cs="仿宋"/>
          <w:bCs/>
          <w:szCs w:val="21"/>
          <w:highlight w:val="none"/>
        </w:rPr>
        <w:t>在以下媒体上发布</w:t>
      </w:r>
      <w:r>
        <w:rPr>
          <w:rFonts w:hint="eastAsia" w:ascii="仿宋" w:hAnsi="仿宋" w:eastAsia="仿宋" w:cs="仿宋"/>
          <w:kern w:val="0"/>
          <w:szCs w:val="21"/>
          <w:highlight w:val="none"/>
        </w:rPr>
        <w:t>“广西政府采购网”（http://zfcg.gxzf.gov.cn）</w:t>
      </w:r>
      <w:r>
        <w:rPr>
          <w:rFonts w:hint="eastAsia" w:ascii="仿宋" w:hAnsi="仿宋" w:eastAsia="仿宋" w:cs="仿宋"/>
          <w:szCs w:val="21"/>
          <w:highlight w:val="none"/>
        </w:rPr>
        <w:t>上公告，但政府采购合同中涉及国家秘密、商业秘密的内容除外。</w:t>
      </w:r>
    </w:p>
    <w:p w14:paraId="67CCDEF9">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31. 询问、质疑和投诉</w:t>
      </w:r>
    </w:p>
    <w:p w14:paraId="03702D6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31.1供应商对政府采购活动事项有疑问的，可以向采购人、采购代理机构提出询问，采购人或者采购代理机构应当在3个工作日内对供应商依法提出的询问作出答复。</w:t>
      </w:r>
    </w:p>
    <w:p w14:paraId="0251330C">
      <w:pPr>
        <w:spacing w:line="440" w:lineRule="exact"/>
        <w:ind w:firstLine="420" w:firstLineChars="200"/>
        <w:rPr>
          <w:rFonts w:hint="eastAsia" w:ascii="仿宋" w:hAnsi="仿宋" w:eastAsia="仿宋" w:cs="仿宋"/>
          <w:b/>
          <w:szCs w:val="21"/>
          <w:highlight w:val="none"/>
        </w:rPr>
      </w:pPr>
      <w:r>
        <w:rPr>
          <w:rFonts w:hint="eastAsia" w:ascii="仿宋" w:hAnsi="仿宋" w:eastAsia="仿宋" w:cs="仿宋"/>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仿宋" w:hAnsi="仿宋" w:eastAsia="仿宋" w:cs="仿宋"/>
          <w:szCs w:val="21"/>
          <w:highlight w:val="none"/>
          <w:shd w:val="clear" w:color="auto" w:fill="FFFFFF"/>
        </w:rPr>
        <w:t>接收质疑函的方式、联系部门、联系电话和通讯地址等信息详见</w:t>
      </w:r>
      <w:r>
        <w:rPr>
          <w:rFonts w:hint="eastAsia" w:ascii="仿宋" w:hAnsi="仿宋" w:eastAsia="仿宋" w:cs="仿宋"/>
          <w:szCs w:val="21"/>
          <w:highlight w:val="none"/>
        </w:rPr>
        <w:t>“供应商须知前附表”。</w:t>
      </w:r>
      <w:r>
        <w:rPr>
          <w:rFonts w:hint="eastAsia" w:ascii="仿宋" w:hAnsi="仿宋" w:eastAsia="仿宋" w:cs="仿宋"/>
          <w:b/>
          <w:szCs w:val="21"/>
          <w:highlight w:val="none"/>
        </w:rPr>
        <w:t xml:space="preserve">具体质疑起算时间及处理方式如下： </w:t>
      </w:r>
    </w:p>
    <w:p w14:paraId="6F06A038">
      <w:pPr>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（1）潜在供应商依法获取采购文件后，认为采购文件使自己的权益受到损害的，应当在竞争性磋商采购文件公告期限届满之日起7个工作日内提出质疑。</w:t>
      </w:r>
      <w:r>
        <w:rPr>
          <w:rFonts w:hint="eastAsia" w:ascii="仿宋" w:hAnsi="仿宋" w:eastAsia="仿宋" w:cs="仿宋"/>
          <w:szCs w:val="21"/>
          <w:highlight w:val="none"/>
        </w:rPr>
        <w:t>委托代理协议无特殊约定的，</w:t>
      </w:r>
      <w:r>
        <w:rPr>
          <w:rFonts w:hint="eastAsia" w:ascii="仿宋" w:hAnsi="仿宋" w:eastAsia="仿宋" w:cs="仿宋"/>
          <w:bCs/>
          <w:szCs w:val="21"/>
          <w:highlight w:val="none"/>
        </w:rPr>
        <w:t>对竞争性磋商文件中采购需求（含资格要求、采购预算和评分办法）的质疑由采购人受理并负责答复；对竞争性磋商文件中的采购执行程序的质疑由采购代理机构受理并负责答复。</w:t>
      </w:r>
    </w:p>
    <w:p w14:paraId="4CDDF932">
      <w:pPr>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6A87ABD">
      <w:pPr>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（3）供应商认为成交结果使自己的权益受到损害的，应当在成交结果公告期限届满之日起7个工作日内提出质疑，由采购人受理并负责答复。</w:t>
      </w:r>
    </w:p>
    <w:p w14:paraId="201188D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5383B8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31.4 供应商提出质疑应当提交质疑函和必要的证明材料，针对同一采购程序环节的质疑必须在法定质疑期内一次性提出。质疑函应当包括下列内容</w:t>
      </w:r>
      <w:r>
        <w:rPr>
          <w:rFonts w:hint="eastAsia" w:ascii="仿宋" w:hAnsi="仿宋" w:eastAsia="仿宋" w:cs="仿宋"/>
          <w:bCs/>
          <w:szCs w:val="21"/>
          <w:highlight w:val="none"/>
        </w:rPr>
        <w:t>（质疑函格式后附）</w:t>
      </w:r>
      <w:r>
        <w:rPr>
          <w:rFonts w:hint="eastAsia" w:ascii="仿宋" w:hAnsi="仿宋" w:eastAsia="仿宋" w:cs="仿宋"/>
          <w:szCs w:val="21"/>
          <w:highlight w:val="none"/>
        </w:rPr>
        <w:t>：</w:t>
      </w:r>
    </w:p>
    <w:p w14:paraId="23B1009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（1）供应商的姓名或者名称、地址、邮编、联系人及联系电话；</w:t>
      </w:r>
    </w:p>
    <w:p w14:paraId="7C84F7A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（2）质疑项目的名称、编号；</w:t>
      </w:r>
    </w:p>
    <w:p w14:paraId="5F27498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（3）具体、明确的质疑事项和与质疑事项相关的请求；</w:t>
      </w:r>
    </w:p>
    <w:p w14:paraId="165EA3C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（4）事实依据；</w:t>
      </w:r>
    </w:p>
    <w:p w14:paraId="380170C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（5）必要的法律依据；</w:t>
      </w:r>
    </w:p>
    <w:p w14:paraId="0D3E9EA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（6）提出质疑的日期。</w:t>
      </w:r>
    </w:p>
    <w:p w14:paraId="19C5F83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供应商为自然人的，应当由本人签字；供应商为法人或者其他组织的，应当由法定代表人、主要负责人，或者其委托代理人签字或者盖章，并加盖公章。</w:t>
      </w:r>
    </w:p>
    <w:p w14:paraId="2B619AD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50A9AEA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（一）对采购文件提出的质疑，依法通过澄清或者修改可以继续开展采购活动的，澄清或者修改采购文件后继续开展采购活动；否则应当修改采购文件后重新开展采购活动。</w:t>
      </w:r>
    </w:p>
    <w:p w14:paraId="5EC96D9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1232528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质疑答复导致成交结果改变的，采购人或者采购代理机构应当将有关情况书面报告本级财政部门。</w:t>
      </w:r>
    </w:p>
    <w:p w14:paraId="4DAC392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94" w:name="_Toc80205930"/>
    </w:p>
    <w:p w14:paraId="3D54D6BB">
      <w:pPr>
        <w:keepNext/>
        <w:keepLines/>
        <w:spacing w:line="440" w:lineRule="exact"/>
        <w:ind w:firstLine="422" w:firstLineChars="200"/>
        <w:outlineLvl w:val="2"/>
        <w:rPr>
          <w:rFonts w:hint="eastAsia" w:ascii="仿宋" w:hAnsi="仿宋" w:eastAsia="仿宋" w:cs="仿宋"/>
          <w:b/>
          <w:bCs/>
          <w:szCs w:val="21"/>
          <w:highlight w:val="none"/>
        </w:rPr>
      </w:pPr>
      <w:bookmarkStart w:id="95" w:name="_Toc127516328"/>
      <w:r>
        <w:rPr>
          <w:rFonts w:hint="eastAsia" w:ascii="仿宋" w:hAnsi="仿宋" w:eastAsia="仿宋" w:cs="仿宋"/>
          <w:b/>
          <w:bCs/>
          <w:szCs w:val="21"/>
          <w:highlight w:val="none"/>
        </w:rPr>
        <w:t>六、验收</w:t>
      </w:r>
      <w:bookmarkEnd w:id="94"/>
      <w:bookmarkEnd w:id="95"/>
    </w:p>
    <w:p w14:paraId="2B74A243">
      <w:pPr>
        <w:tabs>
          <w:tab w:val="left" w:pos="0"/>
        </w:tabs>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32.验收</w:t>
      </w:r>
    </w:p>
    <w:p w14:paraId="358685D0">
      <w:pPr>
        <w:tabs>
          <w:tab w:val="left" w:pos="0"/>
        </w:tabs>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C24E82B">
      <w:pPr>
        <w:tabs>
          <w:tab w:val="left" w:pos="0"/>
        </w:tabs>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32.2采购人可以邀请参加本项目的其他供应商或者第三方机构参与验收。参与验收的供应商或者第三方机构的意见作为验收书的参考资料一并存档。</w:t>
      </w:r>
    </w:p>
    <w:p w14:paraId="60B17DFA">
      <w:pPr>
        <w:tabs>
          <w:tab w:val="left" w:pos="0"/>
        </w:tabs>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EC74E95">
      <w:pPr>
        <w:tabs>
          <w:tab w:val="left" w:pos="0"/>
        </w:tabs>
        <w:spacing w:line="440" w:lineRule="exact"/>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D51E355">
      <w:pPr>
        <w:keepNext/>
        <w:keepLines/>
        <w:spacing w:line="440" w:lineRule="exact"/>
        <w:ind w:firstLine="422" w:firstLineChars="200"/>
        <w:outlineLvl w:val="2"/>
        <w:rPr>
          <w:rFonts w:hint="eastAsia" w:ascii="仿宋" w:hAnsi="仿宋" w:eastAsia="仿宋" w:cs="仿宋"/>
          <w:b/>
          <w:bCs/>
          <w:szCs w:val="21"/>
          <w:highlight w:val="none"/>
        </w:rPr>
      </w:pPr>
      <w:bookmarkStart w:id="96" w:name="_Toc127516329"/>
      <w:r>
        <w:rPr>
          <w:rFonts w:hint="eastAsia" w:ascii="仿宋" w:hAnsi="仿宋" w:eastAsia="仿宋" w:cs="仿宋"/>
          <w:b/>
          <w:bCs/>
          <w:szCs w:val="21"/>
          <w:highlight w:val="none"/>
        </w:rPr>
        <w:t>七、其他事项</w:t>
      </w:r>
      <w:bookmarkEnd w:id="96"/>
    </w:p>
    <w:p w14:paraId="0C22DDA5">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33.代理服务费</w:t>
      </w:r>
    </w:p>
    <w:p w14:paraId="36F4445A">
      <w:pPr>
        <w:tabs>
          <w:tab w:val="left" w:pos="2835"/>
        </w:tabs>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代理服务收费标准及缴费账户详见“供应商须知前附表”，供应商为联合体的，可以由联合体中的一方或者多方共同交纳代理服务费。</w:t>
      </w:r>
    </w:p>
    <w:p w14:paraId="0B991B69">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34.需要补充的其他内容</w:t>
      </w:r>
    </w:p>
    <w:p w14:paraId="519F911A">
      <w:pPr>
        <w:spacing w:line="440" w:lineRule="exact"/>
        <w:ind w:firstLine="420" w:firstLineChars="200"/>
        <w:textAlignment w:val="center"/>
        <w:rPr>
          <w:rFonts w:hint="eastAsia" w:ascii="仿宋" w:hAnsi="仿宋" w:eastAsia="仿宋" w:cs="仿宋"/>
          <w:szCs w:val="21"/>
          <w:highlight w:val="none"/>
        </w:rPr>
      </w:pPr>
      <w:r>
        <w:rPr>
          <w:rFonts w:hint="eastAsia" w:ascii="仿宋" w:hAnsi="仿宋" w:eastAsia="仿宋" w:cs="仿宋"/>
          <w:szCs w:val="21"/>
          <w:highlight w:val="none"/>
        </w:rPr>
        <w:t>34.1本磋商文件解释规则详见“供应商须知前附表”。</w:t>
      </w:r>
    </w:p>
    <w:p w14:paraId="05D66BF5">
      <w:pPr>
        <w:spacing w:line="440" w:lineRule="exact"/>
        <w:ind w:firstLine="420" w:firstLineChars="200"/>
        <w:textAlignment w:val="center"/>
        <w:rPr>
          <w:rFonts w:hint="eastAsia" w:ascii="仿宋" w:hAnsi="仿宋" w:eastAsia="仿宋" w:cs="仿宋"/>
          <w:szCs w:val="21"/>
          <w:highlight w:val="none"/>
        </w:rPr>
      </w:pPr>
      <w:r>
        <w:rPr>
          <w:rFonts w:hint="eastAsia" w:ascii="仿宋" w:hAnsi="仿宋" w:eastAsia="仿宋" w:cs="仿宋"/>
          <w:szCs w:val="21"/>
          <w:highlight w:val="none"/>
        </w:rPr>
        <w:t>34.2 其他事项详见“供应商须知前附表”。</w:t>
      </w:r>
    </w:p>
    <w:p w14:paraId="79EA3F63">
      <w:pPr>
        <w:spacing w:line="440" w:lineRule="exact"/>
        <w:ind w:firstLine="420" w:firstLineChars="200"/>
        <w:textAlignment w:val="center"/>
        <w:rPr>
          <w:rFonts w:hint="eastAsia" w:ascii="仿宋" w:hAnsi="仿宋" w:eastAsia="仿宋" w:cs="仿宋"/>
          <w:szCs w:val="21"/>
          <w:highlight w:val="none"/>
        </w:rPr>
      </w:pPr>
      <w:r>
        <w:rPr>
          <w:rFonts w:hint="eastAsia" w:ascii="仿宋" w:hAnsi="仿宋" w:eastAsia="仿宋" w:cs="仿宋"/>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仿宋" w:hAnsi="仿宋" w:eastAsia="仿宋" w:cs="仿宋"/>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仿宋" w:hAnsi="仿宋" w:eastAsia="仿宋" w:cs="仿宋"/>
          <w:szCs w:val="21"/>
          <w:highlight w:val="none"/>
        </w:rPr>
        <w:t>，享受本文件规定的中小企业扶持政策。</w:t>
      </w:r>
    </w:p>
    <w:p w14:paraId="642AE1A0">
      <w:pPr>
        <w:spacing w:line="440" w:lineRule="exact"/>
        <w:ind w:firstLine="420" w:firstLineChars="200"/>
        <w:textAlignment w:val="center"/>
        <w:rPr>
          <w:rFonts w:hint="eastAsia" w:ascii="仿宋" w:hAnsi="仿宋" w:eastAsia="仿宋" w:cs="仿宋"/>
          <w:szCs w:val="21"/>
          <w:highlight w:val="none"/>
        </w:rPr>
      </w:pPr>
      <w:r>
        <w:rPr>
          <w:rFonts w:hint="eastAsia" w:ascii="仿宋" w:hAnsi="仿宋" w:eastAsia="仿宋" w:cs="仿宋"/>
          <w:szCs w:val="21"/>
          <w:highlight w:val="none"/>
        </w:rPr>
        <w:t>以联合体形式参加政府采购活动，联合体各方均为中小企业的，联合体视同中小企业。其中，联合体各方均为小微企业的，联合体视同小微企业。</w:t>
      </w:r>
    </w:p>
    <w:p w14:paraId="6F40C875">
      <w:pPr>
        <w:spacing w:line="440" w:lineRule="exact"/>
        <w:ind w:firstLine="420" w:firstLineChars="200"/>
        <w:textAlignment w:val="center"/>
        <w:rPr>
          <w:rFonts w:hint="eastAsia" w:ascii="仿宋" w:hAnsi="仿宋" w:eastAsia="仿宋" w:cs="仿宋"/>
          <w:szCs w:val="21"/>
          <w:highlight w:val="none"/>
        </w:rPr>
      </w:pPr>
      <w:r>
        <w:rPr>
          <w:rFonts w:hint="eastAsia" w:ascii="仿宋" w:hAnsi="仿宋" w:eastAsia="仿宋" w:cs="仿宋"/>
          <w:szCs w:val="21"/>
          <w:highlight w:val="none"/>
        </w:rPr>
        <w:t>依据本文件规定享受扶持政策获得政府采购合同的，小微企业不得将合同分包给大中型企业，中型企业不得将合同分包给大型企业。</w:t>
      </w:r>
    </w:p>
    <w:p w14:paraId="1EC19567">
      <w:pPr>
        <w:spacing w:line="440" w:lineRule="exact"/>
        <w:ind w:firstLine="420" w:firstLineChars="200"/>
        <w:textAlignment w:val="center"/>
        <w:rPr>
          <w:rFonts w:hint="eastAsia" w:ascii="仿宋" w:hAnsi="仿宋" w:eastAsia="仿宋" w:cs="仿宋"/>
          <w:szCs w:val="21"/>
          <w:highlight w:val="none"/>
        </w:rPr>
      </w:pPr>
      <w:r>
        <w:rPr>
          <w:rFonts w:hint="eastAsia" w:ascii="仿宋" w:hAnsi="仿宋" w:eastAsia="仿宋" w:cs="仿宋"/>
          <w:szCs w:val="21"/>
          <w:highlight w:val="none"/>
        </w:rPr>
        <w:t>35. 政采贷相关说明</w:t>
      </w:r>
    </w:p>
    <w:p w14:paraId="174E0715">
      <w:pPr>
        <w:spacing w:line="440" w:lineRule="exact"/>
        <w:ind w:firstLine="420" w:firstLineChars="200"/>
        <w:textAlignment w:val="center"/>
        <w:rPr>
          <w:rFonts w:hint="eastAsia" w:ascii="仿宋" w:hAnsi="仿宋" w:eastAsia="仿宋" w:cs="仿宋"/>
          <w:highlight w:val="none"/>
        </w:rPr>
      </w:pPr>
      <w:r>
        <w:rPr>
          <w:rFonts w:hint="eastAsia" w:ascii="仿宋" w:hAnsi="仿宋" w:eastAsia="仿宋" w:cs="仿宋"/>
          <w:kern w:val="0"/>
          <w:szCs w:val="21"/>
          <w:highlight w:val="none"/>
        </w:rPr>
        <w:t>为</w:t>
      </w:r>
      <w:r>
        <w:rPr>
          <w:rFonts w:hint="eastAsia" w:ascii="仿宋" w:hAnsi="仿宋" w:eastAsia="仿宋" w:cs="仿宋"/>
          <w:szCs w:val="21"/>
          <w:highlight w:val="none"/>
        </w:rPr>
        <w:t>优化</w:t>
      </w:r>
      <w:r>
        <w:rPr>
          <w:rFonts w:hint="eastAsia" w:ascii="仿宋" w:hAnsi="仿宋" w:eastAsia="仿宋" w:cs="仿宋"/>
          <w:kern w:val="0"/>
          <w:szCs w:val="21"/>
          <w:highlight w:val="none"/>
        </w:rPr>
        <w:t>政府采购营商环境，缓解供应商资金难题，南宁市政府采购试行政府采购信用融资制度，中标供应商如有融资需求，可凭政府采购合同在“南宁市公共资源交易中心”官网（网址：http://www.nnggzy.org.cn）“交易信息-政府采购-政府采购信用融资”中融资银行和南宁市企业融资服务中心专栏信息申请政府采购信用融资。</w:t>
      </w:r>
      <w:r>
        <w:rPr>
          <w:rFonts w:hint="eastAsia" w:ascii="仿宋" w:hAnsi="仿宋" w:eastAsia="仿宋" w:cs="仿宋"/>
          <w:b/>
          <w:kern w:val="0"/>
          <w:sz w:val="24"/>
          <w:highlight w:val="none"/>
        </w:rPr>
        <w:br w:type="page"/>
      </w:r>
    </w:p>
    <w:p w14:paraId="291D217D">
      <w:pPr>
        <w:spacing w:line="400" w:lineRule="exact"/>
        <w:ind w:firstLine="643" w:firstLineChars="200"/>
        <w:jc w:val="center"/>
        <w:textAlignment w:val="center"/>
        <w:outlineLvl w:val="0"/>
        <w:rPr>
          <w:rFonts w:hint="eastAsia" w:ascii="仿宋" w:hAnsi="仿宋" w:eastAsia="仿宋" w:cs="仿宋"/>
          <w:b/>
          <w:bCs/>
          <w:kern w:val="0"/>
          <w:sz w:val="32"/>
          <w:szCs w:val="32"/>
          <w:highlight w:val="none"/>
        </w:rPr>
      </w:pPr>
      <w:bookmarkStart w:id="97" w:name="_Toc127516330"/>
      <w:bookmarkStart w:id="98" w:name="_Toc5279"/>
      <w:r>
        <w:rPr>
          <w:rFonts w:hint="eastAsia" w:ascii="仿宋" w:hAnsi="仿宋" w:eastAsia="仿宋" w:cs="仿宋"/>
          <w:b/>
          <w:bCs/>
          <w:kern w:val="0"/>
          <w:sz w:val="32"/>
          <w:szCs w:val="32"/>
          <w:highlight w:val="none"/>
        </w:rPr>
        <w:t>第四章  评审程序、评审方法和评审标准</w:t>
      </w:r>
      <w:bookmarkEnd w:id="97"/>
      <w:bookmarkEnd w:id="98"/>
    </w:p>
    <w:p w14:paraId="1EB25391">
      <w:pPr>
        <w:keepNext/>
        <w:keepLines/>
        <w:spacing w:before="260" w:after="260" w:line="416" w:lineRule="auto"/>
        <w:jc w:val="center"/>
        <w:outlineLvl w:val="1"/>
        <w:rPr>
          <w:rFonts w:hint="eastAsia" w:ascii="仿宋" w:hAnsi="仿宋" w:eastAsia="仿宋" w:cs="仿宋"/>
          <w:b/>
          <w:bCs/>
          <w:sz w:val="32"/>
          <w:szCs w:val="32"/>
          <w:highlight w:val="none"/>
        </w:rPr>
      </w:pPr>
      <w:bookmarkStart w:id="99" w:name="_Toc127516331"/>
      <w:bookmarkStart w:id="100" w:name="_Toc15520"/>
      <w:r>
        <w:rPr>
          <w:rFonts w:hint="eastAsia" w:ascii="仿宋" w:hAnsi="仿宋" w:eastAsia="仿宋" w:cs="仿宋"/>
          <w:b/>
          <w:bCs/>
          <w:sz w:val="32"/>
          <w:szCs w:val="32"/>
          <w:highlight w:val="none"/>
        </w:rPr>
        <w:t>第一节 评审程序和评审方法</w:t>
      </w:r>
      <w:bookmarkEnd w:id="99"/>
      <w:bookmarkEnd w:id="100"/>
    </w:p>
    <w:p w14:paraId="56E1EFDD">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1.确认磋商文件</w:t>
      </w:r>
    </w:p>
    <w:p w14:paraId="0CA36EC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由磋商小组确认磋商文件。</w:t>
      </w:r>
    </w:p>
    <w:p w14:paraId="4AD2EEFC">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2.资格审查</w:t>
      </w:r>
    </w:p>
    <w:p w14:paraId="7BDA000A">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2.1响应文件开启后，磋商小组依法对供应商的资格证明文件进行审查。</w:t>
      </w:r>
    </w:p>
    <w:p w14:paraId="05F7BCD7">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注：采购人代表或者采购代理机构在资格审查结束前，对供应商进行信用查询。</w:t>
      </w:r>
    </w:p>
    <w:p w14:paraId="592C6DD4">
      <w:pPr>
        <w:snapToGrid w:val="0"/>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（1）查询渠道：</w:t>
      </w:r>
      <w:r>
        <w:rPr>
          <w:rFonts w:hint="eastAsia" w:ascii="仿宋" w:hAnsi="仿宋" w:eastAsia="仿宋" w:cs="仿宋"/>
          <w:szCs w:val="21"/>
          <w:highlight w:val="none"/>
          <w:lang w:eastAsia="zh-CN"/>
        </w:rPr>
        <w:t>“信用中国”网站（www.creditchina.gov.cn） 、“中国执行信息公开网”网站（https://zxgk.court.gov.cn/zhixing/）、中国政府采购网（www.ccgp.gov.cn）</w:t>
      </w:r>
      <w:r>
        <w:rPr>
          <w:rFonts w:hint="eastAsia" w:ascii="仿宋" w:hAnsi="仿宋" w:eastAsia="仿宋" w:cs="仿宋"/>
          <w:szCs w:val="21"/>
          <w:highlight w:val="none"/>
        </w:rPr>
        <w:t>链接入口。</w:t>
      </w:r>
    </w:p>
    <w:p w14:paraId="5263A177">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（2）信用查询截止时点：资格审查结束前。</w:t>
      </w:r>
    </w:p>
    <w:p w14:paraId="53D7C78E">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查询记录和证据留存方式：在查询网站中直接打印查询记录，截图另存为电子文档作为评审资料保存。</w:t>
      </w:r>
    </w:p>
    <w:p w14:paraId="46AF6D1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（3）信用信息使用规则：</w:t>
      </w:r>
      <w:r>
        <w:rPr>
          <w:rFonts w:hint="eastAsia" w:ascii="仿宋" w:hAnsi="仿宋" w:eastAsia="仿宋" w:cs="仿宋"/>
          <w:szCs w:val="21"/>
          <w:highlight w:val="none"/>
          <w:lang w:eastAsia="zh-CN"/>
        </w:rPr>
        <w:t>对在“信用中国”网站（www.creditchina.gov.cn） 被列入重大税收违法失信主体或在“中国执行信息公开网”网站（https://zxgk.court.gov.cn/zhixing/）被列入失信被执行人或在中国政府采购网（www.ccgp.gov.cn）被列入政府采购严重违法失信行为记录名单及其他不符合《中华人民共和国政府采购法》第二十二条规定条件的供应商，</w:t>
      </w:r>
      <w:r>
        <w:rPr>
          <w:rFonts w:hint="eastAsia" w:ascii="仿宋" w:hAnsi="仿宋" w:eastAsia="仿宋" w:cs="仿宋"/>
          <w:szCs w:val="21"/>
          <w:highlight w:val="none"/>
        </w:rPr>
        <w:t>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C90A8D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2.2资格审查标准为本磋商文件中载明对供应商资格要求的条件。资格审查采用合格制，凡符合磋商文件规定的供应商资格要求的响应文件均通过资格审查。</w:t>
      </w:r>
    </w:p>
    <w:p w14:paraId="6275E20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2.3供应商有下列情形之一的，资格审查不通过，其响应文件按无效响应处理：</w:t>
      </w:r>
    </w:p>
    <w:p w14:paraId="7C38073C">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（1）不具备磋商文件中规定的资格要求的；</w:t>
      </w:r>
    </w:p>
    <w:p w14:paraId="0051F1F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（2）响应文件未提供任一项“供应商须知前附表”资格证明文件规定的“必须提供”的文件资料的；</w:t>
      </w:r>
    </w:p>
    <w:p w14:paraId="62E811E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（3）响应文件提供的资格证明文件出现任一项不符合“供应商须知前附表”资格证明文件规定的“必须提供”的文件资料要求或者无效的；</w:t>
      </w:r>
    </w:p>
    <w:p w14:paraId="5FB64B7E">
      <w:pPr>
        <w:spacing w:line="440" w:lineRule="exact"/>
        <w:ind w:firstLine="420" w:firstLineChars="200"/>
        <w:rPr>
          <w:rFonts w:hint="eastAsia" w:ascii="仿宋" w:hAnsi="仿宋" w:eastAsia="仿宋" w:cs="仿宋"/>
          <w:szCs w:val="21"/>
          <w:highlight w:val="none"/>
        </w:rPr>
      </w:pPr>
      <w:bookmarkStart w:id="101" w:name="_Hlk68601553"/>
      <w:r>
        <w:rPr>
          <w:rFonts w:hint="eastAsia" w:ascii="仿宋" w:hAnsi="仿宋" w:eastAsia="仿宋" w:cs="仿宋"/>
          <w:szCs w:val="21"/>
          <w:highlight w:val="none"/>
        </w:rPr>
        <w:t>（4）同一合同项下的不同供应商，单位负责人为同一人或者存在直接控股、管理关系的；为本项目提供过整体设计、规范编制或者项目管理、监理、检测等服务的。</w:t>
      </w:r>
      <w:bookmarkEnd w:id="101"/>
    </w:p>
    <w:p w14:paraId="097CDE9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2.4通过资格审查的合格供应商不足3家的，不得进入符合性审查环节，采购人或者采购代理机构应当重新开展采购活动。</w:t>
      </w:r>
    </w:p>
    <w:p w14:paraId="76AF0582">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3.符合性审查</w:t>
      </w:r>
    </w:p>
    <w:p w14:paraId="60528E2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3.1由磋商小组对通过资格审查的合格供应商的响应文件的响应报价、商务、技术等实质性要求进行符合性审查，以确定其是否满足磋商文件的实质性要求。</w:t>
      </w:r>
    </w:p>
    <w:p w14:paraId="1CB2827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742526">
      <w:pPr>
        <w:spacing w:line="440" w:lineRule="exact"/>
        <w:ind w:firstLine="420" w:firstLineChars="200"/>
        <w:rPr>
          <w:rFonts w:hint="eastAsia" w:ascii="仿宋" w:hAnsi="仿宋" w:eastAsia="仿宋" w:cs="仿宋"/>
          <w:spacing w:val="-6"/>
          <w:szCs w:val="21"/>
          <w:highlight w:val="none"/>
        </w:rPr>
      </w:pPr>
      <w:r>
        <w:rPr>
          <w:rFonts w:hint="eastAsia" w:ascii="仿宋" w:hAnsi="仿宋" w:eastAsia="仿宋" w:cs="仿宋"/>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仿宋" w:hAnsi="仿宋" w:eastAsia="仿宋" w:cs="仿宋"/>
          <w:spacing w:val="-6"/>
          <w:szCs w:val="21"/>
          <w:highlight w:val="none"/>
        </w:rPr>
        <w:t>。供应商为自然人的，必须由本人签字并附身份证明。</w:t>
      </w:r>
    </w:p>
    <w:p w14:paraId="01AC0601">
      <w:pPr>
        <w:spacing w:line="440" w:lineRule="exact"/>
        <w:ind w:firstLine="396" w:firstLineChars="200"/>
        <w:rPr>
          <w:rFonts w:hint="eastAsia" w:ascii="仿宋" w:hAnsi="仿宋" w:eastAsia="仿宋" w:cs="仿宋"/>
          <w:szCs w:val="21"/>
          <w:highlight w:val="none"/>
        </w:rPr>
      </w:pPr>
      <w:r>
        <w:rPr>
          <w:rFonts w:hint="eastAsia" w:ascii="仿宋" w:hAnsi="仿宋" w:eastAsia="仿宋" w:cs="仿宋"/>
          <w:spacing w:val="-6"/>
          <w:szCs w:val="21"/>
          <w:highlight w:val="none"/>
        </w:rPr>
        <w:t>3.4</w:t>
      </w:r>
      <w:r>
        <w:rPr>
          <w:rFonts w:hint="eastAsia" w:ascii="仿宋" w:hAnsi="仿宋" w:eastAsia="仿宋" w:cs="仿宋"/>
          <w:szCs w:val="21"/>
          <w:highlight w:val="none"/>
        </w:rPr>
        <w:t xml:space="preserve">首次响应文件报价出现前后不一致的，按照下列规定修正： </w:t>
      </w:r>
    </w:p>
    <w:p w14:paraId="585FF4C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（1）响应文件中报价表内容与响应文件中相应内容不一致的，以报价表为准；</w:t>
      </w:r>
    </w:p>
    <w:p w14:paraId="0FE919A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（2）大写金额和小写金额不一致的，以大写金额为准；</w:t>
      </w:r>
    </w:p>
    <w:p w14:paraId="54A7186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（3）单价金额小数点或者百分比有明显错位的，以报价表的总价为准，并修改单价；</w:t>
      </w:r>
    </w:p>
    <w:p w14:paraId="3325870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（4）总价金额与按单价汇总金额不一致的，以单价金额计算结果为准。</w:t>
      </w:r>
    </w:p>
    <w:p w14:paraId="0694D6E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同时出现两种以上不一致的，按照以上（1）-（4）规定的顺序逐条进行修正。修正后的报价经供应商确认后产生约束力，供应商不确认的，其响应文件按无效响应处理。</w:t>
      </w:r>
    </w:p>
    <w:p w14:paraId="1D15A10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3.5商务技术、报价评审</w:t>
      </w:r>
    </w:p>
    <w:p w14:paraId="75A2C68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在评审时，如发现下列情形之一的，将被视为响应文件无效处理：</w:t>
      </w:r>
    </w:p>
    <w:p w14:paraId="009608E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（1）商务技术评审</w:t>
      </w:r>
    </w:p>
    <w:p w14:paraId="3FB84D8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1）响应文件未按磋商文件要求签署、盖章；</w:t>
      </w:r>
    </w:p>
    <w:p w14:paraId="1626E33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2）委托代理人未能出具有效身份证明或者出具的身份证明与授权委托书中的信息不符； </w:t>
      </w:r>
    </w:p>
    <w:p w14:paraId="7C047E6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6A2E9B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4）商务条款中标“▲”的条款发生负偏离的或者允许负偏离的条款数超过“供应商须知前附表”规定项数的或者标明实质性的要求发生负偏离；</w:t>
      </w:r>
    </w:p>
    <w:p w14:paraId="37F5A51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5）未对竞标有效期作出响应或者响应文件承诺的竞标有效期不满足磋商文件要求；</w:t>
      </w:r>
    </w:p>
    <w:p w14:paraId="1B0650A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6）响应文件的实质性内容未使用中文表述、使用计量单位不符合磋商文件要求；</w:t>
      </w:r>
    </w:p>
    <w:p w14:paraId="47854D8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7）响应文件中的文件资料因填写不齐全或者内容虚假或者出现其他情形而导致被磋商小组认定无效；</w:t>
      </w:r>
    </w:p>
    <w:p w14:paraId="4D37ECA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8）响应文件含有采购人不能接受的附加条件；</w:t>
      </w:r>
    </w:p>
    <w:p w14:paraId="5AEBDF3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9）属于“供应商须知正文”第7.5条情形；</w:t>
      </w:r>
    </w:p>
    <w:p w14:paraId="22933F6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10）技术需求允许负偏离的条款数超过“供应商须知前附表”规定项数；</w:t>
      </w:r>
    </w:p>
    <w:p w14:paraId="51AA716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11）虚假竞标，或者出现其他情形而导致被磋商小组认定无效；</w:t>
      </w:r>
    </w:p>
    <w:p w14:paraId="63E5531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12）竞标技术方案不明确，磋商文件未允许但响应文件中存在一个或者一个以上备选（替代）竞标方案；</w:t>
      </w:r>
    </w:p>
    <w:p w14:paraId="6DFBF96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13）响应文件标注的项目名称或者项目编号与竞争性磋商文件标注的项目名称或者项目编号不一致的；</w:t>
      </w:r>
    </w:p>
    <w:p w14:paraId="7AF9752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14）未响应磋商文件实质性要求；</w:t>
      </w:r>
    </w:p>
    <w:p w14:paraId="48E9E79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15）法律、法规和磋商文件规定的其他无效情形。</w:t>
      </w:r>
    </w:p>
    <w:p w14:paraId="5ACDED3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（2）报价评审</w:t>
      </w:r>
    </w:p>
    <w:p w14:paraId="6FA21F4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 响应文件未提供“供应商须知前附表” 报价文件中规定的“响应报价表”；</w:t>
      </w:r>
    </w:p>
    <w:p w14:paraId="2B8A989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2）未采用人民币报价或者未按照磋商文件标明的币种报价；</w:t>
      </w:r>
    </w:p>
    <w:p w14:paraId="495605F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C773DC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AA619B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2972ED5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6）响应文件响应的标的数量及单位与竞争性磋商采购文件要求实质性不一致的。</w:t>
      </w:r>
    </w:p>
    <w:p w14:paraId="35EAEB7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B93BC0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F5D46EB">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4.磋商程序</w:t>
      </w:r>
    </w:p>
    <w:p w14:paraId="3FFF108C">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4.1磋商小组按照“供应商须知前附表”确定的</w:t>
      </w:r>
      <w:r>
        <w:rPr>
          <w:rFonts w:hint="eastAsia" w:ascii="仿宋" w:hAnsi="仿宋" w:eastAsia="仿宋" w:cs="仿宋"/>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A6E4F8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C3CC74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4.3对磋商文件作出的实质性变动是磋商文件的有效组成部分，由磋商小组及时以电子澄清函形式同时通知所有参加磋商的供应商。</w:t>
      </w:r>
    </w:p>
    <w:p w14:paraId="73A5876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BC1AE0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4.5磋商中，</w:t>
      </w:r>
      <w:r>
        <w:rPr>
          <w:rFonts w:hint="eastAsia" w:ascii="仿宋" w:hAnsi="仿宋" w:eastAsia="仿宋" w:cs="仿宋"/>
          <w:spacing w:val="-6"/>
          <w:szCs w:val="21"/>
          <w:highlight w:val="none"/>
        </w:rPr>
        <w:t>磋商的任何一方不得透露与磋商有关的其他供应商的技术资料、价格和其他信息。</w:t>
      </w:r>
    </w:p>
    <w:p w14:paraId="66533E4A">
      <w:pPr>
        <w:widowControl/>
        <w:tabs>
          <w:tab w:val="left" w:pos="540"/>
        </w:tabs>
        <w:spacing w:line="440" w:lineRule="exact"/>
        <w:ind w:firstLine="420" w:firstLineChars="200"/>
        <w:jc w:val="left"/>
        <w:rPr>
          <w:rFonts w:hint="eastAsia" w:ascii="仿宋" w:hAnsi="仿宋" w:eastAsia="仿宋" w:cs="仿宋"/>
          <w:b/>
          <w:szCs w:val="21"/>
          <w:highlight w:val="none"/>
        </w:rPr>
      </w:pPr>
      <w:r>
        <w:rPr>
          <w:rFonts w:hint="eastAsia" w:ascii="仿宋" w:hAnsi="仿宋" w:eastAsia="仿宋" w:cs="仿宋"/>
          <w:szCs w:val="21"/>
          <w:highlight w:val="none"/>
        </w:rPr>
        <w:t>4.6磋商小组应对磋商过程和重要磋商内容进行记录，作为评标报告一部分，磋商小组在记录上签字确认。</w:t>
      </w:r>
      <w:r>
        <w:rPr>
          <w:rFonts w:hint="eastAsia" w:ascii="仿宋" w:hAnsi="仿宋" w:eastAsia="仿宋" w:cs="仿宋"/>
          <w:b/>
          <w:szCs w:val="21"/>
          <w:highlight w:val="none"/>
        </w:rPr>
        <w:t>主要内容包括：</w:t>
      </w:r>
    </w:p>
    <w:p w14:paraId="270E4CB1">
      <w:pPr>
        <w:adjustRightInd w:val="0"/>
        <w:spacing w:line="440" w:lineRule="exact"/>
        <w:ind w:firstLine="396"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（1）按照相关规定进行公示的，公示情况说明；</w:t>
      </w:r>
    </w:p>
    <w:p w14:paraId="1C1B0C82">
      <w:pPr>
        <w:adjustRightInd w:val="0"/>
        <w:spacing w:line="440" w:lineRule="exact"/>
        <w:ind w:firstLine="396"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（2）磋商日期和地点，磋商人员名单；</w:t>
      </w:r>
    </w:p>
    <w:p w14:paraId="5154A440">
      <w:pPr>
        <w:adjustRightInd w:val="0"/>
        <w:spacing w:line="440" w:lineRule="exact"/>
        <w:ind w:firstLine="396"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（3）合同主要条款及价格商定情况。</w:t>
      </w:r>
    </w:p>
    <w:p w14:paraId="64A0814D">
      <w:pPr>
        <w:widowControl/>
        <w:tabs>
          <w:tab w:val="left" w:pos="540"/>
        </w:tabs>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4.7磋商过程中重新提交的响应文件，供应商可以在开启前补充、修改。</w:t>
      </w:r>
    </w:p>
    <w:p w14:paraId="1EBA5B12">
      <w:pPr>
        <w:tabs>
          <w:tab w:val="left" w:pos="2835"/>
        </w:tabs>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4.8对磋商过程提交的响应文件进行有效性、完整性和响应程度审查，通过审查的合格供应商不足3家的，采购人或者采购代理机构应当重新开展采购活动。</w:t>
      </w:r>
    </w:p>
    <w:p w14:paraId="07549390">
      <w:pPr>
        <w:spacing w:line="440" w:lineRule="exact"/>
        <w:ind w:firstLine="422" w:firstLineChars="200"/>
        <w:rPr>
          <w:rFonts w:hint="eastAsia" w:ascii="仿宋" w:hAnsi="仿宋" w:eastAsia="仿宋" w:cs="仿宋"/>
          <w:szCs w:val="21"/>
          <w:highlight w:val="none"/>
        </w:rPr>
      </w:pPr>
      <w:r>
        <w:rPr>
          <w:rFonts w:hint="eastAsia" w:ascii="仿宋" w:hAnsi="仿宋" w:eastAsia="仿宋" w:cs="仿宋"/>
          <w:b/>
          <w:bCs/>
          <w:szCs w:val="21"/>
          <w:highlight w:val="none"/>
        </w:rPr>
        <w:t>5. 最后报价</w:t>
      </w:r>
    </w:p>
    <w:p w14:paraId="5094E2F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5A843A9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6811E1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37F8AD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5.4已经提交响应文件的供应商，在提交最后报价之前，可以根据磋商情况退出磋商，退出磋商的供应商的响应文件按无效响应处理。</w:t>
      </w:r>
    </w:p>
    <w:p w14:paraId="56115D2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5.5供应商未在规定时间内提交最后报价的，视同退出磋商。</w:t>
      </w:r>
    </w:p>
    <w:p w14:paraId="5D9AC3B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5.6磋商小组收齐某一分标最后报价后统一开启，磋商小组对最后报价进行有效性、完整性和响应程度的审查。</w:t>
      </w:r>
    </w:p>
    <w:p w14:paraId="7AA827A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5.7最终响应文件的报价出现前后不一致的，按照本章第3.4条的规定修正。 </w:t>
      </w:r>
    </w:p>
    <w:p w14:paraId="6AC16A1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5.8修正后的最终报价出现下列情形的，按无效响应处理：</w:t>
      </w:r>
    </w:p>
    <w:p w14:paraId="72672CA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（1）供应商不确认的（全流程电子化评标采取在线确认）；</w:t>
      </w:r>
    </w:p>
    <w:p w14:paraId="4400F00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（2）经供应商确认修正后的响应报价（包含首次报价、最后报价）超过所竞标分标规定的采购预算金额或者最高限价的（如本项目公布了最高限价）；</w:t>
      </w:r>
    </w:p>
    <w:p w14:paraId="69D1C2E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（3）经供应商确认修正后的响应报价（包含首次报价、最后报价）超过分项采购预算金额或者最高限价的（如本项目公布了最高限价）。</w:t>
      </w:r>
    </w:p>
    <w:p w14:paraId="6DCD0D5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5.9经供应商确认修正后的最后报价作为评审及签订合同的依据。</w:t>
      </w:r>
    </w:p>
    <w:p w14:paraId="17C3D28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5.10供应商出现最后报价按无效响应处理或者响应文件按无效处理时，磋商小组应当告知有关供应商。</w:t>
      </w:r>
    </w:p>
    <w:p w14:paraId="6537691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5.11最后报价结束后，磋商小组不得再与供应商进行任何形式的商谈。</w:t>
      </w:r>
    </w:p>
    <w:p w14:paraId="7D94BED3">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6.比较与评价</w:t>
      </w:r>
    </w:p>
    <w:p w14:paraId="371ED1E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6.1评审方法：综合评分法。</w:t>
      </w:r>
    </w:p>
    <w:p w14:paraId="7B8B2A3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6.2经磋商确定最终采购需求和提交最后报价的供应商后，由磋商小组采用综合评分法对提交最后报价的供应商的响应文件和最后报价进行综合评分。</w:t>
      </w:r>
    </w:p>
    <w:p w14:paraId="31FF380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6.3评审时，磋商小组各成员应当独立对每个有效响应的文件进行评价、打分，然后汇总每个供应商每项评分因素的得分。</w:t>
      </w:r>
    </w:p>
    <w:p w14:paraId="51DAEB0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（1）磋商小组按照磋商文件中规定的评审标准计算各供应商的报价得分。项目评审过程中，不得去掉最后报价中的最高报价和最低报价。</w:t>
      </w:r>
    </w:p>
    <w:p w14:paraId="18B0807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（2）各供应商的得分为磋商小组所有成员的有效评分的算术平均数。</w:t>
      </w:r>
    </w:p>
    <w:p w14:paraId="1D74B43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6.4评审价为供应商的最后报价进行政策性扣除后的价格，评审价只是作为评审时使用。最终成交供应商的成交金额等于最后报价（如有修正，以确认修正后的最后报价为准）。</w:t>
      </w:r>
    </w:p>
    <w:p w14:paraId="722299DD">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szCs w:val="21"/>
          <w:highlight w:val="none"/>
        </w:rPr>
        <w:t>6.5由磋商小组根据综合评分情况，按照评审得分由高到低顺序推荐3名以上成交候选供应商，并编写评</w:t>
      </w:r>
      <w:r>
        <w:rPr>
          <w:rFonts w:hint="eastAsia" w:ascii="仿宋" w:hAnsi="仿宋" w:eastAsia="仿宋" w:cs="仿宋"/>
          <w:kern w:val="0"/>
          <w:szCs w:val="21"/>
          <w:highlight w:val="none"/>
        </w:rPr>
        <w:t>审报告。符合本章第5.3条情形的，可以推荐2家成交候选供应商。评审得分相同的，按照最后报价由低到高的顺序推荐。评审得分且最后报价相同的，按照技术指标优劣顺序推荐。</w:t>
      </w:r>
    </w:p>
    <w:p w14:paraId="26E7846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35C899D">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7.评审标准</w:t>
      </w:r>
    </w:p>
    <w:p w14:paraId="253AF303">
      <w:pPr>
        <w:spacing w:line="440" w:lineRule="exact"/>
        <w:ind w:firstLine="422" w:firstLineChars="200"/>
        <w:rPr>
          <w:rFonts w:hint="eastAsia" w:ascii="仿宋" w:hAnsi="仿宋" w:eastAsia="仿宋" w:cs="仿宋"/>
          <w:bCs/>
          <w:szCs w:val="21"/>
          <w:highlight w:val="none"/>
        </w:rPr>
      </w:pPr>
      <w:r>
        <w:rPr>
          <w:rFonts w:hint="eastAsia" w:ascii="仿宋" w:hAnsi="仿宋" w:eastAsia="仿宋" w:cs="仿宋"/>
          <w:b/>
          <w:szCs w:val="21"/>
          <w:highlight w:val="none"/>
        </w:rPr>
        <w:t>7.</w:t>
      </w:r>
      <w:r>
        <w:rPr>
          <w:rFonts w:hint="eastAsia" w:ascii="仿宋" w:hAnsi="仿宋" w:eastAsia="仿宋" w:cs="仿宋"/>
          <w:bCs/>
          <w:szCs w:val="21"/>
          <w:highlight w:val="none"/>
        </w:rPr>
        <w:t>1评审依据：磋商小组将以磋商响应文件为评审依据，对供应商的报价、技术、商务等方面内容按百分制打分。（计分方法按四舍五入取至百分位）</w:t>
      </w:r>
    </w:p>
    <w:tbl>
      <w:tblPr>
        <w:tblStyle w:val="31"/>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90"/>
        <w:gridCol w:w="6735"/>
        <w:gridCol w:w="736"/>
      </w:tblGrid>
      <w:tr w14:paraId="55A8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2C3E8256">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kern w:val="0"/>
                <w:szCs w:val="21"/>
                <w:highlight w:val="none"/>
              </w:rPr>
            </w:pPr>
            <w:bookmarkStart w:id="102" w:name="PO_TDCUS_ITEM_SM_TABLE_1"/>
            <w:r>
              <w:rPr>
                <w:rFonts w:hint="eastAsia" w:ascii="仿宋" w:hAnsi="仿宋" w:eastAsia="仿宋" w:cs="仿宋"/>
                <w:b/>
                <w:bCs/>
                <w:kern w:val="0"/>
                <w:szCs w:val="21"/>
                <w:highlight w:val="none"/>
              </w:rPr>
              <w:t>序号</w:t>
            </w:r>
          </w:p>
        </w:tc>
        <w:tc>
          <w:tcPr>
            <w:tcW w:w="1290" w:type="dxa"/>
            <w:tcBorders>
              <w:top w:val="single" w:color="auto" w:sz="4" w:space="0"/>
              <w:left w:val="nil"/>
              <w:bottom w:val="single" w:color="auto" w:sz="4" w:space="0"/>
              <w:right w:val="single" w:color="auto" w:sz="4" w:space="0"/>
            </w:tcBorders>
            <w:vAlign w:val="center"/>
          </w:tcPr>
          <w:p w14:paraId="5FF5B1DF">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评审因素</w:t>
            </w:r>
          </w:p>
        </w:tc>
        <w:tc>
          <w:tcPr>
            <w:tcW w:w="6735" w:type="dxa"/>
            <w:tcBorders>
              <w:top w:val="single" w:color="auto" w:sz="4" w:space="0"/>
              <w:left w:val="nil"/>
              <w:bottom w:val="single" w:color="auto" w:sz="4" w:space="0"/>
              <w:right w:val="single" w:color="auto" w:sz="4" w:space="0"/>
            </w:tcBorders>
            <w:vAlign w:val="center"/>
          </w:tcPr>
          <w:p w14:paraId="1F35826B">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评审因素具体内容</w:t>
            </w:r>
          </w:p>
        </w:tc>
        <w:tc>
          <w:tcPr>
            <w:tcW w:w="736" w:type="dxa"/>
            <w:tcBorders>
              <w:top w:val="single" w:color="auto" w:sz="4" w:space="0"/>
              <w:left w:val="nil"/>
              <w:bottom w:val="single" w:color="auto" w:sz="4" w:space="0"/>
              <w:right w:val="single" w:color="auto" w:sz="4" w:space="0"/>
            </w:tcBorders>
            <w:vAlign w:val="center"/>
          </w:tcPr>
          <w:p w14:paraId="3A9812A5">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分值</w:t>
            </w:r>
          </w:p>
        </w:tc>
      </w:tr>
      <w:tr w14:paraId="4AEC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1BEE80F4">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290" w:type="dxa"/>
            <w:tcBorders>
              <w:top w:val="single" w:color="auto" w:sz="4" w:space="0"/>
              <w:left w:val="nil"/>
              <w:bottom w:val="single" w:color="auto" w:sz="4" w:space="0"/>
              <w:right w:val="single" w:color="auto" w:sz="4" w:space="0"/>
            </w:tcBorders>
            <w:vAlign w:val="center"/>
          </w:tcPr>
          <w:p w14:paraId="45194336">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价格分</w:t>
            </w:r>
          </w:p>
        </w:tc>
        <w:tc>
          <w:tcPr>
            <w:tcW w:w="6735" w:type="dxa"/>
            <w:tcBorders>
              <w:top w:val="single" w:color="auto" w:sz="4" w:space="0"/>
              <w:left w:val="nil"/>
              <w:bottom w:val="single" w:color="auto" w:sz="4" w:space="0"/>
              <w:right w:val="single" w:color="auto" w:sz="4" w:space="0"/>
            </w:tcBorders>
          </w:tcPr>
          <w:p w14:paraId="31DB62B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color w:val="auto"/>
                <w:szCs w:val="21"/>
                <w:highlight w:val="none"/>
              </w:rPr>
              <w:t>评审报价为供应商的最后报价进行政策性扣除后的价格，评审报价只是作为评审时使用。最终成交供应商的成交金额等于最后报价（如有修正，以确认修正后的最后报价为准）。</w:t>
            </w:r>
          </w:p>
          <w:p w14:paraId="0DB7924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color w:val="auto"/>
                <w:kern w:val="0"/>
                <w:szCs w:val="21"/>
                <w:highlight w:val="none"/>
              </w:rPr>
            </w:pPr>
            <w:r>
              <w:rPr>
                <w:rFonts w:hint="eastAsia" w:ascii="仿宋" w:hAnsi="仿宋" w:eastAsia="仿宋" w:cs="仿宋"/>
                <w:bCs/>
                <w:color w:val="auto"/>
                <w:szCs w:val="21"/>
                <w:highlight w:val="none"/>
              </w:rPr>
              <w:t>2.政府采购政策性扣除计算方法</w:t>
            </w:r>
          </w:p>
          <w:p w14:paraId="70BD9AB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Cs/>
                <w:color w:val="auto"/>
                <w:szCs w:val="21"/>
                <w:highlight w:val="none"/>
              </w:rPr>
              <w:t>按照《政府采购促进中小企业发展管理办法》（财库〔2020〕46号）的规定，供应商在其响应文件中提供《中小企业声明函》，且其服务为小型和微型企业承接的，对其最后报价给予</w:t>
            </w:r>
            <w:r>
              <w:rPr>
                <w:rFonts w:hint="eastAsia" w:ascii="仿宋" w:hAnsi="仿宋" w:eastAsia="仿宋" w:cs="仿宋"/>
                <w:bCs/>
                <w:color w:val="auto"/>
                <w:szCs w:val="21"/>
                <w:highlight w:val="none"/>
                <w:lang w:val="en-US" w:eastAsia="zh-CN"/>
              </w:rPr>
              <w:t>政策性</w:t>
            </w:r>
            <w:r>
              <w:rPr>
                <w:rFonts w:hint="eastAsia" w:ascii="仿宋" w:hAnsi="仿宋" w:eastAsia="仿宋" w:cs="仿宋"/>
                <w:bCs/>
                <w:color w:val="auto"/>
                <w:szCs w:val="21"/>
                <w:highlight w:val="none"/>
              </w:rPr>
              <w:t>的扣除。</w:t>
            </w:r>
          </w:p>
          <w:p w14:paraId="0FA62C8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537F62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5EA87E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（4）政策性扣除计算方法。</w:t>
            </w:r>
          </w:p>
          <w:p w14:paraId="22A1F360">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在服务采购项目中，服务由小微企业承接；对符合上述要求的供应商的竞标报价给予10%的扣除，扣除后的价格为评审报价，即评审报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仿宋" w:hAnsi="仿宋" w:eastAsia="仿宋" w:cs="仿宋"/>
                <w:bCs/>
                <w:color w:val="auto"/>
                <w:szCs w:val="21"/>
                <w:highlight w:val="none"/>
                <w:u w:val="single"/>
              </w:rPr>
              <w:t xml:space="preserve"> 4 %</w:t>
            </w:r>
            <w:r>
              <w:rPr>
                <w:rFonts w:hint="eastAsia" w:ascii="仿宋" w:hAnsi="仿宋" w:eastAsia="仿宋" w:cs="仿宋"/>
                <w:bCs/>
                <w:color w:val="auto"/>
                <w:szCs w:val="21"/>
                <w:highlight w:val="none"/>
              </w:rPr>
              <w:t>（范围为4%-6%）的扣除，用扣除后的价格参加评审，扣除后的价格为评审报价，即评审报价=竞标报价×（1-</w:t>
            </w:r>
            <w:r>
              <w:rPr>
                <w:rFonts w:hint="eastAsia" w:ascii="仿宋" w:hAnsi="仿宋" w:eastAsia="仿宋" w:cs="仿宋"/>
                <w:bCs/>
                <w:color w:val="auto"/>
                <w:szCs w:val="21"/>
                <w:highlight w:val="none"/>
                <w:u w:val="single"/>
              </w:rPr>
              <w:t xml:space="preserve"> 4 </w:t>
            </w:r>
            <w:r>
              <w:rPr>
                <w:rFonts w:hint="eastAsia" w:ascii="仿宋" w:hAnsi="仿宋" w:eastAsia="仿宋" w:cs="仿宋"/>
                <w:bCs/>
                <w:color w:val="auto"/>
                <w:szCs w:val="21"/>
                <w:highlight w:val="none"/>
              </w:rPr>
              <w:t>%）。</w:t>
            </w:r>
          </w:p>
          <w:p w14:paraId="7D9F631E">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（5）除上述情况外，评审报价＝最后</w:t>
            </w:r>
            <w:r>
              <w:rPr>
                <w:rFonts w:hint="eastAsia" w:ascii="仿宋" w:hAnsi="仿宋" w:eastAsia="仿宋" w:cs="仿宋"/>
                <w:bCs/>
                <w:color w:val="auto"/>
                <w:szCs w:val="21"/>
                <w:highlight w:val="none"/>
              </w:rPr>
              <w:t>磋商</w:t>
            </w:r>
            <w:r>
              <w:rPr>
                <w:rFonts w:hint="eastAsia" w:ascii="仿宋" w:hAnsi="仿宋" w:eastAsia="仿宋" w:cs="仿宋"/>
                <w:color w:val="auto"/>
                <w:szCs w:val="21"/>
                <w:highlight w:val="none"/>
              </w:rPr>
              <w:t>报价。</w:t>
            </w:r>
          </w:p>
          <w:p w14:paraId="27CC5FC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（6）以进入比较与评价环节的最低的评审报价为磋商基准价，磋商基准价得分为</w:t>
            </w:r>
            <w:r>
              <w:rPr>
                <w:rFonts w:hint="eastAsia" w:ascii="仿宋" w:hAnsi="仿宋" w:eastAsia="仿宋" w:cs="仿宋"/>
                <w:bCs/>
                <w:color w:val="auto"/>
                <w:szCs w:val="21"/>
                <w:highlight w:val="none"/>
                <w:u w:val="single"/>
              </w:rPr>
              <w:t xml:space="preserve"> 1</w:t>
            </w:r>
            <w:r>
              <w:rPr>
                <w:rFonts w:hint="eastAsia" w:ascii="仿宋" w:hAnsi="仿宋" w:eastAsia="仿宋" w:cs="仿宋"/>
                <w:bCs/>
                <w:color w:val="auto"/>
                <w:szCs w:val="21"/>
                <w:highlight w:val="none"/>
                <w:u w:val="single"/>
                <w:lang w:val="en-US" w:eastAsia="zh-CN"/>
              </w:rPr>
              <w:t>0</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分。</w:t>
            </w:r>
          </w:p>
          <w:p w14:paraId="67F85BA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（7）价格分计算公式：</w:t>
            </w:r>
          </w:p>
          <w:p w14:paraId="72AA4BC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磋商报价得分=（磋商基准价/最后磋商报价）×</w:t>
            </w:r>
            <w:r>
              <w:rPr>
                <w:rFonts w:hint="eastAsia" w:ascii="仿宋" w:hAnsi="仿宋" w:eastAsia="仿宋" w:cs="仿宋"/>
                <w:bCs/>
                <w:color w:val="auto"/>
                <w:szCs w:val="21"/>
                <w:highlight w:val="none"/>
                <w:u w:val="single"/>
              </w:rPr>
              <w:t xml:space="preserve"> 1</w:t>
            </w:r>
            <w:r>
              <w:rPr>
                <w:rFonts w:hint="eastAsia" w:ascii="仿宋" w:hAnsi="仿宋" w:eastAsia="仿宋" w:cs="仿宋"/>
                <w:bCs/>
                <w:color w:val="auto"/>
                <w:szCs w:val="21"/>
                <w:highlight w:val="none"/>
                <w:u w:val="single"/>
                <w:lang w:val="en-US" w:eastAsia="zh-CN"/>
              </w:rPr>
              <w:t>0</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分</w:t>
            </w:r>
          </w:p>
          <w:p w14:paraId="1ACC317D">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注：如项目为专门面向中小企业采购项目不再进行政策性价格扣除。</w:t>
            </w:r>
          </w:p>
          <w:p w14:paraId="3611415A">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3.特别说明：</w:t>
            </w:r>
          </w:p>
          <w:p w14:paraId="6E9D89D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根据《关于推动解决政府采购异常低价问题的通知》（财库〔2026〕2 号）的规定，采购评审中出现下列情形之一的，</w:t>
            </w:r>
            <w:r>
              <w:rPr>
                <w:rFonts w:hint="eastAsia" w:ascii="仿宋" w:hAnsi="仿宋" w:eastAsia="仿宋" w:cs="仿宋"/>
                <w:bCs/>
                <w:szCs w:val="21"/>
                <w:highlight w:val="none"/>
              </w:rPr>
              <w:t>磋商小组</w:t>
            </w:r>
            <w:r>
              <w:rPr>
                <w:rFonts w:hint="eastAsia" w:ascii="仿宋" w:hAnsi="仿宋" w:eastAsia="仿宋" w:cs="仿宋"/>
                <w:b w:val="0"/>
                <w:bCs w:val="0"/>
                <w:color w:val="auto"/>
                <w:szCs w:val="21"/>
                <w:highlight w:val="none"/>
                <w:lang w:val="en-US" w:eastAsia="zh-CN"/>
              </w:rPr>
              <w:t>应当启动异常低价投标（响应）审查程序：</w:t>
            </w:r>
          </w:p>
          <w:p w14:paraId="2EAD040A">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①投标（响应）报价低于全部通过符合性审查供应商投标（响应）报价平均值65%的，即投标（响应）报价&lt;全部通过符合性审查供应商投标（响应）报价平均值×65%；</w:t>
            </w:r>
          </w:p>
          <w:p w14:paraId="4AF04522">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②投标（响应）报价低于通过符合性审查的次低报价供应商投标（响应）报价65%的，即投标（响应）报价&lt;通过符合性审查的次低报价供应商投标（响应）报价×65%；</w:t>
            </w:r>
          </w:p>
          <w:p w14:paraId="41794465">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bCs/>
                <w:color w:val="auto"/>
                <w:szCs w:val="21"/>
                <w:highlight w:val="none"/>
                <w:lang w:val="en-US" w:eastAsia="zh-CN"/>
              </w:rPr>
              <w:t>③投标（响应）报价低于采购项目最高限价65%的，即投标（响应）报价&lt;采购项目最高限价×65%；</w:t>
            </w:r>
          </w:p>
          <w:p w14:paraId="4B5ED65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④</w:t>
            </w:r>
            <w:r>
              <w:rPr>
                <w:rFonts w:hint="eastAsia" w:ascii="仿宋" w:hAnsi="仿宋" w:eastAsia="仿宋" w:cs="仿宋"/>
                <w:bCs/>
                <w:szCs w:val="21"/>
                <w:highlight w:val="none"/>
              </w:rPr>
              <w:t>磋商小组</w:t>
            </w:r>
            <w:r>
              <w:rPr>
                <w:rFonts w:hint="eastAsia" w:ascii="仿宋" w:hAnsi="仿宋" w:eastAsia="仿宋" w:cs="仿宋"/>
                <w:b w:val="0"/>
                <w:bCs w:val="0"/>
                <w:color w:val="auto"/>
                <w:szCs w:val="21"/>
                <w:highlight w:val="none"/>
                <w:lang w:val="en-US" w:eastAsia="zh-CN"/>
              </w:rPr>
              <w:t>基于专业判断，认为供应商报价过低，有可能影响产品质量或者不能诚信履约的其他情形。</w:t>
            </w:r>
          </w:p>
          <w:p w14:paraId="0E9591A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Cs/>
                <w:szCs w:val="21"/>
                <w:highlight w:val="none"/>
              </w:rPr>
              <w:t>磋商小组</w:t>
            </w:r>
            <w:r>
              <w:rPr>
                <w:rFonts w:hint="eastAsia" w:ascii="仿宋" w:hAnsi="仿宋" w:eastAsia="仿宋" w:cs="仿宋"/>
                <w:b w:val="0"/>
                <w:bCs w:val="0"/>
                <w:color w:val="auto"/>
                <w:szCs w:val="21"/>
                <w:highlight w:val="none"/>
                <w:lang w:val="en-US" w:eastAsia="zh-CN"/>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FF4ADC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default" w:ascii="仿宋" w:hAnsi="仿宋" w:eastAsia="仿宋" w:cs="仿宋"/>
                <w:b/>
                <w:bCs/>
                <w:color w:val="auto"/>
                <w:szCs w:val="21"/>
                <w:highlight w:val="none"/>
                <w:lang w:val="en-US" w:eastAsia="zh-CN"/>
              </w:rPr>
            </w:pPr>
            <w:r>
              <w:rPr>
                <w:rFonts w:hint="eastAsia" w:ascii="仿宋" w:hAnsi="仿宋" w:eastAsia="仿宋" w:cs="仿宋"/>
                <w:bCs/>
                <w:szCs w:val="21"/>
                <w:highlight w:val="none"/>
              </w:rPr>
              <w:t>磋商小组</w:t>
            </w:r>
            <w:r>
              <w:rPr>
                <w:rFonts w:hint="eastAsia" w:ascii="仿宋" w:hAnsi="仿宋" w:eastAsia="仿宋" w:cs="仿宋"/>
                <w:b w:val="0"/>
                <w:bCs w:val="0"/>
                <w:color w:val="auto"/>
                <w:szCs w:val="21"/>
                <w:highlight w:val="none"/>
                <w:lang w:val="en-US" w:eastAsia="zh-CN"/>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仿宋" w:hAnsi="仿宋" w:eastAsia="仿宋" w:cs="仿宋"/>
                <w:bCs/>
                <w:szCs w:val="21"/>
                <w:highlight w:val="none"/>
              </w:rPr>
              <w:t>磋商小组</w:t>
            </w:r>
            <w:r>
              <w:rPr>
                <w:rFonts w:hint="eastAsia" w:ascii="仿宋" w:hAnsi="仿宋" w:eastAsia="仿宋" w:cs="仿宋"/>
                <w:b w:val="0"/>
                <w:bCs w:val="0"/>
                <w:color w:val="auto"/>
                <w:szCs w:val="21"/>
                <w:highlight w:val="none"/>
                <w:lang w:val="en-US" w:eastAsia="zh-CN"/>
              </w:rPr>
              <w:t>应当将其作为无效投标（响应）处理。</w:t>
            </w:r>
          </w:p>
        </w:tc>
        <w:tc>
          <w:tcPr>
            <w:tcW w:w="736" w:type="dxa"/>
            <w:tcBorders>
              <w:top w:val="single" w:color="auto" w:sz="4" w:space="0"/>
              <w:left w:val="nil"/>
              <w:bottom w:val="single" w:color="auto" w:sz="4" w:space="0"/>
              <w:right w:val="single" w:color="auto" w:sz="4" w:space="0"/>
            </w:tcBorders>
            <w:vAlign w:val="center"/>
          </w:tcPr>
          <w:p w14:paraId="45078788">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highlight w:val="none"/>
                <w:lang w:val="en-US" w:eastAsia="zh-CN" w:bidi="ar"/>
              </w:rPr>
              <w:t>满分</w:t>
            </w: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0</w:t>
            </w:r>
            <w:r>
              <w:rPr>
                <w:rFonts w:hint="eastAsia" w:ascii="仿宋" w:hAnsi="仿宋" w:eastAsia="仿宋" w:cs="仿宋"/>
                <w:color w:val="auto"/>
                <w:kern w:val="0"/>
                <w:szCs w:val="21"/>
                <w:highlight w:val="none"/>
              </w:rPr>
              <w:t>分</w:t>
            </w:r>
          </w:p>
        </w:tc>
      </w:tr>
      <w:tr w14:paraId="0566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2B788084">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2</w:t>
            </w:r>
          </w:p>
        </w:tc>
        <w:tc>
          <w:tcPr>
            <w:tcW w:w="1290" w:type="dxa"/>
            <w:tcBorders>
              <w:top w:val="single" w:color="auto" w:sz="4" w:space="0"/>
              <w:left w:val="nil"/>
              <w:bottom w:val="single" w:color="auto" w:sz="4" w:space="0"/>
              <w:right w:val="single" w:color="auto" w:sz="4" w:space="0"/>
            </w:tcBorders>
            <w:vAlign w:val="center"/>
          </w:tcPr>
          <w:p w14:paraId="5CDDCE61">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技术分</w:t>
            </w:r>
          </w:p>
        </w:tc>
        <w:tc>
          <w:tcPr>
            <w:tcW w:w="7471" w:type="dxa"/>
            <w:gridSpan w:val="2"/>
            <w:tcBorders>
              <w:top w:val="single" w:color="auto" w:sz="4" w:space="0"/>
              <w:left w:val="nil"/>
              <w:bottom w:val="single" w:color="auto" w:sz="4" w:space="0"/>
              <w:right w:val="single" w:color="auto" w:sz="4" w:space="0"/>
            </w:tcBorders>
          </w:tcPr>
          <w:p w14:paraId="79D2067B">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kern w:val="0"/>
                <w:szCs w:val="21"/>
                <w:highlight w:val="none"/>
                <w:lang w:eastAsia="zh-CN"/>
              </w:rPr>
            </w:pPr>
            <w:r>
              <w:rPr>
                <w:rFonts w:hint="eastAsia" w:ascii="仿宋" w:hAnsi="仿宋" w:eastAsia="仿宋" w:cs="仿宋"/>
                <w:b/>
                <w:kern w:val="0"/>
                <w:szCs w:val="21"/>
                <w:highlight w:val="none"/>
              </w:rPr>
              <w:t>评审因素</w:t>
            </w:r>
            <w:r>
              <w:rPr>
                <w:rFonts w:hint="eastAsia" w:ascii="仿宋" w:hAnsi="仿宋" w:eastAsia="仿宋" w:cs="仿宋"/>
                <w:b/>
                <w:kern w:val="0"/>
                <w:szCs w:val="21"/>
                <w:highlight w:val="none"/>
                <w:lang w:eastAsia="zh-CN"/>
              </w:rPr>
              <w:t>（</w:t>
            </w:r>
            <w:r>
              <w:rPr>
                <w:rFonts w:hint="eastAsia" w:ascii="仿宋" w:hAnsi="仿宋" w:eastAsia="仿宋" w:cs="仿宋"/>
                <w:b/>
                <w:kern w:val="0"/>
                <w:szCs w:val="21"/>
                <w:highlight w:val="none"/>
                <w:lang w:val="en-US" w:eastAsia="zh-CN"/>
              </w:rPr>
              <w:t>总分60分</w:t>
            </w:r>
            <w:r>
              <w:rPr>
                <w:rFonts w:hint="eastAsia" w:ascii="仿宋" w:hAnsi="仿宋" w:eastAsia="仿宋" w:cs="仿宋"/>
                <w:b/>
                <w:kern w:val="0"/>
                <w:szCs w:val="21"/>
                <w:highlight w:val="none"/>
                <w:lang w:eastAsia="zh-CN"/>
              </w:rPr>
              <w:t>）</w:t>
            </w:r>
          </w:p>
        </w:tc>
      </w:tr>
      <w:tr w14:paraId="6E0F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10D308F3">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2.1</w:t>
            </w:r>
          </w:p>
        </w:tc>
        <w:tc>
          <w:tcPr>
            <w:tcW w:w="1290" w:type="dxa"/>
            <w:tcBorders>
              <w:top w:val="single" w:color="auto" w:sz="4" w:space="0"/>
              <w:left w:val="nil"/>
              <w:bottom w:val="single" w:color="auto" w:sz="4" w:space="0"/>
              <w:right w:val="single" w:color="auto" w:sz="4" w:space="0"/>
            </w:tcBorders>
            <w:vAlign w:val="center"/>
          </w:tcPr>
          <w:p w14:paraId="143378EC">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eastAsia="zh-CN"/>
              </w:rPr>
              <w:t>项目实施方案</w:t>
            </w:r>
          </w:p>
        </w:tc>
        <w:tc>
          <w:tcPr>
            <w:tcW w:w="6735" w:type="dxa"/>
            <w:tcBorders>
              <w:top w:val="single" w:color="auto" w:sz="4" w:space="0"/>
              <w:left w:val="nil"/>
              <w:bottom w:val="single" w:color="auto" w:sz="4" w:space="0"/>
              <w:right w:val="single" w:color="auto" w:sz="4" w:space="0"/>
            </w:tcBorders>
            <w:vAlign w:val="top"/>
          </w:tcPr>
          <w:p w14:paraId="58621E2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一档（15分）：对服务内容的理解完整成熟，总体实施方案编写完整详细，含技术方案、技术路线、管理方案等，方案思路清晰，表述严谨简练、切合服务需求，具有较强的针对性及可行性。</w:t>
            </w:r>
          </w:p>
          <w:p w14:paraId="6DA04F3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二档（10分）：对服务内容的理解符合采购项目需求，总体实施方案编写良好，含技术方案、技术路线、管理方案等，方案不够完整详细。</w:t>
            </w:r>
          </w:p>
          <w:p w14:paraId="7AA7497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三档（5分）：对服务内容的理解基本符合采购人项目要求，总体实施方案较为简单。</w:t>
            </w:r>
          </w:p>
          <w:p w14:paraId="1C2EE36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不满足入档要求或者不提供则不得分。</w:t>
            </w:r>
          </w:p>
        </w:tc>
        <w:tc>
          <w:tcPr>
            <w:tcW w:w="736" w:type="dxa"/>
            <w:tcBorders>
              <w:top w:val="single" w:color="auto" w:sz="4" w:space="0"/>
              <w:left w:val="nil"/>
              <w:bottom w:val="single" w:color="auto" w:sz="4" w:space="0"/>
              <w:right w:val="single" w:color="auto" w:sz="4" w:space="0"/>
            </w:tcBorders>
            <w:vAlign w:val="center"/>
          </w:tcPr>
          <w:p w14:paraId="6A9C1D3B">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15</w:t>
            </w:r>
            <w:r>
              <w:rPr>
                <w:rFonts w:hint="eastAsia" w:ascii="仿宋" w:hAnsi="仿宋" w:eastAsia="仿宋" w:cs="仿宋"/>
                <w:bCs/>
                <w:szCs w:val="21"/>
                <w:highlight w:val="none"/>
                <w:lang w:eastAsia="zh-CN"/>
              </w:rPr>
              <w:t>分</w:t>
            </w:r>
          </w:p>
        </w:tc>
      </w:tr>
      <w:tr w14:paraId="2EF6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D173004">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2.</w:t>
            </w:r>
            <w:r>
              <w:rPr>
                <w:rFonts w:hint="eastAsia" w:ascii="仿宋" w:hAnsi="仿宋" w:eastAsia="仿宋" w:cs="仿宋"/>
                <w:kern w:val="0"/>
                <w:szCs w:val="21"/>
                <w:highlight w:val="none"/>
                <w:lang w:val="en-US" w:eastAsia="zh-CN"/>
              </w:rPr>
              <w:t>2</w:t>
            </w:r>
          </w:p>
        </w:tc>
        <w:tc>
          <w:tcPr>
            <w:tcW w:w="1290" w:type="dxa"/>
            <w:tcBorders>
              <w:top w:val="single" w:color="auto" w:sz="4" w:space="0"/>
              <w:left w:val="nil"/>
              <w:bottom w:val="single" w:color="auto" w:sz="4" w:space="0"/>
              <w:right w:val="single" w:color="auto" w:sz="4" w:space="0"/>
            </w:tcBorders>
            <w:vAlign w:val="center"/>
          </w:tcPr>
          <w:p w14:paraId="540E1E35">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eastAsia="zh-CN"/>
              </w:rPr>
              <w:t>工作进度安排与保障措施</w:t>
            </w:r>
          </w:p>
        </w:tc>
        <w:tc>
          <w:tcPr>
            <w:tcW w:w="6735" w:type="dxa"/>
            <w:tcBorders>
              <w:top w:val="single" w:color="auto" w:sz="4" w:space="0"/>
              <w:left w:val="nil"/>
              <w:bottom w:val="single" w:color="auto" w:sz="4" w:space="0"/>
              <w:right w:val="single" w:color="auto" w:sz="4" w:space="0"/>
            </w:tcBorders>
            <w:vAlign w:val="center"/>
          </w:tcPr>
          <w:p w14:paraId="1DF4206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根据工作计划进度能否满足采购人的进度要求，项目工作计划及安排是否合理，对项目顺利开展是否有很好的指导作用，并对节点工作或关键工作能否起到控制作用，质量保障措施是否具有针对性及可行性等确定各供应商的档次及得分。</w:t>
            </w:r>
          </w:p>
          <w:p w14:paraId="6BA17FB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一档（15分）：工作计划合理高效，对项目按时完成具有积极的指导作用，各项节点保证措施具有科学性可行性，有效控制项目的实施开展。</w:t>
            </w:r>
          </w:p>
          <w:p w14:paraId="23C615D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二档（10分）：工作计划合理安排，对项目按时完成具有良好的指导作用，各项节点保证措施具有可行性。</w:t>
            </w:r>
          </w:p>
          <w:p w14:paraId="7308232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三档（5分）：工作计划进度安排基本合理，质量保证措施基本符合。</w:t>
            </w:r>
          </w:p>
          <w:p w14:paraId="13CA847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不满足入档要求或者不提供则不得分。</w:t>
            </w:r>
          </w:p>
        </w:tc>
        <w:tc>
          <w:tcPr>
            <w:tcW w:w="736" w:type="dxa"/>
            <w:tcBorders>
              <w:top w:val="single" w:color="auto" w:sz="4" w:space="0"/>
              <w:left w:val="nil"/>
              <w:bottom w:val="single" w:color="auto" w:sz="4" w:space="0"/>
              <w:right w:val="single" w:color="auto" w:sz="4" w:space="0"/>
            </w:tcBorders>
            <w:vAlign w:val="center"/>
          </w:tcPr>
          <w:p w14:paraId="0FCDC817">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eastAsia="zh-CN"/>
              </w:rPr>
              <w:t>15分</w:t>
            </w:r>
          </w:p>
        </w:tc>
      </w:tr>
      <w:tr w14:paraId="54AC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619A4ACE">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2.3</w:t>
            </w:r>
          </w:p>
        </w:tc>
        <w:tc>
          <w:tcPr>
            <w:tcW w:w="1290" w:type="dxa"/>
            <w:tcBorders>
              <w:top w:val="single" w:color="auto" w:sz="4" w:space="0"/>
              <w:left w:val="nil"/>
              <w:bottom w:val="single" w:color="auto" w:sz="4" w:space="0"/>
              <w:right w:val="single" w:color="auto" w:sz="4" w:space="0"/>
            </w:tcBorders>
            <w:vAlign w:val="center"/>
          </w:tcPr>
          <w:p w14:paraId="27772D51">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Cs/>
                <w:szCs w:val="21"/>
                <w:highlight w:val="none"/>
                <w:lang w:eastAsia="zh-CN"/>
              </w:rPr>
            </w:pPr>
            <w:r>
              <w:rPr>
                <w:rFonts w:hint="eastAsia" w:ascii="仿宋" w:hAnsi="仿宋" w:eastAsia="仿宋" w:cs="仿宋"/>
                <w:bCs/>
                <w:szCs w:val="21"/>
                <w:highlight w:val="none"/>
                <w:lang w:eastAsia="zh-CN"/>
              </w:rPr>
              <w:t>服务承诺</w:t>
            </w:r>
          </w:p>
        </w:tc>
        <w:tc>
          <w:tcPr>
            <w:tcW w:w="6735" w:type="dxa"/>
            <w:tcBorders>
              <w:top w:val="single" w:color="auto" w:sz="4" w:space="0"/>
              <w:left w:val="nil"/>
              <w:bottom w:val="single" w:color="auto" w:sz="4" w:space="0"/>
              <w:right w:val="single" w:color="auto" w:sz="4" w:space="0"/>
            </w:tcBorders>
            <w:vAlign w:val="center"/>
          </w:tcPr>
          <w:p w14:paraId="0489EE8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在项目实施的各个阶段能及时配合采购人的工作，有具体的服务安排。</w:t>
            </w:r>
          </w:p>
          <w:p w14:paraId="08F6837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一档（15分）：服务方案详细、完整，保障措施有力，服务承诺</w:t>
            </w:r>
            <w:r>
              <w:rPr>
                <w:rFonts w:hint="eastAsia" w:ascii="仿宋" w:hAnsi="仿宋" w:eastAsia="仿宋" w:cs="仿宋"/>
                <w:b w:val="0"/>
                <w:bCs w:val="0"/>
                <w:color w:val="auto"/>
                <w:szCs w:val="21"/>
                <w:highlight w:val="none"/>
                <w:lang w:val="en-US" w:eastAsia="zh-Hans"/>
              </w:rPr>
              <w:t>能</w:t>
            </w:r>
            <w:r>
              <w:rPr>
                <w:rFonts w:hint="eastAsia" w:ascii="仿宋" w:hAnsi="仿宋" w:eastAsia="仿宋" w:cs="仿宋"/>
                <w:b w:val="0"/>
                <w:bCs w:val="0"/>
                <w:color w:val="auto"/>
                <w:szCs w:val="21"/>
                <w:highlight w:val="none"/>
                <w:lang w:val="en-US" w:eastAsia="zh-CN"/>
              </w:rPr>
              <w:t>很好</w:t>
            </w:r>
            <w:r>
              <w:rPr>
                <w:rFonts w:hint="eastAsia" w:ascii="仿宋" w:hAnsi="仿宋" w:eastAsia="仿宋" w:cs="仿宋"/>
                <w:b w:val="0"/>
                <w:bCs w:val="0"/>
                <w:color w:val="auto"/>
                <w:szCs w:val="21"/>
                <w:highlight w:val="none"/>
                <w:lang w:val="en-US" w:eastAsia="zh-Hans"/>
              </w:rPr>
              <w:t>的</w:t>
            </w:r>
            <w:r>
              <w:rPr>
                <w:rFonts w:hint="eastAsia" w:ascii="仿宋" w:hAnsi="仿宋" w:eastAsia="仿宋" w:cs="仿宋"/>
                <w:b w:val="0"/>
                <w:bCs w:val="0"/>
                <w:color w:val="auto"/>
                <w:szCs w:val="21"/>
                <w:highlight w:val="none"/>
                <w:lang w:val="en-US" w:eastAsia="zh-CN"/>
              </w:rPr>
              <w:t>满足项目要求。能为采购方提供完善服务，有详细周全的服务计划、对本项目的后续服务有定期回访计划等，且服务承诺的质量保证措施周全，服务响应时效性好，对满足时效性的难度判断准确，采取保障措施操作性强。</w:t>
            </w:r>
          </w:p>
          <w:p w14:paraId="1A3D2E0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档（10分）：服务方案详尽、合理，保障措施较有力，服务承诺较好满足项目要求。有简单的服务计划，且服务承诺的质量保证措施较简单，服务响应时效性较好，对满足时效性的难度进行科学分析，具有保证时效性的措施。</w:t>
            </w:r>
          </w:p>
          <w:p w14:paraId="0A6FEF1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三档（5分）：服务方案内容简单，表述粗略，保障措施一般，服务承诺基本满足项目要求，服务响应基本满足时效性要求。</w:t>
            </w:r>
          </w:p>
          <w:p w14:paraId="4A99905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不满足入档要求或者不提供则不得分。</w:t>
            </w:r>
          </w:p>
        </w:tc>
        <w:tc>
          <w:tcPr>
            <w:tcW w:w="736" w:type="dxa"/>
            <w:tcBorders>
              <w:top w:val="single" w:color="auto" w:sz="4" w:space="0"/>
              <w:left w:val="nil"/>
              <w:bottom w:val="single" w:color="auto" w:sz="4" w:space="0"/>
              <w:right w:val="single" w:color="auto" w:sz="4" w:space="0"/>
            </w:tcBorders>
            <w:vAlign w:val="center"/>
          </w:tcPr>
          <w:p w14:paraId="1454F97C">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eastAsia="zh-CN"/>
              </w:rPr>
              <w:t>15分</w:t>
            </w:r>
          </w:p>
        </w:tc>
      </w:tr>
      <w:tr w14:paraId="2064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DB37553">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2.</w:t>
            </w:r>
            <w:r>
              <w:rPr>
                <w:rFonts w:hint="eastAsia" w:ascii="仿宋" w:hAnsi="仿宋" w:eastAsia="仿宋" w:cs="仿宋"/>
                <w:kern w:val="0"/>
                <w:szCs w:val="21"/>
                <w:highlight w:val="none"/>
                <w:lang w:val="en-US" w:eastAsia="zh-CN"/>
              </w:rPr>
              <w:t>4</w:t>
            </w:r>
          </w:p>
        </w:tc>
        <w:tc>
          <w:tcPr>
            <w:tcW w:w="1290" w:type="dxa"/>
            <w:tcBorders>
              <w:top w:val="single" w:color="auto" w:sz="4" w:space="0"/>
              <w:left w:val="nil"/>
              <w:bottom w:val="single" w:color="auto" w:sz="4" w:space="0"/>
              <w:right w:val="single" w:color="auto" w:sz="4" w:space="0"/>
            </w:tcBorders>
            <w:vAlign w:val="center"/>
          </w:tcPr>
          <w:p w14:paraId="32A3E9B5">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eastAsia="zh-CN"/>
              </w:rPr>
              <w:t>对项目特点、关键技术问题的认识及对策措施</w:t>
            </w:r>
          </w:p>
        </w:tc>
        <w:tc>
          <w:tcPr>
            <w:tcW w:w="6735" w:type="dxa"/>
            <w:tcBorders>
              <w:top w:val="single" w:color="auto" w:sz="4" w:space="0"/>
              <w:left w:val="nil"/>
              <w:bottom w:val="single" w:color="auto" w:sz="4" w:space="0"/>
              <w:right w:val="single" w:color="auto" w:sz="4" w:space="0"/>
            </w:tcBorders>
            <w:vAlign w:val="center"/>
          </w:tcPr>
          <w:p w14:paraId="3B5C074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一档（15分）: 对项目的理解完整准确，对项目的难点、关键点的分析完整准确，解决难点的方案完整、可行、有针对性，措施能有效解决项目开展过程中可能会遇到的问题。</w:t>
            </w:r>
          </w:p>
          <w:p w14:paraId="5DE5CFB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二档（10分）：对项目理解完整，对项目的难点、关键点的分析过于简单，解决难点的方案基本可行，措施能基本解决项目开展过程中可能会遇到的问题；</w:t>
            </w:r>
          </w:p>
          <w:p w14:paraId="4C8D071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三档（5分）：对项目特点、关键技术问题的认识基本限于采购需求，对项目的难点、关键点的分析不完整；</w:t>
            </w:r>
          </w:p>
          <w:p w14:paraId="0916985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不满足入档要求或者不提供则不得分。</w:t>
            </w:r>
          </w:p>
        </w:tc>
        <w:tc>
          <w:tcPr>
            <w:tcW w:w="736" w:type="dxa"/>
            <w:tcBorders>
              <w:top w:val="single" w:color="auto" w:sz="4" w:space="0"/>
              <w:left w:val="nil"/>
              <w:bottom w:val="single" w:color="auto" w:sz="4" w:space="0"/>
              <w:right w:val="single" w:color="auto" w:sz="4" w:space="0"/>
            </w:tcBorders>
            <w:vAlign w:val="center"/>
          </w:tcPr>
          <w:p w14:paraId="4070C17E">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eastAsia="zh-CN"/>
              </w:rPr>
              <w:t>1</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lang w:eastAsia="zh-CN"/>
              </w:rPr>
              <w:t>分</w:t>
            </w:r>
          </w:p>
        </w:tc>
      </w:tr>
      <w:tr w14:paraId="0D9C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2E35DF90">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3</w:t>
            </w:r>
          </w:p>
        </w:tc>
        <w:tc>
          <w:tcPr>
            <w:tcW w:w="1290" w:type="dxa"/>
            <w:tcBorders>
              <w:top w:val="single" w:color="auto" w:sz="4" w:space="0"/>
              <w:left w:val="nil"/>
              <w:bottom w:val="single" w:color="auto" w:sz="4" w:space="0"/>
              <w:right w:val="single" w:color="auto" w:sz="4" w:space="0"/>
            </w:tcBorders>
            <w:vAlign w:val="center"/>
          </w:tcPr>
          <w:p w14:paraId="5929F03A">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商务分</w:t>
            </w:r>
          </w:p>
        </w:tc>
        <w:tc>
          <w:tcPr>
            <w:tcW w:w="7471" w:type="dxa"/>
            <w:gridSpan w:val="2"/>
            <w:tcBorders>
              <w:top w:val="single" w:color="auto" w:sz="4" w:space="0"/>
              <w:left w:val="nil"/>
              <w:bottom w:val="single" w:color="auto" w:sz="4" w:space="0"/>
              <w:right w:val="single" w:color="auto" w:sz="4" w:space="0"/>
            </w:tcBorders>
            <w:vAlign w:val="center"/>
          </w:tcPr>
          <w:p w14:paraId="4B6BC912">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kern w:val="0"/>
                <w:szCs w:val="21"/>
                <w:highlight w:val="none"/>
                <w:lang w:eastAsia="zh-CN"/>
              </w:rPr>
            </w:pPr>
            <w:r>
              <w:rPr>
                <w:rFonts w:hint="eastAsia" w:ascii="仿宋" w:hAnsi="仿宋" w:eastAsia="仿宋" w:cs="仿宋"/>
                <w:b/>
                <w:bCs/>
                <w:kern w:val="0"/>
                <w:szCs w:val="21"/>
                <w:highlight w:val="none"/>
              </w:rPr>
              <w:t>评审因素</w:t>
            </w:r>
            <w:r>
              <w:rPr>
                <w:rFonts w:hint="eastAsia" w:ascii="仿宋" w:hAnsi="仿宋" w:eastAsia="仿宋" w:cs="仿宋"/>
                <w:b/>
                <w:bCs/>
                <w:kern w:val="0"/>
                <w:szCs w:val="21"/>
                <w:highlight w:val="none"/>
                <w:lang w:eastAsia="zh-CN"/>
              </w:rPr>
              <w:t>（</w:t>
            </w:r>
            <w:r>
              <w:rPr>
                <w:rFonts w:hint="eastAsia" w:ascii="仿宋" w:hAnsi="仿宋" w:eastAsia="仿宋" w:cs="仿宋"/>
                <w:b/>
                <w:bCs/>
                <w:kern w:val="0"/>
                <w:szCs w:val="21"/>
                <w:highlight w:val="none"/>
                <w:lang w:val="en-US" w:eastAsia="zh-CN"/>
              </w:rPr>
              <w:t>总共30分</w:t>
            </w:r>
            <w:r>
              <w:rPr>
                <w:rFonts w:hint="eastAsia" w:ascii="仿宋" w:hAnsi="仿宋" w:eastAsia="仿宋" w:cs="仿宋"/>
                <w:b/>
                <w:bCs/>
                <w:kern w:val="0"/>
                <w:szCs w:val="21"/>
                <w:highlight w:val="none"/>
                <w:lang w:eastAsia="zh-CN"/>
              </w:rPr>
              <w:t>）</w:t>
            </w:r>
          </w:p>
        </w:tc>
      </w:tr>
      <w:tr w14:paraId="7C8B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CC40A73">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Cs/>
                <w:szCs w:val="21"/>
                <w:highlight w:val="none"/>
              </w:rPr>
            </w:pPr>
            <w:r>
              <w:rPr>
                <w:rFonts w:hint="eastAsia" w:ascii="仿宋" w:hAnsi="仿宋" w:eastAsia="仿宋" w:cs="仿宋"/>
                <w:bCs/>
                <w:szCs w:val="21"/>
                <w:highlight w:val="none"/>
              </w:rPr>
              <w:t>3.1</w:t>
            </w:r>
          </w:p>
        </w:tc>
        <w:tc>
          <w:tcPr>
            <w:tcW w:w="1290" w:type="dxa"/>
            <w:tcBorders>
              <w:top w:val="single" w:color="auto" w:sz="4" w:space="0"/>
              <w:left w:val="nil"/>
              <w:bottom w:val="single" w:color="auto" w:sz="4" w:space="0"/>
              <w:right w:val="single" w:color="auto" w:sz="4" w:space="0"/>
            </w:tcBorders>
            <w:vAlign w:val="center"/>
          </w:tcPr>
          <w:p w14:paraId="74644EFB">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项目组人员配备</w:t>
            </w:r>
          </w:p>
        </w:tc>
        <w:tc>
          <w:tcPr>
            <w:tcW w:w="6735" w:type="dxa"/>
            <w:tcBorders>
              <w:top w:val="single" w:color="auto" w:sz="4" w:space="0"/>
              <w:left w:val="nil"/>
              <w:bottom w:val="single" w:color="auto" w:sz="4" w:space="0"/>
              <w:right w:val="single" w:color="auto" w:sz="4" w:space="0"/>
            </w:tcBorders>
            <w:vAlign w:val="center"/>
          </w:tcPr>
          <w:p w14:paraId="043D8D8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（1）项目负责人（满分8分）</w:t>
            </w:r>
          </w:p>
          <w:p w14:paraId="2D0D770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①项目负责人具有正高级（正高级工程师、教授级高工或研究员级及以上）职称且从业10年及以上的得4分，其他情况不得分，此项满分4分。</w:t>
            </w:r>
          </w:p>
          <w:p w14:paraId="4829EDE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②具有研究生及以上学历得4分，本科学历得的2分，其他情况不得分，此项满分4分。</w:t>
            </w:r>
          </w:p>
          <w:p w14:paraId="521297B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注：</w:t>
            </w:r>
            <w:r>
              <w:rPr>
                <w:rFonts w:hint="eastAsia" w:ascii="仿宋" w:hAnsi="仿宋" w:eastAsia="仿宋" w:cs="仿宋"/>
                <w:color w:val="auto"/>
                <w:szCs w:val="21"/>
                <w:lang w:val="en-US" w:eastAsia="zh-CN" w:bidi="ar"/>
              </w:rPr>
              <w:t>须需提供提供职称证或学位证或学历证明或执业资格证等证明材料，须提供上述全部人员的劳动合同或供应商为其缴纳2026年1月至竞标截止时间止内任意1个月的社保证明复印件，属事业单位编制人员的提供在编人员证明复印件</w:t>
            </w:r>
            <w:r>
              <w:rPr>
                <w:rFonts w:hint="eastAsia" w:ascii="仿宋" w:hAnsi="仿宋" w:eastAsia="仿宋" w:cs="仿宋"/>
                <w:b w:val="0"/>
                <w:bCs w:val="0"/>
                <w:color w:val="auto"/>
                <w:szCs w:val="21"/>
                <w:highlight w:val="none"/>
                <w:lang w:val="en-US" w:eastAsia="zh-CN"/>
              </w:rPr>
              <w:t>。</w:t>
            </w:r>
          </w:p>
          <w:p w14:paraId="1ADB390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（2）项目组成员（满分10分）</w:t>
            </w:r>
          </w:p>
          <w:p w14:paraId="01C6E2F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①项目组成员应当具有10年以上（除项目负责人以外）工作经验，涵盖交通运输、土建、供电、机电、通信、信号、运营专业等相关专业的，具备的得2分，不具备的不得分，此项满分2分。</w:t>
            </w:r>
          </w:p>
          <w:p w14:paraId="413BC4A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注：须提供工作经验证明及专业证书复印件及</w:t>
            </w:r>
            <w:r>
              <w:rPr>
                <w:rFonts w:hint="eastAsia" w:ascii="仿宋" w:hAnsi="仿宋" w:eastAsia="仿宋" w:cs="仿宋"/>
                <w:color w:val="auto"/>
                <w:szCs w:val="21"/>
                <w:lang w:val="en-US" w:eastAsia="zh-CN" w:bidi="ar"/>
              </w:rPr>
              <w:t>供应商为其缴纳2026年1月至竞标截止时间止内任意1个月的社保证明复印件，属事业单位编制人员的提供在编人员证明复印件</w:t>
            </w:r>
            <w:r>
              <w:rPr>
                <w:rFonts w:hint="eastAsia" w:ascii="仿宋" w:hAnsi="仿宋" w:eastAsia="仿宋" w:cs="仿宋"/>
                <w:b w:val="0"/>
                <w:bCs w:val="0"/>
                <w:color w:val="auto"/>
                <w:szCs w:val="21"/>
                <w:highlight w:val="none"/>
                <w:lang w:val="en-US" w:eastAsia="zh-CN"/>
              </w:rPr>
              <w:t>。</w:t>
            </w:r>
          </w:p>
          <w:p w14:paraId="6F26816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②建立专家库：供应商建立有专家库（除项目实施团队人员以外），且专家库内应包含总体、土建、供电、通信、信号、机电、车辆及运营管理等专业专家，涵盖全面的，得2分；未建立专家库或专家库未涵盖全面的，则不得分，此项满分2分。（须提供建立专家库的证明材料及专家库名单）</w:t>
            </w:r>
          </w:p>
          <w:p w14:paraId="0E54FED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③土建、供电、通信、信号、机电、车辆及运营管理等专业专家具有高级及以上职称不少于10人。少于10人不得分，提供10人的得2分；提供10人以上的，多一人加1分，最高加4分。此项满分6分（须提供证书复印件）</w:t>
            </w:r>
          </w:p>
          <w:p w14:paraId="5BBC7C6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注：联合体竞标的，成员各单位符合要求的组织机构及人员配备均视为供应商有效组织机构及人员配备。</w:t>
            </w:r>
          </w:p>
        </w:tc>
        <w:tc>
          <w:tcPr>
            <w:tcW w:w="736" w:type="dxa"/>
            <w:tcBorders>
              <w:top w:val="single" w:color="auto" w:sz="4" w:space="0"/>
              <w:left w:val="nil"/>
              <w:bottom w:val="single" w:color="auto" w:sz="4" w:space="0"/>
              <w:right w:val="single" w:color="auto" w:sz="4" w:space="0"/>
            </w:tcBorders>
            <w:vAlign w:val="center"/>
          </w:tcPr>
          <w:p w14:paraId="16DA41F6">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18分</w:t>
            </w:r>
          </w:p>
        </w:tc>
      </w:tr>
      <w:tr w14:paraId="45AE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58D4000">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Cs/>
                <w:szCs w:val="21"/>
                <w:highlight w:val="none"/>
              </w:rPr>
            </w:pPr>
            <w:r>
              <w:rPr>
                <w:rFonts w:hint="eastAsia" w:ascii="仿宋" w:hAnsi="仿宋" w:eastAsia="仿宋" w:cs="仿宋"/>
                <w:bCs/>
                <w:szCs w:val="21"/>
                <w:highlight w:val="none"/>
              </w:rPr>
              <w:t>3.2</w:t>
            </w:r>
          </w:p>
        </w:tc>
        <w:tc>
          <w:tcPr>
            <w:tcW w:w="1290" w:type="dxa"/>
            <w:tcBorders>
              <w:top w:val="single" w:color="auto" w:sz="4" w:space="0"/>
              <w:left w:val="nil"/>
              <w:bottom w:val="single" w:color="auto" w:sz="4" w:space="0"/>
              <w:right w:val="single" w:color="auto" w:sz="4" w:space="0"/>
            </w:tcBorders>
            <w:vAlign w:val="center"/>
          </w:tcPr>
          <w:p w14:paraId="01708004">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业绩</w:t>
            </w:r>
          </w:p>
        </w:tc>
        <w:tc>
          <w:tcPr>
            <w:tcW w:w="6735" w:type="dxa"/>
            <w:tcBorders>
              <w:top w:val="single" w:color="auto" w:sz="4" w:space="0"/>
              <w:left w:val="nil"/>
              <w:bottom w:val="single" w:color="auto" w:sz="4" w:space="0"/>
              <w:right w:val="single" w:color="auto" w:sz="4" w:space="0"/>
            </w:tcBorders>
            <w:vAlign w:val="center"/>
          </w:tcPr>
          <w:p w14:paraId="12A7693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供应商2023年1月以来同类业绩，每完成一项同类业绩得4分，最多得12分。未完成的项目不计入得分，此项满分12分。</w:t>
            </w:r>
          </w:p>
          <w:p w14:paraId="4BC9528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注：须提交合同复印件及中标（成交）通知书复印件及已完成证明材料，以合同签订日期为准。联合体竞标的，成员各单位符合要求的业绩均视为供应商有效业绩。</w:t>
            </w:r>
          </w:p>
        </w:tc>
        <w:tc>
          <w:tcPr>
            <w:tcW w:w="736" w:type="dxa"/>
            <w:tcBorders>
              <w:top w:val="single" w:color="auto" w:sz="4" w:space="0"/>
              <w:left w:val="nil"/>
              <w:bottom w:val="single" w:color="auto" w:sz="4" w:space="0"/>
              <w:right w:val="single" w:color="auto" w:sz="4" w:space="0"/>
            </w:tcBorders>
            <w:vAlign w:val="center"/>
          </w:tcPr>
          <w:p w14:paraId="621DB2CB">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12</w:t>
            </w:r>
            <w:r>
              <w:rPr>
                <w:rFonts w:hint="eastAsia" w:ascii="仿宋" w:hAnsi="仿宋" w:eastAsia="仿宋" w:cs="仿宋"/>
                <w:bCs/>
                <w:szCs w:val="21"/>
                <w:highlight w:val="none"/>
                <w:lang w:eastAsia="zh-CN"/>
              </w:rPr>
              <w:t>分</w:t>
            </w:r>
          </w:p>
        </w:tc>
      </w:tr>
      <w:tr w14:paraId="768F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24" w:type="dxa"/>
            <w:gridSpan w:val="3"/>
            <w:tcBorders>
              <w:top w:val="single" w:color="auto" w:sz="4" w:space="0"/>
              <w:left w:val="single" w:color="auto" w:sz="4" w:space="0"/>
              <w:bottom w:val="single" w:color="auto" w:sz="4" w:space="0"/>
              <w:right w:val="single" w:color="auto" w:sz="4" w:space="0"/>
            </w:tcBorders>
          </w:tcPr>
          <w:p w14:paraId="0073CC7E">
            <w:pPr>
              <w:keepNext w:val="0"/>
              <w:keepLines w:val="0"/>
              <w:pageBreakBefore w:val="0"/>
              <w:suppressLineNumbers w:val="0"/>
              <w:kinsoku/>
              <w:wordWrap/>
              <w:overflowPunct/>
              <w:topLinePunct w:val="0"/>
              <w:bidi w:val="0"/>
              <w:spacing w:before="0" w:beforeAutospacing="0" w:after="0" w:afterAutospacing="0" w:line="400" w:lineRule="exact"/>
              <w:ind w:left="0" w:right="0"/>
              <w:rPr>
                <w:rFonts w:hint="eastAsia" w:ascii="仿宋" w:hAnsi="仿宋" w:eastAsia="仿宋" w:cs="仿宋"/>
                <w:b/>
                <w:szCs w:val="21"/>
                <w:highlight w:val="none"/>
              </w:rPr>
            </w:pPr>
            <w:r>
              <w:rPr>
                <w:rFonts w:hint="eastAsia" w:ascii="仿宋" w:hAnsi="仿宋" w:eastAsia="仿宋" w:cs="仿宋"/>
                <w:b/>
                <w:szCs w:val="21"/>
                <w:highlight w:val="none"/>
              </w:rPr>
              <w:t>总得分＝1＋2＋3</w:t>
            </w:r>
          </w:p>
        </w:tc>
        <w:tc>
          <w:tcPr>
            <w:tcW w:w="736" w:type="dxa"/>
            <w:tcBorders>
              <w:top w:val="single" w:color="auto" w:sz="4" w:space="0"/>
              <w:left w:val="nil"/>
              <w:bottom w:val="single" w:color="auto" w:sz="4" w:space="0"/>
              <w:right w:val="single" w:color="auto" w:sz="4" w:space="0"/>
            </w:tcBorders>
            <w:vAlign w:val="center"/>
          </w:tcPr>
          <w:p w14:paraId="165DB03A">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100</w:t>
            </w:r>
          </w:p>
        </w:tc>
      </w:tr>
      <w:bookmarkEnd w:id="102"/>
    </w:tbl>
    <w:p w14:paraId="5DBF30C6">
      <w:pPr>
        <w:spacing w:line="400" w:lineRule="exact"/>
        <w:ind w:firstLine="422" w:firstLineChars="200"/>
        <w:rPr>
          <w:rFonts w:hint="eastAsia" w:ascii="仿宋" w:hAnsi="仿宋" w:eastAsia="仿宋" w:cs="仿宋"/>
          <w:b/>
          <w:bCs/>
          <w:kern w:val="0"/>
          <w:szCs w:val="21"/>
          <w:highlight w:val="none"/>
        </w:rPr>
      </w:pPr>
      <w:bookmarkStart w:id="103" w:name="_Toc80205935"/>
      <w:r>
        <w:rPr>
          <w:rFonts w:hint="eastAsia" w:ascii="仿宋" w:hAnsi="仿宋" w:eastAsia="仿宋" w:cs="仿宋"/>
          <w:b/>
          <w:bCs/>
          <w:kern w:val="0"/>
          <w:szCs w:val="21"/>
          <w:highlight w:val="none"/>
        </w:rPr>
        <w:t>7.2.终止竞争性磋商采购活动</w:t>
      </w:r>
    </w:p>
    <w:p w14:paraId="1825E52D">
      <w:pPr>
        <w:spacing w:line="40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D6B2B68">
      <w:pPr>
        <w:rPr>
          <w:rFonts w:hint="eastAsia" w:ascii="仿宋" w:hAnsi="仿宋" w:eastAsia="仿宋" w:cs="仿宋"/>
          <w:highlight w:val="none"/>
        </w:rPr>
      </w:pPr>
    </w:p>
    <w:p w14:paraId="3B8E2432">
      <w:pPr>
        <w:keepNext/>
        <w:keepLines/>
        <w:spacing w:line="360" w:lineRule="auto"/>
        <w:ind w:firstLine="643" w:firstLineChars="200"/>
        <w:jc w:val="center"/>
        <w:outlineLvl w:val="1"/>
        <w:rPr>
          <w:rFonts w:hint="eastAsia" w:ascii="仿宋" w:hAnsi="仿宋" w:eastAsia="仿宋" w:cs="仿宋"/>
          <w:b/>
          <w:sz w:val="32"/>
          <w:szCs w:val="32"/>
          <w:highlight w:val="none"/>
        </w:rPr>
      </w:pPr>
      <w:bookmarkStart w:id="104" w:name="_Toc127516332"/>
      <w:bookmarkStart w:id="105" w:name="_Toc28964"/>
      <w:r>
        <w:rPr>
          <w:rFonts w:hint="eastAsia" w:ascii="仿宋" w:hAnsi="仿宋" w:eastAsia="仿宋" w:cs="仿宋"/>
          <w:b/>
          <w:sz w:val="32"/>
          <w:szCs w:val="32"/>
          <w:highlight w:val="none"/>
        </w:rPr>
        <w:t>第二节 评审报告</w:t>
      </w:r>
      <w:bookmarkEnd w:id="103"/>
      <w:bookmarkEnd w:id="104"/>
      <w:bookmarkEnd w:id="105"/>
    </w:p>
    <w:p w14:paraId="52E2AE54">
      <w:pPr>
        <w:spacing w:line="400" w:lineRule="exact"/>
        <w:ind w:firstLine="422" w:firstLineChars="200"/>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1.成交标准</w:t>
      </w:r>
    </w:p>
    <w:p w14:paraId="7FB33EE0">
      <w:pPr>
        <w:spacing w:line="40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CC9E8EC">
      <w:pPr>
        <w:spacing w:line="400" w:lineRule="exact"/>
        <w:ind w:firstLine="422" w:firstLineChars="200"/>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2.评审争议事项处理</w:t>
      </w:r>
    </w:p>
    <w:p w14:paraId="0ADC425F">
      <w:pPr>
        <w:spacing w:line="40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磋商小组成员对需要共同认定的事项存在争议的，应当按照少数服从多数的原则作出结论。持不同意见的磋商小组成员应当在评审报告上签署不同意见及理由，否则视为同意评审报告。</w:t>
      </w:r>
    </w:p>
    <w:p w14:paraId="6C3EB573">
      <w:pPr>
        <w:spacing w:line="400" w:lineRule="exact"/>
        <w:ind w:firstLine="420" w:firstLineChars="200"/>
        <w:rPr>
          <w:rFonts w:hint="eastAsia" w:ascii="仿宋" w:hAnsi="仿宋" w:eastAsia="仿宋" w:cs="仿宋"/>
          <w:kern w:val="0"/>
          <w:szCs w:val="21"/>
          <w:highlight w:val="none"/>
        </w:rPr>
      </w:pPr>
    </w:p>
    <w:p w14:paraId="669D00EC">
      <w:pPr>
        <w:keepNext/>
        <w:keepLines/>
        <w:spacing w:line="360" w:lineRule="auto"/>
        <w:ind w:firstLine="643" w:firstLineChars="200"/>
        <w:jc w:val="center"/>
        <w:outlineLvl w:val="1"/>
        <w:rPr>
          <w:rFonts w:hint="eastAsia" w:ascii="仿宋" w:hAnsi="仿宋" w:eastAsia="仿宋" w:cs="仿宋"/>
          <w:b/>
          <w:sz w:val="32"/>
          <w:szCs w:val="32"/>
          <w:highlight w:val="none"/>
        </w:rPr>
      </w:pPr>
      <w:bookmarkStart w:id="106" w:name="_Toc80205936"/>
      <w:bookmarkStart w:id="107" w:name="_Toc6767"/>
      <w:bookmarkStart w:id="108" w:name="_Toc127516333"/>
      <w:r>
        <w:rPr>
          <w:rFonts w:hint="eastAsia" w:ascii="仿宋" w:hAnsi="仿宋" w:eastAsia="仿宋" w:cs="仿宋"/>
          <w:b/>
          <w:sz w:val="32"/>
          <w:szCs w:val="32"/>
          <w:highlight w:val="none"/>
        </w:rPr>
        <w:t>第三节 评审过程的保密与录像</w:t>
      </w:r>
      <w:bookmarkEnd w:id="106"/>
      <w:bookmarkEnd w:id="107"/>
      <w:bookmarkEnd w:id="108"/>
    </w:p>
    <w:p w14:paraId="133B11F8">
      <w:pPr>
        <w:spacing w:line="400" w:lineRule="exact"/>
        <w:ind w:firstLine="422" w:firstLineChars="200"/>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1.保密。</w:t>
      </w:r>
    </w:p>
    <w:p w14:paraId="2D6B6842">
      <w:pPr>
        <w:spacing w:line="40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9ECDB8B">
      <w:pPr>
        <w:spacing w:line="400" w:lineRule="exact"/>
        <w:ind w:firstLine="422" w:firstLineChars="200"/>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2.录音录像。</w:t>
      </w:r>
    </w:p>
    <w:p w14:paraId="106D26A7">
      <w:pPr>
        <w:rPr>
          <w:rFonts w:hint="eastAsia" w:ascii="仿宋" w:hAnsi="仿宋" w:eastAsia="仿宋" w:cs="仿宋"/>
          <w:highlight w:val="none"/>
        </w:rPr>
      </w:pPr>
      <w:r>
        <w:rPr>
          <w:rFonts w:hint="eastAsia" w:ascii="仿宋" w:hAnsi="仿宋" w:eastAsia="仿宋" w:cs="仿宋"/>
          <w:kern w:val="0"/>
          <w:szCs w:val="21"/>
          <w:highlight w:val="none"/>
        </w:rPr>
        <w:t>采购代理机构对评审工作现场及操作屏幕进行全过程录音录像，录音录像资料作为采购项目文件随其他文件一并存档。</w:t>
      </w:r>
      <w:r>
        <w:rPr>
          <w:rFonts w:hint="eastAsia" w:ascii="仿宋" w:hAnsi="仿宋" w:eastAsia="仿宋" w:cs="仿宋"/>
          <w:highlight w:val="none"/>
        </w:rPr>
        <w:br w:type="page"/>
      </w:r>
    </w:p>
    <w:p w14:paraId="09C7589A">
      <w:pPr>
        <w:rPr>
          <w:rFonts w:hint="eastAsia" w:ascii="仿宋" w:hAnsi="仿宋" w:eastAsia="仿宋" w:cs="仿宋"/>
          <w:highlight w:val="none"/>
        </w:rPr>
      </w:pPr>
    </w:p>
    <w:p w14:paraId="0C5651DC">
      <w:pPr>
        <w:rPr>
          <w:rFonts w:hint="eastAsia" w:ascii="仿宋" w:hAnsi="仿宋" w:eastAsia="仿宋" w:cs="仿宋"/>
          <w:highlight w:val="none"/>
        </w:rPr>
      </w:pPr>
    </w:p>
    <w:p w14:paraId="59DF26EC">
      <w:pPr>
        <w:rPr>
          <w:rFonts w:hint="eastAsia" w:ascii="仿宋" w:hAnsi="仿宋" w:eastAsia="仿宋" w:cs="仿宋"/>
          <w:highlight w:val="none"/>
        </w:rPr>
      </w:pPr>
    </w:p>
    <w:p w14:paraId="0FB004EF">
      <w:pPr>
        <w:keepNext/>
        <w:keepLines/>
        <w:spacing w:before="340" w:after="330" w:line="578" w:lineRule="auto"/>
        <w:jc w:val="center"/>
        <w:outlineLvl w:val="0"/>
        <w:rPr>
          <w:rFonts w:hint="eastAsia" w:ascii="仿宋" w:hAnsi="仿宋" w:eastAsia="仿宋" w:cs="仿宋"/>
          <w:b/>
          <w:bCs/>
          <w:kern w:val="44"/>
          <w:sz w:val="44"/>
          <w:szCs w:val="44"/>
          <w:highlight w:val="none"/>
        </w:rPr>
        <w:sectPr>
          <w:footerReference r:id="rId11" w:type="first"/>
          <w:footerReference r:id="rId10" w:type="default"/>
          <w:pgSz w:w="11905" w:h="16838"/>
          <w:pgMar w:top="1304" w:right="1304" w:bottom="1304" w:left="1304" w:header="720" w:footer="720" w:gutter="0"/>
          <w:pgNumType w:fmt="decimal"/>
          <w:cols w:space="720" w:num="1"/>
          <w:docGrid w:type="lines" w:linePitch="339" w:charSpace="0"/>
        </w:sectPr>
      </w:pPr>
      <w:bookmarkStart w:id="109" w:name="_Toc127516334"/>
      <w:bookmarkStart w:id="110" w:name="_Toc9402"/>
      <w:r>
        <w:rPr>
          <w:rFonts w:hint="eastAsia" w:ascii="仿宋" w:hAnsi="仿宋" w:eastAsia="仿宋" w:cs="仿宋"/>
          <w:b/>
          <w:bCs/>
          <w:kern w:val="44"/>
          <w:sz w:val="44"/>
          <w:szCs w:val="44"/>
          <w:highlight w:val="none"/>
        </w:rPr>
        <w:t>第五章 响应文件格式</w:t>
      </w:r>
      <w:bookmarkEnd w:id="109"/>
      <w:bookmarkEnd w:id="110"/>
    </w:p>
    <w:p w14:paraId="53D15CC0">
      <w:pPr>
        <w:keepNext/>
        <w:keepLines/>
        <w:spacing w:line="920" w:lineRule="exact"/>
        <w:jc w:val="center"/>
        <w:outlineLvl w:val="1"/>
        <w:rPr>
          <w:rFonts w:hint="eastAsia" w:ascii="仿宋" w:hAnsi="仿宋" w:eastAsia="仿宋" w:cs="仿宋"/>
          <w:b/>
          <w:sz w:val="32"/>
          <w:szCs w:val="32"/>
          <w:highlight w:val="none"/>
        </w:rPr>
      </w:pPr>
      <w:bookmarkStart w:id="111" w:name="_Toc80205938"/>
      <w:bookmarkStart w:id="112" w:name="_Toc127516335"/>
      <w:bookmarkStart w:id="113" w:name="_Toc9031"/>
      <w:r>
        <w:rPr>
          <w:rFonts w:hint="eastAsia" w:ascii="仿宋" w:hAnsi="仿宋" w:eastAsia="仿宋" w:cs="仿宋"/>
          <w:b/>
          <w:sz w:val="32"/>
          <w:szCs w:val="32"/>
          <w:highlight w:val="none"/>
        </w:rPr>
        <w:t>第一节 封面格式</w:t>
      </w:r>
      <w:bookmarkEnd w:id="111"/>
      <w:bookmarkEnd w:id="112"/>
      <w:bookmarkEnd w:id="113"/>
    </w:p>
    <w:p w14:paraId="326BC71E">
      <w:pPr>
        <w:snapToGrid w:val="0"/>
        <w:spacing w:before="169" w:beforeLines="50" w:after="50"/>
        <w:rPr>
          <w:rFonts w:hint="eastAsia" w:ascii="仿宋" w:hAnsi="仿宋" w:eastAsia="仿宋" w:cs="仿宋"/>
          <w:sz w:val="24"/>
          <w:szCs w:val="20"/>
          <w:highlight w:val="none"/>
        </w:rPr>
      </w:pPr>
    </w:p>
    <w:p w14:paraId="58FFAB78">
      <w:pPr>
        <w:snapToGrid w:val="0"/>
        <w:spacing w:before="169" w:beforeLines="50" w:after="50"/>
        <w:jc w:val="center"/>
        <w:rPr>
          <w:rFonts w:hint="eastAsia" w:ascii="仿宋" w:hAnsi="仿宋" w:eastAsia="仿宋" w:cs="仿宋"/>
          <w:bCs/>
          <w:sz w:val="24"/>
          <w:szCs w:val="20"/>
          <w:highlight w:val="none"/>
        </w:rPr>
      </w:pPr>
    </w:p>
    <w:p w14:paraId="549C4BAB">
      <w:pPr>
        <w:snapToGrid w:val="0"/>
        <w:spacing w:before="169" w:beforeLines="50" w:after="50"/>
        <w:jc w:val="center"/>
        <w:rPr>
          <w:rFonts w:hint="eastAsia" w:ascii="仿宋" w:hAnsi="仿宋" w:eastAsia="仿宋" w:cs="仿宋"/>
          <w:bCs/>
          <w:sz w:val="44"/>
          <w:szCs w:val="44"/>
          <w:highlight w:val="none"/>
        </w:rPr>
      </w:pPr>
      <w:r>
        <w:rPr>
          <w:rFonts w:hint="eastAsia" w:ascii="仿宋" w:hAnsi="仿宋" w:eastAsia="仿宋" w:cs="仿宋"/>
          <w:bCs/>
          <w:sz w:val="44"/>
          <w:szCs w:val="44"/>
          <w:highlight w:val="none"/>
        </w:rPr>
        <w:t>响  应  文  件</w:t>
      </w:r>
    </w:p>
    <w:p w14:paraId="74595943">
      <w:pPr>
        <w:snapToGrid w:val="0"/>
        <w:spacing w:before="169" w:beforeLines="50" w:after="50"/>
        <w:rPr>
          <w:rFonts w:hint="eastAsia" w:ascii="仿宋" w:hAnsi="仿宋" w:eastAsia="仿宋" w:cs="仿宋"/>
          <w:bCs/>
          <w:sz w:val="24"/>
          <w:szCs w:val="20"/>
          <w:highlight w:val="none"/>
        </w:rPr>
      </w:pPr>
    </w:p>
    <w:p w14:paraId="1A4AAD8F">
      <w:pPr>
        <w:snapToGrid w:val="0"/>
        <w:spacing w:before="169" w:beforeLines="50" w:after="50"/>
        <w:rPr>
          <w:rFonts w:hint="eastAsia" w:ascii="仿宋" w:hAnsi="仿宋" w:eastAsia="仿宋" w:cs="仿宋"/>
          <w:bCs/>
          <w:sz w:val="24"/>
          <w:szCs w:val="20"/>
          <w:highlight w:val="none"/>
        </w:rPr>
      </w:pPr>
    </w:p>
    <w:p w14:paraId="14FAF32D">
      <w:pPr>
        <w:snapToGrid w:val="0"/>
        <w:spacing w:before="169" w:beforeLines="50" w:after="50"/>
        <w:rPr>
          <w:rFonts w:hint="eastAsia" w:ascii="仿宋" w:hAnsi="仿宋" w:eastAsia="仿宋" w:cs="仿宋"/>
          <w:bCs/>
          <w:sz w:val="32"/>
          <w:szCs w:val="32"/>
          <w:highlight w:val="none"/>
        </w:rPr>
      </w:pPr>
    </w:p>
    <w:p w14:paraId="1A7C63DE">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项目名称： </w:t>
      </w:r>
    </w:p>
    <w:p w14:paraId="348FE797">
      <w:pPr>
        <w:snapToGrid w:val="0"/>
        <w:spacing w:before="169" w:beforeLines="50" w:after="50"/>
        <w:ind w:firstLine="480" w:firstLineChars="150"/>
        <w:rPr>
          <w:rFonts w:hint="eastAsia" w:ascii="仿宋" w:hAnsi="仿宋" w:eastAsia="仿宋" w:cs="仿宋"/>
          <w:bCs/>
          <w:sz w:val="32"/>
          <w:szCs w:val="32"/>
          <w:highlight w:val="none"/>
        </w:rPr>
      </w:pPr>
    </w:p>
    <w:p w14:paraId="52484B6F">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项目编号： </w:t>
      </w:r>
    </w:p>
    <w:p w14:paraId="79A406E2">
      <w:pPr>
        <w:snapToGrid w:val="0"/>
        <w:spacing w:before="169" w:beforeLines="50" w:after="50"/>
        <w:ind w:firstLine="480" w:firstLineChars="150"/>
        <w:rPr>
          <w:rFonts w:hint="eastAsia" w:ascii="仿宋" w:hAnsi="仿宋" w:eastAsia="仿宋" w:cs="仿宋"/>
          <w:bCs/>
          <w:sz w:val="32"/>
          <w:szCs w:val="32"/>
          <w:highlight w:val="none"/>
        </w:rPr>
      </w:pPr>
    </w:p>
    <w:p w14:paraId="3EE9822F">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所竞分标（如有则填写，无分标时填写“无”或者留空）：</w:t>
      </w:r>
    </w:p>
    <w:p w14:paraId="462D4A54">
      <w:pPr>
        <w:snapToGrid w:val="0"/>
        <w:spacing w:before="169" w:beforeLines="50" w:after="50"/>
        <w:rPr>
          <w:rFonts w:hint="eastAsia" w:ascii="仿宋" w:hAnsi="仿宋" w:eastAsia="仿宋" w:cs="仿宋"/>
          <w:bCs/>
          <w:sz w:val="32"/>
          <w:szCs w:val="32"/>
          <w:highlight w:val="none"/>
        </w:rPr>
      </w:pPr>
    </w:p>
    <w:p w14:paraId="5E8372FB">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供应商名称：</w:t>
      </w:r>
    </w:p>
    <w:p w14:paraId="2E74D208">
      <w:pPr>
        <w:snapToGrid w:val="0"/>
        <w:spacing w:before="169" w:beforeLines="50" w:after="50"/>
        <w:rPr>
          <w:rFonts w:hint="eastAsia" w:ascii="仿宋" w:hAnsi="仿宋" w:eastAsia="仿宋" w:cs="仿宋"/>
          <w:bCs/>
          <w:sz w:val="32"/>
          <w:szCs w:val="32"/>
          <w:highlight w:val="none"/>
        </w:rPr>
      </w:pPr>
    </w:p>
    <w:p w14:paraId="2ECCC860">
      <w:pPr>
        <w:snapToGrid w:val="0"/>
        <w:spacing w:before="169" w:beforeLines="50" w:after="50"/>
        <w:ind w:firstLine="480" w:firstLineChars="150"/>
        <w:jc w:val="center"/>
        <w:rPr>
          <w:rFonts w:hint="eastAsia" w:ascii="仿宋" w:hAnsi="仿宋" w:eastAsia="仿宋" w:cs="仿宋"/>
          <w:bCs/>
          <w:sz w:val="32"/>
          <w:szCs w:val="32"/>
          <w:highlight w:val="none"/>
        </w:rPr>
      </w:pPr>
      <w:r>
        <w:rPr>
          <w:rFonts w:hint="eastAsia" w:ascii="仿宋" w:hAnsi="仿宋" w:eastAsia="仿宋" w:cs="仿宋"/>
          <w:bCs/>
          <w:sz w:val="32"/>
          <w:szCs w:val="32"/>
          <w:highlight w:val="none"/>
        </w:rPr>
        <w:t>首次响应文件提交截止时间前不得解密</w:t>
      </w:r>
    </w:p>
    <w:p w14:paraId="002C875E">
      <w:pPr>
        <w:snapToGrid w:val="0"/>
        <w:spacing w:before="169" w:beforeLines="50" w:after="50"/>
        <w:ind w:firstLine="5440" w:firstLineChars="1700"/>
        <w:jc w:val="center"/>
        <w:rPr>
          <w:rFonts w:hint="eastAsia" w:ascii="仿宋" w:hAnsi="仿宋" w:eastAsia="仿宋" w:cs="仿宋"/>
          <w:bCs/>
          <w:sz w:val="32"/>
          <w:szCs w:val="32"/>
          <w:highlight w:val="none"/>
        </w:rPr>
      </w:pPr>
    </w:p>
    <w:p w14:paraId="59F2E8BA">
      <w:pPr>
        <w:snapToGrid w:val="0"/>
        <w:spacing w:before="169" w:beforeLines="50" w:after="50"/>
        <w:ind w:firstLine="645"/>
        <w:jc w:val="center"/>
        <w:rPr>
          <w:rFonts w:hint="eastAsia" w:ascii="仿宋" w:hAnsi="仿宋" w:eastAsia="仿宋" w:cs="仿宋"/>
          <w:bCs/>
          <w:sz w:val="32"/>
          <w:szCs w:val="32"/>
          <w:highlight w:val="none"/>
        </w:rPr>
      </w:pPr>
      <w:r>
        <w:rPr>
          <w:rFonts w:hint="eastAsia" w:ascii="仿宋" w:hAnsi="仿宋" w:eastAsia="仿宋" w:cs="仿宋"/>
          <w:bCs/>
          <w:sz w:val="32"/>
          <w:szCs w:val="32"/>
          <w:highlight w:val="none"/>
        </w:rPr>
        <w:t>年    月    日</w:t>
      </w:r>
    </w:p>
    <w:p w14:paraId="421D474D">
      <w:pPr>
        <w:rPr>
          <w:rFonts w:hint="eastAsia" w:ascii="仿宋" w:hAnsi="仿宋" w:eastAsia="仿宋" w:cs="仿宋"/>
          <w:highlight w:val="none"/>
        </w:rPr>
        <w:sectPr>
          <w:pgSz w:w="11905" w:h="16838"/>
          <w:pgMar w:top="1304" w:right="1304" w:bottom="1304" w:left="1304" w:header="720" w:footer="720" w:gutter="0"/>
          <w:pgNumType w:fmt="decimal"/>
          <w:cols w:space="720" w:num="1"/>
          <w:docGrid w:type="lines" w:linePitch="339" w:charSpace="0"/>
        </w:sectPr>
      </w:pPr>
    </w:p>
    <w:p w14:paraId="2B8A402D">
      <w:pPr>
        <w:keepNext/>
        <w:keepLines/>
        <w:spacing w:before="260" w:after="260" w:line="416" w:lineRule="auto"/>
        <w:jc w:val="center"/>
        <w:outlineLvl w:val="1"/>
        <w:rPr>
          <w:rFonts w:hint="eastAsia" w:ascii="仿宋" w:hAnsi="仿宋" w:eastAsia="仿宋" w:cs="仿宋"/>
          <w:b/>
          <w:sz w:val="32"/>
          <w:szCs w:val="32"/>
          <w:highlight w:val="none"/>
        </w:rPr>
      </w:pPr>
      <w:bookmarkStart w:id="114" w:name="_Toc127516336"/>
      <w:bookmarkStart w:id="115" w:name="_Toc32645"/>
      <w:bookmarkStart w:id="116" w:name="_Toc80205939"/>
      <w:r>
        <w:rPr>
          <w:rFonts w:hint="eastAsia" w:ascii="仿宋" w:hAnsi="仿宋" w:eastAsia="仿宋" w:cs="仿宋"/>
          <w:b/>
          <w:sz w:val="32"/>
          <w:szCs w:val="32"/>
          <w:highlight w:val="none"/>
        </w:rPr>
        <w:t>第二节 资格证明文件格式</w:t>
      </w:r>
      <w:bookmarkEnd w:id="114"/>
      <w:bookmarkEnd w:id="115"/>
      <w:bookmarkEnd w:id="116"/>
    </w:p>
    <w:p w14:paraId="640252A0">
      <w:pPr>
        <w:snapToGrid w:val="0"/>
        <w:spacing w:before="169" w:beforeLines="50" w:after="50"/>
        <w:rPr>
          <w:rFonts w:hint="eastAsia" w:ascii="仿宋" w:hAnsi="仿宋" w:eastAsia="仿宋" w:cs="仿宋"/>
          <w:bCs/>
          <w:sz w:val="32"/>
          <w:szCs w:val="20"/>
          <w:highlight w:val="none"/>
        </w:rPr>
      </w:pPr>
      <w:r>
        <w:rPr>
          <w:rFonts w:hint="eastAsia" w:ascii="仿宋" w:hAnsi="仿宋" w:eastAsia="仿宋" w:cs="仿宋"/>
          <w:bCs/>
          <w:highlight w:val="none"/>
        </w:rPr>
        <w:t>全流程电子文件</w:t>
      </w:r>
    </w:p>
    <w:p w14:paraId="5DD08AFD">
      <w:pPr>
        <w:snapToGrid w:val="0"/>
        <w:spacing w:before="169" w:beforeLines="50" w:after="50"/>
        <w:rPr>
          <w:rFonts w:hint="eastAsia" w:ascii="仿宋" w:hAnsi="仿宋" w:eastAsia="仿宋" w:cs="仿宋"/>
          <w:sz w:val="24"/>
          <w:szCs w:val="20"/>
          <w:highlight w:val="none"/>
        </w:rPr>
      </w:pPr>
    </w:p>
    <w:p w14:paraId="6DD852E2">
      <w:pPr>
        <w:snapToGrid w:val="0"/>
        <w:spacing w:before="169" w:beforeLines="50" w:after="50"/>
        <w:rPr>
          <w:rFonts w:hint="eastAsia" w:ascii="仿宋" w:hAnsi="仿宋" w:eastAsia="仿宋" w:cs="仿宋"/>
          <w:sz w:val="24"/>
          <w:szCs w:val="20"/>
          <w:highlight w:val="none"/>
        </w:rPr>
      </w:pPr>
    </w:p>
    <w:p w14:paraId="27EF9F7B">
      <w:pPr>
        <w:snapToGrid w:val="0"/>
        <w:spacing w:before="169" w:beforeLines="50" w:after="50"/>
        <w:jc w:val="center"/>
        <w:rPr>
          <w:rFonts w:hint="eastAsia" w:ascii="仿宋" w:hAnsi="仿宋" w:eastAsia="仿宋" w:cs="仿宋"/>
          <w:bCs/>
          <w:sz w:val="44"/>
          <w:szCs w:val="44"/>
          <w:highlight w:val="none"/>
        </w:rPr>
      </w:pPr>
      <w:r>
        <w:rPr>
          <w:rFonts w:hint="eastAsia" w:ascii="仿宋" w:hAnsi="仿宋" w:eastAsia="仿宋" w:cs="仿宋"/>
          <w:bCs/>
          <w:sz w:val="44"/>
          <w:szCs w:val="44"/>
          <w:highlight w:val="none"/>
        </w:rPr>
        <w:t>资  格  证  明  文  件（封面）</w:t>
      </w:r>
    </w:p>
    <w:p w14:paraId="0D8FE7DE">
      <w:pPr>
        <w:snapToGrid w:val="0"/>
        <w:spacing w:before="169" w:beforeLines="50" w:after="50"/>
        <w:rPr>
          <w:rFonts w:hint="eastAsia" w:ascii="仿宋" w:hAnsi="仿宋" w:eastAsia="仿宋" w:cs="仿宋"/>
          <w:bCs/>
          <w:sz w:val="24"/>
          <w:szCs w:val="20"/>
          <w:highlight w:val="none"/>
        </w:rPr>
      </w:pPr>
    </w:p>
    <w:p w14:paraId="189CAE68">
      <w:pPr>
        <w:snapToGrid w:val="0"/>
        <w:spacing w:before="169" w:beforeLines="50" w:after="50"/>
        <w:rPr>
          <w:rFonts w:hint="eastAsia" w:ascii="仿宋" w:hAnsi="仿宋" w:eastAsia="仿宋" w:cs="仿宋"/>
          <w:bCs/>
          <w:sz w:val="24"/>
          <w:szCs w:val="20"/>
          <w:highlight w:val="none"/>
        </w:rPr>
      </w:pPr>
    </w:p>
    <w:p w14:paraId="000771BC">
      <w:pPr>
        <w:snapToGrid w:val="0"/>
        <w:spacing w:before="169" w:beforeLines="50" w:after="50"/>
        <w:rPr>
          <w:rFonts w:hint="eastAsia" w:ascii="仿宋" w:hAnsi="仿宋" w:eastAsia="仿宋" w:cs="仿宋"/>
          <w:bCs/>
          <w:sz w:val="24"/>
          <w:szCs w:val="20"/>
          <w:highlight w:val="none"/>
        </w:rPr>
      </w:pPr>
    </w:p>
    <w:p w14:paraId="5F010E78">
      <w:pPr>
        <w:snapToGrid w:val="0"/>
        <w:spacing w:before="169" w:beforeLines="50" w:after="50"/>
        <w:rPr>
          <w:rFonts w:hint="eastAsia" w:ascii="仿宋" w:hAnsi="仿宋" w:eastAsia="仿宋" w:cs="仿宋"/>
          <w:bCs/>
          <w:sz w:val="24"/>
          <w:szCs w:val="20"/>
          <w:highlight w:val="none"/>
        </w:rPr>
      </w:pPr>
    </w:p>
    <w:p w14:paraId="51CDDACB">
      <w:pPr>
        <w:snapToGrid w:val="0"/>
        <w:spacing w:before="169" w:beforeLines="50" w:after="50"/>
        <w:rPr>
          <w:rFonts w:hint="eastAsia" w:ascii="仿宋" w:hAnsi="仿宋" w:eastAsia="仿宋" w:cs="仿宋"/>
          <w:bCs/>
          <w:sz w:val="24"/>
          <w:szCs w:val="20"/>
          <w:highlight w:val="none"/>
        </w:rPr>
      </w:pPr>
    </w:p>
    <w:p w14:paraId="6D65EA62">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项目名称： </w:t>
      </w:r>
    </w:p>
    <w:p w14:paraId="2C25BB3D">
      <w:pPr>
        <w:snapToGrid w:val="0"/>
        <w:spacing w:before="169" w:beforeLines="50" w:after="50"/>
        <w:ind w:firstLine="720" w:firstLineChars="225"/>
        <w:rPr>
          <w:rFonts w:hint="eastAsia" w:ascii="仿宋" w:hAnsi="仿宋" w:eastAsia="仿宋" w:cs="仿宋"/>
          <w:bCs/>
          <w:sz w:val="32"/>
          <w:szCs w:val="32"/>
          <w:highlight w:val="none"/>
        </w:rPr>
      </w:pPr>
    </w:p>
    <w:p w14:paraId="1B78AE9F">
      <w:pPr>
        <w:snapToGrid w:val="0"/>
        <w:spacing w:before="169" w:beforeLines="50" w:after="50"/>
        <w:ind w:firstLine="720" w:firstLineChars="225"/>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项目编号： </w:t>
      </w:r>
    </w:p>
    <w:p w14:paraId="2D47D64C">
      <w:pPr>
        <w:snapToGrid w:val="0"/>
        <w:spacing w:before="169" w:beforeLines="50" w:after="50"/>
        <w:ind w:firstLine="720" w:firstLineChars="225"/>
        <w:rPr>
          <w:rFonts w:hint="eastAsia" w:ascii="仿宋" w:hAnsi="仿宋" w:eastAsia="仿宋" w:cs="仿宋"/>
          <w:bCs/>
          <w:sz w:val="32"/>
          <w:szCs w:val="32"/>
          <w:highlight w:val="none"/>
        </w:rPr>
      </w:pPr>
    </w:p>
    <w:p w14:paraId="1E24C71E">
      <w:pPr>
        <w:snapToGrid w:val="0"/>
        <w:spacing w:before="169" w:beforeLines="50" w:after="50"/>
        <w:ind w:firstLine="720" w:firstLineChars="225"/>
        <w:rPr>
          <w:rFonts w:hint="eastAsia" w:ascii="仿宋" w:hAnsi="仿宋" w:eastAsia="仿宋" w:cs="仿宋"/>
          <w:bCs/>
          <w:sz w:val="32"/>
          <w:szCs w:val="32"/>
          <w:highlight w:val="none"/>
        </w:rPr>
      </w:pPr>
      <w:r>
        <w:rPr>
          <w:rFonts w:hint="eastAsia" w:ascii="仿宋" w:hAnsi="仿宋" w:eastAsia="仿宋" w:cs="仿宋"/>
          <w:bCs/>
          <w:sz w:val="32"/>
          <w:szCs w:val="32"/>
          <w:highlight w:val="none"/>
        </w:rPr>
        <w:t>所竞分标（如有则填写，无分标时填写“无”或者留空）：</w:t>
      </w:r>
    </w:p>
    <w:p w14:paraId="2F560667">
      <w:pPr>
        <w:snapToGrid w:val="0"/>
        <w:spacing w:before="169" w:beforeLines="50" w:after="50"/>
        <w:ind w:firstLine="720" w:firstLineChars="225"/>
        <w:rPr>
          <w:rFonts w:hint="eastAsia" w:ascii="仿宋" w:hAnsi="仿宋" w:eastAsia="仿宋" w:cs="仿宋"/>
          <w:bCs/>
          <w:sz w:val="32"/>
          <w:szCs w:val="32"/>
          <w:highlight w:val="none"/>
        </w:rPr>
      </w:pPr>
    </w:p>
    <w:p w14:paraId="32DA7049">
      <w:pPr>
        <w:snapToGrid w:val="0"/>
        <w:spacing w:before="50" w:after="50"/>
        <w:ind w:firstLine="720" w:firstLineChars="225"/>
        <w:rPr>
          <w:rFonts w:hint="eastAsia" w:ascii="仿宋" w:hAnsi="仿宋" w:eastAsia="仿宋" w:cs="仿宋"/>
          <w:bCs/>
          <w:sz w:val="32"/>
          <w:szCs w:val="32"/>
          <w:highlight w:val="none"/>
        </w:rPr>
      </w:pPr>
      <w:r>
        <w:rPr>
          <w:rFonts w:hint="eastAsia" w:ascii="仿宋" w:hAnsi="仿宋" w:eastAsia="仿宋" w:cs="仿宋"/>
          <w:bCs/>
          <w:sz w:val="32"/>
          <w:szCs w:val="32"/>
          <w:highlight w:val="none"/>
        </w:rPr>
        <w:t>供应商名称：</w:t>
      </w:r>
    </w:p>
    <w:p w14:paraId="2868D9EF">
      <w:pPr>
        <w:snapToGrid w:val="0"/>
        <w:spacing w:before="50" w:after="50"/>
        <w:ind w:firstLine="720" w:firstLineChars="225"/>
        <w:rPr>
          <w:rFonts w:hint="eastAsia" w:ascii="仿宋" w:hAnsi="仿宋" w:eastAsia="仿宋" w:cs="仿宋"/>
          <w:bCs/>
          <w:sz w:val="32"/>
          <w:szCs w:val="32"/>
          <w:highlight w:val="none"/>
        </w:rPr>
      </w:pPr>
    </w:p>
    <w:p w14:paraId="6DDF3979">
      <w:pPr>
        <w:snapToGrid w:val="0"/>
        <w:spacing w:before="50" w:after="50"/>
        <w:ind w:firstLine="720" w:firstLineChars="225"/>
        <w:rPr>
          <w:rFonts w:hint="eastAsia" w:ascii="仿宋" w:hAnsi="仿宋" w:eastAsia="仿宋" w:cs="仿宋"/>
          <w:bCs/>
          <w:sz w:val="32"/>
          <w:szCs w:val="32"/>
          <w:highlight w:val="none"/>
        </w:rPr>
      </w:pPr>
    </w:p>
    <w:p w14:paraId="0C9C9354">
      <w:pPr>
        <w:snapToGrid w:val="0"/>
        <w:spacing w:before="50" w:after="50"/>
        <w:ind w:firstLine="720" w:firstLineChars="225"/>
        <w:rPr>
          <w:rFonts w:hint="eastAsia" w:ascii="仿宋" w:hAnsi="仿宋" w:eastAsia="仿宋" w:cs="仿宋"/>
          <w:bCs/>
          <w:sz w:val="32"/>
          <w:szCs w:val="32"/>
          <w:highlight w:val="none"/>
        </w:rPr>
      </w:pPr>
    </w:p>
    <w:p w14:paraId="03F18EAC">
      <w:pPr>
        <w:snapToGrid w:val="0"/>
        <w:spacing w:before="50" w:after="50"/>
        <w:ind w:firstLine="1280" w:firstLineChars="400"/>
        <w:rPr>
          <w:rFonts w:hint="eastAsia" w:ascii="仿宋" w:hAnsi="仿宋" w:eastAsia="仿宋" w:cs="仿宋"/>
          <w:bCs/>
          <w:sz w:val="32"/>
          <w:szCs w:val="32"/>
          <w:highlight w:val="none"/>
        </w:rPr>
      </w:pPr>
    </w:p>
    <w:p w14:paraId="404B24DB">
      <w:pPr>
        <w:snapToGrid w:val="0"/>
        <w:spacing w:before="169" w:beforeLines="50" w:after="5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年    月    日</w:t>
      </w:r>
    </w:p>
    <w:p w14:paraId="25A994A9">
      <w:pPr>
        <w:snapToGrid w:val="0"/>
        <w:spacing w:before="169" w:beforeLines="50" w:after="50" w:line="360" w:lineRule="auto"/>
        <w:jc w:val="center"/>
        <w:rPr>
          <w:rFonts w:hint="eastAsia" w:ascii="仿宋" w:hAnsi="仿宋" w:eastAsia="仿宋" w:cs="仿宋"/>
          <w:b/>
          <w:kern w:val="0"/>
          <w:sz w:val="36"/>
          <w:szCs w:val="36"/>
          <w:highlight w:val="none"/>
        </w:rPr>
      </w:pPr>
      <w:r>
        <w:rPr>
          <w:rFonts w:hint="eastAsia" w:ascii="仿宋" w:hAnsi="仿宋" w:eastAsia="仿宋" w:cs="仿宋"/>
          <w:sz w:val="24"/>
          <w:highlight w:val="none"/>
        </w:rPr>
        <w:br w:type="page"/>
      </w:r>
      <w:r>
        <w:rPr>
          <w:rFonts w:hint="eastAsia" w:ascii="仿宋" w:hAnsi="仿宋" w:eastAsia="仿宋" w:cs="仿宋"/>
          <w:b/>
          <w:kern w:val="0"/>
          <w:sz w:val="36"/>
          <w:szCs w:val="36"/>
          <w:highlight w:val="none"/>
        </w:rPr>
        <w:t>资格证明文件目录</w:t>
      </w:r>
    </w:p>
    <w:p w14:paraId="048B9A4B">
      <w:pPr>
        <w:snapToGrid w:val="0"/>
        <w:spacing w:line="360" w:lineRule="auto"/>
        <w:rPr>
          <w:rFonts w:hint="eastAsia" w:ascii="仿宋" w:hAnsi="仿宋" w:eastAsia="仿宋" w:cs="仿宋"/>
          <w:kern w:val="0"/>
          <w:sz w:val="24"/>
          <w:highlight w:val="none"/>
        </w:rPr>
      </w:pPr>
    </w:p>
    <w:p w14:paraId="17623978">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一、</w:t>
      </w:r>
      <w:r>
        <w:rPr>
          <w:rFonts w:hint="eastAsia" w:ascii="仿宋" w:hAnsi="仿宋" w:eastAsia="仿宋" w:cs="仿宋"/>
          <w:sz w:val="24"/>
          <w:highlight w:val="none"/>
        </w:rPr>
        <w:t>营业执照(或事业法人登记证或其他工商等登记证明材料)复印件（供应商为自然人的，须提供</w:t>
      </w:r>
      <w:r>
        <w:rPr>
          <w:rFonts w:hint="eastAsia" w:ascii="仿宋" w:hAnsi="仿宋" w:eastAsia="仿宋" w:cs="仿宋"/>
          <w:kern w:val="0"/>
          <w:sz w:val="24"/>
          <w:highlight w:val="none"/>
        </w:rPr>
        <w:t>自然人的身份证明</w:t>
      </w:r>
      <w:r>
        <w:rPr>
          <w:rFonts w:hint="eastAsia" w:ascii="仿宋" w:hAnsi="仿宋" w:eastAsia="仿宋" w:cs="仿宋"/>
          <w:sz w:val="24"/>
          <w:highlight w:val="none"/>
        </w:rPr>
        <w:t>）</w:t>
      </w:r>
      <w:r>
        <w:rPr>
          <w:rFonts w:hint="eastAsia" w:ascii="仿宋" w:hAnsi="仿宋" w:eastAsia="仿宋" w:cs="仿宋"/>
          <w:kern w:val="0"/>
          <w:sz w:val="24"/>
          <w:highlight w:val="none"/>
        </w:rPr>
        <w:t>……………………………………………………………（页码）</w:t>
      </w:r>
    </w:p>
    <w:p w14:paraId="061107A3">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二、符合参与政府采购活动的资格条件依法缴纳税收、社会保障资金等方面的材料…………………………………………………………………………………………（页码）</w:t>
      </w:r>
    </w:p>
    <w:p w14:paraId="5BF1961B">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三、财务状况报告方面的材料…………………………………………………………（页码）</w:t>
      </w:r>
    </w:p>
    <w:p w14:paraId="10E88763">
      <w:pPr>
        <w:snapToGrid w:val="0"/>
        <w:spacing w:line="360" w:lineRule="auto"/>
        <w:rPr>
          <w:rFonts w:hint="eastAsia" w:ascii="仿宋" w:hAnsi="仿宋" w:eastAsia="仿宋" w:cs="仿宋"/>
          <w:kern w:val="0"/>
          <w:sz w:val="24"/>
          <w:highlight w:val="none"/>
        </w:rPr>
      </w:pPr>
      <w:r>
        <w:rPr>
          <w:rFonts w:hint="eastAsia" w:ascii="仿宋" w:hAnsi="仿宋" w:eastAsia="仿宋" w:cs="仿宋"/>
          <w:sz w:val="24"/>
          <w:highlight w:val="none"/>
        </w:rPr>
        <w:t>四、供应商直接控股股东信息</w:t>
      </w:r>
      <w:r>
        <w:rPr>
          <w:rFonts w:hint="eastAsia" w:ascii="仿宋" w:hAnsi="仿宋" w:eastAsia="仿宋" w:cs="仿宋"/>
          <w:kern w:val="0"/>
          <w:sz w:val="24"/>
          <w:highlight w:val="none"/>
        </w:rPr>
        <w:t>…………………………………………………………（页码）</w:t>
      </w:r>
    </w:p>
    <w:p w14:paraId="6D74D7A0">
      <w:pPr>
        <w:snapToGrid w:val="0"/>
        <w:spacing w:line="360" w:lineRule="auto"/>
        <w:rPr>
          <w:rFonts w:hint="eastAsia" w:ascii="仿宋" w:hAnsi="仿宋" w:eastAsia="仿宋" w:cs="仿宋"/>
          <w:kern w:val="0"/>
          <w:sz w:val="24"/>
          <w:highlight w:val="none"/>
        </w:rPr>
      </w:pPr>
      <w:r>
        <w:rPr>
          <w:rFonts w:hint="eastAsia" w:ascii="仿宋" w:hAnsi="仿宋" w:eastAsia="仿宋" w:cs="仿宋"/>
          <w:sz w:val="24"/>
          <w:highlight w:val="none"/>
        </w:rPr>
        <w:t>五、供应商直接关联关系信息表</w:t>
      </w:r>
      <w:r>
        <w:rPr>
          <w:rFonts w:hint="eastAsia" w:ascii="仿宋" w:hAnsi="仿宋" w:eastAsia="仿宋" w:cs="仿宋"/>
          <w:kern w:val="0"/>
          <w:sz w:val="24"/>
          <w:highlight w:val="none"/>
        </w:rPr>
        <w:t>………………………………………………………（页码）</w:t>
      </w:r>
    </w:p>
    <w:p w14:paraId="0B40BD92">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六、资格声明函…………………………………………………………………………（页码）</w:t>
      </w:r>
    </w:p>
    <w:p w14:paraId="5254F2BE">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七、联合体协议书；……………………………………………………………………（页码）</w:t>
      </w:r>
    </w:p>
    <w:p w14:paraId="10EF2CD0">
      <w:pPr>
        <w:snapToGrid w:val="0"/>
        <w:spacing w:line="360" w:lineRule="auto"/>
        <w:rPr>
          <w:rFonts w:hint="eastAsia" w:ascii="仿宋" w:hAnsi="仿宋" w:eastAsia="仿宋" w:cs="仿宋"/>
          <w:kern w:val="0"/>
          <w:sz w:val="24"/>
          <w:highlight w:val="none"/>
        </w:rPr>
      </w:pPr>
      <w:r>
        <w:rPr>
          <w:rFonts w:hint="eastAsia" w:ascii="仿宋" w:hAnsi="仿宋" w:eastAsia="仿宋" w:cs="仿宋"/>
          <w:sz w:val="24"/>
          <w:highlight w:val="none"/>
        </w:rPr>
        <w:t>八、符合特定资格条件（如有）的有关证明材料（复印件）</w:t>
      </w:r>
      <w:r>
        <w:rPr>
          <w:rFonts w:hint="eastAsia" w:ascii="仿宋" w:hAnsi="仿宋" w:eastAsia="仿宋" w:cs="仿宋"/>
          <w:kern w:val="0"/>
          <w:sz w:val="24"/>
          <w:highlight w:val="none"/>
        </w:rPr>
        <w:t>………………………（页码）</w:t>
      </w:r>
    </w:p>
    <w:p w14:paraId="1262470F">
      <w:pPr>
        <w:spacing w:line="360" w:lineRule="auto"/>
        <w:rPr>
          <w:rFonts w:hint="eastAsia" w:ascii="仿宋" w:hAnsi="仿宋" w:eastAsia="仿宋" w:cs="仿宋"/>
          <w:sz w:val="24"/>
          <w:highlight w:val="none"/>
        </w:rPr>
      </w:pPr>
      <w:r>
        <w:rPr>
          <w:rFonts w:hint="eastAsia" w:ascii="仿宋" w:hAnsi="仿宋" w:eastAsia="仿宋" w:cs="仿宋"/>
          <w:sz w:val="24"/>
          <w:highlight w:val="none"/>
        </w:rPr>
        <w:t>九、除磋商文件规定必须提供以外，供应商认为需要提供的其他证明材料</w:t>
      </w:r>
      <w:r>
        <w:rPr>
          <w:rFonts w:hint="eastAsia" w:ascii="仿宋" w:hAnsi="仿宋" w:eastAsia="仿宋" w:cs="仿宋"/>
          <w:kern w:val="0"/>
          <w:sz w:val="24"/>
          <w:highlight w:val="none"/>
        </w:rPr>
        <w:t>………（页码）</w:t>
      </w:r>
    </w:p>
    <w:p w14:paraId="44E70042">
      <w:pPr>
        <w:spacing w:line="360" w:lineRule="auto"/>
        <w:rPr>
          <w:rFonts w:hint="eastAsia" w:ascii="仿宋" w:hAnsi="仿宋" w:eastAsia="仿宋" w:cs="仿宋"/>
          <w:sz w:val="24"/>
          <w:highlight w:val="none"/>
        </w:rPr>
      </w:pPr>
    </w:p>
    <w:p w14:paraId="20A00C12">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注：以上目录是编制供应商响应文件的基本格式要求，各供应商可根据自身情况进一步细化。</w:t>
      </w:r>
    </w:p>
    <w:p w14:paraId="53194FB6">
      <w:pPr>
        <w:snapToGrid w:val="0"/>
        <w:spacing w:before="169" w:beforeLines="50" w:after="50" w:line="360" w:lineRule="auto"/>
        <w:ind w:left="142" w:firstLine="420" w:firstLineChars="200"/>
        <w:jc w:val="left"/>
        <w:rPr>
          <w:rFonts w:hint="eastAsia" w:ascii="仿宋" w:hAnsi="仿宋" w:eastAsia="仿宋" w:cs="仿宋"/>
          <w:szCs w:val="21"/>
          <w:highlight w:val="none"/>
        </w:rPr>
      </w:pPr>
    </w:p>
    <w:p w14:paraId="50BCBA52">
      <w:pPr>
        <w:spacing w:line="300" w:lineRule="auto"/>
        <w:rPr>
          <w:rFonts w:hint="eastAsia" w:ascii="仿宋" w:hAnsi="仿宋" w:eastAsia="仿宋" w:cs="仿宋"/>
          <w:szCs w:val="21"/>
          <w:highlight w:val="none"/>
        </w:rPr>
      </w:pPr>
    </w:p>
    <w:p w14:paraId="14A90FF2">
      <w:pPr>
        <w:spacing w:line="300" w:lineRule="auto"/>
        <w:rPr>
          <w:rFonts w:hint="eastAsia" w:ascii="仿宋" w:hAnsi="仿宋" w:eastAsia="仿宋" w:cs="仿宋"/>
          <w:szCs w:val="21"/>
          <w:highlight w:val="none"/>
        </w:rPr>
      </w:pPr>
    </w:p>
    <w:p w14:paraId="6D00E27D">
      <w:pPr>
        <w:spacing w:line="300" w:lineRule="auto"/>
        <w:rPr>
          <w:rFonts w:hint="eastAsia" w:ascii="仿宋" w:hAnsi="仿宋" w:eastAsia="仿宋" w:cs="仿宋"/>
          <w:szCs w:val="21"/>
          <w:highlight w:val="none"/>
        </w:rPr>
      </w:pPr>
    </w:p>
    <w:p w14:paraId="1AD0B697">
      <w:pPr>
        <w:spacing w:line="300" w:lineRule="auto"/>
        <w:rPr>
          <w:rFonts w:hint="eastAsia" w:ascii="仿宋" w:hAnsi="仿宋" w:eastAsia="仿宋" w:cs="仿宋"/>
          <w:szCs w:val="21"/>
          <w:highlight w:val="none"/>
        </w:rPr>
      </w:pPr>
    </w:p>
    <w:p w14:paraId="5A7519E7">
      <w:pPr>
        <w:spacing w:line="300" w:lineRule="auto"/>
        <w:rPr>
          <w:rFonts w:hint="eastAsia" w:ascii="仿宋" w:hAnsi="仿宋" w:eastAsia="仿宋" w:cs="仿宋"/>
          <w:szCs w:val="21"/>
          <w:highlight w:val="none"/>
        </w:rPr>
      </w:pPr>
    </w:p>
    <w:p w14:paraId="1B943A51">
      <w:pPr>
        <w:spacing w:line="300" w:lineRule="auto"/>
        <w:rPr>
          <w:rFonts w:hint="eastAsia" w:ascii="仿宋" w:hAnsi="仿宋" w:eastAsia="仿宋" w:cs="仿宋"/>
          <w:szCs w:val="21"/>
          <w:highlight w:val="none"/>
        </w:rPr>
      </w:pPr>
    </w:p>
    <w:p w14:paraId="5D7D4D77">
      <w:pPr>
        <w:spacing w:line="300" w:lineRule="auto"/>
        <w:rPr>
          <w:rFonts w:hint="eastAsia" w:ascii="仿宋" w:hAnsi="仿宋" w:eastAsia="仿宋" w:cs="仿宋"/>
          <w:szCs w:val="21"/>
          <w:highlight w:val="none"/>
        </w:rPr>
      </w:pPr>
    </w:p>
    <w:p w14:paraId="50D993A9">
      <w:pPr>
        <w:spacing w:line="300" w:lineRule="auto"/>
        <w:rPr>
          <w:rFonts w:hint="eastAsia" w:ascii="仿宋" w:hAnsi="仿宋" w:eastAsia="仿宋" w:cs="仿宋"/>
          <w:szCs w:val="21"/>
          <w:highlight w:val="none"/>
        </w:rPr>
      </w:pPr>
    </w:p>
    <w:p w14:paraId="0CDB15C5">
      <w:pPr>
        <w:spacing w:line="300" w:lineRule="auto"/>
        <w:rPr>
          <w:rFonts w:hint="eastAsia" w:ascii="仿宋" w:hAnsi="仿宋" w:eastAsia="仿宋" w:cs="仿宋"/>
          <w:szCs w:val="21"/>
          <w:highlight w:val="none"/>
        </w:rPr>
      </w:pPr>
    </w:p>
    <w:p w14:paraId="081AFD65">
      <w:pPr>
        <w:spacing w:line="360" w:lineRule="auto"/>
        <w:ind w:firstLine="400" w:firstLineChars="200"/>
        <w:rPr>
          <w:rFonts w:hint="eastAsia" w:ascii="仿宋" w:hAnsi="仿宋" w:eastAsia="仿宋" w:cs="仿宋"/>
          <w:b/>
          <w:kern w:val="0"/>
          <w:sz w:val="30"/>
          <w:szCs w:val="30"/>
          <w:highlight w:val="none"/>
        </w:rPr>
      </w:pPr>
      <w:r>
        <w:rPr>
          <w:rFonts w:hint="eastAsia" w:ascii="仿宋" w:hAnsi="仿宋" w:eastAsia="仿宋" w:cs="仿宋"/>
          <w:kern w:val="0"/>
          <w:sz w:val="20"/>
          <w:szCs w:val="21"/>
          <w:highlight w:val="none"/>
        </w:rPr>
        <w:br w:type="page"/>
      </w:r>
      <w:r>
        <w:rPr>
          <w:rFonts w:hint="eastAsia" w:ascii="仿宋" w:hAnsi="仿宋" w:eastAsia="仿宋" w:cs="仿宋"/>
          <w:b/>
          <w:kern w:val="0"/>
          <w:sz w:val="30"/>
          <w:szCs w:val="30"/>
          <w:highlight w:val="none"/>
        </w:rPr>
        <w:t>一、营业执照(或事业法人登记证或其他工商等登记证明材料)复印件（供应商为自然人的，提供自然人的身份证明）</w:t>
      </w:r>
    </w:p>
    <w:p w14:paraId="1CFEA363">
      <w:pPr>
        <w:spacing w:line="360" w:lineRule="auto"/>
        <w:ind w:firstLine="602" w:firstLineChars="200"/>
        <w:rPr>
          <w:rFonts w:hint="eastAsia" w:ascii="仿宋" w:hAnsi="仿宋" w:eastAsia="仿宋" w:cs="仿宋"/>
          <w:b/>
          <w:kern w:val="0"/>
          <w:sz w:val="30"/>
          <w:szCs w:val="30"/>
          <w:highlight w:val="none"/>
        </w:rPr>
      </w:pPr>
    </w:p>
    <w:p w14:paraId="15B97EA9">
      <w:pPr>
        <w:autoSpaceDE w:val="0"/>
        <w:autoSpaceDN w:val="0"/>
        <w:spacing w:line="360" w:lineRule="auto"/>
        <w:ind w:left="4365" w:leftChars="1850" w:hanging="480" w:hanging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7FA243FA">
      <w:pPr>
        <w:autoSpaceDE w:val="0"/>
        <w:autoSpaceDN w:val="0"/>
        <w:spacing w:line="360" w:lineRule="auto"/>
        <w:ind w:firstLine="6120" w:firstLineChars="2550"/>
        <w:rPr>
          <w:rFonts w:hint="eastAsia" w:ascii="仿宋" w:hAnsi="仿宋" w:eastAsia="仿宋" w:cs="仿宋"/>
          <w:b/>
          <w:bCs/>
          <w:sz w:val="24"/>
          <w:highlight w:val="none"/>
        </w:rPr>
      </w:pPr>
      <w:r>
        <w:rPr>
          <w:rFonts w:hint="eastAsia" w:ascii="仿宋" w:hAnsi="仿宋" w:eastAsia="仿宋" w:cs="仿宋"/>
          <w:kern w:val="0"/>
          <w:sz w:val="24"/>
          <w:highlight w:val="none"/>
          <w:lang w:val="zh-CN"/>
        </w:rPr>
        <w:t>日期：  年  月   日</w:t>
      </w:r>
    </w:p>
    <w:p w14:paraId="2AD1AB78">
      <w:pPr>
        <w:snapToGrid w:val="0"/>
        <w:spacing w:before="169" w:beforeLines="50" w:after="50"/>
        <w:rPr>
          <w:rFonts w:hint="eastAsia" w:ascii="仿宋" w:hAnsi="仿宋" w:eastAsia="仿宋" w:cs="仿宋"/>
          <w:sz w:val="24"/>
          <w:szCs w:val="20"/>
          <w:highlight w:val="none"/>
        </w:rPr>
      </w:pPr>
    </w:p>
    <w:p w14:paraId="2CA96FAC">
      <w:pPr>
        <w:snapToGrid w:val="0"/>
        <w:spacing w:before="169" w:beforeLines="50" w:after="50"/>
        <w:rPr>
          <w:rFonts w:hint="eastAsia" w:ascii="仿宋" w:hAnsi="仿宋" w:eastAsia="仿宋" w:cs="仿宋"/>
          <w:sz w:val="24"/>
          <w:szCs w:val="20"/>
          <w:highlight w:val="none"/>
        </w:rPr>
      </w:pPr>
    </w:p>
    <w:p w14:paraId="6A4BAD4D">
      <w:pPr>
        <w:snapToGrid w:val="0"/>
        <w:spacing w:before="169" w:beforeLines="50" w:after="50"/>
        <w:rPr>
          <w:rFonts w:hint="eastAsia" w:ascii="仿宋" w:hAnsi="仿宋" w:eastAsia="仿宋" w:cs="仿宋"/>
          <w:sz w:val="24"/>
          <w:szCs w:val="20"/>
          <w:highlight w:val="none"/>
        </w:rPr>
      </w:pPr>
    </w:p>
    <w:p w14:paraId="4E18E3AF">
      <w:pPr>
        <w:spacing w:line="360" w:lineRule="auto"/>
        <w:ind w:firstLine="602" w:firstLineChars="200"/>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二、符合参与政府采购活动的资格条件依法缴纳税收、社会保障资金等方面的材料</w:t>
      </w:r>
    </w:p>
    <w:p w14:paraId="744A258A">
      <w:pPr>
        <w:spacing w:line="300" w:lineRule="auto"/>
        <w:rPr>
          <w:rFonts w:hint="eastAsia" w:ascii="仿宋" w:hAnsi="仿宋" w:eastAsia="仿宋" w:cs="仿宋"/>
          <w:szCs w:val="21"/>
          <w:highlight w:val="none"/>
        </w:rPr>
      </w:pPr>
    </w:p>
    <w:p w14:paraId="5DE2F513">
      <w:pPr>
        <w:autoSpaceDE w:val="0"/>
        <w:autoSpaceDN w:val="0"/>
        <w:spacing w:line="360" w:lineRule="auto"/>
        <w:ind w:left="4365" w:leftChars="1850" w:hanging="480" w:hanging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3B4F9CEE">
      <w:pPr>
        <w:autoSpaceDE w:val="0"/>
        <w:autoSpaceDN w:val="0"/>
        <w:spacing w:line="360" w:lineRule="auto"/>
        <w:ind w:firstLine="6120" w:firstLineChars="2550"/>
        <w:rPr>
          <w:rFonts w:hint="eastAsia" w:ascii="仿宋" w:hAnsi="仿宋" w:eastAsia="仿宋" w:cs="仿宋"/>
          <w:b/>
          <w:bCs/>
          <w:sz w:val="24"/>
          <w:highlight w:val="none"/>
        </w:rPr>
      </w:pPr>
      <w:r>
        <w:rPr>
          <w:rFonts w:hint="eastAsia" w:ascii="仿宋" w:hAnsi="仿宋" w:eastAsia="仿宋" w:cs="仿宋"/>
          <w:kern w:val="0"/>
          <w:sz w:val="24"/>
          <w:highlight w:val="none"/>
          <w:lang w:val="zh-CN"/>
        </w:rPr>
        <w:t>日期：  年  月   日</w:t>
      </w:r>
    </w:p>
    <w:p w14:paraId="72212E16">
      <w:pPr>
        <w:spacing w:line="300" w:lineRule="auto"/>
        <w:rPr>
          <w:rFonts w:hint="eastAsia" w:ascii="仿宋" w:hAnsi="仿宋" w:eastAsia="仿宋" w:cs="仿宋"/>
          <w:szCs w:val="21"/>
          <w:highlight w:val="none"/>
        </w:rPr>
      </w:pPr>
    </w:p>
    <w:p w14:paraId="3FE435B2">
      <w:pPr>
        <w:spacing w:line="300" w:lineRule="auto"/>
        <w:rPr>
          <w:rFonts w:hint="eastAsia" w:ascii="仿宋" w:hAnsi="仿宋" w:eastAsia="仿宋" w:cs="仿宋"/>
          <w:szCs w:val="21"/>
          <w:highlight w:val="none"/>
        </w:rPr>
      </w:pPr>
    </w:p>
    <w:p w14:paraId="6BE8A478">
      <w:pPr>
        <w:spacing w:line="300" w:lineRule="auto"/>
        <w:rPr>
          <w:rFonts w:hint="eastAsia" w:ascii="仿宋" w:hAnsi="仿宋" w:eastAsia="仿宋" w:cs="仿宋"/>
          <w:szCs w:val="21"/>
          <w:highlight w:val="none"/>
        </w:rPr>
      </w:pPr>
    </w:p>
    <w:p w14:paraId="32216F67">
      <w:pPr>
        <w:spacing w:line="300" w:lineRule="auto"/>
        <w:rPr>
          <w:rFonts w:hint="eastAsia" w:ascii="仿宋" w:hAnsi="仿宋" w:eastAsia="仿宋" w:cs="仿宋"/>
          <w:szCs w:val="21"/>
          <w:highlight w:val="none"/>
        </w:rPr>
      </w:pPr>
    </w:p>
    <w:p w14:paraId="26A24128">
      <w:pPr>
        <w:spacing w:line="300" w:lineRule="auto"/>
        <w:ind w:firstLine="596" w:firstLineChars="198"/>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三、财务状况报告方面的材料</w:t>
      </w:r>
    </w:p>
    <w:p w14:paraId="7FEA69DB">
      <w:pPr>
        <w:spacing w:line="300" w:lineRule="auto"/>
        <w:rPr>
          <w:rFonts w:hint="eastAsia" w:ascii="仿宋" w:hAnsi="仿宋" w:eastAsia="仿宋" w:cs="仿宋"/>
          <w:szCs w:val="21"/>
          <w:highlight w:val="none"/>
        </w:rPr>
      </w:pPr>
    </w:p>
    <w:p w14:paraId="09F3CFC4">
      <w:pPr>
        <w:autoSpaceDE w:val="0"/>
        <w:autoSpaceDN w:val="0"/>
        <w:spacing w:line="360" w:lineRule="auto"/>
        <w:ind w:left="4365" w:leftChars="1850" w:hanging="480" w:hanging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63DCA9C5">
      <w:pPr>
        <w:autoSpaceDE w:val="0"/>
        <w:autoSpaceDN w:val="0"/>
        <w:spacing w:line="360" w:lineRule="auto"/>
        <w:ind w:firstLine="6120" w:firstLineChars="2550"/>
        <w:rPr>
          <w:rFonts w:hint="eastAsia" w:ascii="仿宋" w:hAnsi="仿宋" w:eastAsia="仿宋" w:cs="仿宋"/>
          <w:b/>
          <w:bCs/>
          <w:sz w:val="24"/>
          <w:highlight w:val="none"/>
        </w:rPr>
      </w:pPr>
      <w:r>
        <w:rPr>
          <w:rFonts w:hint="eastAsia" w:ascii="仿宋" w:hAnsi="仿宋" w:eastAsia="仿宋" w:cs="仿宋"/>
          <w:kern w:val="0"/>
          <w:sz w:val="24"/>
          <w:highlight w:val="none"/>
          <w:lang w:val="zh-CN"/>
        </w:rPr>
        <w:t>日期：  年  月   日</w:t>
      </w:r>
    </w:p>
    <w:p w14:paraId="6E222420">
      <w:pPr>
        <w:snapToGrid w:val="0"/>
        <w:spacing w:before="169" w:beforeLines="50" w:after="50" w:line="360" w:lineRule="auto"/>
        <w:rPr>
          <w:rFonts w:hint="eastAsia" w:ascii="仿宋" w:hAnsi="仿宋" w:eastAsia="仿宋" w:cs="仿宋"/>
          <w:b/>
          <w:sz w:val="24"/>
          <w:highlight w:val="none"/>
        </w:rPr>
      </w:pPr>
    </w:p>
    <w:p w14:paraId="0BF89119">
      <w:pPr>
        <w:snapToGrid w:val="0"/>
        <w:spacing w:before="169" w:beforeLines="50" w:after="50" w:line="360" w:lineRule="auto"/>
        <w:rPr>
          <w:rFonts w:hint="eastAsia" w:ascii="仿宋" w:hAnsi="仿宋" w:eastAsia="仿宋" w:cs="仿宋"/>
          <w:b/>
          <w:sz w:val="24"/>
          <w:highlight w:val="none"/>
        </w:rPr>
      </w:pPr>
    </w:p>
    <w:p w14:paraId="084C3F6D">
      <w:pPr>
        <w:snapToGrid w:val="0"/>
        <w:spacing w:before="169" w:beforeLines="50" w:after="50" w:line="360" w:lineRule="auto"/>
        <w:rPr>
          <w:rFonts w:hint="eastAsia" w:ascii="仿宋" w:hAnsi="仿宋" w:eastAsia="仿宋" w:cs="仿宋"/>
          <w:b/>
          <w:sz w:val="24"/>
          <w:highlight w:val="none"/>
        </w:rPr>
      </w:pPr>
    </w:p>
    <w:p w14:paraId="711D332A">
      <w:pPr>
        <w:snapToGrid w:val="0"/>
        <w:spacing w:before="169" w:beforeLines="50" w:after="50" w:line="360" w:lineRule="auto"/>
        <w:rPr>
          <w:rFonts w:hint="eastAsia" w:ascii="仿宋" w:hAnsi="仿宋" w:eastAsia="仿宋" w:cs="仿宋"/>
          <w:b/>
          <w:sz w:val="24"/>
          <w:highlight w:val="none"/>
        </w:rPr>
      </w:pPr>
    </w:p>
    <w:p w14:paraId="34780238">
      <w:pPr>
        <w:spacing w:line="360" w:lineRule="auto"/>
        <w:ind w:firstLine="596" w:firstLineChars="198"/>
        <w:contextualSpacing/>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四、供应商直接控股股东信息</w:t>
      </w:r>
    </w:p>
    <w:p w14:paraId="46DF2767">
      <w:pPr>
        <w:spacing w:line="360" w:lineRule="auto"/>
        <w:contextualSpacing/>
        <w:jc w:val="center"/>
        <w:rPr>
          <w:rFonts w:hint="eastAsia" w:ascii="仿宋" w:hAnsi="仿宋" w:eastAsia="仿宋" w:cs="仿宋"/>
          <w:b/>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DB2574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CDFA7B">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FD9832">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1F28EA">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A6887F">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4601DF">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备注</w:t>
            </w:r>
          </w:p>
        </w:tc>
      </w:tr>
      <w:tr w14:paraId="18E649C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3E86C7">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8595CF">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360C1F">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9357F0">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870010">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r w14:paraId="415FCCD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2444E6">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69068E">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1BA23E">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486E12">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60D32A">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r w14:paraId="267190F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C9C895">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1A9A3B">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9B4F26">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4089C1">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B29CAA">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r w14:paraId="7B9C0CF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612B76">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3A74C5">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C9B510">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0A4B00">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AB0F4D">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bl>
    <w:p w14:paraId="0E040B9B">
      <w:pPr>
        <w:spacing w:line="360" w:lineRule="auto"/>
        <w:contextualSpacing/>
        <w:jc w:val="left"/>
        <w:rPr>
          <w:rFonts w:hint="eastAsia" w:ascii="仿宋" w:hAnsi="仿宋" w:eastAsia="仿宋" w:cs="仿宋"/>
          <w:kern w:val="0"/>
          <w:sz w:val="24"/>
          <w:highlight w:val="none"/>
        </w:rPr>
      </w:pPr>
    </w:p>
    <w:p w14:paraId="21AB4DA0">
      <w:pPr>
        <w:spacing w:line="360" w:lineRule="auto"/>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注：</w:t>
      </w:r>
    </w:p>
    <w:p w14:paraId="1A48353B">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7373CC6">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2.本表所指的控股关系仅限于直接控股关系，不包括间接的控股关系。公司实际控制人与公司之间的关系不属于本表所指的直接控股关系。</w:t>
      </w:r>
    </w:p>
    <w:p w14:paraId="37860FE8">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3.供应商不存在直接控股股东的，则填“无”。</w:t>
      </w:r>
    </w:p>
    <w:p w14:paraId="50FE5594">
      <w:pPr>
        <w:snapToGrid w:val="0"/>
        <w:spacing w:line="360" w:lineRule="auto"/>
        <w:jc w:val="left"/>
        <w:rPr>
          <w:rFonts w:hint="eastAsia" w:ascii="仿宋" w:hAnsi="仿宋" w:eastAsia="仿宋" w:cs="仿宋"/>
          <w:sz w:val="24"/>
          <w:highlight w:val="none"/>
        </w:rPr>
      </w:pPr>
    </w:p>
    <w:p w14:paraId="00AEECFB">
      <w:pPr>
        <w:snapToGrid w:val="0"/>
        <w:spacing w:line="360" w:lineRule="auto"/>
        <w:jc w:val="left"/>
        <w:rPr>
          <w:rFonts w:hint="eastAsia" w:ascii="仿宋" w:hAnsi="仿宋" w:eastAsia="仿宋" w:cs="仿宋"/>
          <w:sz w:val="24"/>
          <w:highlight w:val="none"/>
        </w:rPr>
      </w:pPr>
    </w:p>
    <w:p w14:paraId="348A995B">
      <w:pPr>
        <w:autoSpaceDE w:val="0"/>
        <w:autoSpaceDN w:val="0"/>
        <w:spacing w:line="360" w:lineRule="auto"/>
        <w:ind w:left="4365" w:leftChars="1850" w:hanging="480" w:hanging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3A9723CF">
      <w:pPr>
        <w:autoSpaceDE w:val="0"/>
        <w:autoSpaceDN w:val="0"/>
        <w:spacing w:line="360" w:lineRule="auto"/>
        <w:ind w:firstLine="6120" w:firstLineChars="255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日期：  年  月   日</w:t>
      </w:r>
    </w:p>
    <w:p w14:paraId="185C5B31">
      <w:pPr>
        <w:autoSpaceDE w:val="0"/>
        <w:autoSpaceDN w:val="0"/>
        <w:spacing w:line="360" w:lineRule="auto"/>
        <w:ind w:firstLine="6120" w:firstLineChars="2550"/>
        <w:rPr>
          <w:rFonts w:hint="eastAsia" w:ascii="仿宋" w:hAnsi="仿宋" w:eastAsia="仿宋" w:cs="仿宋"/>
          <w:kern w:val="0"/>
          <w:sz w:val="24"/>
          <w:highlight w:val="none"/>
          <w:lang w:val="zh-CN"/>
        </w:rPr>
      </w:pPr>
    </w:p>
    <w:p w14:paraId="365C5B38">
      <w:pPr>
        <w:autoSpaceDE w:val="0"/>
        <w:autoSpaceDN w:val="0"/>
        <w:spacing w:line="360" w:lineRule="auto"/>
        <w:ind w:firstLine="6120" w:firstLineChars="2550"/>
        <w:rPr>
          <w:rFonts w:hint="eastAsia" w:ascii="仿宋" w:hAnsi="仿宋" w:eastAsia="仿宋" w:cs="仿宋"/>
          <w:kern w:val="0"/>
          <w:sz w:val="24"/>
          <w:highlight w:val="none"/>
          <w:lang w:val="zh-CN"/>
        </w:rPr>
      </w:pPr>
    </w:p>
    <w:p w14:paraId="263D7B04">
      <w:pPr>
        <w:autoSpaceDE w:val="0"/>
        <w:autoSpaceDN w:val="0"/>
        <w:spacing w:line="360" w:lineRule="auto"/>
        <w:ind w:firstLine="6120" w:firstLineChars="2550"/>
        <w:rPr>
          <w:rFonts w:hint="eastAsia" w:ascii="仿宋" w:hAnsi="仿宋" w:eastAsia="仿宋" w:cs="仿宋"/>
          <w:kern w:val="0"/>
          <w:sz w:val="24"/>
          <w:highlight w:val="none"/>
          <w:lang w:val="zh-CN"/>
        </w:rPr>
      </w:pPr>
    </w:p>
    <w:p w14:paraId="013B0B47">
      <w:pPr>
        <w:autoSpaceDE w:val="0"/>
        <w:autoSpaceDN w:val="0"/>
        <w:spacing w:line="360" w:lineRule="auto"/>
        <w:ind w:firstLine="6120" w:firstLineChars="2550"/>
        <w:rPr>
          <w:rFonts w:hint="eastAsia" w:ascii="仿宋" w:hAnsi="仿宋" w:eastAsia="仿宋" w:cs="仿宋"/>
          <w:kern w:val="0"/>
          <w:sz w:val="24"/>
          <w:highlight w:val="none"/>
          <w:lang w:val="zh-CN"/>
        </w:rPr>
      </w:pPr>
    </w:p>
    <w:p w14:paraId="606864ED">
      <w:pPr>
        <w:snapToGrid w:val="0"/>
        <w:rPr>
          <w:rFonts w:hint="eastAsia" w:ascii="仿宋" w:hAnsi="仿宋" w:eastAsia="仿宋" w:cs="仿宋"/>
          <w:b/>
          <w:kern w:val="0"/>
          <w:sz w:val="30"/>
          <w:szCs w:val="30"/>
          <w:highlight w:val="none"/>
        </w:rPr>
      </w:pPr>
    </w:p>
    <w:p w14:paraId="353ADD90">
      <w:pPr>
        <w:snapToGrid w:val="0"/>
        <w:ind w:firstLine="596" w:firstLineChars="198"/>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五、供应商直接管理关系信息表</w:t>
      </w:r>
    </w:p>
    <w:p w14:paraId="38644850">
      <w:pPr>
        <w:snapToGrid w:val="0"/>
        <w:spacing w:line="360" w:lineRule="auto"/>
        <w:jc w:val="center"/>
        <w:rPr>
          <w:rFonts w:hint="eastAsia" w:ascii="仿宋" w:hAnsi="仿宋" w:eastAsia="仿宋" w:cs="仿宋"/>
          <w:b/>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0605C8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77F669">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80397D">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104332">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15E990">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备注</w:t>
            </w:r>
          </w:p>
        </w:tc>
      </w:tr>
      <w:tr w14:paraId="74E7B5D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B4A87C">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362255">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69C025">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1500AE">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r w14:paraId="7A50415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5550DA">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690025">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CB512C">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F957D5">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r w14:paraId="66A481C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2E398E">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7B7424">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78CFB3">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6FBD88">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r w14:paraId="44C728A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033AF4">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18F581">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5F8F21">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E59778">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bl>
    <w:p w14:paraId="1185958A">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注：</w:t>
      </w:r>
    </w:p>
    <w:p w14:paraId="1585A9CE">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1.管理关系：是指不具有出资持股关系的其他单位之间存在的管理与被管理关系，如一些上下级关系的事业单位和团体组织。</w:t>
      </w:r>
    </w:p>
    <w:p w14:paraId="75EF8E2C">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2.本表所指的管理关系仅限于直接管理关系，不包括间接的管理关系。</w:t>
      </w:r>
    </w:p>
    <w:p w14:paraId="125EC2EF">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3.供应商不存在直接管理关系的，则填“无”。</w:t>
      </w:r>
    </w:p>
    <w:p w14:paraId="2465A8DC">
      <w:pPr>
        <w:spacing w:line="360" w:lineRule="auto"/>
        <w:contextualSpacing/>
        <w:jc w:val="left"/>
        <w:rPr>
          <w:rFonts w:hint="eastAsia" w:ascii="仿宋" w:hAnsi="仿宋" w:eastAsia="仿宋" w:cs="仿宋"/>
          <w:sz w:val="24"/>
          <w:highlight w:val="none"/>
        </w:rPr>
      </w:pPr>
    </w:p>
    <w:p w14:paraId="01D7A7EA">
      <w:pPr>
        <w:autoSpaceDE w:val="0"/>
        <w:autoSpaceDN w:val="0"/>
        <w:spacing w:line="360" w:lineRule="auto"/>
        <w:ind w:left="4365" w:leftChars="1850" w:hanging="480" w:hanging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1A9CBFE9">
      <w:pPr>
        <w:autoSpaceDE w:val="0"/>
        <w:autoSpaceDN w:val="0"/>
        <w:spacing w:line="360" w:lineRule="auto"/>
        <w:ind w:firstLine="6120" w:firstLineChars="2550"/>
        <w:rPr>
          <w:rFonts w:hint="eastAsia" w:ascii="仿宋" w:hAnsi="仿宋" w:eastAsia="仿宋" w:cs="仿宋"/>
          <w:sz w:val="28"/>
          <w:szCs w:val="28"/>
          <w:highlight w:val="none"/>
        </w:rPr>
      </w:pPr>
      <w:r>
        <w:rPr>
          <w:rFonts w:hint="eastAsia" w:ascii="仿宋" w:hAnsi="仿宋" w:eastAsia="仿宋" w:cs="仿宋"/>
          <w:kern w:val="0"/>
          <w:sz w:val="24"/>
          <w:highlight w:val="none"/>
          <w:lang w:val="zh-CN"/>
        </w:rPr>
        <w:t>日期：  年  月   日</w:t>
      </w:r>
      <w:r>
        <w:rPr>
          <w:rFonts w:hint="eastAsia" w:ascii="仿宋" w:hAnsi="仿宋" w:eastAsia="仿宋" w:cs="仿宋"/>
          <w:sz w:val="28"/>
          <w:szCs w:val="28"/>
          <w:highlight w:val="none"/>
        </w:rPr>
        <w:br w:type="page"/>
      </w:r>
      <w:r>
        <w:rPr>
          <w:rFonts w:hint="eastAsia" w:ascii="仿宋" w:hAnsi="仿宋" w:eastAsia="仿宋" w:cs="仿宋"/>
          <w:b/>
          <w:kern w:val="0"/>
          <w:sz w:val="30"/>
          <w:szCs w:val="30"/>
          <w:highlight w:val="none"/>
        </w:rPr>
        <w:t>六、资格声明函</w:t>
      </w:r>
    </w:p>
    <w:p w14:paraId="72BF8AE0">
      <w:pPr>
        <w:spacing w:line="320" w:lineRule="exact"/>
        <w:jc w:val="center"/>
        <w:rPr>
          <w:rFonts w:hint="eastAsia" w:ascii="仿宋" w:hAnsi="仿宋" w:eastAsia="仿宋" w:cs="仿宋"/>
          <w:b/>
          <w:sz w:val="32"/>
          <w:szCs w:val="32"/>
          <w:highlight w:val="none"/>
        </w:rPr>
      </w:pPr>
    </w:p>
    <w:p w14:paraId="14EA15B5">
      <w:pPr>
        <w:spacing w:line="32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资格声明函</w:t>
      </w:r>
    </w:p>
    <w:p w14:paraId="3850500E">
      <w:pPr>
        <w:spacing w:line="320" w:lineRule="exact"/>
        <w:jc w:val="center"/>
        <w:rPr>
          <w:rFonts w:hint="eastAsia" w:ascii="仿宋" w:hAnsi="仿宋" w:eastAsia="仿宋" w:cs="仿宋"/>
          <w:sz w:val="24"/>
          <w:szCs w:val="20"/>
          <w:highlight w:val="none"/>
        </w:rPr>
      </w:pPr>
    </w:p>
    <w:p w14:paraId="4ECD5985">
      <w:pPr>
        <w:spacing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lang w:eastAsia="zh-CN"/>
        </w:rPr>
        <w:t>采购代理机构</w:t>
      </w:r>
      <w:r>
        <w:rPr>
          <w:rFonts w:hint="eastAsia" w:ascii="仿宋" w:hAnsi="仿宋" w:eastAsia="仿宋" w:cs="仿宋"/>
          <w:sz w:val="24"/>
          <w:highlight w:val="none"/>
        </w:rPr>
        <w:t>）</w:t>
      </w:r>
    </w:p>
    <w:p w14:paraId="794A19F1">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u w:val="single"/>
        </w:rPr>
        <w:t>（供应商名称）</w:t>
      </w:r>
      <w:r>
        <w:rPr>
          <w:rFonts w:hint="eastAsia" w:ascii="仿宋" w:hAnsi="仿宋" w:eastAsia="仿宋" w:cs="仿宋"/>
          <w:sz w:val="24"/>
          <w:highlight w:val="none"/>
        </w:rPr>
        <w:t>系中华人民共和国合法供应商，经营地址：</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1BA310C8">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我方愿意参加贵方组织的</w:t>
      </w:r>
      <w:r>
        <w:rPr>
          <w:rFonts w:hint="eastAsia" w:ascii="仿宋" w:hAnsi="仿宋" w:eastAsia="仿宋" w:cs="仿宋"/>
          <w:sz w:val="24"/>
          <w:highlight w:val="none"/>
          <w:u w:val="single"/>
        </w:rPr>
        <w:t>（项目名称：            ；项目编号：      ）</w:t>
      </w:r>
      <w:r>
        <w:rPr>
          <w:rFonts w:hint="eastAsia" w:ascii="仿宋" w:hAnsi="仿宋" w:eastAsia="仿宋" w:cs="仿宋"/>
          <w:sz w:val="24"/>
          <w:highlight w:val="none"/>
        </w:rPr>
        <w:t>的竞标，为便于贵方公正、择优地确定成交供应商及其竞标产品和服务，我方就本次竞标有关事项郑重声明如下：</w:t>
      </w:r>
    </w:p>
    <w:p w14:paraId="23EA61D1">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1.我方向贵方提交的所有响应文件、资料都是准确的和真实的。</w:t>
      </w:r>
    </w:p>
    <w:p w14:paraId="2E3C629C">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83298D6">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3.在此，我方宣布同意如下：</w:t>
      </w:r>
    </w:p>
    <w:p w14:paraId="50221016">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（1）将按磋商文件的约定履行合同责任和义务；</w:t>
      </w:r>
    </w:p>
    <w:p w14:paraId="66146D38">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（2）已详细审查全部磋商文件，包括澄清或者更正公告（如有）；</w:t>
      </w:r>
    </w:p>
    <w:p w14:paraId="745E6D19">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（3）同意提供按照贵方可能要求的与谈判有关的一切数据或者资料；</w:t>
      </w:r>
    </w:p>
    <w:p w14:paraId="57BCC736">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（4）响应磋商文件规定的竞标有效期。</w:t>
      </w:r>
    </w:p>
    <w:p w14:paraId="02DB58CF">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4.我方承诺已经具备《中华人民共和国政府采购法》第二十二条中规定的参加政府采购活动的供应商应当具备的条件并按本项目响应文件“供应商须知前附表”中“资格证明文件组成”完整提供证明材料。</w:t>
      </w:r>
    </w:p>
    <w:p w14:paraId="569FEFD3">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B8A843B">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BA6077C">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□我方本次响应文件</w:t>
      </w:r>
      <w:r>
        <w:rPr>
          <w:rFonts w:hint="eastAsia" w:ascii="仿宋" w:hAnsi="仿宋" w:eastAsia="仿宋" w:cs="仿宋"/>
          <w:kern w:val="0"/>
          <w:sz w:val="24"/>
          <w:highlight w:val="none"/>
        </w:rPr>
        <w:t>内容中</w:t>
      </w:r>
      <w:r>
        <w:rPr>
          <w:rFonts w:hint="eastAsia" w:ascii="仿宋" w:hAnsi="仿宋" w:eastAsia="仿宋" w:cs="仿宋"/>
          <w:sz w:val="24"/>
          <w:highlight w:val="none"/>
        </w:rPr>
        <w:t>未</w:t>
      </w:r>
      <w:r>
        <w:rPr>
          <w:rFonts w:hint="eastAsia" w:ascii="仿宋" w:hAnsi="仿宋" w:eastAsia="仿宋" w:cs="仿宋"/>
          <w:kern w:val="0"/>
          <w:sz w:val="24"/>
          <w:highlight w:val="none"/>
        </w:rPr>
        <w:t>涉及商业秘密；</w:t>
      </w:r>
    </w:p>
    <w:p w14:paraId="5A374792">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□我方本次响应文件</w:t>
      </w:r>
      <w:r>
        <w:rPr>
          <w:rFonts w:hint="eastAsia" w:ascii="仿宋" w:hAnsi="仿宋" w:eastAsia="仿宋" w:cs="仿宋"/>
          <w:kern w:val="0"/>
          <w:sz w:val="24"/>
          <w:highlight w:val="none"/>
        </w:rPr>
        <w:t>涉及商业秘密的内容有：；</w:t>
      </w:r>
    </w:p>
    <w:p w14:paraId="6C12E0EE">
      <w:pPr>
        <w:spacing w:line="360" w:lineRule="auto"/>
        <w:ind w:firstLine="480" w:firstLineChars="200"/>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7.与本磋商有关的一切正式往来信函请寄：</w:t>
      </w:r>
    </w:p>
    <w:p w14:paraId="1FE2B1D5">
      <w:pPr>
        <w:spacing w:line="360" w:lineRule="auto"/>
        <w:ind w:firstLine="480" w:firstLineChars="200"/>
        <w:contextualSpacing/>
        <w:rPr>
          <w:rFonts w:hint="eastAsia" w:ascii="仿宋" w:hAnsi="仿宋" w:eastAsia="仿宋" w:cs="仿宋"/>
          <w:kern w:val="0"/>
          <w:sz w:val="24"/>
          <w:highlight w:val="none"/>
          <w:u w:val="single"/>
        </w:rPr>
      </w:pPr>
      <w:r>
        <w:rPr>
          <w:rFonts w:hint="eastAsia" w:ascii="仿宋" w:hAnsi="仿宋" w:eastAsia="仿宋" w:cs="仿宋"/>
          <w:kern w:val="0"/>
          <w:sz w:val="24"/>
          <w:highlight w:val="none"/>
        </w:rPr>
        <w:t>邮政编号：</w:t>
      </w:r>
    </w:p>
    <w:p w14:paraId="6CBD5536">
      <w:pPr>
        <w:spacing w:line="360" w:lineRule="auto"/>
        <w:ind w:firstLine="480" w:firstLineChars="200"/>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电话/传真：                电子函件：</w:t>
      </w:r>
    </w:p>
    <w:p w14:paraId="5B0C9D13">
      <w:pPr>
        <w:tabs>
          <w:tab w:val="left" w:pos="939"/>
        </w:tabs>
        <w:spacing w:line="360" w:lineRule="auto"/>
        <w:ind w:left="141" w:leftChars="67" w:firstLine="360" w:firstLineChars="150"/>
        <w:contextualSpacing/>
        <w:rPr>
          <w:rFonts w:hint="eastAsia" w:ascii="仿宋" w:hAnsi="仿宋" w:eastAsia="仿宋" w:cs="仿宋"/>
          <w:sz w:val="24"/>
          <w:highlight w:val="none"/>
        </w:rPr>
      </w:pPr>
      <w:r>
        <w:rPr>
          <w:rFonts w:hint="eastAsia" w:ascii="仿宋" w:hAnsi="仿宋" w:eastAsia="仿宋" w:cs="仿宋"/>
          <w:sz w:val="24"/>
          <w:highlight w:val="none"/>
        </w:rPr>
        <w:t>开户银行：</w:t>
      </w:r>
      <w:r>
        <w:rPr>
          <w:rFonts w:hint="eastAsia" w:ascii="仿宋" w:hAnsi="仿宋" w:eastAsia="仿宋" w:cs="仿宋"/>
          <w:kern w:val="0"/>
          <w:sz w:val="24"/>
          <w:highlight w:val="none"/>
        </w:rPr>
        <w:t xml:space="preserve">                 </w:t>
      </w:r>
      <w:r>
        <w:rPr>
          <w:rFonts w:hint="eastAsia" w:ascii="仿宋" w:hAnsi="仿宋" w:eastAsia="仿宋" w:cs="仿宋"/>
          <w:sz w:val="24"/>
          <w:highlight w:val="none"/>
        </w:rPr>
        <w:t>帐号：</w:t>
      </w:r>
    </w:p>
    <w:p w14:paraId="279953BF">
      <w:pPr>
        <w:tabs>
          <w:tab w:val="left" w:pos="939"/>
        </w:tabs>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8.以上事项如有虚假或者隐瞒，我方愿意承担一切后果，并不再寻求任何旨在减轻或者免除法律责任的辩解。</w:t>
      </w:r>
    </w:p>
    <w:p w14:paraId="65A85A9D">
      <w:pPr>
        <w:tabs>
          <w:tab w:val="left" w:pos="939"/>
        </w:tabs>
        <w:spacing w:line="360" w:lineRule="auto"/>
        <w:ind w:left="141" w:leftChars="67" w:firstLine="360" w:firstLineChars="150"/>
        <w:contextualSpacing/>
        <w:rPr>
          <w:rFonts w:hint="eastAsia" w:ascii="仿宋" w:hAnsi="仿宋" w:eastAsia="仿宋" w:cs="仿宋"/>
          <w:sz w:val="24"/>
          <w:highlight w:val="none"/>
        </w:rPr>
      </w:pPr>
      <w:r>
        <w:rPr>
          <w:rFonts w:hint="eastAsia" w:ascii="仿宋" w:hAnsi="仿宋" w:eastAsia="仿宋" w:cs="仿宋"/>
          <w:sz w:val="24"/>
          <w:highlight w:val="none"/>
        </w:rPr>
        <w:t>特此承诺。</w:t>
      </w:r>
    </w:p>
    <w:p w14:paraId="54F30CF0">
      <w:pPr>
        <w:tabs>
          <w:tab w:val="left" w:pos="939"/>
        </w:tabs>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注：如为联合体竞标，盖章处须加盖联合体各方公章并由联合体各方法定代表人签署，否则其响应文件按无效响应处理。</w:t>
      </w:r>
    </w:p>
    <w:p w14:paraId="5C3D4488">
      <w:pPr>
        <w:tabs>
          <w:tab w:val="left" w:pos="939"/>
        </w:tabs>
        <w:spacing w:line="360" w:lineRule="auto"/>
        <w:ind w:firstLine="480" w:firstLineChars="200"/>
        <w:contextualSpacing/>
        <w:rPr>
          <w:rFonts w:hint="eastAsia" w:ascii="仿宋" w:hAnsi="仿宋" w:eastAsia="仿宋" w:cs="仿宋"/>
          <w:sz w:val="24"/>
          <w:highlight w:val="none"/>
        </w:rPr>
      </w:pPr>
    </w:p>
    <w:p w14:paraId="6DDFB215">
      <w:pPr>
        <w:autoSpaceDE w:val="0"/>
        <w:autoSpaceDN w:val="0"/>
        <w:spacing w:line="360" w:lineRule="auto"/>
        <w:ind w:left="4365" w:leftChars="1850" w:hanging="480" w:hanging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供应商名称（盖法人单位章或电子签章）：</w:t>
      </w:r>
    </w:p>
    <w:p w14:paraId="38589FE8">
      <w:pPr>
        <w:autoSpaceDE w:val="0"/>
        <w:autoSpaceDN w:val="0"/>
        <w:spacing w:line="360" w:lineRule="auto"/>
        <w:ind w:firstLine="6120" w:firstLineChars="2550"/>
        <w:rPr>
          <w:rFonts w:hint="eastAsia" w:ascii="仿宋" w:hAnsi="仿宋" w:eastAsia="仿宋" w:cs="仿宋"/>
          <w:kern w:val="0"/>
          <w:sz w:val="24"/>
          <w:highlight w:val="none"/>
          <w:lang w:val="zh-CN"/>
        </w:rPr>
        <w:sectPr>
          <w:pgSz w:w="11905" w:h="16838"/>
          <w:pgMar w:top="1304" w:right="1304" w:bottom="1304" w:left="1304" w:header="720" w:footer="720" w:gutter="0"/>
          <w:pgNumType w:fmt="decimal"/>
          <w:cols w:space="720" w:num="1"/>
          <w:docGrid w:type="lines" w:linePitch="339" w:charSpace="0"/>
        </w:sectPr>
      </w:pPr>
      <w:r>
        <w:rPr>
          <w:rFonts w:hint="eastAsia" w:ascii="仿宋" w:hAnsi="仿宋" w:eastAsia="仿宋" w:cs="仿宋"/>
          <w:kern w:val="0"/>
          <w:sz w:val="24"/>
          <w:highlight w:val="none"/>
          <w:lang w:val="zh-CN"/>
        </w:rPr>
        <w:t>日期：  年  月   日</w:t>
      </w:r>
    </w:p>
    <w:p w14:paraId="6383B644">
      <w:pPr>
        <w:overflowPunct w:val="0"/>
        <w:spacing w:line="520" w:lineRule="exact"/>
        <w:ind w:firstLine="602" w:firstLineChars="200"/>
        <w:rPr>
          <w:rFonts w:hint="eastAsia" w:ascii="仿宋" w:hAnsi="仿宋" w:eastAsia="仿宋" w:cs="仿宋"/>
          <w:b/>
          <w:bCs/>
          <w:sz w:val="32"/>
          <w:szCs w:val="32"/>
          <w:highlight w:val="none"/>
        </w:rPr>
      </w:pPr>
      <w:r>
        <w:rPr>
          <w:rFonts w:hint="eastAsia" w:ascii="仿宋" w:hAnsi="仿宋" w:eastAsia="仿宋" w:cs="仿宋"/>
          <w:b/>
          <w:kern w:val="0"/>
          <w:sz w:val="30"/>
          <w:szCs w:val="30"/>
          <w:highlight w:val="none"/>
        </w:rPr>
        <w:t>七、联合体协议书（如有）</w:t>
      </w:r>
    </w:p>
    <w:p w14:paraId="1DA15C3D">
      <w:pPr>
        <w:spacing w:line="600" w:lineRule="exact"/>
        <w:jc w:val="center"/>
        <w:rPr>
          <w:rFonts w:hint="eastAsia" w:ascii="仿宋" w:hAnsi="仿宋" w:eastAsia="仿宋" w:cs="仿宋"/>
          <w:sz w:val="44"/>
          <w:szCs w:val="44"/>
          <w:highlight w:val="none"/>
        </w:rPr>
      </w:pPr>
    </w:p>
    <w:p w14:paraId="372C0DF0">
      <w:pPr>
        <w:spacing w:line="60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联合体竞标协议书（格式）</w:t>
      </w:r>
    </w:p>
    <w:p w14:paraId="298F081D">
      <w:pPr>
        <w:autoSpaceDE w:val="0"/>
        <w:autoSpaceDN w:val="0"/>
        <w:adjustRightInd w:val="0"/>
        <w:spacing w:line="360" w:lineRule="auto"/>
        <w:jc w:val="left"/>
        <w:rPr>
          <w:rFonts w:hint="eastAsia" w:ascii="仿宋" w:hAnsi="仿宋" w:eastAsia="仿宋" w:cs="仿宋"/>
          <w:kern w:val="0"/>
          <w:szCs w:val="21"/>
          <w:highlight w:val="none"/>
          <w:u w:val="single"/>
        </w:rPr>
      </w:pPr>
    </w:p>
    <w:p w14:paraId="2D24C0F4">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u w:val="single"/>
        </w:rPr>
        <w:t>（所有成员单位名称）</w:t>
      </w:r>
      <w:r>
        <w:rPr>
          <w:rFonts w:hint="eastAsia" w:ascii="仿宋" w:hAnsi="仿宋" w:eastAsia="仿宋" w:cs="仿宋"/>
          <w:kern w:val="0"/>
          <w:sz w:val="24"/>
          <w:highlight w:val="none"/>
        </w:rPr>
        <w:t>自愿组成联合体，共同参加</w:t>
      </w:r>
      <w:r>
        <w:rPr>
          <w:rFonts w:hint="eastAsia" w:ascii="仿宋" w:hAnsi="仿宋" w:eastAsia="仿宋" w:cs="仿宋"/>
          <w:kern w:val="0"/>
          <w:sz w:val="24"/>
          <w:highlight w:val="none"/>
          <w:u w:val="single"/>
        </w:rPr>
        <w:t>（项目编号：      ）</w:t>
      </w:r>
      <w:r>
        <w:rPr>
          <w:rFonts w:hint="eastAsia" w:ascii="仿宋" w:hAnsi="仿宋" w:eastAsia="仿宋" w:cs="仿宋"/>
          <w:kern w:val="0"/>
          <w:sz w:val="24"/>
          <w:highlight w:val="none"/>
        </w:rPr>
        <w:t>竞争性磋商采购。现就联合体竞标事宜订立如下协议：</w:t>
      </w:r>
    </w:p>
    <w:p w14:paraId="289F3B6D">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w:t>
      </w:r>
      <w:r>
        <w:rPr>
          <w:rFonts w:hint="eastAsia" w:ascii="仿宋" w:hAnsi="仿宋" w:eastAsia="仿宋" w:cs="仿宋"/>
          <w:sz w:val="24"/>
          <w:highlight w:val="none"/>
        </w:rPr>
        <w:t>________________________</w:t>
      </w:r>
      <w:r>
        <w:rPr>
          <w:rFonts w:hint="eastAsia" w:ascii="仿宋" w:hAnsi="仿宋" w:eastAsia="仿宋" w:cs="仿宋"/>
          <w:kern w:val="0"/>
          <w:sz w:val="24"/>
          <w:highlight w:val="none"/>
        </w:rPr>
        <w:t>（某成员单位名称）为联合体名称牵头人。</w:t>
      </w:r>
    </w:p>
    <w:p w14:paraId="2E4B8899">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49862349">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45CB0EC9">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4、联合体各成员单位内部的职责分工如下：</w:t>
      </w:r>
      <w:r>
        <w:rPr>
          <w:rFonts w:hint="eastAsia" w:ascii="仿宋" w:hAnsi="仿宋" w:eastAsia="仿宋" w:cs="仿宋"/>
          <w:sz w:val="24"/>
          <w:highlight w:val="none"/>
          <w:u w:val="single"/>
        </w:rPr>
        <w:t>________________________________</w:t>
      </w:r>
      <w:r>
        <w:rPr>
          <w:rFonts w:hint="eastAsia" w:ascii="仿宋" w:hAnsi="仿宋" w:eastAsia="仿宋" w:cs="仿宋"/>
          <w:kern w:val="0"/>
          <w:sz w:val="24"/>
          <w:highlight w:val="none"/>
        </w:rPr>
        <w:t>。</w:t>
      </w:r>
    </w:p>
    <w:p w14:paraId="2BC8BA6F">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5、本联合体中，</w:t>
      </w:r>
      <w:r>
        <w:rPr>
          <w:rFonts w:hint="eastAsia" w:ascii="仿宋" w:hAnsi="仿宋" w:eastAsia="仿宋" w:cs="仿宋"/>
          <w:kern w:val="0"/>
          <w:sz w:val="24"/>
          <w:highlight w:val="none"/>
          <w:u w:val="single"/>
        </w:rPr>
        <w:t>________________________（某成员单位名称）为______</w:t>
      </w:r>
      <w:r>
        <w:rPr>
          <w:rFonts w:hint="eastAsia" w:ascii="仿宋" w:hAnsi="仿宋" w:eastAsia="仿宋" w:cs="仿宋"/>
          <w:kern w:val="0"/>
          <w:sz w:val="24"/>
          <w:highlight w:val="none"/>
        </w:rPr>
        <w:t>（请填写：中型、小型、微型）企业，其协议合同金额占联合体协议合同总金额的</w:t>
      </w:r>
      <w:r>
        <w:rPr>
          <w:rFonts w:hint="eastAsia" w:ascii="仿宋" w:hAnsi="仿宋" w:eastAsia="仿宋" w:cs="仿宋"/>
          <w:kern w:val="0"/>
          <w:sz w:val="24"/>
          <w:highlight w:val="none"/>
          <w:u w:val="single"/>
        </w:rPr>
        <w:t>______</w:t>
      </w:r>
      <w:r>
        <w:rPr>
          <w:rFonts w:hint="eastAsia" w:ascii="仿宋" w:hAnsi="仿宋" w:eastAsia="仿宋" w:cs="仿宋"/>
          <w:kern w:val="0"/>
          <w:sz w:val="24"/>
          <w:highlight w:val="none"/>
        </w:rPr>
        <w:t>%。【如联合体成员中有小型、微型企业的，请填写此条，否则无需填写；如联合体成员中有多个小型、微型企业的，请逐一列出。】</w:t>
      </w:r>
    </w:p>
    <w:p w14:paraId="549A97A1">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6、本协议书自签署之日起生效，合同履行完毕后自动失效。</w:t>
      </w:r>
    </w:p>
    <w:p w14:paraId="7A6348EC">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7、本协议书一式份，联合体成员和采购代理机构各执一份。</w:t>
      </w:r>
    </w:p>
    <w:p w14:paraId="0C444DE1">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注：本协议书由法定代表人签字的，应附法定代表人身份证明；本协议书由委托代理人签字的，应附法定代表人授权委托书。</w:t>
      </w:r>
    </w:p>
    <w:p w14:paraId="530E261C">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牵头人名称：（盖法人单位章或电子签章）</w:t>
      </w:r>
    </w:p>
    <w:p w14:paraId="28AB76C9">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法定代表人或其委托代理人：            （签字或盖章或者电子签名）</w:t>
      </w:r>
    </w:p>
    <w:p w14:paraId="36A1F74B">
      <w:pPr>
        <w:autoSpaceDE w:val="0"/>
        <w:autoSpaceDN w:val="0"/>
        <w:adjustRightInd w:val="0"/>
        <w:spacing w:line="360" w:lineRule="auto"/>
        <w:jc w:val="left"/>
        <w:rPr>
          <w:rFonts w:hint="eastAsia" w:ascii="仿宋" w:hAnsi="仿宋" w:eastAsia="仿宋" w:cs="仿宋"/>
          <w:kern w:val="0"/>
          <w:sz w:val="24"/>
          <w:highlight w:val="none"/>
        </w:rPr>
      </w:pPr>
    </w:p>
    <w:p w14:paraId="4F281F46">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成员一名称：（盖法人单位章或电子签章）</w:t>
      </w:r>
    </w:p>
    <w:p w14:paraId="060D7C3F">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法定代表人或其委托代理人：            （签字或盖章或者电子签名）</w:t>
      </w:r>
    </w:p>
    <w:p w14:paraId="08534E2D">
      <w:pPr>
        <w:autoSpaceDE w:val="0"/>
        <w:autoSpaceDN w:val="0"/>
        <w:adjustRightInd w:val="0"/>
        <w:spacing w:line="360" w:lineRule="auto"/>
        <w:jc w:val="left"/>
        <w:rPr>
          <w:rFonts w:hint="eastAsia" w:ascii="仿宋" w:hAnsi="仿宋" w:eastAsia="仿宋" w:cs="仿宋"/>
          <w:kern w:val="0"/>
          <w:szCs w:val="21"/>
          <w:highlight w:val="none"/>
        </w:rPr>
      </w:pPr>
    </w:p>
    <w:p w14:paraId="5B46A6C3">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成员二名称：（盖法人单位章或电子签章）</w:t>
      </w:r>
    </w:p>
    <w:p w14:paraId="33E39CEE">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法定代表人或其委托代理人：            （签字或盖章或者电子签名）</w:t>
      </w:r>
    </w:p>
    <w:p w14:paraId="4703BBAF">
      <w:pPr>
        <w:pStyle w:val="19"/>
        <w:rPr>
          <w:rFonts w:hint="eastAsia" w:ascii="仿宋" w:hAnsi="仿宋" w:eastAsia="仿宋" w:cs="仿宋"/>
          <w:highlight w:val="none"/>
        </w:rPr>
      </w:pPr>
    </w:p>
    <w:p w14:paraId="3BC46F7A">
      <w:pPr>
        <w:autoSpaceDE w:val="0"/>
        <w:autoSpaceDN w:val="0"/>
        <w:spacing w:line="360" w:lineRule="auto"/>
        <w:ind w:firstLine="6120" w:firstLineChars="255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日期：  年  月   日</w:t>
      </w:r>
    </w:p>
    <w:p w14:paraId="24014DB4">
      <w:pPr>
        <w:autoSpaceDE w:val="0"/>
        <w:autoSpaceDN w:val="0"/>
        <w:spacing w:line="360" w:lineRule="auto"/>
        <w:ind w:firstLine="6120" w:firstLineChars="2550"/>
        <w:rPr>
          <w:rFonts w:hint="eastAsia" w:ascii="仿宋" w:hAnsi="仿宋" w:eastAsia="仿宋" w:cs="仿宋"/>
          <w:kern w:val="0"/>
          <w:sz w:val="24"/>
          <w:highlight w:val="none"/>
          <w:lang w:val="zh-CN"/>
        </w:rPr>
      </w:pPr>
    </w:p>
    <w:p w14:paraId="5A1553FF">
      <w:pPr>
        <w:autoSpaceDE w:val="0"/>
        <w:autoSpaceDN w:val="0"/>
        <w:spacing w:line="360" w:lineRule="auto"/>
        <w:ind w:firstLine="6120" w:firstLineChars="2550"/>
        <w:rPr>
          <w:rFonts w:hint="eastAsia" w:ascii="仿宋" w:hAnsi="仿宋" w:eastAsia="仿宋" w:cs="仿宋"/>
          <w:kern w:val="0"/>
          <w:sz w:val="24"/>
          <w:highlight w:val="none"/>
          <w:lang w:val="zh-CN"/>
        </w:rPr>
        <w:sectPr>
          <w:pgSz w:w="11905" w:h="16838"/>
          <w:pgMar w:top="1304" w:right="1304" w:bottom="1304" w:left="1304" w:header="720" w:footer="720" w:gutter="0"/>
          <w:pgNumType w:fmt="decimal"/>
          <w:cols w:space="720" w:num="1"/>
          <w:docGrid w:type="lines" w:linePitch="339" w:charSpace="0"/>
        </w:sectPr>
      </w:pPr>
    </w:p>
    <w:p w14:paraId="766A8436">
      <w:pPr>
        <w:pStyle w:val="29"/>
        <w:ind w:firstLine="210"/>
        <w:rPr>
          <w:rFonts w:hint="eastAsia" w:ascii="仿宋" w:hAnsi="仿宋" w:eastAsia="仿宋" w:cs="仿宋"/>
          <w:highlight w:val="none"/>
        </w:rPr>
      </w:pPr>
    </w:p>
    <w:p w14:paraId="091C3F64">
      <w:pPr>
        <w:overflowPunct w:val="0"/>
        <w:spacing w:line="520" w:lineRule="exact"/>
        <w:ind w:firstLine="602" w:firstLineChars="200"/>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八、符合特定资格条件（如果项目要求）的有关证明材料（复印件）</w:t>
      </w:r>
    </w:p>
    <w:p w14:paraId="0B3412B7">
      <w:pPr>
        <w:spacing w:line="276" w:lineRule="auto"/>
        <w:ind w:firstLine="4320" w:firstLineChars="1800"/>
        <w:rPr>
          <w:rFonts w:hint="eastAsia" w:ascii="仿宋" w:hAnsi="仿宋" w:eastAsia="仿宋" w:cs="仿宋"/>
          <w:sz w:val="24"/>
          <w:highlight w:val="none"/>
        </w:rPr>
      </w:pPr>
    </w:p>
    <w:p w14:paraId="34A6817E">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224B4C3E">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5C69EFFA">
      <w:pPr>
        <w:autoSpaceDE w:val="0"/>
        <w:autoSpaceDN w:val="0"/>
        <w:spacing w:line="360" w:lineRule="auto"/>
        <w:ind w:firstLine="6480" w:firstLineChars="2700"/>
        <w:rPr>
          <w:rFonts w:hint="eastAsia" w:ascii="仿宋" w:hAnsi="仿宋" w:eastAsia="仿宋" w:cs="仿宋"/>
          <w:kern w:val="0"/>
          <w:sz w:val="24"/>
          <w:highlight w:val="none"/>
          <w:lang w:val="zh-CN"/>
        </w:rPr>
      </w:pPr>
    </w:p>
    <w:p w14:paraId="571BBEAD">
      <w:pPr>
        <w:overflowPunct w:val="0"/>
        <w:spacing w:line="520" w:lineRule="exact"/>
        <w:ind w:firstLine="602" w:firstLineChars="200"/>
        <w:rPr>
          <w:rFonts w:hint="eastAsia" w:ascii="仿宋" w:hAnsi="仿宋" w:eastAsia="仿宋" w:cs="仿宋"/>
          <w:b/>
          <w:kern w:val="0"/>
          <w:sz w:val="30"/>
          <w:szCs w:val="30"/>
          <w:highlight w:val="none"/>
        </w:rPr>
        <w:sectPr>
          <w:pgSz w:w="11905" w:h="16838"/>
          <w:pgMar w:top="1304" w:right="1304" w:bottom="1304" w:left="1304" w:header="720" w:footer="720" w:gutter="0"/>
          <w:pgNumType w:fmt="decimal"/>
          <w:cols w:space="720" w:num="1"/>
          <w:docGrid w:type="lines" w:linePitch="339" w:charSpace="0"/>
        </w:sectPr>
      </w:pPr>
      <w:r>
        <w:rPr>
          <w:rFonts w:hint="eastAsia" w:ascii="仿宋" w:hAnsi="仿宋" w:eastAsia="仿宋" w:cs="仿宋"/>
          <w:b/>
          <w:kern w:val="0"/>
          <w:sz w:val="30"/>
          <w:szCs w:val="30"/>
          <w:highlight w:val="none"/>
        </w:rPr>
        <w:t>九、除磋商文件规定必须提供以外，供应商认为需要提供的其他证明材料</w:t>
      </w:r>
    </w:p>
    <w:p w14:paraId="5489662E">
      <w:pPr>
        <w:keepNext/>
        <w:keepLines/>
        <w:spacing w:before="260" w:after="260" w:line="416" w:lineRule="auto"/>
        <w:jc w:val="center"/>
        <w:outlineLvl w:val="1"/>
        <w:rPr>
          <w:rFonts w:hint="eastAsia" w:ascii="仿宋" w:hAnsi="仿宋" w:eastAsia="仿宋" w:cs="仿宋"/>
          <w:b/>
          <w:bCs/>
          <w:sz w:val="32"/>
          <w:szCs w:val="32"/>
          <w:highlight w:val="none"/>
        </w:rPr>
      </w:pPr>
      <w:bookmarkStart w:id="117" w:name="_Toc127516337"/>
      <w:bookmarkStart w:id="118" w:name="_Toc4748"/>
      <w:bookmarkStart w:id="119" w:name="_Toc80205940"/>
      <w:r>
        <w:rPr>
          <w:rFonts w:hint="eastAsia" w:ascii="仿宋" w:hAnsi="仿宋" w:eastAsia="仿宋" w:cs="仿宋"/>
          <w:b/>
          <w:bCs/>
          <w:sz w:val="32"/>
          <w:szCs w:val="32"/>
          <w:highlight w:val="none"/>
        </w:rPr>
        <w:t>第三节 商务文件格式</w:t>
      </w:r>
      <w:bookmarkEnd w:id="117"/>
      <w:bookmarkEnd w:id="118"/>
      <w:bookmarkEnd w:id="119"/>
    </w:p>
    <w:p w14:paraId="3CD5D028">
      <w:pPr>
        <w:snapToGrid w:val="0"/>
        <w:spacing w:before="169" w:beforeLines="50" w:after="50"/>
        <w:rPr>
          <w:rFonts w:hint="eastAsia" w:ascii="仿宋" w:hAnsi="仿宋" w:eastAsia="仿宋" w:cs="仿宋"/>
          <w:sz w:val="30"/>
          <w:szCs w:val="20"/>
          <w:highlight w:val="none"/>
        </w:rPr>
      </w:pPr>
    </w:p>
    <w:p w14:paraId="11B47F94">
      <w:pPr>
        <w:snapToGrid w:val="0"/>
        <w:spacing w:before="169" w:beforeLines="50" w:after="50"/>
        <w:rPr>
          <w:rFonts w:hint="eastAsia" w:ascii="仿宋" w:hAnsi="仿宋" w:eastAsia="仿宋" w:cs="仿宋"/>
          <w:bCs/>
          <w:sz w:val="32"/>
          <w:szCs w:val="20"/>
          <w:highlight w:val="none"/>
        </w:rPr>
      </w:pPr>
      <w:r>
        <w:rPr>
          <w:rFonts w:hint="eastAsia" w:ascii="仿宋" w:hAnsi="仿宋" w:eastAsia="仿宋" w:cs="仿宋"/>
          <w:bCs/>
          <w:highlight w:val="none"/>
        </w:rPr>
        <w:t xml:space="preserve">             电子响应文件</w:t>
      </w:r>
    </w:p>
    <w:p w14:paraId="2E08655D">
      <w:pPr>
        <w:snapToGrid w:val="0"/>
        <w:spacing w:before="169" w:beforeLines="50" w:after="50"/>
        <w:rPr>
          <w:rFonts w:hint="eastAsia" w:ascii="仿宋" w:hAnsi="仿宋" w:eastAsia="仿宋" w:cs="仿宋"/>
          <w:sz w:val="24"/>
          <w:szCs w:val="20"/>
          <w:highlight w:val="none"/>
        </w:rPr>
      </w:pPr>
    </w:p>
    <w:p w14:paraId="4DA018E9">
      <w:pPr>
        <w:snapToGrid w:val="0"/>
        <w:spacing w:before="169" w:beforeLines="50" w:after="50"/>
        <w:jc w:val="center"/>
        <w:rPr>
          <w:rFonts w:hint="eastAsia" w:ascii="仿宋" w:hAnsi="仿宋" w:eastAsia="仿宋" w:cs="仿宋"/>
          <w:b/>
          <w:sz w:val="24"/>
          <w:szCs w:val="20"/>
          <w:highlight w:val="none"/>
        </w:rPr>
      </w:pPr>
      <w:r>
        <w:rPr>
          <w:rFonts w:hint="eastAsia" w:ascii="仿宋" w:hAnsi="仿宋" w:eastAsia="仿宋" w:cs="仿宋"/>
          <w:b/>
          <w:sz w:val="32"/>
          <w:szCs w:val="32"/>
          <w:highlight w:val="none"/>
        </w:rPr>
        <w:t>商务文件（封面）</w:t>
      </w:r>
    </w:p>
    <w:p w14:paraId="3A97F7C1">
      <w:pPr>
        <w:snapToGrid w:val="0"/>
        <w:spacing w:before="169" w:beforeLines="50" w:after="50"/>
        <w:rPr>
          <w:rFonts w:hint="eastAsia" w:ascii="仿宋" w:hAnsi="仿宋" w:eastAsia="仿宋" w:cs="仿宋"/>
          <w:bCs/>
          <w:sz w:val="24"/>
          <w:szCs w:val="20"/>
          <w:highlight w:val="none"/>
        </w:rPr>
      </w:pPr>
    </w:p>
    <w:p w14:paraId="06CA11EE">
      <w:pPr>
        <w:snapToGrid w:val="0"/>
        <w:spacing w:before="169" w:beforeLines="50" w:after="50"/>
        <w:ind w:firstLine="540" w:firstLineChars="225"/>
        <w:rPr>
          <w:rFonts w:hint="eastAsia" w:ascii="仿宋" w:hAnsi="仿宋" w:eastAsia="仿宋" w:cs="仿宋"/>
          <w:bCs/>
          <w:sz w:val="24"/>
          <w:highlight w:val="none"/>
        </w:rPr>
      </w:pPr>
      <w:r>
        <w:rPr>
          <w:rFonts w:hint="eastAsia" w:ascii="仿宋" w:hAnsi="仿宋" w:eastAsia="仿宋" w:cs="仿宋"/>
          <w:bCs/>
          <w:sz w:val="24"/>
          <w:highlight w:val="none"/>
        </w:rPr>
        <w:t>项目名称：</w:t>
      </w:r>
    </w:p>
    <w:p w14:paraId="0F70933B">
      <w:pPr>
        <w:snapToGrid w:val="0"/>
        <w:spacing w:before="169" w:beforeLines="50" w:after="50"/>
        <w:ind w:firstLine="540" w:firstLineChars="225"/>
        <w:rPr>
          <w:rFonts w:hint="eastAsia" w:ascii="仿宋" w:hAnsi="仿宋" w:eastAsia="仿宋" w:cs="仿宋"/>
          <w:bCs/>
          <w:sz w:val="24"/>
          <w:szCs w:val="20"/>
          <w:highlight w:val="none"/>
        </w:rPr>
      </w:pPr>
    </w:p>
    <w:p w14:paraId="4EDAA7FA">
      <w:pPr>
        <w:snapToGrid w:val="0"/>
        <w:spacing w:before="169" w:beforeLines="50" w:after="50"/>
        <w:ind w:firstLine="540" w:firstLineChars="225"/>
        <w:rPr>
          <w:rFonts w:hint="eastAsia" w:ascii="仿宋" w:hAnsi="仿宋" w:eastAsia="仿宋" w:cs="仿宋"/>
          <w:bCs/>
          <w:sz w:val="24"/>
          <w:highlight w:val="none"/>
        </w:rPr>
      </w:pPr>
      <w:r>
        <w:rPr>
          <w:rFonts w:hint="eastAsia" w:ascii="仿宋" w:hAnsi="仿宋" w:eastAsia="仿宋" w:cs="仿宋"/>
          <w:bCs/>
          <w:sz w:val="24"/>
          <w:highlight w:val="none"/>
        </w:rPr>
        <w:t>项目编号：</w:t>
      </w:r>
    </w:p>
    <w:p w14:paraId="6F06B845">
      <w:pPr>
        <w:snapToGrid w:val="0"/>
        <w:spacing w:before="169" w:beforeLines="50" w:after="50"/>
        <w:ind w:firstLine="540" w:firstLineChars="225"/>
        <w:rPr>
          <w:rFonts w:hint="eastAsia" w:ascii="仿宋" w:hAnsi="仿宋" w:eastAsia="仿宋" w:cs="仿宋"/>
          <w:bCs/>
          <w:sz w:val="24"/>
          <w:szCs w:val="20"/>
          <w:highlight w:val="none"/>
        </w:rPr>
      </w:pPr>
    </w:p>
    <w:p w14:paraId="1AE5D5AB">
      <w:pPr>
        <w:snapToGrid w:val="0"/>
        <w:spacing w:before="169" w:beforeLines="50" w:after="50"/>
        <w:ind w:firstLine="540" w:firstLineChars="225"/>
        <w:rPr>
          <w:rFonts w:hint="eastAsia" w:ascii="仿宋" w:hAnsi="仿宋" w:eastAsia="仿宋" w:cs="仿宋"/>
          <w:bCs/>
          <w:sz w:val="24"/>
          <w:highlight w:val="none"/>
        </w:rPr>
      </w:pPr>
      <w:r>
        <w:rPr>
          <w:rFonts w:hint="eastAsia" w:ascii="仿宋" w:hAnsi="仿宋" w:eastAsia="仿宋" w:cs="仿宋"/>
          <w:bCs/>
          <w:sz w:val="24"/>
          <w:highlight w:val="none"/>
        </w:rPr>
        <w:t>所投分标：</w:t>
      </w:r>
    </w:p>
    <w:p w14:paraId="37865C65">
      <w:pPr>
        <w:snapToGrid w:val="0"/>
        <w:spacing w:before="169" w:beforeLines="50" w:after="50"/>
        <w:ind w:firstLine="540" w:firstLineChars="225"/>
        <w:rPr>
          <w:rFonts w:hint="eastAsia" w:ascii="仿宋" w:hAnsi="仿宋" w:eastAsia="仿宋" w:cs="仿宋"/>
          <w:bCs/>
          <w:sz w:val="24"/>
          <w:szCs w:val="20"/>
          <w:highlight w:val="none"/>
        </w:rPr>
      </w:pPr>
    </w:p>
    <w:p w14:paraId="0F833E71">
      <w:pPr>
        <w:snapToGrid w:val="0"/>
        <w:spacing w:before="50" w:after="50"/>
        <w:ind w:firstLine="540" w:firstLineChars="225"/>
        <w:rPr>
          <w:rFonts w:hint="eastAsia" w:ascii="仿宋" w:hAnsi="仿宋" w:eastAsia="仿宋" w:cs="仿宋"/>
          <w:bCs/>
          <w:sz w:val="24"/>
          <w:highlight w:val="none"/>
        </w:rPr>
      </w:pPr>
      <w:r>
        <w:rPr>
          <w:rFonts w:hint="eastAsia" w:ascii="仿宋" w:hAnsi="仿宋" w:eastAsia="仿宋" w:cs="仿宋"/>
          <w:bCs/>
          <w:sz w:val="24"/>
          <w:highlight w:val="none"/>
        </w:rPr>
        <w:t>竞标供应商名称：</w:t>
      </w:r>
    </w:p>
    <w:p w14:paraId="7D332427">
      <w:pPr>
        <w:snapToGrid w:val="0"/>
        <w:spacing w:before="50" w:after="50"/>
        <w:ind w:firstLine="540" w:firstLineChars="225"/>
        <w:rPr>
          <w:rFonts w:hint="eastAsia" w:ascii="仿宋" w:hAnsi="仿宋" w:eastAsia="仿宋" w:cs="仿宋"/>
          <w:bCs/>
          <w:sz w:val="24"/>
          <w:highlight w:val="none"/>
        </w:rPr>
      </w:pPr>
    </w:p>
    <w:p w14:paraId="579CF946">
      <w:pPr>
        <w:snapToGrid w:val="0"/>
        <w:spacing w:before="50" w:after="50"/>
        <w:ind w:firstLine="960" w:firstLineChars="400"/>
        <w:rPr>
          <w:rFonts w:hint="eastAsia" w:ascii="仿宋" w:hAnsi="仿宋" w:eastAsia="仿宋" w:cs="仿宋"/>
          <w:bCs/>
          <w:sz w:val="24"/>
          <w:highlight w:val="none"/>
        </w:rPr>
      </w:pPr>
    </w:p>
    <w:p w14:paraId="7F903C99">
      <w:pPr>
        <w:snapToGrid w:val="0"/>
        <w:spacing w:before="169" w:beforeLines="50" w:after="50"/>
        <w:ind w:firstLine="645"/>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p w14:paraId="60E54F33">
      <w:pPr>
        <w:snapToGrid w:val="0"/>
        <w:spacing w:before="169" w:beforeLines="50" w:after="50"/>
        <w:rPr>
          <w:rFonts w:hint="eastAsia" w:ascii="仿宋" w:hAnsi="仿宋" w:eastAsia="仿宋" w:cs="仿宋"/>
          <w:sz w:val="24"/>
          <w:szCs w:val="20"/>
          <w:highlight w:val="none"/>
        </w:rPr>
      </w:pPr>
    </w:p>
    <w:p w14:paraId="6ABD2821">
      <w:pPr>
        <w:spacing w:line="360" w:lineRule="auto"/>
        <w:ind w:right="420"/>
        <w:rPr>
          <w:rFonts w:hint="eastAsia" w:ascii="仿宋" w:hAnsi="仿宋" w:eastAsia="仿宋" w:cs="仿宋"/>
          <w:sz w:val="24"/>
          <w:szCs w:val="20"/>
          <w:highlight w:val="none"/>
        </w:rPr>
      </w:pPr>
    </w:p>
    <w:p w14:paraId="5C180950">
      <w:pPr>
        <w:spacing w:line="360" w:lineRule="auto"/>
        <w:ind w:right="420"/>
        <w:rPr>
          <w:rFonts w:hint="eastAsia" w:ascii="仿宋" w:hAnsi="仿宋" w:eastAsia="仿宋" w:cs="仿宋"/>
          <w:sz w:val="24"/>
          <w:szCs w:val="20"/>
          <w:highlight w:val="none"/>
        </w:rPr>
      </w:pPr>
    </w:p>
    <w:p w14:paraId="4E6B228F">
      <w:pPr>
        <w:spacing w:line="360" w:lineRule="auto"/>
        <w:ind w:right="420"/>
        <w:rPr>
          <w:rFonts w:hint="eastAsia" w:ascii="仿宋" w:hAnsi="仿宋" w:eastAsia="仿宋" w:cs="仿宋"/>
          <w:sz w:val="24"/>
          <w:szCs w:val="20"/>
          <w:highlight w:val="none"/>
        </w:rPr>
      </w:pPr>
    </w:p>
    <w:p w14:paraId="0AD9DC14">
      <w:pPr>
        <w:spacing w:line="360" w:lineRule="auto"/>
        <w:ind w:right="420"/>
        <w:rPr>
          <w:rFonts w:hint="eastAsia" w:ascii="仿宋" w:hAnsi="仿宋" w:eastAsia="仿宋" w:cs="仿宋"/>
          <w:sz w:val="24"/>
          <w:szCs w:val="20"/>
          <w:highlight w:val="none"/>
        </w:rPr>
      </w:pPr>
    </w:p>
    <w:p w14:paraId="7D0F3DA7">
      <w:pPr>
        <w:spacing w:line="360" w:lineRule="auto"/>
        <w:ind w:right="420"/>
        <w:rPr>
          <w:rFonts w:hint="eastAsia" w:ascii="仿宋" w:hAnsi="仿宋" w:eastAsia="仿宋" w:cs="仿宋"/>
          <w:sz w:val="24"/>
          <w:szCs w:val="20"/>
          <w:highlight w:val="none"/>
        </w:rPr>
      </w:pPr>
    </w:p>
    <w:p w14:paraId="5B89C187">
      <w:pPr>
        <w:spacing w:line="360" w:lineRule="auto"/>
        <w:ind w:right="420"/>
        <w:rPr>
          <w:rFonts w:hint="eastAsia" w:ascii="仿宋" w:hAnsi="仿宋" w:eastAsia="仿宋" w:cs="仿宋"/>
          <w:sz w:val="24"/>
          <w:szCs w:val="20"/>
          <w:highlight w:val="none"/>
        </w:rPr>
      </w:pPr>
    </w:p>
    <w:p w14:paraId="3D182E74">
      <w:pPr>
        <w:spacing w:line="360" w:lineRule="auto"/>
        <w:ind w:right="420"/>
        <w:rPr>
          <w:rFonts w:hint="eastAsia" w:ascii="仿宋" w:hAnsi="仿宋" w:eastAsia="仿宋" w:cs="仿宋"/>
          <w:sz w:val="24"/>
          <w:szCs w:val="20"/>
          <w:highlight w:val="none"/>
        </w:rPr>
      </w:pPr>
    </w:p>
    <w:p w14:paraId="0B37C8F7">
      <w:pPr>
        <w:spacing w:line="360" w:lineRule="auto"/>
        <w:ind w:right="420"/>
        <w:rPr>
          <w:rFonts w:hint="eastAsia" w:ascii="仿宋" w:hAnsi="仿宋" w:eastAsia="仿宋" w:cs="仿宋"/>
          <w:sz w:val="24"/>
          <w:szCs w:val="20"/>
          <w:highlight w:val="none"/>
        </w:rPr>
      </w:pPr>
    </w:p>
    <w:p w14:paraId="7D8BC344">
      <w:pPr>
        <w:spacing w:line="360" w:lineRule="auto"/>
        <w:ind w:right="420"/>
        <w:rPr>
          <w:rFonts w:hint="eastAsia" w:ascii="仿宋" w:hAnsi="仿宋" w:eastAsia="仿宋" w:cs="仿宋"/>
          <w:sz w:val="24"/>
          <w:szCs w:val="20"/>
          <w:highlight w:val="none"/>
        </w:rPr>
      </w:pPr>
    </w:p>
    <w:p w14:paraId="63074C72">
      <w:pPr>
        <w:spacing w:line="360" w:lineRule="auto"/>
        <w:ind w:right="420"/>
        <w:rPr>
          <w:rFonts w:hint="eastAsia" w:ascii="仿宋" w:hAnsi="仿宋" w:eastAsia="仿宋" w:cs="仿宋"/>
          <w:b/>
          <w:kern w:val="0"/>
          <w:sz w:val="36"/>
          <w:szCs w:val="36"/>
          <w:highlight w:val="none"/>
        </w:rPr>
      </w:pPr>
    </w:p>
    <w:p w14:paraId="25776CE3">
      <w:pPr>
        <w:spacing w:line="360" w:lineRule="auto"/>
        <w:ind w:right="420"/>
        <w:rPr>
          <w:rFonts w:hint="eastAsia" w:ascii="仿宋" w:hAnsi="仿宋" w:eastAsia="仿宋" w:cs="仿宋"/>
          <w:b/>
          <w:kern w:val="0"/>
          <w:sz w:val="36"/>
          <w:szCs w:val="36"/>
          <w:highlight w:val="none"/>
        </w:rPr>
      </w:pPr>
    </w:p>
    <w:p w14:paraId="533C7CDC">
      <w:pPr>
        <w:rPr>
          <w:rFonts w:hint="eastAsia" w:ascii="仿宋" w:hAnsi="仿宋" w:eastAsia="仿宋" w:cs="仿宋"/>
          <w:b/>
          <w:kern w:val="0"/>
          <w:sz w:val="24"/>
          <w:highlight w:val="none"/>
        </w:rPr>
      </w:pPr>
    </w:p>
    <w:p w14:paraId="40110E12">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商务文件目录</w:t>
      </w:r>
    </w:p>
    <w:p w14:paraId="4DD13313">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一、无串标行为承诺函………………………………………………………（页码）</w:t>
      </w:r>
    </w:p>
    <w:p w14:paraId="65DDCF2F">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二、法定代表人身份证明及法定代表人有效身份证正反面复印件………（页码）</w:t>
      </w:r>
    </w:p>
    <w:p w14:paraId="5537C0D1">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三、法定代表人授权委托书（如有委托时）………………………………（页码）</w:t>
      </w:r>
    </w:p>
    <w:p w14:paraId="78227088">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四、</w:t>
      </w:r>
      <w:r>
        <w:rPr>
          <w:rFonts w:hint="eastAsia" w:ascii="仿宋" w:hAnsi="仿宋" w:eastAsia="仿宋" w:cs="仿宋"/>
          <w:sz w:val="24"/>
          <w:highlight w:val="none"/>
          <w:lang w:val="zh-CN"/>
        </w:rPr>
        <w:t>商务条款偏离表………………………………</w:t>
      </w:r>
      <w:r>
        <w:rPr>
          <w:rFonts w:hint="eastAsia" w:ascii="仿宋" w:hAnsi="仿宋" w:eastAsia="仿宋" w:cs="仿宋"/>
          <w:sz w:val="24"/>
          <w:highlight w:val="none"/>
        </w:rPr>
        <w:t>…………………………（页码）</w:t>
      </w:r>
    </w:p>
    <w:p w14:paraId="4BA2165D">
      <w:pPr>
        <w:adjustRightInd w:val="0"/>
        <w:spacing w:line="360" w:lineRule="auto"/>
        <w:ind w:left="2" w:firstLine="480" w:firstLineChars="200"/>
        <w:rPr>
          <w:rFonts w:hint="eastAsia" w:ascii="仿宋" w:hAnsi="仿宋" w:eastAsia="仿宋" w:cs="仿宋"/>
          <w:sz w:val="24"/>
          <w:highlight w:val="none"/>
        </w:rPr>
      </w:pPr>
      <w:bookmarkStart w:id="120" w:name="OLE_LINK6"/>
      <w:bookmarkStart w:id="121" w:name="OLE_LINK7"/>
      <w:bookmarkStart w:id="122" w:name="OLE_LINK5"/>
      <w:r>
        <w:rPr>
          <w:rFonts w:hint="eastAsia" w:ascii="仿宋" w:hAnsi="仿宋" w:eastAsia="仿宋" w:cs="仿宋"/>
          <w:sz w:val="24"/>
          <w:highlight w:val="none"/>
        </w:rPr>
        <w:t>五、竞标供应商情况介绍</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p>
    <w:p w14:paraId="5FBD543C">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六、竞标供应商类似业绩的证明文件（如有要求）</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bookmarkEnd w:id="120"/>
      <w:bookmarkEnd w:id="121"/>
    </w:p>
    <w:p w14:paraId="2360DDC3">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七、项目实施人员一览表……………………………</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p>
    <w:p w14:paraId="1A512F94">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八、供应商认为需要提供的其他有关资料</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p>
    <w:bookmarkEnd w:id="122"/>
    <w:p w14:paraId="357C7D89">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注：以上目录是基本格式要求，各竞标供应商可根据自身情况进一步向下增加内容或细化。</w:t>
      </w:r>
    </w:p>
    <w:p w14:paraId="3B26E832">
      <w:pPr>
        <w:snapToGrid w:val="0"/>
        <w:spacing w:line="360" w:lineRule="auto"/>
        <w:ind w:firstLine="420" w:firstLineChars="200"/>
        <w:jc w:val="left"/>
        <w:rPr>
          <w:rFonts w:hint="eastAsia" w:ascii="仿宋" w:hAnsi="仿宋" w:eastAsia="仿宋" w:cs="仿宋"/>
          <w:highlight w:val="none"/>
        </w:rPr>
        <w:sectPr>
          <w:pgSz w:w="11905" w:h="16838"/>
          <w:pgMar w:top="1304" w:right="1304" w:bottom="1304" w:left="1304" w:header="720" w:footer="720" w:gutter="0"/>
          <w:pgNumType w:fmt="decimal"/>
          <w:cols w:space="720" w:num="1"/>
          <w:docGrid w:type="lines" w:linePitch="339" w:charSpace="0"/>
        </w:sectPr>
      </w:pPr>
    </w:p>
    <w:p w14:paraId="0266455C">
      <w:pPr>
        <w:snapToGrid w:val="0"/>
        <w:spacing w:before="169" w:beforeLines="50" w:after="50"/>
        <w:ind w:left="420"/>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一、无串标行为承诺函</w:t>
      </w:r>
    </w:p>
    <w:p w14:paraId="5B3108F4">
      <w:pPr>
        <w:snapToGrid w:val="0"/>
        <w:spacing w:before="169" w:beforeLines="50" w:after="50"/>
        <w:ind w:left="42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竞标供应商参加本项目无围标串标行为的承诺函</w:t>
      </w:r>
    </w:p>
    <w:p w14:paraId="2A2326A7">
      <w:pPr>
        <w:snapToGrid w:val="0"/>
        <w:spacing w:before="169" w:beforeLines="50" w:after="50"/>
        <w:rPr>
          <w:rFonts w:hint="eastAsia" w:ascii="仿宋" w:hAnsi="仿宋" w:eastAsia="仿宋" w:cs="仿宋"/>
          <w:b/>
          <w:szCs w:val="21"/>
          <w:highlight w:val="none"/>
        </w:rPr>
      </w:pPr>
    </w:p>
    <w:p w14:paraId="6B416628">
      <w:pPr>
        <w:snapToGrid w:val="0"/>
        <w:spacing w:before="169" w:beforeLines="50" w:after="50" w:line="360" w:lineRule="auto"/>
        <w:jc w:val="left"/>
        <w:rPr>
          <w:rFonts w:hint="eastAsia" w:ascii="仿宋" w:hAnsi="仿宋" w:eastAsia="仿宋" w:cs="仿宋"/>
          <w:b/>
          <w:szCs w:val="21"/>
          <w:highlight w:val="none"/>
        </w:rPr>
      </w:pPr>
      <w:r>
        <w:rPr>
          <w:rFonts w:hint="eastAsia" w:ascii="仿宋" w:hAnsi="仿宋" w:eastAsia="仿宋" w:cs="仿宋"/>
          <w:b/>
          <w:szCs w:val="21"/>
          <w:highlight w:val="none"/>
        </w:rPr>
        <w:t>一、我方承诺无下列相互串通竞标的情形：</w:t>
      </w:r>
    </w:p>
    <w:p w14:paraId="4BD2B467">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1.不同竞标供应商的响应文件由同一单位或者个人编制；或者不同竞标供应商报名的IP地址一致的；</w:t>
      </w:r>
    </w:p>
    <w:p w14:paraId="79E27FB9">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2.不同竞标供应商委托同一单位或者个人办理竞标事宜；</w:t>
      </w:r>
    </w:p>
    <w:p w14:paraId="375FFEB8">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3.不同的竞标供应商的响应文件载明的项目管理员为同一个人；</w:t>
      </w:r>
    </w:p>
    <w:p w14:paraId="5ED4BB05">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4.不同竞标供应商的响应文件异常一致或者竞标报价呈规律性差异；</w:t>
      </w:r>
    </w:p>
    <w:p w14:paraId="55F08C4F">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5.不同竞标供应商的响应文件相互混装；</w:t>
      </w:r>
    </w:p>
    <w:p w14:paraId="7C48303A">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6.不同竞标供应商的竞标保证金从同一单位或者个人账户转出。</w:t>
      </w:r>
    </w:p>
    <w:p w14:paraId="7205E03E">
      <w:pPr>
        <w:snapToGrid w:val="0"/>
        <w:spacing w:before="169" w:beforeLines="50" w:after="50" w:line="360" w:lineRule="auto"/>
        <w:jc w:val="left"/>
        <w:rPr>
          <w:rFonts w:hint="eastAsia" w:ascii="仿宋" w:hAnsi="仿宋" w:eastAsia="仿宋" w:cs="仿宋"/>
          <w:szCs w:val="21"/>
          <w:highlight w:val="none"/>
        </w:rPr>
      </w:pPr>
      <w:r>
        <w:rPr>
          <w:rFonts w:hint="eastAsia" w:ascii="仿宋" w:hAnsi="仿宋" w:eastAsia="仿宋" w:cs="仿宋"/>
          <w:b/>
          <w:szCs w:val="21"/>
          <w:highlight w:val="none"/>
        </w:rPr>
        <w:t>二、我方承诺无下列恶意串通的情形：</w:t>
      </w:r>
    </w:p>
    <w:p w14:paraId="7743CA20">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1.竞标供应商直接或者间接从采购人或者采购代理机构处获得其他竞标供应商的相关信息并修改其响应文件或者响应文件；</w:t>
      </w:r>
    </w:p>
    <w:p w14:paraId="5AD8BE2D">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2.竞标供应商按照采购人或者采购代理机构的授意撤换、修改响应文件或者响应文件；</w:t>
      </w:r>
    </w:p>
    <w:p w14:paraId="599E2A25">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3.竞标供应商之间协商报价、技术方案等响应文件或者响应文件的实质性内容；</w:t>
      </w:r>
    </w:p>
    <w:p w14:paraId="152D4E15">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4.属于同一集团、协会、商会等组织成员的竞标供应商按照该组织要求协同参加政府采购活动；</w:t>
      </w:r>
    </w:p>
    <w:p w14:paraId="4C74CD65">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5.竞标供应商之间事先约定一致抬高或者压低竞标报价，或者在招标项目中事先约定轮流以高价位或者低价位中标，或者事先约定由某一特定竞标供应商中标，然后再参加竞标；</w:t>
      </w:r>
    </w:p>
    <w:p w14:paraId="1BE95AC5">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6.竞标供应商之间商定部分竞标供应商放弃参加政府采购活动或者放弃中标；</w:t>
      </w:r>
    </w:p>
    <w:p w14:paraId="7ED8375E">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7.竞标供应商与采购人或者采购代理机构之间、竞标供应商相互之间，为谋求特定竞标供应商中标或者排斥其他竞标供应商的其他串通行为。</w:t>
      </w:r>
    </w:p>
    <w:p w14:paraId="14ECDB9C">
      <w:pPr>
        <w:snapToGrid w:val="0"/>
        <w:spacing w:before="169" w:beforeLines="50" w:after="50" w:line="360" w:lineRule="auto"/>
        <w:ind w:firstLine="413" w:firstLineChars="196"/>
        <w:jc w:val="left"/>
        <w:rPr>
          <w:rFonts w:hint="eastAsia" w:ascii="仿宋" w:hAnsi="仿宋" w:eastAsia="仿宋" w:cs="仿宋"/>
          <w:b/>
          <w:szCs w:val="21"/>
          <w:highlight w:val="none"/>
        </w:rPr>
      </w:pPr>
      <w:r>
        <w:rPr>
          <w:rFonts w:hint="eastAsia" w:ascii="仿宋" w:hAnsi="仿宋" w:eastAsia="仿宋" w:cs="仿宋"/>
          <w:b/>
          <w:szCs w:val="21"/>
          <w:highlight w:val="none"/>
        </w:rPr>
        <w:t>以上情形一经核查属实，我方愿意承担一切后果，并不再寻求任何旨在减轻或者免除法律责任的辩解。</w:t>
      </w:r>
    </w:p>
    <w:p w14:paraId="66A11865">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1959DB3E">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193C5CFC">
      <w:pPr>
        <w:snapToGrid w:val="0"/>
        <w:spacing w:line="360" w:lineRule="auto"/>
        <w:ind w:firstLine="5160" w:firstLineChars="2150"/>
        <w:rPr>
          <w:rFonts w:hint="eastAsia" w:ascii="仿宋" w:hAnsi="仿宋" w:eastAsia="仿宋" w:cs="仿宋"/>
          <w:kern w:val="0"/>
          <w:sz w:val="24"/>
          <w:highlight w:val="none"/>
          <w:lang w:val="zh-CN"/>
        </w:rPr>
      </w:pPr>
    </w:p>
    <w:p w14:paraId="1D14B7B9">
      <w:pPr>
        <w:snapToGrid w:val="0"/>
        <w:spacing w:before="295" w:after="295" w:line="360" w:lineRule="auto"/>
        <w:jc w:val="center"/>
        <w:rPr>
          <w:rFonts w:hint="eastAsia" w:ascii="仿宋" w:hAnsi="仿宋" w:eastAsia="仿宋" w:cs="仿宋"/>
          <w:b/>
          <w:sz w:val="24"/>
          <w:szCs w:val="20"/>
          <w:highlight w:val="none"/>
        </w:rPr>
      </w:pPr>
      <w:r>
        <w:rPr>
          <w:rFonts w:hint="eastAsia" w:ascii="仿宋" w:hAnsi="仿宋" w:eastAsia="仿宋" w:cs="仿宋"/>
          <w:b/>
          <w:sz w:val="24"/>
          <w:szCs w:val="20"/>
          <w:highlight w:val="none"/>
        </w:rPr>
        <w:br w:type="page"/>
      </w:r>
      <w:r>
        <w:rPr>
          <w:rFonts w:hint="eastAsia" w:ascii="仿宋" w:hAnsi="仿宋" w:eastAsia="仿宋" w:cs="仿宋"/>
          <w:b/>
          <w:bCs/>
          <w:sz w:val="30"/>
          <w:szCs w:val="30"/>
          <w:highlight w:val="none"/>
        </w:rPr>
        <w:t>二、法定代表人身份证明</w:t>
      </w:r>
    </w:p>
    <w:p w14:paraId="6F86F91A">
      <w:pPr>
        <w:spacing w:before="339" w:beforeLines="100" w:after="169" w:afterLines="50"/>
        <w:ind w:left="540"/>
        <w:jc w:val="center"/>
        <w:rPr>
          <w:rFonts w:hint="eastAsia" w:ascii="仿宋" w:hAnsi="仿宋" w:eastAsia="仿宋" w:cs="仿宋"/>
          <w:sz w:val="32"/>
          <w:szCs w:val="32"/>
          <w:highlight w:val="none"/>
        </w:rPr>
      </w:pPr>
      <w:r>
        <w:rPr>
          <w:rFonts w:hint="eastAsia" w:ascii="仿宋" w:hAnsi="仿宋" w:eastAsia="仿宋" w:cs="仿宋"/>
          <w:b/>
          <w:sz w:val="32"/>
          <w:szCs w:val="32"/>
          <w:highlight w:val="none"/>
        </w:rPr>
        <w:t>法定代表人身份证明</w:t>
      </w:r>
    </w:p>
    <w:p w14:paraId="4C9E6708">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竞 标 人：</w:t>
      </w:r>
    </w:p>
    <w:p w14:paraId="7576C494">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地    址：</w:t>
      </w:r>
    </w:p>
    <w:p w14:paraId="055F02D6">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姓    名：               性      别：</w:t>
      </w:r>
    </w:p>
    <w:p w14:paraId="081DD7A2">
      <w:pPr>
        <w:spacing w:line="500" w:lineRule="exact"/>
        <w:ind w:left="540"/>
        <w:rPr>
          <w:rFonts w:hint="eastAsia" w:ascii="仿宋" w:hAnsi="仿宋" w:eastAsia="仿宋" w:cs="仿宋"/>
          <w:sz w:val="24"/>
          <w:highlight w:val="none"/>
          <w:u w:val="single"/>
        </w:rPr>
      </w:pPr>
      <w:r>
        <w:rPr>
          <w:rFonts w:hint="eastAsia" w:ascii="仿宋" w:hAnsi="仿宋" w:eastAsia="仿宋" w:cs="仿宋"/>
          <w:sz w:val="24"/>
          <w:highlight w:val="none"/>
        </w:rPr>
        <w:t>年    龄：               职      务：</w:t>
      </w:r>
    </w:p>
    <w:p w14:paraId="1B1DC262">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身份证号码：</w:t>
      </w:r>
    </w:p>
    <w:p w14:paraId="0F45D146">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（竞标供应商名称）              </w:t>
      </w:r>
      <w:r>
        <w:rPr>
          <w:rFonts w:hint="eastAsia" w:ascii="仿宋" w:hAnsi="仿宋" w:eastAsia="仿宋" w:cs="仿宋"/>
          <w:sz w:val="24"/>
          <w:highlight w:val="none"/>
        </w:rPr>
        <w:t>的法定代表人。</w:t>
      </w:r>
    </w:p>
    <w:p w14:paraId="2866CD36">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特此证明。</w:t>
      </w:r>
    </w:p>
    <w:p w14:paraId="45188D02">
      <w:pPr>
        <w:spacing w:line="500" w:lineRule="exact"/>
        <w:ind w:left="540"/>
        <w:rPr>
          <w:rFonts w:hint="eastAsia" w:ascii="仿宋" w:hAnsi="仿宋" w:eastAsia="仿宋" w:cs="仿宋"/>
          <w:sz w:val="24"/>
          <w:highlight w:val="none"/>
        </w:rPr>
      </w:pPr>
    </w:p>
    <w:p w14:paraId="72794939">
      <w:pPr>
        <w:spacing w:line="500" w:lineRule="exact"/>
        <w:ind w:left="540"/>
        <w:rPr>
          <w:rFonts w:hint="eastAsia" w:ascii="仿宋" w:hAnsi="仿宋" w:eastAsia="仿宋" w:cs="仿宋"/>
          <w:sz w:val="24"/>
          <w:highlight w:val="none"/>
        </w:rPr>
      </w:pPr>
    </w:p>
    <w:p w14:paraId="5C529B9D">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附件：法定代表人有效身份证正反面复印件</w:t>
      </w:r>
    </w:p>
    <w:p w14:paraId="05DA5CF5">
      <w:pPr>
        <w:spacing w:line="500" w:lineRule="exact"/>
        <w:ind w:left="540"/>
        <w:rPr>
          <w:rFonts w:hint="eastAsia" w:ascii="仿宋" w:hAnsi="仿宋" w:eastAsia="仿宋" w:cs="仿宋"/>
          <w:sz w:val="24"/>
          <w:highlight w:val="none"/>
        </w:rPr>
      </w:pPr>
    </w:p>
    <w:p w14:paraId="5553DBA8">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69B9EF26">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74E3D7FE">
      <w:pPr>
        <w:spacing w:line="500" w:lineRule="exact"/>
        <w:ind w:left="540"/>
        <w:rPr>
          <w:rFonts w:hint="eastAsia" w:ascii="仿宋" w:hAnsi="仿宋" w:eastAsia="仿宋" w:cs="仿宋"/>
          <w:sz w:val="24"/>
          <w:highlight w:val="none"/>
          <w:lang w:val="zh-CN"/>
        </w:rPr>
      </w:pPr>
    </w:p>
    <w:p w14:paraId="44DF2FFA">
      <w:pPr>
        <w:snapToGrid w:val="0"/>
        <w:spacing w:before="169" w:beforeLines="50" w:after="50"/>
        <w:jc w:val="center"/>
        <w:rPr>
          <w:rFonts w:hint="eastAsia" w:ascii="仿宋" w:hAnsi="仿宋" w:eastAsia="仿宋" w:cs="仿宋"/>
          <w:b/>
          <w:sz w:val="24"/>
          <w:highlight w:val="none"/>
        </w:rPr>
      </w:pPr>
    </w:p>
    <w:p w14:paraId="6D339DA9">
      <w:pPr>
        <w:snapToGrid w:val="0"/>
        <w:spacing w:before="169" w:beforeLines="50" w:after="50"/>
        <w:ind w:firstLine="600" w:firstLineChars="250"/>
        <w:jc w:val="left"/>
        <w:rPr>
          <w:rFonts w:hint="eastAsia" w:ascii="仿宋" w:hAnsi="仿宋" w:eastAsia="仿宋" w:cs="仿宋"/>
          <w:sz w:val="24"/>
          <w:highlight w:val="none"/>
        </w:rPr>
      </w:pPr>
      <w:r>
        <w:rPr>
          <w:rFonts w:hint="eastAsia" w:ascii="仿宋" w:hAnsi="仿宋" w:eastAsia="仿宋" w:cs="仿宋"/>
          <w:sz w:val="24"/>
          <w:highlight w:val="none"/>
        </w:rPr>
        <w:t>注：自然人竞标的无需提供，联合体竞标的只需牵头人出具。</w:t>
      </w:r>
    </w:p>
    <w:p w14:paraId="4683D69E">
      <w:pPr>
        <w:snapToGrid w:val="0"/>
        <w:spacing w:before="169" w:beforeLines="50" w:after="50"/>
        <w:ind w:firstLine="600" w:firstLineChars="250"/>
        <w:jc w:val="left"/>
        <w:rPr>
          <w:rFonts w:hint="eastAsia" w:ascii="仿宋" w:hAnsi="仿宋" w:eastAsia="仿宋" w:cs="仿宋"/>
          <w:sz w:val="24"/>
          <w:highlight w:val="none"/>
        </w:rPr>
      </w:pPr>
    </w:p>
    <w:p w14:paraId="276C997A">
      <w:pPr>
        <w:snapToGrid w:val="0"/>
        <w:spacing w:before="169" w:beforeLines="50" w:after="50"/>
        <w:ind w:firstLine="602" w:firstLineChars="250"/>
        <w:jc w:val="left"/>
        <w:rPr>
          <w:rFonts w:hint="eastAsia" w:ascii="仿宋" w:hAnsi="仿宋" w:eastAsia="仿宋" w:cs="仿宋"/>
          <w:b/>
          <w:sz w:val="24"/>
          <w:szCs w:val="20"/>
          <w:highlight w:val="none"/>
        </w:rPr>
      </w:pPr>
    </w:p>
    <w:tbl>
      <w:tblPr>
        <w:tblStyle w:val="31"/>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16BB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tcPr>
          <w:p w14:paraId="313AA0B8">
            <w:pPr>
              <w:keepNext w:val="0"/>
              <w:keepLines w:val="0"/>
              <w:suppressLineNumbers w:val="0"/>
              <w:spacing w:before="0" w:beforeAutospacing="0" w:after="0" w:afterAutospacing="0" w:line="360" w:lineRule="auto"/>
              <w:ind w:left="0" w:right="0"/>
              <w:rPr>
                <w:rFonts w:hint="eastAsia" w:ascii="仿宋" w:hAnsi="仿宋" w:eastAsia="仿宋" w:cs="仿宋"/>
                <w:b/>
                <w:sz w:val="24"/>
                <w:highlight w:val="none"/>
              </w:rPr>
            </w:pPr>
          </w:p>
          <w:p w14:paraId="63F1DC5B">
            <w:pPr>
              <w:keepNext w:val="0"/>
              <w:keepLines w:val="0"/>
              <w:suppressLineNumbers w:val="0"/>
              <w:spacing w:before="0" w:beforeAutospacing="0" w:after="0" w:afterAutospacing="0" w:line="360" w:lineRule="auto"/>
              <w:ind w:left="0" w:right="0"/>
              <w:rPr>
                <w:rFonts w:hint="eastAsia" w:ascii="仿宋" w:hAnsi="仿宋" w:eastAsia="仿宋" w:cs="仿宋"/>
                <w:b/>
                <w:sz w:val="24"/>
                <w:highlight w:val="none"/>
              </w:rPr>
            </w:pPr>
            <w:r>
              <w:rPr>
                <w:rFonts w:hint="eastAsia" w:ascii="仿宋" w:hAnsi="仿宋" w:eastAsia="仿宋" w:cs="仿宋"/>
                <w:b/>
                <w:sz w:val="24"/>
                <w:highlight w:val="none"/>
              </w:rPr>
              <w:t>法定代表身份证复印件粘帖处（正、反面）</w:t>
            </w:r>
          </w:p>
        </w:tc>
      </w:tr>
    </w:tbl>
    <w:p w14:paraId="12E956B8">
      <w:pPr>
        <w:snapToGrid w:val="0"/>
        <w:spacing w:before="295" w:after="295" w:line="360" w:lineRule="auto"/>
        <w:jc w:val="center"/>
        <w:rPr>
          <w:rFonts w:hint="eastAsia" w:ascii="仿宋" w:hAnsi="仿宋" w:eastAsia="仿宋" w:cs="仿宋"/>
          <w:b/>
          <w:sz w:val="24"/>
          <w:szCs w:val="20"/>
          <w:highlight w:val="none"/>
        </w:rPr>
      </w:pPr>
      <w:r>
        <w:rPr>
          <w:rFonts w:hint="eastAsia" w:ascii="仿宋" w:hAnsi="仿宋" w:eastAsia="仿宋" w:cs="仿宋"/>
          <w:b/>
          <w:sz w:val="24"/>
          <w:szCs w:val="20"/>
          <w:highlight w:val="none"/>
        </w:rPr>
        <w:t>附件：</w:t>
      </w:r>
      <w:r>
        <w:rPr>
          <w:rFonts w:hint="eastAsia" w:ascii="仿宋" w:hAnsi="仿宋" w:eastAsia="仿宋" w:cs="仿宋"/>
          <w:b/>
          <w:sz w:val="24"/>
          <w:szCs w:val="20"/>
          <w:highlight w:val="none"/>
        </w:rPr>
        <w:br w:type="page"/>
      </w:r>
      <w:r>
        <w:rPr>
          <w:rFonts w:hint="eastAsia" w:ascii="仿宋" w:hAnsi="仿宋" w:eastAsia="仿宋" w:cs="仿宋"/>
          <w:b/>
          <w:bCs/>
          <w:sz w:val="30"/>
          <w:szCs w:val="30"/>
          <w:highlight w:val="none"/>
        </w:rPr>
        <w:t>三、法定代表人授权委托书（如有委托时）</w:t>
      </w:r>
    </w:p>
    <w:p w14:paraId="7C389A56">
      <w:pPr>
        <w:snapToGrid w:val="0"/>
        <w:spacing w:before="169" w:beforeLines="50" w:after="5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法定代表人授权委托书</w:t>
      </w:r>
    </w:p>
    <w:p w14:paraId="5CEA2FF0">
      <w:pPr>
        <w:snapToGrid w:val="0"/>
        <w:spacing w:before="169" w:beforeLines="50" w:after="50"/>
        <w:jc w:val="center"/>
        <w:rPr>
          <w:rFonts w:hint="eastAsia" w:ascii="仿宋" w:hAnsi="仿宋" w:eastAsia="仿宋" w:cs="仿宋"/>
          <w:b/>
          <w:sz w:val="24"/>
          <w:highlight w:val="none"/>
        </w:rPr>
      </w:pPr>
    </w:p>
    <w:p w14:paraId="5D317D7E">
      <w:pPr>
        <w:spacing w:line="440" w:lineRule="exact"/>
        <w:ind w:firstLine="420" w:firstLineChars="200"/>
        <w:rPr>
          <w:rFonts w:hint="eastAsia" w:ascii="仿宋" w:hAnsi="仿宋" w:eastAsia="仿宋" w:cs="仿宋"/>
          <w:szCs w:val="20"/>
          <w:highlight w:val="none"/>
        </w:rPr>
      </w:pPr>
      <w:r>
        <w:rPr>
          <w:rFonts w:hint="eastAsia" w:ascii="仿宋" w:hAnsi="仿宋" w:eastAsia="仿宋" w:cs="仿宋"/>
          <w:szCs w:val="20"/>
          <w:highlight w:val="none"/>
        </w:rPr>
        <w:t>致：（采购代理机构名称）</w:t>
      </w:r>
    </w:p>
    <w:p w14:paraId="25344A3A">
      <w:pPr>
        <w:spacing w:line="440" w:lineRule="exact"/>
        <w:ind w:firstLine="420" w:firstLineChars="200"/>
        <w:rPr>
          <w:rFonts w:hint="eastAsia" w:ascii="仿宋" w:hAnsi="仿宋" w:eastAsia="仿宋" w:cs="仿宋"/>
          <w:szCs w:val="20"/>
          <w:highlight w:val="none"/>
        </w:rPr>
      </w:pPr>
      <w:r>
        <w:rPr>
          <w:rFonts w:hint="eastAsia" w:ascii="仿宋" w:hAnsi="仿宋" w:eastAsia="仿宋" w:cs="仿宋"/>
          <w:szCs w:val="20"/>
          <w:highlight w:val="none"/>
        </w:rPr>
        <w:t>本人</w:t>
      </w:r>
      <w:r>
        <w:rPr>
          <w:rFonts w:hint="eastAsia" w:ascii="仿宋" w:hAnsi="仿宋" w:eastAsia="仿宋" w:cs="仿宋"/>
          <w:szCs w:val="20"/>
          <w:highlight w:val="none"/>
          <w:u w:val="single"/>
        </w:rPr>
        <w:t>（姓名）</w:t>
      </w:r>
      <w:r>
        <w:rPr>
          <w:rFonts w:hint="eastAsia" w:ascii="仿宋" w:hAnsi="仿宋" w:eastAsia="仿宋" w:cs="仿宋"/>
          <w:szCs w:val="20"/>
          <w:highlight w:val="none"/>
        </w:rPr>
        <w:t>系</w:t>
      </w:r>
      <w:r>
        <w:rPr>
          <w:rFonts w:hint="eastAsia" w:ascii="仿宋" w:hAnsi="仿宋" w:eastAsia="仿宋" w:cs="仿宋"/>
          <w:szCs w:val="20"/>
          <w:highlight w:val="none"/>
          <w:u w:val="single"/>
        </w:rPr>
        <w:t>（竞标供应商名称）</w:t>
      </w:r>
      <w:r>
        <w:rPr>
          <w:rFonts w:hint="eastAsia" w:ascii="仿宋" w:hAnsi="仿宋" w:eastAsia="仿宋" w:cs="仿宋"/>
          <w:szCs w:val="20"/>
          <w:highlight w:val="none"/>
        </w:rPr>
        <w:t>的法定代表人，现授权我单位在职正式员工</w:t>
      </w:r>
      <w:r>
        <w:rPr>
          <w:rFonts w:hint="eastAsia" w:ascii="仿宋" w:hAnsi="仿宋" w:eastAsia="仿宋" w:cs="仿宋"/>
          <w:szCs w:val="20"/>
          <w:highlight w:val="none"/>
          <w:u w:val="single"/>
        </w:rPr>
        <w:t>（姓名和职务）</w:t>
      </w:r>
      <w:r>
        <w:rPr>
          <w:rFonts w:hint="eastAsia" w:ascii="仿宋" w:hAnsi="仿宋" w:eastAsia="仿宋" w:cs="仿宋"/>
          <w:szCs w:val="20"/>
          <w:highlight w:val="none"/>
        </w:rPr>
        <w:t>为我方代理人。代理人根据授权，以我方名义签署、澄清、说明、补正、递交、撤回、修改贵方组织的项目（项目编号：</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）的响应文件、签订合同和处理一切有关事宜，其法律后果由我方承担。</w:t>
      </w:r>
    </w:p>
    <w:p w14:paraId="4F4088FD">
      <w:pPr>
        <w:spacing w:line="440" w:lineRule="exact"/>
        <w:ind w:firstLine="420" w:firstLineChars="200"/>
        <w:rPr>
          <w:rFonts w:hint="eastAsia" w:ascii="仿宋" w:hAnsi="仿宋" w:eastAsia="仿宋" w:cs="仿宋"/>
          <w:szCs w:val="20"/>
          <w:highlight w:val="none"/>
        </w:rPr>
      </w:pPr>
      <w:r>
        <w:rPr>
          <w:rFonts w:hint="eastAsia" w:ascii="仿宋" w:hAnsi="仿宋" w:eastAsia="仿宋" w:cs="仿宋"/>
          <w:szCs w:val="20"/>
          <w:highlight w:val="none"/>
        </w:rPr>
        <w:t>本授权书于</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年</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月</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日签字生效，委托期限：</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w:t>
      </w:r>
    </w:p>
    <w:p w14:paraId="330FE7CC">
      <w:pPr>
        <w:spacing w:line="360" w:lineRule="auto"/>
        <w:ind w:firstLine="420"/>
        <w:rPr>
          <w:rFonts w:hint="eastAsia" w:ascii="仿宋" w:hAnsi="仿宋" w:eastAsia="仿宋" w:cs="仿宋"/>
          <w:szCs w:val="20"/>
          <w:highlight w:val="none"/>
        </w:rPr>
      </w:pPr>
      <w:r>
        <w:rPr>
          <w:rFonts w:hint="eastAsia" w:ascii="仿宋" w:hAnsi="仿宋" w:eastAsia="仿宋" w:cs="仿宋"/>
          <w:szCs w:val="20"/>
          <w:highlight w:val="none"/>
        </w:rPr>
        <w:t>代理人无转委托权。</w:t>
      </w:r>
    </w:p>
    <w:p w14:paraId="0402780C">
      <w:pPr>
        <w:spacing w:line="360" w:lineRule="auto"/>
        <w:ind w:firstLine="420"/>
        <w:rPr>
          <w:rFonts w:hint="eastAsia" w:ascii="仿宋" w:hAnsi="仿宋" w:eastAsia="仿宋" w:cs="仿宋"/>
          <w:szCs w:val="20"/>
          <w:highlight w:val="none"/>
        </w:rPr>
      </w:pPr>
    </w:p>
    <w:p w14:paraId="524B873E">
      <w:pPr>
        <w:spacing w:line="360" w:lineRule="auto"/>
        <w:ind w:firstLine="420"/>
        <w:rPr>
          <w:rFonts w:hint="eastAsia" w:ascii="仿宋" w:hAnsi="仿宋" w:eastAsia="仿宋" w:cs="仿宋"/>
          <w:szCs w:val="20"/>
          <w:highlight w:val="none"/>
          <w:u w:val="single"/>
        </w:rPr>
      </w:pPr>
      <w:r>
        <w:rPr>
          <w:rFonts w:hint="eastAsia" w:ascii="仿宋" w:hAnsi="仿宋" w:eastAsia="仿宋" w:cs="仿宋"/>
          <w:szCs w:val="20"/>
          <w:highlight w:val="none"/>
        </w:rPr>
        <w:t>竞标供应商（或联合体竞标</w:t>
      </w:r>
      <w:r>
        <w:rPr>
          <w:rFonts w:hint="eastAsia" w:ascii="仿宋" w:hAnsi="仿宋" w:eastAsia="仿宋" w:cs="仿宋"/>
          <w:kern w:val="0"/>
          <w:szCs w:val="21"/>
          <w:highlight w:val="none"/>
        </w:rPr>
        <w:t>牵头人名称</w:t>
      </w:r>
      <w:r>
        <w:rPr>
          <w:rFonts w:hint="eastAsia" w:ascii="仿宋" w:hAnsi="仿宋" w:eastAsia="仿宋" w:cs="仿宋"/>
          <w:szCs w:val="20"/>
          <w:highlight w:val="none"/>
        </w:rPr>
        <w:t>）（盖法人单位章或电子签章）：</w:t>
      </w:r>
    </w:p>
    <w:p w14:paraId="7A49D408">
      <w:pPr>
        <w:spacing w:line="360" w:lineRule="auto"/>
        <w:ind w:firstLine="420"/>
        <w:rPr>
          <w:rFonts w:hint="eastAsia" w:ascii="仿宋" w:hAnsi="仿宋" w:eastAsia="仿宋" w:cs="仿宋"/>
          <w:szCs w:val="20"/>
          <w:highlight w:val="none"/>
          <w:u w:val="single"/>
        </w:rPr>
      </w:pPr>
      <w:r>
        <w:rPr>
          <w:rFonts w:hint="eastAsia" w:ascii="仿宋" w:hAnsi="仿宋" w:eastAsia="仿宋" w:cs="仿宋"/>
          <w:szCs w:val="20"/>
          <w:highlight w:val="none"/>
        </w:rPr>
        <w:t>法定代表人（签字或盖章或者电子签名）：</w:t>
      </w:r>
    </w:p>
    <w:p w14:paraId="607C06BB">
      <w:pPr>
        <w:spacing w:line="360" w:lineRule="auto"/>
        <w:ind w:firstLine="420"/>
        <w:rPr>
          <w:rFonts w:hint="eastAsia" w:ascii="仿宋" w:hAnsi="仿宋" w:eastAsia="仿宋" w:cs="仿宋"/>
          <w:szCs w:val="20"/>
          <w:highlight w:val="none"/>
          <w:u w:val="single"/>
        </w:rPr>
      </w:pPr>
      <w:r>
        <w:rPr>
          <w:rFonts w:hint="eastAsia" w:ascii="仿宋" w:hAnsi="仿宋" w:eastAsia="仿宋" w:cs="仿宋"/>
          <w:szCs w:val="20"/>
          <w:highlight w:val="none"/>
        </w:rPr>
        <w:t>法定代表人身份证号码：</w:t>
      </w:r>
    </w:p>
    <w:p w14:paraId="3D1A10A3">
      <w:pPr>
        <w:spacing w:line="360" w:lineRule="auto"/>
        <w:ind w:firstLine="420" w:firstLineChars="200"/>
        <w:rPr>
          <w:rFonts w:hint="eastAsia" w:ascii="仿宋" w:hAnsi="仿宋" w:eastAsia="仿宋" w:cs="仿宋"/>
          <w:szCs w:val="20"/>
          <w:highlight w:val="none"/>
        </w:rPr>
      </w:pPr>
      <w:r>
        <w:rPr>
          <w:rFonts w:hint="eastAsia" w:ascii="仿宋" w:hAnsi="仿宋" w:eastAsia="仿宋" w:cs="仿宋"/>
          <w:szCs w:val="20"/>
          <w:highlight w:val="none"/>
        </w:rPr>
        <w:t>委托代理人（签字或者电子签名）：</w:t>
      </w:r>
      <w:bookmarkStart w:id="321" w:name="_GoBack"/>
      <w:bookmarkEnd w:id="321"/>
    </w:p>
    <w:p w14:paraId="127B54A1">
      <w:pPr>
        <w:spacing w:line="360" w:lineRule="auto"/>
        <w:ind w:firstLine="420"/>
        <w:rPr>
          <w:rFonts w:hint="eastAsia" w:ascii="仿宋" w:hAnsi="仿宋" w:eastAsia="仿宋" w:cs="仿宋"/>
          <w:szCs w:val="20"/>
          <w:highlight w:val="none"/>
          <w:u w:val="single"/>
        </w:rPr>
      </w:pPr>
      <w:r>
        <w:rPr>
          <w:rFonts w:hint="eastAsia" w:ascii="仿宋" w:hAnsi="仿宋" w:eastAsia="仿宋" w:cs="仿宋"/>
          <w:szCs w:val="20"/>
          <w:highlight w:val="none"/>
        </w:rPr>
        <w:t>委托代理人身份证号码：</w:t>
      </w:r>
    </w:p>
    <w:p w14:paraId="19343F7E">
      <w:pPr>
        <w:spacing w:line="360" w:lineRule="auto"/>
        <w:ind w:firstLine="420"/>
        <w:rPr>
          <w:rFonts w:hint="eastAsia" w:ascii="仿宋" w:hAnsi="仿宋" w:eastAsia="仿宋" w:cs="仿宋"/>
          <w:szCs w:val="20"/>
          <w:highlight w:val="none"/>
          <w:u w:val="single"/>
        </w:rPr>
      </w:pPr>
    </w:p>
    <w:p w14:paraId="049E2476">
      <w:pPr>
        <w:autoSpaceDE w:val="0"/>
        <w:autoSpaceDN w:val="0"/>
        <w:adjustRightInd w:val="0"/>
        <w:spacing w:line="360" w:lineRule="auto"/>
        <w:ind w:firstLine="420" w:firstLineChars="200"/>
        <w:jc w:val="left"/>
        <w:rPr>
          <w:rFonts w:hint="eastAsia" w:ascii="仿宋" w:hAnsi="仿宋" w:eastAsia="仿宋" w:cs="仿宋"/>
          <w:kern w:val="0"/>
          <w:szCs w:val="21"/>
          <w:highlight w:val="none"/>
        </w:rPr>
      </w:pPr>
    </w:p>
    <w:p w14:paraId="68C40BAE">
      <w:pPr>
        <w:ind w:firstLine="420" w:firstLineChars="200"/>
        <w:rPr>
          <w:rFonts w:hint="eastAsia" w:ascii="仿宋" w:hAnsi="仿宋" w:eastAsia="仿宋" w:cs="仿宋"/>
          <w:szCs w:val="20"/>
          <w:highlight w:val="none"/>
        </w:rPr>
      </w:pPr>
      <w:r>
        <w:rPr>
          <w:rFonts w:hint="eastAsia" w:ascii="仿宋" w:hAnsi="仿宋" w:eastAsia="仿宋" w:cs="仿宋"/>
          <w:szCs w:val="20"/>
          <w:highlight w:val="none"/>
        </w:rPr>
        <w:t>......</w:t>
      </w:r>
    </w:p>
    <w:p w14:paraId="136455D6">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注：</w:t>
      </w:r>
    </w:p>
    <w:p w14:paraId="6D75C144">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1.法定代表人必须在授权委托书上签字或者盖章或者电子签名，委托代理人必须在授权委托书上签字或者电子签名，</w:t>
      </w:r>
      <w:r>
        <w:rPr>
          <w:rFonts w:hint="eastAsia" w:ascii="仿宋" w:hAnsi="仿宋" w:eastAsia="仿宋" w:cs="仿宋"/>
          <w:b/>
          <w:bCs/>
          <w:szCs w:val="21"/>
          <w:highlight w:val="none"/>
        </w:rPr>
        <w:t>否则作无效竞标处理</w:t>
      </w:r>
      <w:r>
        <w:rPr>
          <w:rFonts w:hint="eastAsia" w:ascii="仿宋" w:hAnsi="仿宋" w:eastAsia="仿宋" w:cs="仿宋"/>
          <w:szCs w:val="21"/>
          <w:highlight w:val="none"/>
        </w:rPr>
        <w:t>；</w:t>
      </w:r>
    </w:p>
    <w:p w14:paraId="63A9D98E">
      <w:pP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2. 供应商为其他组织或者自然人时，本采购文件规定的法定代表人指负责人或者自然人。本采购文件所称负责人是指参加竞标的其他组织营业执照上的负责人，本采购文件所称自然人指参与竞标的自然人本人。</w:t>
      </w:r>
    </w:p>
    <w:p w14:paraId="1632A8F9">
      <w:pPr>
        <w:spacing w:line="360" w:lineRule="auto"/>
        <w:rPr>
          <w:rFonts w:hint="eastAsia" w:ascii="仿宋" w:hAnsi="仿宋" w:eastAsia="仿宋" w:cs="仿宋"/>
          <w:b/>
          <w:sz w:val="24"/>
          <w:highlight w:val="none"/>
        </w:rPr>
      </w:pPr>
    </w:p>
    <w:p w14:paraId="40FDB262">
      <w:pPr>
        <w:pStyle w:val="29"/>
        <w:ind w:firstLine="241"/>
        <w:rPr>
          <w:rFonts w:hint="eastAsia" w:ascii="仿宋" w:hAnsi="仿宋" w:eastAsia="仿宋" w:cs="仿宋"/>
          <w:b/>
          <w:sz w:val="24"/>
          <w:highlight w:val="none"/>
        </w:rPr>
      </w:pPr>
    </w:p>
    <w:p w14:paraId="6CFD7816">
      <w:pPr>
        <w:pStyle w:val="29"/>
        <w:ind w:firstLine="241"/>
        <w:rPr>
          <w:rFonts w:hint="eastAsia" w:ascii="仿宋" w:hAnsi="仿宋" w:eastAsia="仿宋" w:cs="仿宋"/>
          <w:b/>
          <w:sz w:val="24"/>
          <w:highlight w:val="none"/>
        </w:rPr>
      </w:pPr>
    </w:p>
    <w:p w14:paraId="5447CA22">
      <w:pPr>
        <w:pStyle w:val="29"/>
        <w:ind w:firstLine="241"/>
        <w:rPr>
          <w:rFonts w:hint="eastAsia" w:ascii="仿宋" w:hAnsi="仿宋" w:eastAsia="仿宋" w:cs="仿宋"/>
          <w:b/>
          <w:sz w:val="24"/>
          <w:highlight w:val="none"/>
        </w:rPr>
      </w:pPr>
    </w:p>
    <w:p w14:paraId="687B18F9">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p>
    <w:tbl>
      <w:tblPr>
        <w:tblStyle w:val="31"/>
        <w:tblpPr w:leftFromText="180" w:rightFromText="180" w:vertAnchor="text" w:horzAnchor="margin" w:tblpXSpec="center" w:tblpY="263"/>
        <w:tblW w:w="7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15CD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85" w:type="dxa"/>
          </w:tcPr>
          <w:p w14:paraId="1E9FD51D">
            <w:pPr>
              <w:keepNext w:val="0"/>
              <w:keepLines w:val="0"/>
              <w:suppressLineNumbers w:val="0"/>
              <w:spacing w:before="0" w:beforeAutospacing="0" w:after="0" w:afterAutospacing="0" w:line="360" w:lineRule="auto"/>
              <w:ind w:left="0" w:right="0"/>
              <w:rPr>
                <w:rFonts w:hint="eastAsia" w:ascii="仿宋" w:hAnsi="仿宋" w:eastAsia="仿宋" w:cs="仿宋"/>
                <w:b/>
                <w:sz w:val="24"/>
                <w:highlight w:val="none"/>
              </w:rPr>
            </w:pPr>
          </w:p>
          <w:p w14:paraId="0115D83F">
            <w:pPr>
              <w:keepNext w:val="0"/>
              <w:keepLines w:val="0"/>
              <w:suppressLineNumbers w:val="0"/>
              <w:spacing w:before="0" w:beforeAutospacing="0" w:after="0" w:afterAutospacing="0" w:line="360" w:lineRule="auto"/>
              <w:ind w:left="0" w:right="0"/>
              <w:rPr>
                <w:rFonts w:hint="eastAsia" w:ascii="仿宋" w:hAnsi="仿宋" w:eastAsia="仿宋" w:cs="仿宋"/>
                <w:b/>
                <w:sz w:val="24"/>
                <w:highlight w:val="none"/>
              </w:rPr>
            </w:pPr>
            <w:r>
              <w:rPr>
                <w:rFonts w:hint="eastAsia" w:ascii="仿宋" w:hAnsi="仿宋" w:eastAsia="仿宋" w:cs="仿宋"/>
                <w:b/>
                <w:sz w:val="24"/>
                <w:highlight w:val="none"/>
              </w:rPr>
              <w:t>委托代理人身份证复印件粘帖处（正、反面）</w:t>
            </w:r>
          </w:p>
        </w:tc>
      </w:tr>
    </w:tbl>
    <w:p w14:paraId="6F265AB9">
      <w:pPr>
        <w:snapToGrid w:val="0"/>
        <w:spacing w:before="50" w:after="169" w:afterLines="50" w:line="360" w:lineRule="auto"/>
        <w:jc w:val="left"/>
        <w:rPr>
          <w:rFonts w:hint="eastAsia" w:ascii="仿宋" w:hAnsi="仿宋" w:eastAsia="仿宋" w:cs="仿宋"/>
          <w:szCs w:val="21"/>
          <w:highlight w:val="none"/>
        </w:rPr>
      </w:pPr>
    </w:p>
    <w:p w14:paraId="7E44D192">
      <w:pPr>
        <w:snapToGrid w:val="0"/>
        <w:spacing w:before="169" w:beforeLines="50" w:after="50"/>
        <w:ind w:firstLine="566" w:firstLineChars="236"/>
        <w:jc w:val="center"/>
        <w:rPr>
          <w:rFonts w:hint="eastAsia" w:ascii="仿宋" w:hAnsi="仿宋" w:eastAsia="仿宋" w:cs="仿宋"/>
          <w:highlight w:val="none"/>
        </w:rPr>
      </w:pPr>
      <w:r>
        <w:rPr>
          <w:rFonts w:hint="eastAsia" w:ascii="仿宋" w:hAnsi="仿宋" w:eastAsia="仿宋" w:cs="仿宋"/>
          <w:sz w:val="24"/>
          <w:highlight w:val="none"/>
        </w:rPr>
        <w:br w:type="page"/>
      </w:r>
    </w:p>
    <w:p w14:paraId="23AEBC0E">
      <w:pPr>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四、商务条款偏离表</w:t>
      </w:r>
    </w:p>
    <w:p w14:paraId="4B6E3453">
      <w:pPr>
        <w:snapToGrid w:val="0"/>
        <w:spacing w:before="50"/>
        <w:jc w:val="left"/>
        <w:rPr>
          <w:rFonts w:hint="eastAsia" w:ascii="仿宋" w:hAnsi="仿宋" w:eastAsia="仿宋" w:cs="仿宋"/>
          <w:sz w:val="24"/>
          <w:highlight w:val="none"/>
        </w:rPr>
      </w:pPr>
    </w:p>
    <w:p w14:paraId="16897BA9">
      <w:pPr>
        <w:spacing w:line="360" w:lineRule="auto"/>
        <w:ind w:left="-424" w:leftChars="-202" w:firstLine="846"/>
        <w:rPr>
          <w:rFonts w:hint="eastAsia" w:ascii="仿宋" w:hAnsi="仿宋" w:eastAsia="仿宋" w:cs="仿宋"/>
          <w:sz w:val="24"/>
          <w:highlight w:val="none"/>
        </w:rPr>
      </w:pPr>
      <w:r>
        <w:rPr>
          <w:rFonts w:hint="eastAsia" w:ascii="仿宋" w:hAnsi="仿宋" w:eastAsia="仿宋" w:cs="仿宋"/>
          <w:szCs w:val="20"/>
          <w:highlight w:val="none"/>
        </w:rPr>
        <w:t>请逐条对应本项目采购文件第二章“服务需求一览表”中“商务条款”的要求，详细填写相应的具体内容。“偏离说明”一栏应当选择“正偏离”、“负偏离”或“无偏离”进行填写。</w:t>
      </w:r>
    </w:p>
    <w:tbl>
      <w:tblPr>
        <w:tblStyle w:val="31"/>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C81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287214EB">
            <w:pPr>
              <w:keepNext w:val="0"/>
              <w:keepLines w:val="0"/>
              <w:suppressLineNumbers w:val="0"/>
              <w:spacing w:before="0" w:beforeAutospacing="0" w:after="0" w:afterAutospacing="0" w:line="34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0DED7668">
            <w:pPr>
              <w:keepNext w:val="0"/>
              <w:keepLines w:val="0"/>
              <w:suppressLineNumbers w:val="0"/>
              <w:spacing w:before="0" w:beforeAutospacing="0" w:after="0" w:afterAutospacing="0" w:line="34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18D4BA78">
            <w:pPr>
              <w:keepNext w:val="0"/>
              <w:keepLines w:val="0"/>
              <w:suppressLineNumbers w:val="0"/>
              <w:spacing w:before="0" w:beforeAutospacing="0" w:after="0" w:afterAutospacing="0" w:line="34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0248D309">
            <w:pPr>
              <w:keepNext w:val="0"/>
              <w:keepLines w:val="0"/>
              <w:suppressLineNumbers w:val="0"/>
              <w:spacing w:before="0" w:beforeAutospacing="0" w:after="0" w:afterAutospacing="0" w:line="34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偏离说明</w:t>
            </w:r>
          </w:p>
        </w:tc>
      </w:tr>
      <w:tr w14:paraId="7ED8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D9847B8">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2A4165FB">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290F9AF4">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3EC7CDDF">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2C002B82">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62301D13">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0B592E1E">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18A4EC03">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6A17CC2B">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CEA268D">
            <w:pPr>
              <w:keepNext w:val="0"/>
              <w:keepLines w:val="0"/>
              <w:suppressLineNumbers w:val="0"/>
              <w:spacing w:before="0" w:beforeAutospacing="0" w:after="0" w:afterAutospacing="0" w:line="3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正偏离（负偏离或无偏离）</w:t>
            </w:r>
          </w:p>
        </w:tc>
      </w:tr>
      <w:tr w14:paraId="0A8C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7B5C99F">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27B539E0">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3B5C5A35">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55325303">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50092CBD">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67298F61">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183D092B">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28676296">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1A1F0F7D">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58BD2A3">
            <w:pPr>
              <w:keepNext w:val="0"/>
              <w:keepLines w:val="0"/>
              <w:suppressLineNumbers w:val="0"/>
              <w:spacing w:before="0" w:beforeAutospacing="0" w:after="0" w:afterAutospacing="0" w:line="3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正偏离（负偏离或无偏离）</w:t>
            </w:r>
          </w:p>
        </w:tc>
      </w:tr>
      <w:tr w14:paraId="56CD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738C444B">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1C1C603E">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1412989D">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5462828D">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326728AC">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D43A0A6">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07AB715A">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16080A17">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4B4393BE">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53B559B3">
            <w:pPr>
              <w:keepNext w:val="0"/>
              <w:keepLines w:val="0"/>
              <w:suppressLineNumbers w:val="0"/>
              <w:spacing w:before="0" w:beforeAutospacing="0" w:after="0" w:afterAutospacing="0" w:line="3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正偏离（负偏离或无偏离）</w:t>
            </w:r>
          </w:p>
        </w:tc>
      </w:tr>
      <w:tr w14:paraId="310C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14:paraId="5C83D9FB">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u w:val="single"/>
              </w:rPr>
              <w:t>　　</w:t>
            </w:r>
            <w:r>
              <w:rPr>
                <w:rFonts w:hint="eastAsia" w:ascii="仿宋" w:hAnsi="仿宋" w:eastAsia="仿宋" w:cs="仿宋"/>
                <w:szCs w:val="21"/>
                <w:highlight w:val="none"/>
              </w:rPr>
              <w:t>分标（此处有分标时填写具体分标号，无分标时填写“无”）</w:t>
            </w:r>
          </w:p>
        </w:tc>
      </w:tr>
    </w:tbl>
    <w:p w14:paraId="7B0F50DA">
      <w:pPr>
        <w:spacing w:line="360" w:lineRule="auto"/>
        <w:ind w:left="-708" w:leftChars="-337"/>
        <w:rPr>
          <w:rFonts w:hint="eastAsia" w:ascii="仿宋" w:hAnsi="仿宋" w:eastAsia="仿宋" w:cs="仿宋"/>
          <w:szCs w:val="20"/>
          <w:highlight w:val="none"/>
        </w:rPr>
      </w:pPr>
    </w:p>
    <w:p w14:paraId="79EB212F">
      <w:pPr>
        <w:spacing w:line="360" w:lineRule="auto"/>
        <w:ind w:left="-708" w:leftChars="-337"/>
        <w:rPr>
          <w:rFonts w:hint="eastAsia" w:ascii="仿宋" w:hAnsi="仿宋" w:eastAsia="仿宋" w:cs="仿宋"/>
          <w:szCs w:val="20"/>
          <w:highlight w:val="none"/>
        </w:rPr>
      </w:pPr>
      <w:r>
        <w:rPr>
          <w:rFonts w:hint="eastAsia" w:ascii="仿宋" w:hAnsi="仿宋" w:eastAsia="仿宋" w:cs="仿宋"/>
          <w:szCs w:val="20"/>
          <w:highlight w:val="none"/>
        </w:rPr>
        <w:t>注：</w:t>
      </w:r>
    </w:p>
    <w:p w14:paraId="0B4B42E1">
      <w:pPr>
        <w:spacing w:line="360" w:lineRule="auto"/>
        <w:ind w:left="-708" w:leftChars="-337" w:firstLine="420" w:firstLineChars="200"/>
        <w:rPr>
          <w:rFonts w:hint="eastAsia" w:ascii="仿宋" w:hAnsi="仿宋" w:eastAsia="仿宋" w:cs="仿宋"/>
          <w:szCs w:val="20"/>
          <w:highlight w:val="none"/>
        </w:rPr>
      </w:pPr>
      <w:r>
        <w:rPr>
          <w:rFonts w:hint="eastAsia" w:ascii="仿宋" w:hAnsi="仿宋" w:eastAsia="仿宋" w:cs="仿宋"/>
          <w:szCs w:val="20"/>
          <w:highlight w:val="none"/>
        </w:rPr>
        <w:t>1.表格内容均需按要求填写并盖章，不得留空，否则按竞标无效处理。</w:t>
      </w:r>
    </w:p>
    <w:p w14:paraId="4F271203">
      <w:pPr>
        <w:spacing w:line="360" w:lineRule="auto"/>
        <w:ind w:left="-603" w:leftChars="-287" w:firstLine="315" w:firstLineChars="150"/>
        <w:rPr>
          <w:rFonts w:hint="eastAsia" w:ascii="仿宋" w:hAnsi="仿宋" w:eastAsia="仿宋" w:cs="仿宋"/>
          <w:szCs w:val="20"/>
          <w:highlight w:val="none"/>
        </w:rPr>
      </w:pPr>
      <w:r>
        <w:rPr>
          <w:rFonts w:hint="eastAsia" w:ascii="仿宋" w:hAnsi="仿宋" w:eastAsia="仿宋" w:cs="仿宋"/>
          <w:szCs w:val="20"/>
          <w:highlight w:val="none"/>
        </w:rPr>
        <w:t>2.如果采购文件需求为小于或大于某个数值标准时，响应文件承诺不得直接复制采购文件需求，响应文件承诺内容应当写明竞标货物具体参数或商务响应承诺的具体数值，否则按竞标无效处理。</w:t>
      </w:r>
    </w:p>
    <w:p w14:paraId="7DAEA88E">
      <w:pPr>
        <w:spacing w:line="360" w:lineRule="auto"/>
        <w:ind w:left="-708" w:leftChars="-337" w:firstLine="420" w:firstLineChars="200"/>
        <w:rPr>
          <w:rFonts w:hint="eastAsia" w:ascii="仿宋" w:hAnsi="仿宋" w:eastAsia="仿宋" w:cs="仿宋"/>
          <w:szCs w:val="20"/>
          <w:highlight w:val="none"/>
        </w:rPr>
      </w:pPr>
      <w:r>
        <w:rPr>
          <w:rFonts w:hint="eastAsia" w:ascii="仿宋" w:hAnsi="仿宋" w:eastAsia="仿宋" w:cs="仿宋"/>
          <w:szCs w:val="20"/>
          <w:highlight w:val="none"/>
        </w:rPr>
        <w:t>3.当响应文件的商务内容低于采购文件要求时，竞标供应商应当如实写明“负偏离”，否则视为虚假应标。</w:t>
      </w:r>
    </w:p>
    <w:p w14:paraId="37096CF9">
      <w:pPr>
        <w:spacing w:line="360" w:lineRule="auto"/>
        <w:ind w:left="-708" w:leftChars="-337" w:firstLine="420" w:firstLineChars="200"/>
        <w:rPr>
          <w:rFonts w:hint="eastAsia" w:ascii="仿宋" w:hAnsi="仿宋" w:eastAsia="仿宋" w:cs="仿宋"/>
          <w:szCs w:val="20"/>
          <w:highlight w:val="none"/>
        </w:rPr>
      </w:pPr>
      <w:r>
        <w:rPr>
          <w:rFonts w:hint="eastAsia" w:ascii="仿宋" w:hAnsi="仿宋" w:eastAsia="仿宋" w:cs="仿宋"/>
          <w:szCs w:val="21"/>
          <w:highlight w:val="none"/>
        </w:rPr>
        <w:t>4.采购需求中带“▲”的条款，也要分别在本表“响应文件的商务需求”、“响应文件承诺的商务条款”中标记。</w:t>
      </w:r>
    </w:p>
    <w:p w14:paraId="64A97C9C">
      <w:pPr>
        <w:snapToGrid w:val="0"/>
        <w:spacing w:before="50" w:after="50"/>
        <w:rPr>
          <w:rFonts w:hint="eastAsia" w:ascii="仿宋" w:hAnsi="仿宋" w:eastAsia="仿宋" w:cs="仿宋"/>
          <w:sz w:val="24"/>
          <w:highlight w:val="none"/>
        </w:rPr>
      </w:pPr>
    </w:p>
    <w:p w14:paraId="0055FA06">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44B6B8CD">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362CE08F">
      <w:pPr>
        <w:snapToGrid w:val="0"/>
        <w:spacing w:line="360" w:lineRule="auto"/>
        <w:ind w:firstLine="5160" w:firstLineChars="2150"/>
        <w:rPr>
          <w:rFonts w:hint="eastAsia" w:ascii="仿宋" w:hAnsi="仿宋" w:eastAsia="仿宋" w:cs="仿宋"/>
          <w:kern w:val="0"/>
          <w:sz w:val="24"/>
          <w:highlight w:val="none"/>
          <w:lang w:val="zh-CN"/>
        </w:rPr>
      </w:pPr>
    </w:p>
    <w:p w14:paraId="5060D408">
      <w:pPr>
        <w:snapToGrid w:val="0"/>
        <w:spacing w:before="169" w:beforeLines="50" w:after="50"/>
        <w:ind w:firstLine="3150" w:firstLineChars="1500"/>
        <w:jc w:val="left"/>
        <w:rPr>
          <w:rFonts w:hint="eastAsia" w:ascii="仿宋" w:hAnsi="仿宋" w:eastAsia="仿宋" w:cs="仿宋"/>
          <w:szCs w:val="21"/>
          <w:highlight w:val="none"/>
        </w:rPr>
        <w:sectPr>
          <w:footerReference r:id="rId15" w:type="first"/>
          <w:headerReference r:id="rId12" w:type="default"/>
          <w:footerReference r:id="rId13" w:type="default"/>
          <w:footerReference r:id="rId14" w:type="even"/>
          <w:pgSz w:w="11905" w:h="16838"/>
          <w:pgMar w:top="1304" w:right="1304" w:bottom="1304" w:left="1304" w:header="720" w:footer="720" w:gutter="0"/>
          <w:pgNumType w:fmt="decimal"/>
          <w:cols w:space="720" w:num="1"/>
          <w:docGrid w:type="lines" w:linePitch="339" w:charSpace="0"/>
        </w:sectPr>
      </w:pPr>
    </w:p>
    <w:p w14:paraId="1A7261F1">
      <w:pPr>
        <w:snapToGrid w:val="0"/>
        <w:spacing w:before="169" w:beforeLines="50" w:after="50"/>
        <w:ind w:firstLine="602" w:firstLineChars="200"/>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五、竞标供应商情况介绍</w:t>
      </w:r>
    </w:p>
    <w:p w14:paraId="7E42AC97">
      <w:pPr>
        <w:spacing w:line="360" w:lineRule="auto"/>
        <w:ind w:firstLine="4048" w:firstLineChars="1687"/>
        <w:rPr>
          <w:rFonts w:hint="eastAsia" w:ascii="仿宋" w:hAnsi="仿宋" w:eastAsia="仿宋" w:cs="仿宋"/>
          <w:kern w:val="0"/>
          <w:sz w:val="24"/>
          <w:highlight w:val="none"/>
        </w:rPr>
      </w:pPr>
      <w:r>
        <w:rPr>
          <w:rFonts w:hint="eastAsia" w:ascii="仿宋" w:hAnsi="仿宋" w:eastAsia="仿宋" w:cs="仿宋"/>
          <w:sz w:val="24"/>
          <w:highlight w:val="none"/>
        </w:rPr>
        <w:t>（格式自拟）</w:t>
      </w:r>
    </w:p>
    <w:p w14:paraId="3331BF35">
      <w:pPr>
        <w:snapToGrid w:val="0"/>
        <w:spacing w:line="360" w:lineRule="auto"/>
        <w:ind w:firstLine="4935" w:firstLineChars="2350"/>
        <w:rPr>
          <w:rFonts w:hint="eastAsia" w:ascii="仿宋" w:hAnsi="仿宋" w:eastAsia="仿宋" w:cs="仿宋"/>
          <w:szCs w:val="21"/>
          <w:highlight w:val="none"/>
        </w:rPr>
      </w:pPr>
    </w:p>
    <w:p w14:paraId="2BE06B8F">
      <w:pPr>
        <w:snapToGrid w:val="0"/>
        <w:spacing w:line="360" w:lineRule="auto"/>
        <w:ind w:firstLine="4935" w:firstLineChars="2350"/>
        <w:rPr>
          <w:rFonts w:hint="eastAsia" w:ascii="仿宋" w:hAnsi="仿宋" w:eastAsia="仿宋" w:cs="仿宋"/>
          <w:szCs w:val="21"/>
          <w:highlight w:val="none"/>
        </w:rPr>
      </w:pPr>
    </w:p>
    <w:p w14:paraId="46AE987E">
      <w:pPr>
        <w:snapToGrid w:val="0"/>
        <w:spacing w:line="360" w:lineRule="auto"/>
        <w:ind w:firstLine="4935" w:firstLineChars="2350"/>
        <w:rPr>
          <w:rFonts w:hint="eastAsia" w:ascii="仿宋" w:hAnsi="仿宋" w:eastAsia="仿宋" w:cs="仿宋"/>
          <w:szCs w:val="21"/>
          <w:highlight w:val="none"/>
        </w:rPr>
      </w:pPr>
    </w:p>
    <w:p w14:paraId="20B84166">
      <w:pPr>
        <w:snapToGrid w:val="0"/>
        <w:spacing w:line="360" w:lineRule="auto"/>
        <w:ind w:firstLine="4935" w:firstLineChars="2350"/>
        <w:rPr>
          <w:rFonts w:hint="eastAsia" w:ascii="仿宋" w:hAnsi="仿宋" w:eastAsia="仿宋" w:cs="仿宋"/>
          <w:szCs w:val="21"/>
          <w:highlight w:val="none"/>
        </w:rPr>
      </w:pPr>
    </w:p>
    <w:p w14:paraId="5BFDBAC8">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30967075">
      <w:pPr>
        <w:snapToGrid w:val="0"/>
        <w:spacing w:line="360" w:lineRule="auto"/>
        <w:ind w:firstLine="5160" w:firstLineChars="2150"/>
        <w:rPr>
          <w:rFonts w:hint="eastAsia" w:ascii="仿宋" w:hAnsi="仿宋" w:eastAsia="仿宋" w:cs="仿宋"/>
          <w:kern w:val="0"/>
          <w:sz w:val="24"/>
          <w:highlight w:val="none"/>
          <w:lang w:val="zh-CN"/>
        </w:rPr>
      </w:pPr>
      <w:r>
        <w:rPr>
          <w:rFonts w:hint="eastAsia" w:ascii="仿宋" w:hAnsi="仿宋" w:eastAsia="仿宋" w:cs="仿宋"/>
          <w:sz w:val="24"/>
          <w:highlight w:val="none"/>
        </w:rPr>
        <w:t>日期：  年  月   日</w:t>
      </w:r>
    </w:p>
    <w:p w14:paraId="445B5B8F">
      <w:pPr>
        <w:snapToGrid w:val="0"/>
        <w:spacing w:before="169" w:beforeLines="50" w:after="50"/>
        <w:ind w:firstLine="602" w:firstLineChars="200"/>
        <w:jc w:val="center"/>
        <w:rPr>
          <w:rFonts w:hint="eastAsia" w:ascii="仿宋" w:hAnsi="仿宋" w:eastAsia="仿宋" w:cs="仿宋"/>
          <w:b/>
          <w:bCs/>
          <w:sz w:val="30"/>
          <w:szCs w:val="30"/>
          <w:highlight w:val="none"/>
        </w:rPr>
      </w:pPr>
    </w:p>
    <w:p w14:paraId="6C2F7565">
      <w:pPr>
        <w:snapToGrid w:val="0"/>
        <w:spacing w:before="169" w:beforeLines="50" w:after="50"/>
        <w:ind w:firstLine="602" w:firstLineChars="200"/>
        <w:jc w:val="center"/>
        <w:rPr>
          <w:rFonts w:hint="eastAsia" w:ascii="仿宋" w:hAnsi="仿宋" w:eastAsia="仿宋" w:cs="仿宋"/>
          <w:b/>
          <w:bCs/>
          <w:sz w:val="30"/>
          <w:szCs w:val="30"/>
          <w:highlight w:val="none"/>
        </w:rPr>
        <w:sectPr>
          <w:footerReference r:id="rId19" w:type="first"/>
          <w:headerReference r:id="rId16" w:type="default"/>
          <w:footerReference r:id="rId17" w:type="default"/>
          <w:footerReference r:id="rId18" w:type="even"/>
          <w:pgSz w:w="11905" w:h="16838"/>
          <w:pgMar w:top="1304" w:right="1304" w:bottom="1304" w:left="1304" w:header="720" w:footer="720" w:gutter="0"/>
          <w:pgNumType w:fmt="decimal"/>
          <w:cols w:space="720" w:num="1"/>
          <w:docGrid w:type="lines" w:linePitch="339" w:charSpace="0"/>
        </w:sectPr>
      </w:pPr>
    </w:p>
    <w:p w14:paraId="78FEE556">
      <w:pPr>
        <w:snapToGrid w:val="0"/>
        <w:spacing w:before="169" w:beforeLines="50" w:after="50"/>
        <w:ind w:firstLine="602" w:firstLineChars="200"/>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六、竞标供应商类似的业绩证明文件（如有要求）</w:t>
      </w:r>
    </w:p>
    <w:p w14:paraId="13212E03">
      <w:pPr>
        <w:snapToGrid w:val="0"/>
        <w:ind w:left="480" w:hanging="480" w:hangingChars="200"/>
        <w:rPr>
          <w:rFonts w:hint="eastAsia" w:ascii="仿宋" w:hAnsi="仿宋" w:eastAsia="仿宋" w:cs="仿宋"/>
          <w:sz w:val="24"/>
          <w:highlight w:val="none"/>
        </w:rPr>
      </w:pPr>
    </w:p>
    <w:p w14:paraId="1767BE2B">
      <w:pPr>
        <w:snapToGrid w:val="0"/>
        <w:ind w:left="480" w:hanging="480" w:hangingChars="200"/>
        <w:rPr>
          <w:rFonts w:hint="eastAsia" w:ascii="仿宋" w:hAnsi="仿宋" w:eastAsia="仿宋" w:cs="仿宋"/>
          <w:sz w:val="24"/>
          <w:highlight w:val="none"/>
        </w:rPr>
      </w:pPr>
    </w:p>
    <w:p w14:paraId="48D514CC">
      <w:pPr>
        <w:autoSpaceDE w:val="0"/>
        <w:autoSpaceDN w:val="0"/>
        <w:spacing w:line="360" w:lineRule="auto"/>
        <w:ind w:firstLine="120"/>
        <w:rPr>
          <w:rFonts w:hint="eastAsia" w:ascii="仿宋" w:hAnsi="仿宋" w:eastAsia="仿宋" w:cs="仿宋"/>
          <w:sz w:val="24"/>
          <w:highlight w:val="none"/>
        </w:rPr>
      </w:pPr>
      <w:r>
        <w:rPr>
          <w:rFonts w:hint="eastAsia" w:ascii="仿宋" w:hAnsi="仿宋" w:eastAsia="仿宋" w:cs="仿宋"/>
          <w:b/>
          <w:sz w:val="24"/>
          <w:highlight w:val="none"/>
        </w:rPr>
        <w:t>附表 :相关项目业绩一览表</w:t>
      </w:r>
    </w:p>
    <w:tbl>
      <w:tblPr>
        <w:tblStyle w:val="3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85"/>
        <w:gridCol w:w="3252"/>
        <w:gridCol w:w="1623"/>
        <w:gridCol w:w="2153"/>
      </w:tblGrid>
      <w:tr w14:paraId="3DC63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5" w:hRule="atLeast"/>
        </w:trPr>
        <w:tc>
          <w:tcPr>
            <w:tcW w:w="1306" w:type="pct"/>
            <w:tcBorders>
              <w:top w:val="single" w:color="auto" w:sz="4" w:space="0"/>
              <w:left w:val="single" w:color="auto" w:sz="4" w:space="0"/>
              <w:bottom w:val="single" w:color="auto" w:sz="4" w:space="0"/>
              <w:right w:val="single" w:color="auto" w:sz="4" w:space="0"/>
            </w:tcBorders>
            <w:vAlign w:val="center"/>
          </w:tcPr>
          <w:p w14:paraId="5FC22B27">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采购人名称</w:t>
            </w:r>
          </w:p>
        </w:tc>
        <w:tc>
          <w:tcPr>
            <w:tcW w:w="1709" w:type="pct"/>
            <w:tcBorders>
              <w:top w:val="single" w:color="auto" w:sz="4" w:space="0"/>
              <w:left w:val="single" w:color="auto" w:sz="4" w:space="0"/>
              <w:bottom w:val="single" w:color="auto" w:sz="4" w:space="0"/>
              <w:right w:val="single" w:color="auto" w:sz="4" w:space="0"/>
            </w:tcBorders>
            <w:vAlign w:val="center"/>
          </w:tcPr>
          <w:p w14:paraId="1D3D2371">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项目名称</w:t>
            </w:r>
          </w:p>
        </w:tc>
        <w:tc>
          <w:tcPr>
            <w:tcW w:w="853" w:type="pct"/>
            <w:tcBorders>
              <w:top w:val="single" w:color="auto" w:sz="4" w:space="0"/>
              <w:left w:val="single" w:color="auto" w:sz="4" w:space="0"/>
              <w:bottom w:val="single" w:color="auto" w:sz="4" w:space="0"/>
              <w:right w:val="single" w:color="auto" w:sz="4" w:space="0"/>
            </w:tcBorders>
            <w:vAlign w:val="center"/>
          </w:tcPr>
          <w:p w14:paraId="6250A19F">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合同</w:t>
            </w:r>
          </w:p>
          <w:p w14:paraId="7C7A528C">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金额</w:t>
            </w:r>
          </w:p>
          <w:p w14:paraId="66D61A71">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（万元）</w:t>
            </w:r>
          </w:p>
        </w:tc>
        <w:tc>
          <w:tcPr>
            <w:tcW w:w="1131" w:type="pct"/>
            <w:tcBorders>
              <w:top w:val="single" w:color="auto" w:sz="4" w:space="0"/>
              <w:left w:val="single" w:color="auto" w:sz="4" w:space="0"/>
              <w:bottom w:val="single" w:color="auto" w:sz="4" w:space="0"/>
              <w:right w:val="single" w:color="auto" w:sz="4" w:space="0"/>
            </w:tcBorders>
            <w:vAlign w:val="center"/>
          </w:tcPr>
          <w:p w14:paraId="15A1F7A2">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采购人联系人及</w:t>
            </w:r>
          </w:p>
          <w:p w14:paraId="48D9916C">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联系电话</w:t>
            </w:r>
          </w:p>
        </w:tc>
      </w:tr>
      <w:tr w14:paraId="65EAB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06" w:type="pct"/>
            <w:tcBorders>
              <w:top w:val="single" w:color="auto" w:sz="4" w:space="0"/>
              <w:left w:val="single" w:color="auto" w:sz="4" w:space="0"/>
              <w:bottom w:val="single" w:color="auto" w:sz="4" w:space="0"/>
              <w:right w:val="single" w:color="auto" w:sz="4" w:space="0"/>
            </w:tcBorders>
          </w:tcPr>
          <w:p w14:paraId="572B0BD1">
            <w:pPr>
              <w:keepNext w:val="0"/>
              <w:keepLines w:val="0"/>
              <w:suppressLineNumbers w:val="0"/>
              <w:snapToGrid w:val="0"/>
              <w:spacing w:before="0" w:beforeAutospacing="0" w:after="0" w:afterAutospacing="0" w:line="240" w:lineRule="exact"/>
              <w:ind w:left="0" w:right="0"/>
              <w:jc w:val="left"/>
              <w:rPr>
                <w:rFonts w:hint="eastAsia" w:ascii="仿宋" w:hAnsi="仿宋" w:eastAsia="仿宋" w:cs="仿宋"/>
                <w:sz w:val="24"/>
                <w:highlight w:val="none"/>
              </w:rPr>
            </w:pPr>
          </w:p>
        </w:tc>
        <w:tc>
          <w:tcPr>
            <w:tcW w:w="1709" w:type="pct"/>
            <w:tcBorders>
              <w:top w:val="single" w:color="auto" w:sz="4" w:space="0"/>
              <w:left w:val="single" w:color="auto" w:sz="4" w:space="0"/>
              <w:bottom w:val="single" w:color="auto" w:sz="4" w:space="0"/>
              <w:right w:val="single" w:color="auto" w:sz="4" w:space="0"/>
            </w:tcBorders>
          </w:tcPr>
          <w:p w14:paraId="4F8A1617">
            <w:pPr>
              <w:keepNext w:val="0"/>
              <w:keepLines w:val="0"/>
              <w:suppressLineNumbers w:val="0"/>
              <w:snapToGrid w:val="0"/>
              <w:spacing w:before="0" w:beforeAutospacing="0" w:after="0" w:afterAutospacing="0" w:line="240" w:lineRule="exact"/>
              <w:ind w:left="0" w:right="0"/>
              <w:jc w:val="left"/>
              <w:rPr>
                <w:rFonts w:hint="eastAsia" w:ascii="仿宋" w:hAnsi="仿宋" w:eastAsia="仿宋" w:cs="仿宋"/>
                <w:sz w:val="24"/>
                <w:highlight w:val="none"/>
              </w:rPr>
            </w:pPr>
          </w:p>
        </w:tc>
        <w:tc>
          <w:tcPr>
            <w:tcW w:w="853" w:type="pct"/>
            <w:tcBorders>
              <w:top w:val="single" w:color="auto" w:sz="4" w:space="0"/>
              <w:left w:val="single" w:color="auto" w:sz="4" w:space="0"/>
              <w:bottom w:val="single" w:color="auto" w:sz="4" w:space="0"/>
              <w:right w:val="single" w:color="auto" w:sz="4" w:space="0"/>
            </w:tcBorders>
          </w:tcPr>
          <w:p w14:paraId="4CD9973D">
            <w:pPr>
              <w:keepNext w:val="0"/>
              <w:keepLines w:val="0"/>
              <w:suppressLineNumbers w:val="0"/>
              <w:snapToGrid w:val="0"/>
              <w:spacing w:before="0" w:beforeAutospacing="0" w:after="0" w:afterAutospacing="0" w:line="240" w:lineRule="exact"/>
              <w:ind w:left="0" w:right="0"/>
              <w:jc w:val="left"/>
              <w:rPr>
                <w:rFonts w:hint="eastAsia" w:ascii="仿宋" w:hAnsi="仿宋" w:eastAsia="仿宋" w:cs="仿宋"/>
                <w:sz w:val="24"/>
                <w:highlight w:val="none"/>
              </w:rPr>
            </w:pPr>
          </w:p>
        </w:tc>
        <w:tc>
          <w:tcPr>
            <w:tcW w:w="1131" w:type="pct"/>
            <w:tcBorders>
              <w:top w:val="single" w:color="auto" w:sz="4" w:space="0"/>
              <w:left w:val="single" w:color="auto" w:sz="4" w:space="0"/>
              <w:bottom w:val="single" w:color="auto" w:sz="4" w:space="0"/>
              <w:right w:val="single" w:color="auto" w:sz="4" w:space="0"/>
            </w:tcBorders>
          </w:tcPr>
          <w:p w14:paraId="12071CBF">
            <w:pPr>
              <w:keepNext w:val="0"/>
              <w:keepLines w:val="0"/>
              <w:suppressLineNumbers w:val="0"/>
              <w:snapToGrid w:val="0"/>
              <w:spacing w:before="0" w:beforeAutospacing="0" w:after="0" w:afterAutospacing="0" w:line="240" w:lineRule="exact"/>
              <w:ind w:left="0" w:right="0"/>
              <w:jc w:val="left"/>
              <w:rPr>
                <w:rFonts w:hint="eastAsia" w:ascii="仿宋" w:hAnsi="仿宋" w:eastAsia="仿宋" w:cs="仿宋"/>
                <w:sz w:val="24"/>
                <w:highlight w:val="none"/>
              </w:rPr>
            </w:pPr>
          </w:p>
        </w:tc>
      </w:tr>
      <w:tr w14:paraId="5F4CA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6" w:type="pct"/>
            <w:tcBorders>
              <w:top w:val="single" w:color="auto" w:sz="4" w:space="0"/>
              <w:left w:val="single" w:color="auto" w:sz="4" w:space="0"/>
              <w:bottom w:val="single" w:color="auto" w:sz="4" w:space="0"/>
              <w:right w:val="single" w:color="auto" w:sz="4" w:space="0"/>
            </w:tcBorders>
          </w:tcPr>
          <w:p w14:paraId="3E98DA28">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709" w:type="pct"/>
            <w:tcBorders>
              <w:top w:val="single" w:color="auto" w:sz="4" w:space="0"/>
              <w:left w:val="single" w:color="auto" w:sz="4" w:space="0"/>
              <w:bottom w:val="single" w:color="auto" w:sz="4" w:space="0"/>
              <w:right w:val="single" w:color="auto" w:sz="4" w:space="0"/>
            </w:tcBorders>
          </w:tcPr>
          <w:p w14:paraId="1855BB9D">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853" w:type="pct"/>
            <w:tcBorders>
              <w:top w:val="single" w:color="auto" w:sz="4" w:space="0"/>
              <w:left w:val="single" w:color="auto" w:sz="4" w:space="0"/>
              <w:bottom w:val="single" w:color="auto" w:sz="4" w:space="0"/>
              <w:right w:val="single" w:color="auto" w:sz="4" w:space="0"/>
            </w:tcBorders>
          </w:tcPr>
          <w:p w14:paraId="228FDDC9">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131" w:type="pct"/>
            <w:tcBorders>
              <w:top w:val="single" w:color="auto" w:sz="4" w:space="0"/>
              <w:left w:val="single" w:color="auto" w:sz="4" w:space="0"/>
              <w:bottom w:val="single" w:color="auto" w:sz="4" w:space="0"/>
              <w:right w:val="single" w:color="auto" w:sz="4" w:space="0"/>
            </w:tcBorders>
          </w:tcPr>
          <w:p w14:paraId="0944EC38">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r>
      <w:tr w14:paraId="1927C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06" w:type="pct"/>
            <w:tcBorders>
              <w:top w:val="single" w:color="auto" w:sz="4" w:space="0"/>
              <w:left w:val="single" w:color="auto" w:sz="4" w:space="0"/>
              <w:bottom w:val="single" w:color="auto" w:sz="4" w:space="0"/>
              <w:right w:val="single" w:color="auto" w:sz="4" w:space="0"/>
            </w:tcBorders>
          </w:tcPr>
          <w:p w14:paraId="13183435">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709" w:type="pct"/>
            <w:tcBorders>
              <w:top w:val="single" w:color="auto" w:sz="4" w:space="0"/>
              <w:left w:val="single" w:color="auto" w:sz="4" w:space="0"/>
              <w:bottom w:val="single" w:color="auto" w:sz="4" w:space="0"/>
              <w:right w:val="single" w:color="auto" w:sz="4" w:space="0"/>
            </w:tcBorders>
          </w:tcPr>
          <w:p w14:paraId="79B59522">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853" w:type="pct"/>
            <w:tcBorders>
              <w:top w:val="single" w:color="auto" w:sz="4" w:space="0"/>
              <w:left w:val="single" w:color="auto" w:sz="4" w:space="0"/>
              <w:bottom w:val="single" w:color="auto" w:sz="4" w:space="0"/>
              <w:right w:val="single" w:color="auto" w:sz="4" w:space="0"/>
            </w:tcBorders>
          </w:tcPr>
          <w:p w14:paraId="5D8DDE8F">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131" w:type="pct"/>
            <w:tcBorders>
              <w:top w:val="single" w:color="auto" w:sz="4" w:space="0"/>
              <w:left w:val="single" w:color="auto" w:sz="4" w:space="0"/>
              <w:bottom w:val="single" w:color="auto" w:sz="4" w:space="0"/>
              <w:right w:val="single" w:color="auto" w:sz="4" w:space="0"/>
            </w:tcBorders>
          </w:tcPr>
          <w:p w14:paraId="3A858EA3">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r>
      <w:tr w14:paraId="4AF7B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6" w:type="pct"/>
            <w:tcBorders>
              <w:top w:val="single" w:color="auto" w:sz="4" w:space="0"/>
              <w:left w:val="single" w:color="auto" w:sz="4" w:space="0"/>
              <w:bottom w:val="single" w:color="auto" w:sz="4" w:space="0"/>
              <w:right w:val="single" w:color="auto" w:sz="4" w:space="0"/>
            </w:tcBorders>
          </w:tcPr>
          <w:p w14:paraId="494A4EB6">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709" w:type="pct"/>
            <w:tcBorders>
              <w:top w:val="single" w:color="auto" w:sz="4" w:space="0"/>
              <w:left w:val="single" w:color="auto" w:sz="4" w:space="0"/>
              <w:bottom w:val="single" w:color="auto" w:sz="4" w:space="0"/>
              <w:right w:val="single" w:color="auto" w:sz="4" w:space="0"/>
            </w:tcBorders>
          </w:tcPr>
          <w:p w14:paraId="30BD1CE1">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853" w:type="pct"/>
            <w:tcBorders>
              <w:top w:val="single" w:color="auto" w:sz="4" w:space="0"/>
              <w:left w:val="single" w:color="auto" w:sz="4" w:space="0"/>
              <w:bottom w:val="single" w:color="auto" w:sz="4" w:space="0"/>
              <w:right w:val="single" w:color="auto" w:sz="4" w:space="0"/>
            </w:tcBorders>
          </w:tcPr>
          <w:p w14:paraId="798E79BF">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131" w:type="pct"/>
            <w:tcBorders>
              <w:top w:val="single" w:color="auto" w:sz="4" w:space="0"/>
              <w:left w:val="single" w:color="auto" w:sz="4" w:space="0"/>
              <w:bottom w:val="single" w:color="auto" w:sz="4" w:space="0"/>
              <w:right w:val="single" w:color="auto" w:sz="4" w:space="0"/>
            </w:tcBorders>
          </w:tcPr>
          <w:p w14:paraId="59A2F6A4">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r>
      <w:tr w14:paraId="5E358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6" w:type="pct"/>
            <w:tcBorders>
              <w:top w:val="single" w:color="auto" w:sz="4" w:space="0"/>
              <w:left w:val="single" w:color="auto" w:sz="4" w:space="0"/>
              <w:bottom w:val="single" w:color="auto" w:sz="4" w:space="0"/>
              <w:right w:val="single" w:color="auto" w:sz="4" w:space="0"/>
            </w:tcBorders>
          </w:tcPr>
          <w:p w14:paraId="37E47229">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709" w:type="pct"/>
            <w:tcBorders>
              <w:top w:val="single" w:color="auto" w:sz="4" w:space="0"/>
              <w:left w:val="single" w:color="auto" w:sz="4" w:space="0"/>
              <w:bottom w:val="single" w:color="auto" w:sz="4" w:space="0"/>
              <w:right w:val="single" w:color="auto" w:sz="4" w:space="0"/>
            </w:tcBorders>
          </w:tcPr>
          <w:p w14:paraId="2BC30359">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853" w:type="pct"/>
            <w:tcBorders>
              <w:top w:val="single" w:color="auto" w:sz="4" w:space="0"/>
              <w:left w:val="single" w:color="auto" w:sz="4" w:space="0"/>
              <w:bottom w:val="single" w:color="auto" w:sz="4" w:space="0"/>
              <w:right w:val="single" w:color="auto" w:sz="4" w:space="0"/>
            </w:tcBorders>
          </w:tcPr>
          <w:p w14:paraId="6C9E1790">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131" w:type="pct"/>
            <w:tcBorders>
              <w:top w:val="single" w:color="auto" w:sz="4" w:space="0"/>
              <w:left w:val="single" w:color="auto" w:sz="4" w:space="0"/>
              <w:bottom w:val="single" w:color="auto" w:sz="4" w:space="0"/>
              <w:right w:val="single" w:color="auto" w:sz="4" w:space="0"/>
            </w:tcBorders>
          </w:tcPr>
          <w:p w14:paraId="5AC1C9E0">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r>
    </w:tbl>
    <w:p w14:paraId="59ED0AF5">
      <w:pPr>
        <w:spacing w:line="360" w:lineRule="auto"/>
        <w:ind w:left="72"/>
        <w:rPr>
          <w:rFonts w:hint="eastAsia" w:ascii="仿宋" w:hAnsi="仿宋" w:eastAsia="仿宋" w:cs="仿宋"/>
          <w:szCs w:val="20"/>
          <w:highlight w:val="none"/>
        </w:rPr>
      </w:pPr>
      <w:r>
        <w:rPr>
          <w:rFonts w:hint="eastAsia" w:ascii="仿宋" w:hAnsi="仿宋" w:eastAsia="仿宋" w:cs="仿宋"/>
          <w:szCs w:val="20"/>
          <w:highlight w:val="none"/>
        </w:rPr>
        <w:t>注：竞标供应商可按上述的格式自行编制。</w:t>
      </w:r>
    </w:p>
    <w:p w14:paraId="78F38828">
      <w:pPr>
        <w:snapToGrid w:val="0"/>
        <w:spacing w:line="360" w:lineRule="auto"/>
        <w:ind w:firstLine="4935" w:firstLineChars="2350"/>
        <w:rPr>
          <w:rFonts w:hint="eastAsia" w:ascii="仿宋" w:hAnsi="仿宋" w:eastAsia="仿宋" w:cs="仿宋"/>
          <w:szCs w:val="21"/>
          <w:highlight w:val="none"/>
        </w:rPr>
      </w:pPr>
    </w:p>
    <w:p w14:paraId="5B3E550D">
      <w:pPr>
        <w:snapToGrid w:val="0"/>
        <w:spacing w:line="360" w:lineRule="auto"/>
        <w:ind w:firstLine="4935" w:firstLineChars="2350"/>
        <w:rPr>
          <w:rFonts w:hint="eastAsia" w:ascii="仿宋" w:hAnsi="仿宋" w:eastAsia="仿宋" w:cs="仿宋"/>
          <w:szCs w:val="21"/>
          <w:highlight w:val="none"/>
        </w:rPr>
      </w:pPr>
    </w:p>
    <w:p w14:paraId="7312C5D4">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13E5653B">
      <w:pPr>
        <w:snapToGrid w:val="0"/>
        <w:spacing w:line="360" w:lineRule="auto"/>
        <w:jc w:val="center"/>
        <w:rPr>
          <w:rFonts w:hint="eastAsia" w:ascii="仿宋" w:hAnsi="仿宋" w:eastAsia="仿宋" w:cs="仿宋"/>
          <w:kern w:val="0"/>
          <w:sz w:val="24"/>
          <w:highlight w:val="none"/>
          <w:lang w:val="zh-CN"/>
        </w:rPr>
        <w:sectPr>
          <w:pgSz w:w="11905" w:h="16838"/>
          <w:pgMar w:top="1304" w:right="1304" w:bottom="1304" w:left="1304" w:header="720" w:footer="720" w:gutter="0"/>
          <w:pgNumType w:fmt="decimal"/>
          <w:cols w:space="720" w:num="1"/>
          <w:docGrid w:type="lines" w:linePitch="339" w:charSpace="0"/>
        </w:sectPr>
      </w:pPr>
      <w:r>
        <w:rPr>
          <w:rFonts w:hint="eastAsia" w:ascii="仿宋" w:hAnsi="仿宋" w:eastAsia="仿宋" w:cs="仿宋"/>
          <w:sz w:val="24"/>
          <w:highlight w:val="none"/>
        </w:rPr>
        <w:t xml:space="preserve">              日期：  年  月   日</w:t>
      </w:r>
    </w:p>
    <w:p w14:paraId="612BC7FA">
      <w:pPr>
        <w:snapToGrid w:val="0"/>
        <w:spacing w:before="169" w:beforeLines="50" w:after="50"/>
        <w:ind w:left="142"/>
        <w:jc w:val="center"/>
        <w:rPr>
          <w:rFonts w:hint="eastAsia" w:ascii="仿宋" w:hAnsi="仿宋" w:eastAsia="仿宋" w:cs="仿宋"/>
          <w:b/>
          <w:sz w:val="32"/>
          <w:szCs w:val="32"/>
          <w:highlight w:val="none"/>
        </w:rPr>
      </w:pPr>
      <w:bookmarkStart w:id="123" w:name="_Toc19686839"/>
      <w:bookmarkStart w:id="124" w:name="_Toc2485"/>
      <w:r>
        <w:rPr>
          <w:rFonts w:hint="eastAsia" w:ascii="仿宋" w:hAnsi="仿宋" w:eastAsia="仿宋" w:cs="仿宋"/>
          <w:b/>
          <w:sz w:val="32"/>
          <w:szCs w:val="32"/>
          <w:highlight w:val="none"/>
        </w:rPr>
        <w:t>七、项目实施人员一览表</w:t>
      </w:r>
    </w:p>
    <w:p w14:paraId="7EC18552">
      <w:pPr>
        <w:snapToGrid w:val="0"/>
        <w:spacing w:before="169" w:beforeLines="50" w:after="50"/>
        <w:jc w:val="center"/>
        <w:rPr>
          <w:rFonts w:hint="eastAsia" w:ascii="仿宋" w:hAnsi="仿宋" w:eastAsia="仿宋" w:cs="仿宋"/>
          <w:bCs/>
          <w:sz w:val="22"/>
          <w:szCs w:val="28"/>
          <w:highlight w:val="none"/>
        </w:rPr>
      </w:pPr>
      <w:r>
        <w:rPr>
          <w:rFonts w:hint="eastAsia" w:ascii="仿宋" w:hAnsi="仿宋" w:eastAsia="仿宋" w:cs="仿宋"/>
          <w:bCs/>
          <w:sz w:val="22"/>
          <w:szCs w:val="28"/>
          <w:highlight w:val="none"/>
        </w:rPr>
        <w:t>（由竞标供应商根据采购需求及采购文件要求编制）</w:t>
      </w:r>
    </w:p>
    <w:p w14:paraId="41B4E94D">
      <w:pPr>
        <w:rPr>
          <w:rFonts w:hint="eastAsia" w:ascii="仿宋" w:hAnsi="仿宋" w:eastAsia="仿宋" w:cs="仿宋"/>
          <w:sz w:val="24"/>
          <w:highlight w:val="none"/>
        </w:rPr>
      </w:pPr>
      <w:r>
        <w:rPr>
          <w:rFonts w:hint="eastAsia" w:ascii="仿宋" w:hAnsi="仿宋" w:eastAsia="仿宋" w:cs="仿宋"/>
          <w:sz w:val="24"/>
          <w:highlight w:val="none"/>
        </w:rPr>
        <w:t>所投分标：  分标</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193"/>
        <w:gridCol w:w="1979"/>
        <w:gridCol w:w="1193"/>
        <w:gridCol w:w="1979"/>
        <w:gridCol w:w="1977"/>
      </w:tblGrid>
      <w:tr w14:paraId="27E3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7" w:type="pct"/>
            <w:vAlign w:val="center"/>
          </w:tcPr>
          <w:p w14:paraId="4C4CD333">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序号</w:t>
            </w:r>
          </w:p>
        </w:tc>
        <w:tc>
          <w:tcPr>
            <w:tcW w:w="627" w:type="pct"/>
            <w:vAlign w:val="center"/>
          </w:tcPr>
          <w:p w14:paraId="064924E4">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姓名</w:t>
            </w:r>
          </w:p>
        </w:tc>
        <w:tc>
          <w:tcPr>
            <w:tcW w:w="1040" w:type="pct"/>
            <w:vAlign w:val="center"/>
          </w:tcPr>
          <w:p w14:paraId="07280732">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本项目拟</w:t>
            </w:r>
          </w:p>
          <w:p w14:paraId="62480E12">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担任职务</w:t>
            </w:r>
          </w:p>
        </w:tc>
        <w:tc>
          <w:tcPr>
            <w:tcW w:w="627" w:type="pct"/>
            <w:vAlign w:val="center"/>
          </w:tcPr>
          <w:p w14:paraId="1CEA1F9A">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学历</w:t>
            </w:r>
          </w:p>
        </w:tc>
        <w:tc>
          <w:tcPr>
            <w:tcW w:w="1040" w:type="pct"/>
            <w:vAlign w:val="center"/>
          </w:tcPr>
          <w:p w14:paraId="126FB2A9">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职称或职</w:t>
            </w:r>
          </w:p>
          <w:p w14:paraId="63551D62">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业资格</w:t>
            </w:r>
          </w:p>
        </w:tc>
        <w:tc>
          <w:tcPr>
            <w:tcW w:w="1039" w:type="pct"/>
            <w:vAlign w:val="center"/>
          </w:tcPr>
          <w:p w14:paraId="5322C9A4">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联系电话</w:t>
            </w:r>
          </w:p>
        </w:tc>
      </w:tr>
      <w:tr w14:paraId="0A70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13B6925B">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283DD256">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b/>
                <w:bCs/>
                <w:szCs w:val="21"/>
                <w:highlight w:val="none"/>
              </w:rPr>
            </w:pPr>
          </w:p>
        </w:tc>
        <w:tc>
          <w:tcPr>
            <w:tcW w:w="1040" w:type="pct"/>
            <w:vAlign w:val="center"/>
          </w:tcPr>
          <w:p w14:paraId="5066A85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b/>
                <w:bCs/>
                <w:szCs w:val="21"/>
                <w:highlight w:val="none"/>
              </w:rPr>
            </w:pPr>
          </w:p>
        </w:tc>
        <w:tc>
          <w:tcPr>
            <w:tcW w:w="627" w:type="pct"/>
            <w:vAlign w:val="center"/>
          </w:tcPr>
          <w:p w14:paraId="5D11079A">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b/>
                <w:bCs/>
                <w:szCs w:val="21"/>
                <w:highlight w:val="none"/>
              </w:rPr>
            </w:pPr>
          </w:p>
        </w:tc>
        <w:tc>
          <w:tcPr>
            <w:tcW w:w="1040" w:type="pct"/>
            <w:vAlign w:val="center"/>
          </w:tcPr>
          <w:p w14:paraId="1BE79E72">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b/>
                <w:bCs/>
                <w:szCs w:val="21"/>
                <w:highlight w:val="none"/>
              </w:rPr>
            </w:pPr>
          </w:p>
        </w:tc>
        <w:tc>
          <w:tcPr>
            <w:tcW w:w="1039" w:type="pct"/>
            <w:vAlign w:val="center"/>
          </w:tcPr>
          <w:p w14:paraId="145BC47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b/>
                <w:bCs/>
                <w:szCs w:val="21"/>
                <w:highlight w:val="none"/>
              </w:rPr>
            </w:pPr>
          </w:p>
        </w:tc>
      </w:tr>
      <w:tr w14:paraId="7730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1016DE9C">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51F02B51">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195833E0">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41B48B5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78ECB12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26CFAADE">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100F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12E1B5F9">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78A25AC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57FC79C3">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70F271BB">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588AA12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402774A7">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2536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3C52105A">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3EB23F72">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1D916FB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054C94A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7B2748F3">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4069CBE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4DA8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5C75A056">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18896AD3">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405F8E80">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2A84A26F">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56DDC542">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2224DAFA">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0298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70ECCB1B">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69D427CA">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2D998940">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055DC9B0">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33975BFA">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61CA0D5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0C69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212CE1E3">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480F318E">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5E59324B">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24EA8E88">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5480364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768D60A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4B72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0DA4F03B">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73C312DA">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2A7DAB78">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32EC04DD">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35287BE6">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5B71896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33F2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10C9754C">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2EE56C2B">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30502D38">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3124AA9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6ED3837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233C1FAE">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7A04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37709C6D">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21778A7D">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62E1251A">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0F783596">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585517E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70CF0257">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0703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32BFFFF8">
            <w:pPr>
              <w:keepNext w:val="0"/>
              <w:keepLines w:val="0"/>
              <w:widowControl/>
              <w:suppressLineNumbers w:val="0"/>
              <w:tabs>
                <w:tab w:val="left" w:pos="420"/>
              </w:tabs>
              <w:spacing w:before="169" w:beforeLines="50" w:beforeAutospacing="0" w:after="169" w:afterLines="5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w:t>
            </w:r>
          </w:p>
        </w:tc>
        <w:tc>
          <w:tcPr>
            <w:tcW w:w="627" w:type="pct"/>
            <w:vAlign w:val="center"/>
          </w:tcPr>
          <w:p w14:paraId="5CC9EDB2">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60C4ECAF">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441C95FB">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2688716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03A3DAEE">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bl>
    <w:p w14:paraId="3DCA472C">
      <w:pPr>
        <w:pStyle w:val="21"/>
        <w:rPr>
          <w:rFonts w:hint="eastAsia" w:ascii="仿宋" w:hAnsi="仿宋" w:eastAsia="仿宋" w:cs="仿宋"/>
          <w:highlight w:val="none"/>
        </w:rPr>
      </w:pPr>
    </w:p>
    <w:p w14:paraId="46B5696A">
      <w:pPr>
        <w:spacing w:line="360" w:lineRule="auto"/>
        <w:rPr>
          <w:rFonts w:hint="eastAsia" w:ascii="仿宋" w:hAnsi="仿宋" w:eastAsia="仿宋" w:cs="仿宋"/>
          <w:b/>
          <w:sz w:val="24"/>
          <w:highlight w:val="none"/>
        </w:rPr>
      </w:pPr>
    </w:p>
    <w:p w14:paraId="6868A0D7">
      <w:pPr>
        <w:spacing w:line="360" w:lineRule="auto"/>
        <w:rPr>
          <w:rFonts w:hint="eastAsia" w:ascii="仿宋" w:hAnsi="仿宋" w:eastAsia="仿宋" w:cs="仿宋"/>
          <w:b/>
          <w:sz w:val="24"/>
          <w:highlight w:val="none"/>
        </w:rPr>
      </w:pPr>
    </w:p>
    <w:p w14:paraId="72DB5990">
      <w:pPr>
        <w:snapToGrid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供应商名称(电子签章)：</w:t>
      </w:r>
    </w:p>
    <w:p w14:paraId="7C5FE2C1">
      <w:pPr>
        <w:autoSpaceDE w:val="0"/>
        <w:autoSpaceDN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日期：  年  月   日</w:t>
      </w:r>
    </w:p>
    <w:p w14:paraId="7AE72ADA">
      <w:pPr>
        <w:rPr>
          <w:rFonts w:hint="eastAsia" w:ascii="仿宋" w:hAnsi="仿宋" w:eastAsia="仿宋" w:cs="仿宋"/>
          <w:highlight w:val="none"/>
        </w:rPr>
      </w:pPr>
    </w:p>
    <w:p w14:paraId="1A43D1CF">
      <w:pPr>
        <w:ind w:firstLine="640" w:firstLineChars="200"/>
        <w:rPr>
          <w:rFonts w:hint="eastAsia" w:ascii="仿宋" w:hAnsi="仿宋" w:eastAsia="仿宋" w:cs="仿宋"/>
          <w:kern w:val="0"/>
          <w:sz w:val="32"/>
          <w:szCs w:val="20"/>
          <w:highlight w:val="none"/>
        </w:rPr>
      </w:pPr>
      <w:r>
        <w:rPr>
          <w:rFonts w:hint="eastAsia" w:ascii="仿宋" w:hAnsi="仿宋" w:eastAsia="仿宋" w:cs="仿宋"/>
          <w:kern w:val="0"/>
          <w:sz w:val="32"/>
          <w:szCs w:val="20"/>
          <w:highlight w:val="none"/>
        </w:rPr>
        <w:br w:type="page"/>
      </w:r>
    </w:p>
    <w:p w14:paraId="7D8F6DC1">
      <w:pPr>
        <w:jc w:val="center"/>
        <w:outlineLvl w:val="1"/>
        <w:rPr>
          <w:rFonts w:hint="eastAsia" w:ascii="仿宋" w:hAnsi="仿宋" w:eastAsia="仿宋" w:cs="仿宋"/>
          <w:b/>
          <w:bCs/>
          <w:sz w:val="28"/>
          <w:szCs w:val="28"/>
          <w:highlight w:val="none"/>
        </w:rPr>
      </w:pPr>
      <w:bookmarkStart w:id="125" w:name="_Toc5092"/>
      <w:bookmarkStart w:id="126" w:name="_Toc127516338"/>
      <w:r>
        <w:rPr>
          <w:rFonts w:hint="eastAsia" w:ascii="仿宋" w:hAnsi="仿宋" w:eastAsia="仿宋" w:cs="仿宋"/>
          <w:b/>
          <w:bCs/>
          <w:sz w:val="28"/>
          <w:szCs w:val="28"/>
          <w:highlight w:val="none"/>
        </w:rPr>
        <w:t>第四节 技术文件格式</w:t>
      </w:r>
      <w:bookmarkEnd w:id="123"/>
      <w:bookmarkEnd w:id="124"/>
      <w:bookmarkEnd w:id="125"/>
      <w:bookmarkEnd w:id="126"/>
    </w:p>
    <w:p w14:paraId="08472847">
      <w:pPr>
        <w:snapToGrid w:val="0"/>
        <w:spacing w:before="169" w:beforeLines="50" w:after="50"/>
        <w:rPr>
          <w:rFonts w:hint="eastAsia" w:ascii="仿宋" w:hAnsi="仿宋" w:eastAsia="仿宋" w:cs="仿宋"/>
          <w:bCs/>
          <w:sz w:val="32"/>
          <w:szCs w:val="20"/>
          <w:highlight w:val="none"/>
        </w:rPr>
      </w:pPr>
      <w:r>
        <w:rPr>
          <w:rFonts w:hint="eastAsia" w:ascii="仿宋" w:hAnsi="仿宋" w:eastAsia="仿宋" w:cs="仿宋"/>
          <w:bCs/>
          <w:highlight w:val="none"/>
        </w:rPr>
        <w:t>电子响应文件</w:t>
      </w:r>
    </w:p>
    <w:p w14:paraId="67CDE648">
      <w:pPr>
        <w:snapToGrid w:val="0"/>
        <w:spacing w:before="169" w:beforeLines="50" w:after="50"/>
        <w:rPr>
          <w:rFonts w:hint="eastAsia" w:ascii="仿宋" w:hAnsi="仿宋" w:eastAsia="仿宋" w:cs="仿宋"/>
          <w:sz w:val="24"/>
          <w:szCs w:val="20"/>
          <w:highlight w:val="none"/>
        </w:rPr>
      </w:pPr>
    </w:p>
    <w:p w14:paraId="0BC5BA12">
      <w:pPr>
        <w:snapToGrid w:val="0"/>
        <w:spacing w:before="169" w:beforeLines="50" w:after="50"/>
        <w:jc w:val="center"/>
        <w:rPr>
          <w:rFonts w:hint="eastAsia" w:ascii="仿宋" w:hAnsi="仿宋" w:eastAsia="仿宋" w:cs="仿宋"/>
          <w:b/>
          <w:bCs/>
          <w:sz w:val="32"/>
          <w:szCs w:val="32"/>
          <w:highlight w:val="none"/>
        </w:rPr>
      </w:pPr>
    </w:p>
    <w:p w14:paraId="0F44F2CB">
      <w:pPr>
        <w:snapToGrid w:val="0"/>
        <w:spacing w:before="169" w:beforeLines="50" w:after="50"/>
        <w:jc w:val="center"/>
        <w:rPr>
          <w:rFonts w:hint="eastAsia" w:ascii="仿宋" w:hAnsi="仿宋" w:eastAsia="仿宋" w:cs="仿宋"/>
          <w:b/>
          <w:bCs/>
          <w:sz w:val="32"/>
          <w:szCs w:val="32"/>
          <w:highlight w:val="none"/>
        </w:rPr>
      </w:pPr>
    </w:p>
    <w:p w14:paraId="2059B9D4">
      <w:pPr>
        <w:snapToGrid w:val="0"/>
        <w:spacing w:before="169" w:beforeLines="50" w:after="50"/>
        <w:jc w:val="center"/>
        <w:rPr>
          <w:rFonts w:hint="eastAsia" w:ascii="仿宋" w:hAnsi="仿宋" w:eastAsia="仿宋" w:cs="仿宋"/>
          <w:b/>
          <w:bCs/>
          <w:sz w:val="32"/>
          <w:szCs w:val="32"/>
          <w:highlight w:val="none"/>
        </w:rPr>
      </w:pPr>
    </w:p>
    <w:p w14:paraId="6F1314D3">
      <w:pPr>
        <w:snapToGrid w:val="0"/>
        <w:spacing w:before="169" w:beforeLines="50" w:after="5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技术文件（封面）</w:t>
      </w:r>
    </w:p>
    <w:p w14:paraId="750AFB09">
      <w:pPr>
        <w:snapToGrid w:val="0"/>
        <w:spacing w:before="169" w:beforeLines="50" w:after="50"/>
        <w:rPr>
          <w:rFonts w:hint="eastAsia" w:ascii="仿宋" w:hAnsi="仿宋" w:eastAsia="仿宋" w:cs="仿宋"/>
          <w:bCs/>
          <w:sz w:val="24"/>
          <w:szCs w:val="20"/>
          <w:highlight w:val="none"/>
        </w:rPr>
      </w:pPr>
    </w:p>
    <w:p w14:paraId="00154700">
      <w:pPr>
        <w:snapToGrid w:val="0"/>
        <w:spacing w:before="169" w:beforeLines="50" w:after="50" w:line="400" w:lineRule="exact"/>
        <w:ind w:firstLine="360" w:firstLineChars="150"/>
        <w:rPr>
          <w:rFonts w:hint="eastAsia" w:ascii="仿宋" w:hAnsi="仿宋" w:eastAsia="仿宋" w:cs="仿宋"/>
          <w:bCs/>
          <w:sz w:val="24"/>
          <w:szCs w:val="20"/>
          <w:highlight w:val="none"/>
        </w:rPr>
      </w:pPr>
      <w:r>
        <w:rPr>
          <w:rFonts w:hint="eastAsia" w:ascii="仿宋" w:hAnsi="仿宋" w:eastAsia="仿宋" w:cs="仿宋"/>
          <w:bCs/>
          <w:sz w:val="24"/>
          <w:highlight w:val="none"/>
        </w:rPr>
        <w:t xml:space="preserve">项目名称： </w:t>
      </w:r>
    </w:p>
    <w:p w14:paraId="662BFD1A">
      <w:pPr>
        <w:snapToGrid w:val="0"/>
        <w:spacing w:before="169" w:beforeLines="50" w:after="50" w:line="400" w:lineRule="exact"/>
        <w:ind w:firstLine="360" w:firstLineChars="150"/>
        <w:rPr>
          <w:rFonts w:hint="eastAsia" w:ascii="仿宋" w:hAnsi="仿宋" w:eastAsia="仿宋" w:cs="仿宋"/>
          <w:bCs/>
          <w:sz w:val="24"/>
          <w:highlight w:val="none"/>
        </w:rPr>
      </w:pPr>
      <w:r>
        <w:rPr>
          <w:rFonts w:hint="eastAsia" w:ascii="仿宋" w:hAnsi="仿宋" w:eastAsia="仿宋" w:cs="仿宋"/>
          <w:bCs/>
          <w:sz w:val="24"/>
          <w:highlight w:val="none"/>
        </w:rPr>
        <w:t xml:space="preserve">项目编号： </w:t>
      </w:r>
    </w:p>
    <w:p w14:paraId="0B47DA02">
      <w:pPr>
        <w:snapToGrid w:val="0"/>
        <w:spacing w:before="169" w:beforeLines="50" w:after="50" w:line="400" w:lineRule="exact"/>
        <w:ind w:firstLine="360" w:firstLineChars="150"/>
        <w:rPr>
          <w:rFonts w:hint="eastAsia" w:ascii="仿宋" w:hAnsi="仿宋" w:eastAsia="仿宋" w:cs="仿宋"/>
          <w:bCs/>
          <w:sz w:val="24"/>
          <w:highlight w:val="none"/>
        </w:rPr>
      </w:pPr>
      <w:r>
        <w:rPr>
          <w:rFonts w:hint="eastAsia" w:ascii="仿宋" w:hAnsi="仿宋" w:eastAsia="仿宋" w:cs="仿宋"/>
          <w:bCs/>
          <w:sz w:val="24"/>
          <w:highlight w:val="none"/>
        </w:rPr>
        <w:t>所投分标：</w:t>
      </w:r>
    </w:p>
    <w:p w14:paraId="3DA32251">
      <w:pPr>
        <w:snapToGrid w:val="0"/>
        <w:spacing w:before="169" w:beforeLines="50" w:after="50" w:line="400" w:lineRule="exact"/>
        <w:ind w:firstLine="360" w:firstLineChars="150"/>
        <w:rPr>
          <w:rFonts w:hint="eastAsia" w:ascii="仿宋" w:hAnsi="仿宋" w:eastAsia="仿宋" w:cs="仿宋"/>
          <w:bCs/>
          <w:sz w:val="24"/>
          <w:highlight w:val="none"/>
        </w:rPr>
      </w:pPr>
      <w:r>
        <w:rPr>
          <w:rFonts w:hint="eastAsia" w:ascii="仿宋" w:hAnsi="仿宋" w:eastAsia="仿宋" w:cs="仿宋"/>
          <w:bCs/>
          <w:sz w:val="24"/>
          <w:highlight w:val="none"/>
        </w:rPr>
        <w:t>供应商名称：</w:t>
      </w:r>
    </w:p>
    <w:p w14:paraId="56549502">
      <w:pPr>
        <w:snapToGrid w:val="0"/>
        <w:spacing w:before="169" w:beforeLines="50" w:after="50"/>
        <w:ind w:firstLine="645"/>
        <w:jc w:val="center"/>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p w14:paraId="046FC61D">
      <w:pPr>
        <w:snapToGrid w:val="0"/>
        <w:spacing w:before="169" w:beforeLines="50" w:after="50"/>
        <w:ind w:firstLine="645"/>
        <w:jc w:val="center"/>
        <w:rPr>
          <w:rFonts w:hint="eastAsia" w:ascii="仿宋" w:hAnsi="仿宋" w:eastAsia="仿宋" w:cs="仿宋"/>
          <w:sz w:val="24"/>
          <w:szCs w:val="20"/>
          <w:highlight w:val="none"/>
        </w:rPr>
      </w:pPr>
    </w:p>
    <w:p w14:paraId="2061FA47">
      <w:pPr>
        <w:jc w:val="center"/>
        <w:rPr>
          <w:rFonts w:hint="eastAsia" w:ascii="仿宋" w:hAnsi="仿宋" w:eastAsia="仿宋" w:cs="仿宋"/>
          <w:b/>
          <w:kern w:val="0"/>
          <w:sz w:val="28"/>
          <w:szCs w:val="28"/>
          <w:highlight w:val="none"/>
        </w:rPr>
      </w:pPr>
      <w:r>
        <w:rPr>
          <w:rFonts w:hint="eastAsia" w:ascii="仿宋" w:hAnsi="仿宋" w:eastAsia="仿宋" w:cs="仿宋"/>
          <w:b/>
          <w:bCs/>
          <w:sz w:val="24"/>
          <w:highlight w:val="none"/>
        </w:rPr>
        <w:br w:type="page"/>
      </w:r>
      <w:r>
        <w:rPr>
          <w:rFonts w:hint="eastAsia" w:ascii="仿宋" w:hAnsi="仿宋" w:eastAsia="仿宋" w:cs="仿宋"/>
          <w:b/>
          <w:kern w:val="0"/>
          <w:sz w:val="28"/>
          <w:szCs w:val="28"/>
          <w:highlight w:val="none"/>
        </w:rPr>
        <w:t>技术文件目录</w:t>
      </w:r>
    </w:p>
    <w:p w14:paraId="48A6C0AB">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一、服务需求偏离表……………………………………………………………（页码）</w:t>
      </w:r>
    </w:p>
    <w:p w14:paraId="50211728">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二、服务方案……………………………………………………………………（页码）</w:t>
      </w:r>
    </w:p>
    <w:p w14:paraId="3E3F0B11">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三、售后服务承诺………………………………</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p>
    <w:p w14:paraId="7F7C0B4B">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四、对应采购需求的服务需求、商务条款提供的其他文件资料</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p>
    <w:p w14:paraId="32646C97">
      <w:pPr>
        <w:adjustRightInd w:val="0"/>
        <w:spacing w:line="360" w:lineRule="auto"/>
        <w:ind w:left="2" w:firstLine="480" w:firstLineChars="200"/>
        <w:rPr>
          <w:rFonts w:hint="eastAsia" w:ascii="仿宋" w:hAnsi="仿宋" w:eastAsia="仿宋" w:cs="仿宋"/>
          <w:sz w:val="24"/>
          <w:szCs w:val="21"/>
          <w:highlight w:val="none"/>
        </w:rPr>
      </w:pPr>
      <w:r>
        <w:rPr>
          <w:rFonts w:hint="eastAsia" w:ascii="仿宋" w:hAnsi="仿宋" w:eastAsia="仿宋" w:cs="仿宋"/>
          <w:sz w:val="24"/>
          <w:highlight w:val="none"/>
          <w:lang w:val="zh-CN"/>
        </w:rPr>
        <w:t>五、</w:t>
      </w:r>
      <w:r>
        <w:rPr>
          <w:rFonts w:hint="eastAsia" w:ascii="仿宋" w:hAnsi="仿宋" w:eastAsia="仿宋" w:cs="仿宋"/>
          <w:sz w:val="24"/>
          <w:szCs w:val="21"/>
          <w:highlight w:val="none"/>
        </w:rPr>
        <w:t>除采购文件规定必须提供以外，竞标供应商需要说明的其他文件和说明（格式自拟）</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p>
    <w:p w14:paraId="409D052C">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注：以上目录是基本格式要求，各竞标供应商可根据自身情况进一步向下增加内容或细化。</w:t>
      </w:r>
    </w:p>
    <w:p w14:paraId="69552FD6">
      <w:pPr>
        <w:snapToGrid w:val="0"/>
        <w:spacing w:before="169" w:beforeLines="50" w:after="50"/>
        <w:ind w:left="143" w:leftChars="68" w:firstLine="472" w:firstLineChars="196"/>
        <w:jc w:val="left"/>
        <w:rPr>
          <w:rFonts w:hint="eastAsia" w:ascii="仿宋" w:hAnsi="仿宋" w:eastAsia="仿宋" w:cs="仿宋"/>
          <w:b/>
          <w:sz w:val="24"/>
          <w:highlight w:val="none"/>
        </w:rPr>
      </w:pPr>
    </w:p>
    <w:p w14:paraId="33F97738">
      <w:pPr>
        <w:snapToGrid w:val="0"/>
        <w:spacing w:before="169" w:beforeLines="50" w:after="50"/>
        <w:ind w:left="143" w:leftChars="68" w:firstLine="472" w:firstLineChars="196"/>
        <w:jc w:val="left"/>
        <w:rPr>
          <w:rFonts w:hint="eastAsia" w:ascii="仿宋" w:hAnsi="仿宋" w:eastAsia="仿宋" w:cs="仿宋"/>
          <w:b/>
          <w:sz w:val="24"/>
          <w:highlight w:val="none"/>
        </w:rPr>
      </w:pPr>
      <w:r>
        <w:rPr>
          <w:rFonts w:hint="eastAsia" w:ascii="仿宋" w:hAnsi="仿宋" w:eastAsia="仿宋" w:cs="仿宋"/>
          <w:b/>
          <w:sz w:val="24"/>
          <w:highlight w:val="none"/>
        </w:rPr>
        <w:br w:type="page"/>
      </w:r>
    </w:p>
    <w:p w14:paraId="48606DCF">
      <w:pPr>
        <w:spacing w:line="500" w:lineRule="exact"/>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一、竞标服务技术需求偏离表</w:t>
      </w:r>
    </w:p>
    <w:p w14:paraId="446E9E34">
      <w:pPr>
        <w:spacing w:line="440" w:lineRule="exact"/>
        <w:ind w:firstLine="420" w:firstLineChars="200"/>
        <w:rPr>
          <w:rFonts w:hint="eastAsia" w:ascii="仿宋" w:hAnsi="仿宋" w:eastAsia="仿宋" w:cs="仿宋"/>
          <w:szCs w:val="20"/>
          <w:highlight w:val="none"/>
        </w:rPr>
      </w:pPr>
    </w:p>
    <w:p w14:paraId="2A650546">
      <w:pPr>
        <w:spacing w:line="6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请根据所投服务的实际技术参数，</w:t>
      </w:r>
      <w:r>
        <w:rPr>
          <w:rFonts w:hint="eastAsia" w:ascii="仿宋" w:hAnsi="仿宋" w:eastAsia="仿宋" w:cs="仿宋"/>
          <w:b/>
          <w:sz w:val="28"/>
          <w:szCs w:val="28"/>
          <w:highlight w:val="none"/>
        </w:rPr>
        <w:t>逐条对应</w:t>
      </w:r>
      <w:r>
        <w:rPr>
          <w:rFonts w:hint="eastAsia" w:ascii="仿宋" w:hAnsi="仿宋" w:eastAsia="仿宋" w:cs="仿宋"/>
          <w:sz w:val="24"/>
          <w:highlight w:val="none"/>
        </w:rPr>
        <w:t>本项目采购文件第二章“服务需求一览表”中项号“1”服务名称“</w:t>
      </w:r>
      <w:r>
        <w:rPr>
          <w:rFonts w:hint="eastAsia" w:ascii="仿宋" w:hAnsi="仿宋" w:eastAsia="仿宋" w:cs="仿宋"/>
          <w:b/>
          <w:bCs/>
          <w:sz w:val="24"/>
          <w:highlight w:val="none"/>
          <w:u w:val="single"/>
          <w:lang w:eastAsia="zh-CN"/>
        </w:rPr>
        <w:t>轨道交通第三方安全评估</w:t>
      </w:r>
      <w:r>
        <w:rPr>
          <w:rFonts w:hint="eastAsia" w:ascii="仿宋" w:hAnsi="仿宋" w:eastAsia="仿宋" w:cs="仿宋"/>
          <w:sz w:val="24"/>
          <w:highlight w:val="none"/>
        </w:rPr>
        <w:t>”中的“服务内容及要求”详细填写相应的具体内容。“偏离说明”一栏应当选择“正偏离”、“负偏离”或“无偏离”进行填写。</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30BC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65D60D35">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5BADB46B">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采购文件需求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0F55445B">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响应文件承诺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778D6D52">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偏离说明</w:t>
            </w:r>
          </w:p>
        </w:tc>
      </w:tr>
      <w:tr w14:paraId="22F0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43E0E858">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B7E0C52">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29072C55">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3972AF40">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2A9F314F">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4ECB9AB9">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r>
      <w:tr w14:paraId="4045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5134F1F">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5F43B18B">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7791E067">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14BF14B8">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20629E71">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3E22BE97">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67D27D45">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6C7D720C">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1E631A22">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7F7E71D8">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534D7BDC">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1DFFDE19">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正偏离（负偏离或无偏离）</w:t>
            </w:r>
          </w:p>
        </w:tc>
      </w:tr>
      <w:tr w14:paraId="1062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E13481F">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53C9FB09">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26F8134B">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6B5FC924">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7DAB2914">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30559A4A">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47B8AF0F">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75658131">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6C8EB39C">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32A4B764">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338CF12A">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7A2C4183">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正偏离（负偏离或无偏离）</w:t>
            </w:r>
          </w:p>
        </w:tc>
      </w:tr>
      <w:tr w14:paraId="1538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1B93C2F">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2C6CC1DE">
            <w:pPr>
              <w:keepNext w:val="0"/>
              <w:keepLines w:val="0"/>
              <w:suppressLineNumbers w:val="0"/>
              <w:spacing w:before="0" w:beforeAutospacing="0" w:after="0" w:afterAutospacing="0"/>
              <w:ind w:left="0" w:right="0"/>
              <w:rPr>
                <w:rFonts w:hint="eastAsia" w:ascii="仿宋" w:hAnsi="仿宋" w:eastAsia="仿宋" w:cs="仿宋"/>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644A09C0">
            <w:pPr>
              <w:keepNext w:val="0"/>
              <w:keepLines w:val="0"/>
              <w:suppressLineNumbers w:val="0"/>
              <w:spacing w:before="0" w:beforeAutospacing="0" w:after="0" w:afterAutospacing="0"/>
              <w:ind w:left="0" w:right="0"/>
              <w:rPr>
                <w:rFonts w:hint="eastAsia" w:ascii="仿宋" w:hAnsi="仿宋" w:eastAsia="仿宋" w:cs="仿宋"/>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431F8D36">
            <w:pPr>
              <w:keepNext w:val="0"/>
              <w:keepLines w:val="0"/>
              <w:suppressLineNumbers w:val="0"/>
              <w:spacing w:before="0" w:beforeAutospacing="0" w:after="0" w:afterAutospacing="0"/>
              <w:ind w:left="0" w:right="0"/>
              <w:rPr>
                <w:rFonts w:hint="eastAsia" w:ascii="仿宋" w:hAnsi="仿宋" w:eastAsia="仿宋" w:cs="仿宋"/>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276EF234">
            <w:pPr>
              <w:keepNext w:val="0"/>
              <w:keepLines w:val="0"/>
              <w:suppressLineNumbers w:val="0"/>
              <w:spacing w:before="0" w:beforeAutospacing="0" w:after="0" w:afterAutospacing="0"/>
              <w:ind w:left="0" w:right="0"/>
              <w:rPr>
                <w:rFonts w:hint="eastAsia" w:ascii="仿宋" w:hAnsi="仿宋" w:eastAsia="仿宋" w:cs="仿宋"/>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2684BBF8">
            <w:pPr>
              <w:keepNext w:val="0"/>
              <w:keepLines w:val="0"/>
              <w:suppressLineNumbers w:val="0"/>
              <w:spacing w:before="0" w:beforeAutospacing="0" w:after="0" w:afterAutospacing="0"/>
              <w:ind w:left="0" w:right="0"/>
              <w:rPr>
                <w:rFonts w:hint="eastAsia" w:ascii="仿宋" w:hAnsi="仿宋" w:eastAsia="仿宋" w:cs="仿宋"/>
                <w:szCs w:val="21"/>
                <w:highlight w:val="none"/>
              </w:rPr>
            </w:pPr>
          </w:p>
        </w:tc>
      </w:tr>
      <w:tr w14:paraId="349F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04283FF1">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u w:val="single"/>
              </w:rPr>
              <w:t>　　</w:t>
            </w:r>
            <w:r>
              <w:rPr>
                <w:rFonts w:hint="eastAsia" w:ascii="仿宋" w:hAnsi="仿宋" w:eastAsia="仿宋" w:cs="仿宋"/>
                <w:szCs w:val="21"/>
                <w:highlight w:val="none"/>
              </w:rPr>
              <w:t>分标（此处有分标时填写具体分标号，无分标时填写“无”）</w:t>
            </w:r>
          </w:p>
        </w:tc>
      </w:tr>
    </w:tbl>
    <w:p w14:paraId="4B6CD944">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注：</w:t>
      </w:r>
    </w:p>
    <w:p w14:paraId="2B6D0784">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1.表格内容均需按要求填写并盖章，不得留空，</w:t>
      </w:r>
      <w:r>
        <w:rPr>
          <w:rFonts w:hint="eastAsia" w:ascii="仿宋" w:hAnsi="仿宋" w:eastAsia="仿宋" w:cs="仿宋"/>
          <w:bCs/>
          <w:szCs w:val="21"/>
          <w:highlight w:val="none"/>
        </w:rPr>
        <w:t>否则按竞标无效处理</w:t>
      </w:r>
      <w:r>
        <w:rPr>
          <w:rFonts w:hint="eastAsia" w:ascii="仿宋" w:hAnsi="仿宋" w:eastAsia="仿宋" w:cs="仿宋"/>
          <w:szCs w:val="21"/>
          <w:highlight w:val="none"/>
        </w:rPr>
        <w:t>。</w:t>
      </w:r>
    </w:p>
    <w:p w14:paraId="6C0F8ECB">
      <w:pPr>
        <w:spacing w:line="360" w:lineRule="auto"/>
        <w:rPr>
          <w:rFonts w:hint="eastAsia" w:ascii="仿宋" w:hAnsi="仿宋" w:eastAsia="仿宋" w:cs="仿宋"/>
          <w:szCs w:val="21"/>
          <w:highlight w:val="none"/>
        </w:rPr>
      </w:pPr>
      <w:r>
        <w:rPr>
          <w:rFonts w:hint="eastAsia" w:ascii="仿宋" w:hAnsi="仿宋" w:eastAsia="仿宋" w:cs="仿宋"/>
          <w:bCs/>
          <w:szCs w:val="21"/>
          <w:highlight w:val="none"/>
        </w:rPr>
        <w:t>2.当响应文件的服务内容低于采购文件要求时，竞标供应商应当如实写明“负偏离”，否则视为虚假应标。</w:t>
      </w:r>
    </w:p>
    <w:p w14:paraId="4BEB5061">
      <w:pPr>
        <w:spacing w:line="360" w:lineRule="auto"/>
        <w:rPr>
          <w:rFonts w:hint="eastAsia" w:ascii="仿宋" w:hAnsi="仿宋" w:eastAsia="仿宋" w:cs="仿宋"/>
          <w:szCs w:val="20"/>
          <w:highlight w:val="none"/>
        </w:rPr>
      </w:pPr>
      <w:r>
        <w:rPr>
          <w:rFonts w:hint="eastAsia" w:ascii="仿宋" w:hAnsi="仿宋" w:eastAsia="仿宋" w:cs="仿宋"/>
          <w:szCs w:val="20"/>
          <w:highlight w:val="none"/>
        </w:rPr>
        <w:t>3.</w:t>
      </w:r>
      <w:r>
        <w:rPr>
          <w:rFonts w:hint="eastAsia" w:ascii="仿宋" w:hAnsi="仿宋" w:eastAsia="仿宋" w:cs="仿宋"/>
          <w:szCs w:val="21"/>
          <w:highlight w:val="none"/>
        </w:rPr>
        <w:t>采购需求中带“▲”的条款，也要分别在本表“服务参数”、“所提供服务的内容”中标记。</w:t>
      </w:r>
    </w:p>
    <w:p w14:paraId="61206748">
      <w:pPr>
        <w:snapToGrid w:val="0"/>
        <w:spacing w:line="360" w:lineRule="auto"/>
        <w:ind w:firstLine="5640" w:firstLineChars="2350"/>
        <w:rPr>
          <w:rFonts w:hint="eastAsia" w:ascii="仿宋" w:hAnsi="仿宋" w:eastAsia="仿宋" w:cs="仿宋"/>
          <w:kern w:val="0"/>
          <w:sz w:val="24"/>
          <w:highlight w:val="none"/>
          <w:lang w:val="zh-CN"/>
        </w:rPr>
      </w:pPr>
    </w:p>
    <w:p w14:paraId="439055D2">
      <w:pPr>
        <w:snapToGrid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供应商名称(电子签章)：</w:t>
      </w:r>
    </w:p>
    <w:p w14:paraId="5F931F82">
      <w:pPr>
        <w:snapToGrid w:val="0"/>
        <w:spacing w:line="360" w:lineRule="auto"/>
        <w:ind w:firstLine="5160" w:firstLineChars="215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日期：  年  月   日</w:t>
      </w:r>
    </w:p>
    <w:p w14:paraId="56B7C85C">
      <w:pPr>
        <w:snapToGrid w:val="0"/>
        <w:spacing w:before="169" w:beforeLines="50" w:after="50"/>
        <w:ind w:left="143" w:leftChars="68" w:firstLine="600" w:firstLineChars="200"/>
        <w:jc w:val="left"/>
        <w:rPr>
          <w:rFonts w:hint="eastAsia" w:ascii="仿宋" w:hAnsi="仿宋" w:eastAsia="仿宋" w:cs="仿宋"/>
          <w:sz w:val="30"/>
          <w:szCs w:val="20"/>
          <w:highlight w:val="none"/>
        </w:rPr>
        <w:sectPr>
          <w:headerReference r:id="rId20" w:type="default"/>
          <w:footerReference r:id="rId21" w:type="default"/>
          <w:pgSz w:w="11905" w:h="16838"/>
          <w:pgMar w:top="1304" w:right="1304" w:bottom="1304" w:left="1304" w:header="720" w:footer="720" w:gutter="0"/>
          <w:pgNumType w:fmt="decimal"/>
          <w:cols w:space="720" w:num="1"/>
          <w:docGrid w:type="lines" w:linePitch="339" w:charSpace="0"/>
        </w:sectPr>
      </w:pPr>
    </w:p>
    <w:p w14:paraId="478B16A0">
      <w:pPr>
        <w:snapToGrid w:val="0"/>
        <w:spacing w:before="169" w:beforeLines="50" w:after="50"/>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二、服务方案</w:t>
      </w:r>
    </w:p>
    <w:p w14:paraId="192EEDCE">
      <w:pPr>
        <w:autoSpaceDE w:val="0"/>
        <w:autoSpaceDN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（由竞标供应商根据采购需求及采购文件要求编制）</w:t>
      </w:r>
    </w:p>
    <w:p w14:paraId="715C7326">
      <w:pPr>
        <w:snapToGrid w:val="0"/>
        <w:spacing w:line="360" w:lineRule="auto"/>
        <w:ind w:firstLine="4320" w:firstLineChars="1800"/>
        <w:rPr>
          <w:rFonts w:hint="eastAsia" w:ascii="仿宋" w:hAnsi="仿宋" w:eastAsia="仿宋" w:cs="仿宋"/>
          <w:kern w:val="0"/>
          <w:sz w:val="24"/>
          <w:highlight w:val="none"/>
          <w:lang w:val="zh-CN"/>
        </w:rPr>
      </w:pPr>
    </w:p>
    <w:p w14:paraId="7CBF6FEE">
      <w:pPr>
        <w:snapToGrid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供应商名称(电子签章)：</w:t>
      </w:r>
    </w:p>
    <w:p w14:paraId="4742C57F">
      <w:pPr>
        <w:snapToGrid w:val="0"/>
        <w:spacing w:line="360" w:lineRule="auto"/>
        <w:ind w:firstLine="5160" w:firstLineChars="2150"/>
        <w:rPr>
          <w:rFonts w:hint="eastAsia" w:ascii="仿宋" w:hAnsi="仿宋" w:eastAsia="仿宋" w:cs="仿宋"/>
          <w:b/>
          <w:bCs/>
          <w:sz w:val="32"/>
          <w:szCs w:val="32"/>
          <w:highlight w:val="none"/>
        </w:rPr>
      </w:pPr>
      <w:r>
        <w:rPr>
          <w:rFonts w:hint="eastAsia" w:ascii="仿宋" w:hAnsi="仿宋" w:eastAsia="仿宋" w:cs="仿宋"/>
          <w:kern w:val="0"/>
          <w:sz w:val="24"/>
          <w:highlight w:val="none"/>
          <w:lang w:val="zh-CN"/>
        </w:rPr>
        <w:t>日期：  年  月   日</w:t>
      </w:r>
    </w:p>
    <w:p w14:paraId="29DE974D">
      <w:pPr>
        <w:snapToGrid w:val="0"/>
        <w:spacing w:line="360" w:lineRule="auto"/>
        <w:ind w:firstLine="4935" w:firstLineChars="2350"/>
        <w:rPr>
          <w:rFonts w:hint="eastAsia" w:ascii="仿宋" w:hAnsi="仿宋" w:eastAsia="仿宋" w:cs="仿宋"/>
          <w:szCs w:val="21"/>
          <w:highlight w:val="none"/>
        </w:rPr>
      </w:pPr>
    </w:p>
    <w:p w14:paraId="0C87268B">
      <w:pPr>
        <w:snapToGrid w:val="0"/>
        <w:spacing w:line="360" w:lineRule="auto"/>
        <w:ind w:firstLine="4935" w:firstLineChars="2350"/>
        <w:rPr>
          <w:rFonts w:hint="eastAsia" w:ascii="仿宋" w:hAnsi="仿宋" w:eastAsia="仿宋" w:cs="仿宋"/>
          <w:szCs w:val="21"/>
          <w:highlight w:val="none"/>
        </w:rPr>
      </w:pPr>
    </w:p>
    <w:p w14:paraId="3D2EABF7">
      <w:pPr>
        <w:snapToGrid w:val="0"/>
        <w:spacing w:before="169" w:beforeLines="50" w:after="50"/>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三、售后服务承诺</w:t>
      </w:r>
    </w:p>
    <w:p w14:paraId="6DFDBC81">
      <w:pPr>
        <w:autoSpaceDE w:val="0"/>
        <w:autoSpaceDN w:val="0"/>
        <w:spacing w:line="360" w:lineRule="auto"/>
        <w:jc w:val="center"/>
        <w:rPr>
          <w:rFonts w:hint="eastAsia" w:ascii="仿宋" w:hAnsi="仿宋" w:eastAsia="仿宋" w:cs="仿宋"/>
          <w:b/>
          <w:bCs/>
          <w:sz w:val="30"/>
          <w:szCs w:val="30"/>
          <w:highlight w:val="none"/>
        </w:rPr>
      </w:pPr>
      <w:r>
        <w:rPr>
          <w:rFonts w:hint="eastAsia" w:ascii="仿宋" w:hAnsi="仿宋" w:eastAsia="仿宋" w:cs="仿宋"/>
          <w:sz w:val="24"/>
          <w:highlight w:val="none"/>
        </w:rPr>
        <w:t>（由竞标供应商根据采购需求及采购文件要求编制）</w:t>
      </w:r>
    </w:p>
    <w:p w14:paraId="500C1D9E">
      <w:pPr>
        <w:snapToGrid w:val="0"/>
        <w:spacing w:before="169" w:beforeLines="50" w:line="360" w:lineRule="auto"/>
        <w:ind w:right="480" w:firstLine="3967" w:firstLineChars="1653"/>
        <w:rPr>
          <w:rFonts w:hint="eastAsia" w:ascii="仿宋" w:hAnsi="仿宋" w:eastAsia="仿宋" w:cs="仿宋"/>
          <w:sz w:val="24"/>
          <w:highlight w:val="none"/>
        </w:rPr>
      </w:pPr>
    </w:p>
    <w:p w14:paraId="7D5E24D9">
      <w:pPr>
        <w:snapToGrid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供应商名称(电子签章)：</w:t>
      </w:r>
    </w:p>
    <w:p w14:paraId="3883AACE">
      <w:pPr>
        <w:snapToGrid w:val="0"/>
        <w:spacing w:line="360" w:lineRule="auto"/>
        <w:ind w:firstLine="5160" w:firstLineChars="215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日期：  年  月   日</w:t>
      </w:r>
    </w:p>
    <w:p w14:paraId="172936E3">
      <w:pPr>
        <w:snapToGrid w:val="0"/>
        <w:spacing w:before="169" w:beforeLines="50" w:after="50"/>
        <w:ind w:left="142"/>
        <w:jc w:val="center"/>
        <w:rPr>
          <w:rFonts w:hint="eastAsia" w:ascii="仿宋" w:hAnsi="仿宋" w:eastAsia="仿宋" w:cs="仿宋"/>
          <w:b/>
          <w:sz w:val="32"/>
          <w:szCs w:val="32"/>
          <w:highlight w:val="none"/>
        </w:rPr>
      </w:pPr>
    </w:p>
    <w:p w14:paraId="08C1D51A">
      <w:pPr>
        <w:snapToGrid w:val="0"/>
        <w:spacing w:before="169" w:beforeLines="50" w:after="50"/>
        <w:ind w:left="142"/>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四、对应采购需求的服务需求、商务条款提供的其他文件资料</w:t>
      </w:r>
    </w:p>
    <w:p w14:paraId="2FC0D31E">
      <w:pPr>
        <w:autoSpaceDE w:val="0"/>
        <w:autoSpaceDN w:val="0"/>
        <w:spacing w:line="360" w:lineRule="auto"/>
        <w:jc w:val="center"/>
        <w:rPr>
          <w:rFonts w:hint="eastAsia" w:ascii="仿宋" w:hAnsi="仿宋" w:eastAsia="仿宋" w:cs="仿宋"/>
          <w:b/>
          <w:bCs/>
          <w:sz w:val="30"/>
          <w:szCs w:val="30"/>
          <w:highlight w:val="none"/>
        </w:rPr>
      </w:pPr>
      <w:r>
        <w:rPr>
          <w:rFonts w:hint="eastAsia" w:ascii="仿宋" w:hAnsi="仿宋" w:eastAsia="仿宋" w:cs="仿宋"/>
          <w:sz w:val="24"/>
          <w:highlight w:val="none"/>
        </w:rPr>
        <w:t>（由竞标供应商根据采购需求及采购文件要求编制）</w:t>
      </w:r>
    </w:p>
    <w:p w14:paraId="64F797C8">
      <w:pPr>
        <w:snapToGrid w:val="0"/>
        <w:spacing w:line="360" w:lineRule="auto"/>
        <w:ind w:firstLine="4320" w:firstLineChars="1800"/>
        <w:rPr>
          <w:rFonts w:hint="eastAsia" w:ascii="仿宋" w:hAnsi="仿宋" w:eastAsia="仿宋" w:cs="仿宋"/>
          <w:kern w:val="0"/>
          <w:sz w:val="24"/>
          <w:highlight w:val="none"/>
          <w:lang w:val="zh-CN"/>
        </w:rPr>
      </w:pPr>
    </w:p>
    <w:p w14:paraId="29CFF9FD">
      <w:pPr>
        <w:snapToGrid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供应商名称(电子签章)：</w:t>
      </w:r>
    </w:p>
    <w:p w14:paraId="180059EA">
      <w:pPr>
        <w:autoSpaceDE w:val="0"/>
        <w:autoSpaceDN w:val="0"/>
        <w:spacing w:line="360" w:lineRule="auto"/>
        <w:jc w:val="right"/>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日期：  年  月   日</w:t>
      </w:r>
    </w:p>
    <w:p w14:paraId="57CBF087">
      <w:pPr>
        <w:snapToGrid w:val="0"/>
        <w:spacing w:before="169" w:beforeLines="50" w:after="50"/>
        <w:ind w:left="142"/>
        <w:jc w:val="center"/>
        <w:rPr>
          <w:rFonts w:hint="eastAsia" w:ascii="仿宋" w:hAnsi="仿宋" w:eastAsia="仿宋" w:cs="仿宋"/>
          <w:b/>
          <w:sz w:val="24"/>
          <w:highlight w:val="none"/>
        </w:rPr>
      </w:pPr>
    </w:p>
    <w:p w14:paraId="1B02E334">
      <w:pPr>
        <w:snapToGrid w:val="0"/>
        <w:spacing w:before="169" w:beforeLines="50" w:after="50"/>
        <w:ind w:left="142"/>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五、除采购文件规定必须提供以外，竞标供应商需要说明的其他文件和说明（格式自拟）</w:t>
      </w:r>
    </w:p>
    <w:p w14:paraId="146EAB6E">
      <w:pPr>
        <w:spacing w:line="360" w:lineRule="auto"/>
        <w:ind w:firstLine="4048" w:firstLineChars="1687"/>
        <w:rPr>
          <w:rFonts w:hint="eastAsia" w:ascii="仿宋" w:hAnsi="仿宋" w:eastAsia="仿宋" w:cs="仿宋"/>
          <w:szCs w:val="21"/>
          <w:highlight w:val="none"/>
        </w:rPr>
      </w:pPr>
      <w:r>
        <w:rPr>
          <w:rFonts w:hint="eastAsia" w:ascii="仿宋" w:hAnsi="仿宋" w:eastAsia="仿宋" w:cs="仿宋"/>
          <w:sz w:val="24"/>
          <w:highlight w:val="none"/>
        </w:rPr>
        <w:t>（格式自拟）</w:t>
      </w:r>
    </w:p>
    <w:p w14:paraId="481EEA93">
      <w:pPr>
        <w:snapToGrid w:val="0"/>
        <w:spacing w:line="360" w:lineRule="auto"/>
        <w:ind w:firstLine="4935" w:firstLineChars="2350"/>
        <w:rPr>
          <w:rFonts w:hint="eastAsia" w:ascii="仿宋" w:hAnsi="仿宋" w:eastAsia="仿宋" w:cs="仿宋"/>
          <w:szCs w:val="21"/>
          <w:highlight w:val="none"/>
        </w:rPr>
      </w:pPr>
    </w:p>
    <w:p w14:paraId="56B488E8">
      <w:pPr>
        <w:snapToGrid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供应商名称(电子签章)：</w:t>
      </w:r>
    </w:p>
    <w:p w14:paraId="5F691EEB">
      <w:pPr>
        <w:snapToGrid w:val="0"/>
        <w:spacing w:line="360" w:lineRule="auto"/>
        <w:ind w:firstLine="5160" w:firstLineChars="215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日期：  年  月   日</w:t>
      </w:r>
    </w:p>
    <w:p w14:paraId="1788361A">
      <w:pPr>
        <w:autoSpaceDE w:val="0"/>
        <w:autoSpaceDN w:val="0"/>
        <w:spacing w:line="360" w:lineRule="auto"/>
        <w:ind w:firstLine="120"/>
        <w:rPr>
          <w:rFonts w:hint="eastAsia" w:ascii="仿宋" w:hAnsi="仿宋" w:eastAsia="仿宋" w:cs="仿宋"/>
          <w:sz w:val="24"/>
          <w:highlight w:val="none"/>
        </w:rPr>
      </w:pPr>
    </w:p>
    <w:p w14:paraId="59C750FB">
      <w:pPr>
        <w:snapToGrid w:val="0"/>
        <w:spacing w:before="169" w:beforeLines="50" w:after="50"/>
        <w:ind w:left="142"/>
        <w:jc w:val="center"/>
        <w:rPr>
          <w:rFonts w:hint="eastAsia" w:ascii="仿宋" w:hAnsi="仿宋" w:eastAsia="仿宋" w:cs="仿宋"/>
          <w:b/>
          <w:sz w:val="32"/>
          <w:szCs w:val="32"/>
          <w:highlight w:val="none"/>
        </w:rPr>
      </w:pPr>
    </w:p>
    <w:p w14:paraId="74865ED2">
      <w:pPr>
        <w:snapToGrid w:val="0"/>
        <w:spacing w:before="169" w:beforeLines="50" w:after="50"/>
        <w:jc w:val="center"/>
        <w:rPr>
          <w:rFonts w:hint="eastAsia" w:ascii="仿宋" w:hAnsi="仿宋" w:eastAsia="仿宋" w:cs="仿宋"/>
          <w:b/>
          <w:bCs/>
          <w:sz w:val="24"/>
          <w:highlight w:val="none"/>
        </w:rPr>
        <w:sectPr>
          <w:pgSz w:w="11905" w:h="16838"/>
          <w:pgMar w:top="1304" w:right="1304" w:bottom="1304" w:left="1304" w:header="720" w:footer="720" w:gutter="0"/>
          <w:pgNumType w:fmt="decimal"/>
          <w:cols w:space="720" w:num="1"/>
          <w:docGrid w:type="lines" w:linePitch="339" w:charSpace="0"/>
        </w:sectPr>
      </w:pPr>
    </w:p>
    <w:p w14:paraId="167E6862">
      <w:pPr>
        <w:keepNext/>
        <w:keepLines/>
        <w:spacing w:before="260" w:after="260" w:line="416" w:lineRule="auto"/>
        <w:jc w:val="center"/>
        <w:outlineLvl w:val="1"/>
        <w:rPr>
          <w:rFonts w:hint="eastAsia" w:ascii="仿宋" w:hAnsi="仿宋" w:eastAsia="仿宋" w:cs="仿宋"/>
          <w:b/>
          <w:bCs/>
          <w:sz w:val="32"/>
          <w:szCs w:val="32"/>
          <w:highlight w:val="none"/>
        </w:rPr>
      </w:pPr>
      <w:bookmarkStart w:id="127" w:name="_Toc80205941"/>
      <w:bookmarkStart w:id="128" w:name="_Toc2947"/>
      <w:bookmarkStart w:id="129" w:name="_Toc127516339"/>
      <w:r>
        <w:rPr>
          <w:rFonts w:hint="eastAsia" w:ascii="仿宋" w:hAnsi="仿宋" w:eastAsia="仿宋" w:cs="仿宋"/>
          <w:b/>
          <w:bCs/>
          <w:sz w:val="32"/>
          <w:szCs w:val="32"/>
          <w:highlight w:val="none"/>
        </w:rPr>
        <w:t>第五节 报价文件格式</w:t>
      </w:r>
      <w:bookmarkEnd w:id="127"/>
      <w:bookmarkEnd w:id="128"/>
      <w:bookmarkEnd w:id="129"/>
    </w:p>
    <w:p w14:paraId="57F264C6">
      <w:pPr>
        <w:snapToGrid w:val="0"/>
        <w:spacing w:before="169" w:beforeLines="50" w:after="50"/>
        <w:rPr>
          <w:rFonts w:hint="eastAsia" w:ascii="仿宋" w:hAnsi="仿宋" w:eastAsia="仿宋" w:cs="仿宋"/>
          <w:bCs/>
          <w:sz w:val="32"/>
          <w:szCs w:val="20"/>
          <w:highlight w:val="none"/>
        </w:rPr>
      </w:pPr>
      <w:r>
        <w:rPr>
          <w:rFonts w:hint="eastAsia" w:ascii="仿宋" w:hAnsi="仿宋" w:eastAsia="仿宋" w:cs="仿宋"/>
          <w:bCs/>
          <w:highlight w:val="none"/>
        </w:rPr>
        <w:t>全流程电子文件</w:t>
      </w:r>
    </w:p>
    <w:p w14:paraId="5A65FE7C">
      <w:pPr>
        <w:snapToGrid w:val="0"/>
        <w:spacing w:before="169" w:beforeLines="50" w:after="50"/>
        <w:rPr>
          <w:rFonts w:hint="eastAsia" w:ascii="仿宋" w:hAnsi="仿宋" w:eastAsia="仿宋" w:cs="仿宋"/>
          <w:sz w:val="24"/>
          <w:szCs w:val="20"/>
          <w:highlight w:val="none"/>
        </w:rPr>
      </w:pPr>
    </w:p>
    <w:p w14:paraId="761BB1F0">
      <w:pPr>
        <w:snapToGrid w:val="0"/>
        <w:spacing w:before="169" w:beforeLines="50" w:after="50"/>
        <w:rPr>
          <w:rFonts w:hint="eastAsia" w:ascii="仿宋" w:hAnsi="仿宋" w:eastAsia="仿宋" w:cs="仿宋"/>
          <w:sz w:val="24"/>
          <w:szCs w:val="20"/>
          <w:highlight w:val="none"/>
        </w:rPr>
      </w:pPr>
    </w:p>
    <w:p w14:paraId="127B090C">
      <w:pPr>
        <w:snapToGrid w:val="0"/>
        <w:spacing w:before="169" w:beforeLines="50" w:after="50"/>
        <w:rPr>
          <w:rFonts w:hint="eastAsia" w:ascii="仿宋" w:hAnsi="仿宋" w:eastAsia="仿宋" w:cs="仿宋"/>
          <w:sz w:val="24"/>
          <w:szCs w:val="20"/>
          <w:highlight w:val="none"/>
        </w:rPr>
      </w:pPr>
    </w:p>
    <w:p w14:paraId="4BCA23F4">
      <w:pPr>
        <w:snapToGrid w:val="0"/>
        <w:spacing w:before="169" w:beforeLines="50" w:after="50"/>
        <w:jc w:val="center"/>
        <w:rPr>
          <w:rFonts w:hint="eastAsia" w:ascii="仿宋" w:hAnsi="仿宋" w:eastAsia="仿宋" w:cs="仿宋"/>
          <w:bCs/>
          <w:sz w:val="44"/>
          <w:szCs w:val="44"/>
          <w:highlight w:val="none"/>
        </w:rPr>
      </w:pPr>
      <w:r>
        <w:rPr>
          <w:rFonts w:hint="eastAsia" w:ascii="仿宋" w:hAnsi="仿宋" w:eastAsia="仿宋" w:cs="仿宋"/>
          <w:bCs/>
          <w:sz w:val="44"/>
          <w:szCs w:val="44"/>
          <w:highlight w:val="none"/>
        </w:rPr>
        <w:t>报价文件（封面）</w:t>
      </w:r>
    </w:p>
    <w:p w14:paraId="480EC392">
      <w:pPr>
        <w:snapToGrid w:val="0"/>
        <w:spacing w:before="169" w:beforeLines="50" w:after="50"/>
        <w:rPr>
          <w:rFonts w:hint="eastAsia" w:ascii="仿宋" w:hAnsi="仿宋" w:eastAsia="仿宋" w:cs="仿宋"/>
          <w:bCs/>
          <w:sz w:val="24"/>
          <w:szCs w:val="20"/>
          <w:highlight w:val="none"/>
        </w:rPr>
      </w:pPr>
    </w:p>
    <w:p w14:paraId="152FECBC">
      <w:pPr>
        <w:snapToGrid w:val="0"/>
        <w:spacing w:before="169" w:beforeLines="50" w:after="50"/>
        <w:rPr>
          <w:rFonts w:hint="eastAsia" w:ascii="仿宋" w:hAnsi="仿宋" w:eastAsia="仿宋" w:cs="仿宋"/>
          <w:bCs/>
          <w:sz w:val="24"/>
          <w:szCs w:val="20"/>
          <w:highlight w:val="none"/>
        </w:rPr>
      </w:pPr>
    </w:p>
    <w:p w14:paraId="36126180">
      <w:pPr>
        <w:snapToGrid w:val="0"/>
        <w:spacing w:before="169" w:beforeLines="50" w:after="50"/>
        <w:rPr>
          <w:rFonts w:hint="eastAsia" w:ascii="仿宋" w:hAnsi="仿宋" w:eastAsia="仿宋" w:cs="仿宋"/>
          <w:bCs/>
          <w:sz w:val="24"/>
          <w:szCs w:val="20"/>
          <w:highlight w:val="none"/>
        </w:rPr>
      </w:pPr>
    </w:p>
    <w:p w14:paraId="2198993E">
      <w:pPr>
        <w:snapToGrid w:val="0"/>
        <w:spacing w:before="169" w:beforeLines="50" w:after="50"/>
        <w:rPr>
          <w:rFonts w:hint="eastAsia" w:ascii="仿宋" w:hAnsi="仿宋" w:eastAsia="仿宋" w:cs="仿宋"/>
          <w:bCs/>
          <w:sz w:val="24"/>
          <w:szCs w:val="20"/>
          <w:highlight w:val="none"/>
        </w:rPr>
      </w:pPr>
    </w:p>
    <w:p w14:paraId="257F27F7">
      <w:pPr>
        <w:snapToGrid w:val="0"/>
        <w:spacing w:before="169" w:beforeLines="50" w:after="50"/>
        <w:rPr>
          <w:rFonts w:hint="eastAsia" w:ascii="仿宋" w:hAnsi="仿宋" w:eastAsia="仿宋" w:cs="仿宋"/>
          <w:bCs/>
          <w:sz w:val="24"/>
          <w:szCs w:val="20"/>
          <w:highlight w:val="none"/>
        </w:rPr>
      </w:pPr>
    </w:p>
    <w:p w14:paraId="6B20004E">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项目名称： </w:t>
      </w:r>
    </w:p>
    <w:p w14:paraId="470A1BE7">
      <w:pPr>
        <w:snapToGrid w:val="0"/>
        <w:spacing w:before="169" w:beforeLines="50" w:after="50"/>
        <w:ind w:firstLine="720" w:firstLineChars="225"/>
        <w:rPr>
          <w:rFonts w:hint="eastAsia" w:ascii="仿宋" w:hAnsi="仿宋" w:eastAsia="仿宋" w:cs="仿宋"/>
          <w:bCs/>
          <w:sz w:val="32"/>
          <w:szCs w:val="32"/>
          <w:highlight w:val="none"/>
        </w:rPr>
      </w:pPr>
    </w:p>
    <w:p w14:paraId="0E089866">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项目编号： </w:t>
      </w:r>
    </w:p>
    <w:p w14:paraId="64BD7554">
      <w:pPr>
        <w:snapToGrid w:val="0"/>
        <w:spacing w:before="169" w:beforeLines="50" w:after="50"/>
        <w:ind w:firstLine="720" w:firstLineChars="225"/>
        <w:rPr>
          <w:rFonts w:hint="eastAsia" w:ascii="仿宋" w:hAnsi="仿宋" w:eastAsia="仿宋" w:cs="仿宋"/>
          <w:bCs/>
          <w:sz w:val="32"/>
          <w:szCs w:val="32"/>
          <w:highlight w:val="none"/>
        </w:rPr>
      </w:pPr>
    </w:p>
    <w:p w14:paraId="57D2EC49">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所竞分标（如有则填写，无分标时填写“无”或者留空）：</w:t>
      </w:r>
    </w:p>
    <w:p w14:paraId="2ABD3E3B">
      <w:pPr>
        <w:snapToGrid w:val="0"/>
        <w:spacing w:before="169" w:beforeLines="50" w:after="50"/>
        <w:ind w:firstLine="720" w:firstLineChars="225"/>
        <w:rPr>
          <w:rFonts w:hint="eastAsia" w:ascii="仿宋" w:hAnsi="仿宋" w:eastAsia="仿宋" w:cs="仿宋"/>
          <w:bCs/>
          <w:sz w:val="32"/>
          <w:szCs w:val="32"/>
          <w:highlight w:val="none"/>
        </w:rPr>
      </w:pPr>
    </w:p>
    <w:p w14:paraId="3FBDB709">
      <w:pPr>
        <w:snapToGrid w:val="0"/>
        <w:spacing w:before="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供应商名称：</w:t>
      </w:r>
    </w:p>
    <w:p w14:paraId="4262A522">
      <w:pPr>
        <w:snapToGrid w:val="0"/>
        <w:spacing w:before="50" w:after="50"/>
        <w:ind w:firstLine="720" w:firstLineChars="225"/>
        <w:rPr>
          <w:rFonts w:hint="eastAsia" w:ascii="仿宋" w:hAnsi="仿宋" w:eastAsia="仿宋" w:cs="仿宋"/>
          <w:bCs/>
          <w:sz w:val="32"/>
          <w:szCs w:val="32"/>
          <w:highlight w:val="none"/>
        </w:rPr>
      </w:pPr>
    </w:p>
    <w:p w14:paraId="569549CB">
      <w:pPr>
        <w:snapToGrid w:val="0"/>
        <w:spacing w:before="50" w:after="50"/>
        <w:ind w:firstLine="720" w:firstLineChars="225"/>
        <w:rPr>
          <w:rFonts w:hint="eastAsia" w:ascii="仿宋" w:hAnsi="仿宋" w:eastAsia="仿宋" w:cs="仿宋"/>
          <w:bCs/>
          <w:sz w:val="32"/>
          <w:szCs w:val="32"/>
          <w:highlight w:val="none"/>
        </w:rPr>
      </w:pPr>
    </w:p>
    <w:p w14:paraId="44A09B0D">
      <w:pPr>
        <w:snapToGrid w:val="0"/>
        <w:spacing w:before="50" w:after="50"/>
        <w:ind w:firstLine="1280" w:firstLineChars="400"/>
        <w:rPr>
          <w:rFonts w:hint="eastAsia" w:ascii="仿宋" w:hAnsi="仿宋" w:eastAsia="仿宋" w:cs="仿宋"/>
          <w:bCs/>
          <w:sz w:val="32"/>
          <w:szCs w:val="32"/>
          <w:highlight w:val="none"/>
        </w:rPr>
      </w:pPr>
    </w:p>
    <w:p w14:paraId="3046932A">
      <w:pPr>
        <w:snapToGrid w:val="0"/>
        <w:spacing w:before="169" w:beforeLines="50" w:after="5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年    月    日</w:t>
      </w:r>
    </w:p>
    <w:p w14:paraId="1F0D4E40">
      <w:pPr>
        <w:snapToGrid w:val="0"/>
        <w:spacing w:before="169" w:beforeLines="50" w:after="50" w:line="400" w:lineRule="exact"/>
        <w:jc w:val="center"/>
        <w:rPr>
          <w:rFonts w:hint="eastAsia" w:ascii="仿宋" w:hAnsi="仿宋" w:eastAsia="仿宋" w:cs="仿宋"/>
          <w:b/>
          <w:bCs/>
          <w:sz w:val="32"/>
          <w:szCs w:val="32"/>
          <w:highlight w:val="none"/>
        </w:rPr>
      </w:pPr>
      <w:r>
        <w:rPr>
          <w:rFonts w:hint="eastAsia" w:ascii="仿宋" w:hAnsi="仿宋" w:eastAsia="仿宋" w:cs="仿宋"/>
          <w:sz w:val="24"/>
          <w:highlight w:val="none"/>
        </w:rPr>
        <w:br w:type="page"/>
      </w:r>
      <w:r>
        <w:rPr>
          <w:rFonts w:hint="eastAsia" w:ascii="仿宋" w:hAnsi="仿宋" w:eastAsia="仿宋" w:cs="仿宋"/>
          <w:b/>
          <w:bCs/>
          <w:sz w:val="32"/>
          <w:szCs w:val="32"/>
          <w:highlight w:val="none"/>
        </w:rPr>
        <w:t>报价文件目录</w:t>
      </w:r>
    </w:p>
    <w:p w14:paraId="1A0F9DE2">
      <w:pPr>
        <w:rPr>
          <w:rFonts w:hint="eastAsia" w:ascii="仿宋" w:hAnsi="仿宋" w:eastAsia="仿宋" w:cs="仿宋"/>
          <w:highlight w:val="none"/>
        </w:rPr>
      </w:pPr>
    </w:p>
    <w:p w14:paraId="22111676">
      <w:pPr>
        <w:rPr>
          <w:rFonts w:hint="eastAsia" w:ascii="仿宋" w:hAnsi="仿宋" w:eastAsia="仿宋" w:cs="仿宋"/>
          <w:kern w:val="0"/>
          <w:sz w:val="24"/>
          <w:highlight w:val="none"/>
        </w:rPr>
      </w:pPr>
      <w:r>
        <w:rPr>
          <w:rFonts w:hint="eastAsia" w:ascii="仿宋" w:hAnsi="仿宋" w:eastAsia="仿宋" w:cs="仿宋"/>
          <w:kern w:val="0"/>
          <w:sz w:val="24"/>
          <w:highlight w:val="none"/>
        </w:rPr>
        <w:t>一、响应函………………………………………………………（页码）</w:t>
      </w:r>
    </w:p>
    <w:p w14:paraId="1BA47FF1">
      <w:pPr>
        <w:rPr>
          <w:rFonts w:hint="eastAsia" w:ascii="仿宋" w:hAnsi="仿宋" w:eastAsia="仿宋" w:cs="仿宋"/>
          <w:kern w:val="0"/>
          <w:sz w:val="24"/>
          <w:highlight w:val="none"/>
        </w:rPr>
      </w:pPr>
      <w:r>
        <w:rPr>
          <w:rFonts w:hint="eastAsia" w:ascii="仿宋" w:hAnsi="仿宋" w:eastAsia="仿宋" w:cs="仿宋"/>
          <w:kern w:val="0"/>
          <w:sz w:val="24"/>
          <w:highlight w:val="none"/>
        </w:rPr>
        <w:t>二、响应报价表…………………………………………………（页码）</w:t>
      </w:r>
    </w:p>
    <w:p w14:paraId="4272E4DC">
      <w:pPr>
        <w:spacing w:line="360" w:lineRule="auto"/>
        <w:rPr>
          <w:rFonts w:hint="eastAsia" w:ascii="仿宋" w:hAnsi="仿宋" w:eastAsia="仿宋" w:cs="仿宋"/>
          <w:sz w:val="24"/>
          <w:highlight w:val="none"/>
        </w:rPr>
      </w:pPr>
      <w:r>
        <w:rPr>
          <w:rFonts w:hint="eastAsia" w:ascii="仿宋" w:hAnsi="仿宋" w:eastAsia="仿宋" w:cs="仿宋"/>
          <w:kern w:val="0"/>
          <w:sz w:val="24"/>
          <w:highlight w:val="none"/>
        </w:rPr>
        <w:t>三、中小企业声明函……………………………………………（页码）</w:t>
      </w:r>
    </w:p>
    <w:p w14:paraId="4F236866">
      <w:pPr>
        <w:snapToGrid w:val="0"/>
        <w:spacing w:before="169" w:beforeLines="50" w:after="50" w:line="360" w:lineRule="auto"/>
        <w:ind w:left="142" w:firstLine="640" w:firstLineChars="200"/>
        <w:jc w:val="left"/>
        <w:rPr>
          <w:rFonts w:hint="eastAsia" w:ascii="仿宋" w:hAnsi="仿宋" w:eastAsia="仿宋" w:cs="仿宋"/>
          <w:sz w:val="32"/>
          <w:szCs w:val="32"/>
          <w:highlight w:val="none"/>
        </w:rPr>
      </w:pPr>
    </w:p>
    <w:p w14:paraId="6F3B5D55">
      <w:pPr>
        <w:snapToGrid w:val="0"/>
        <w:spacing w:before="169" w:beforeLines="50" w:after="50" w:line="360" w:lineRule="auto"/>
        <w:ind w:left="142"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br w:type="page"/>
      </w:r>
      <w:r>
        <w:rPr>
          <w:rFonts w:hint="eastAsia" w:ascii="仿宋" w:hAnsi="仿宋" w:eastAsia="仿宋" w:cs="仿宋"/>
          <w:b/>
          <w:bCs/>
          <w:sz w:val="32"/>
          <w:szCs w:val="32"/>
          <w:highlight w:val="none"/>
        </w:rPr>
        <w:t>一、响应函</w:t>
      </w:r>
    </w:p>
    <w:p w14:paraId="5A037351">
      <w:pPr>
        <w:spacing w:line="500" w:lineRule="exact"/>
        <w:jc w:val="center"/>
        <w:rPr>
          <w:rFonts w:hint="eastAsia" w:ascii="仿宋" w:hAnsi="仿宋" w:eastAsia="仿宋" w:cs="仿宋"/>
          <w:b/>
          <w:bCs/>
          <w:kern w:val="0"/>
          <w:sz w:val="30"/>
          <w:szCs w:val="30"/>
          <w:highlight w:val="none"/>
        </w:rPr>
      </w:pPr>
      <w:r>
        <w:rPr>
          <w:rFonts w:hint="eastAsia" w:ascii="仿宋" w:hAnsi="仿宋" w:eastAsia="仿宋" w:cs="仿宋"/>
          <w:b/>
          <w:bCs/>
          <w:kern w:val="0"/>
          <w:sz w:val="30"/>
          <w:szCs w:val="30"/>
          <w:highlight w:val="none"/>
        </w:rPr>
        <w:t>响应函</w:t>
      </w:r>
    </w:p>
    <w:p w14:paraId="32EA8B8C">
      <w:pPr>
        <w:spacing w:line="4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eastAsia="zh-CN"/>
        </w:rPr>
        <w:t>采购代理机构</w:t>
      </w:r>
      <w:r>
        <w:rPr>
          <w:rFonts w:hint="eastAsia" w:ascii="仿宋" w:hAnsi="仿宋" w:eastAsia="仿宋" w:cs="仿宋"/>
          <w:kern w:val="0"/>
          <w:sz w:val="24"/>
          <w:highlight w:val="none"/>
          <w:u w:val="single"/>
        </w:rPr>
        <w:t>）</w:t>
      </w:r>
    </w:p>
    <w:p w14:paraId="66C2253B">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我方已仔细阅读了贵方组织的</w:t>
      </w:r>
      <w:r>
        <w:rPr>
          <w:rFonts w:hint="eastAsia" w:ascii="仿宋" w:hAnsi="仿宋" w:eastAsia="仿宋" w:cs="仿宋"/>
          <w:kern w:val="0"/>
          <w:sz w:val="24"/>
          <w:highlight w:val="none"/>
          <w:u w:val="single"/>
        </w:rPr>
        <w:t xml:space="preserve"> 项目名称：    （项目编号：   ）</w:t>
      </w:r>
      <w:r>
        <w:rPr>
          <w:rFonts w:hint="eastAsia" w:ascii="仿宋" w:hAnsi="仿宋" w:eastAsia="仿宋" w:cs="仿宋"/>
          <w:kern w:val="0"/>
          <w:sz w:val="24"/>
          <w:highlight w:val="none"/>
        </w:rPr>
        <w:t xml:space="preserve">的竞争性磋商采购文件的全部内容，现正式递交下述文件参加贵方组织的本次政府采购活动： </w:t>
      </w:r>
    </w:p>
    <w:p w14:paraId="17BF5625">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一、首次报价文件电子版份（包含按“第三章 供应商须知”提交的全部文件）；</w:t>
      </w:r>
    </w:p>
    <w:p w14:paraId="426588F4">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二、资格证明文件电子版份（包含按“第三章 供应商须知”提交的全部文件）；商务技术文件电子版份（包含按“第三章 供应商须知”提交的全部文件）；（商务技术文件已合并装订成册）</w:t>
      </w:r>
    </w:p>
    <w:p w14:paraId="7C420EF9">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据此函，签字人兹宣布：</w:t>
      </w:r>
    </w:p>
    <w:p w14:paraId="54CEEF6B">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1、我方愿意以（大写）</w:t>
      </w:r>
      <w:r>
        <w:rPr>
          <w:rFonts w:hint="eastAsia" w:ascii="仿宋" w:hAnsi="仿宋" w:eastAsia="仿宋" w:cs="仿宋"/>
          <w:kern w:val="0"/>
          <w:sz w:val="24"/>
          <w:highlight w:val="none"/>
          <w:u w:val="single"/>
        </w:rPr>
        <w:t>人民币   （¥       元)</w:t>
      </w:r>
      <w:r>
        <w:rPr>
          <w:rFonts w:hint="eastAsia" w:ascii="仿宋" w:hAnsi="仿宋" w:eastAsia="仿宋" w:cs="仿宋"/>
          <w:kern w:val="0"/>
          <w:sz w:val="24"/>
          <w:highlight w:val="none"/>
        </w:rPr>
        <w:t>的竞标总报价，提供服务期（无分标时填写）：</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，提供本项目竞争性磋商采购文件第二章“服务需求一览表”中相应的采购内容。</w:t>
      </w:r>
    </w:p>
    <w:p w14:paraId="7AB44F8A">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其中（有分标时填写）：</w:t>
      </w:r>
    </w:p>
    <w:p w14:paraId="0106A161">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分标报价为（大写）人民币    (¥    元)，服务期：    ；</w:t>
      </w:r>
    </w:p>
    <w:p w14:paraId="7E60A1D3">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分标报价为（大写）人民币    (¥    元)，服务期：    ；</w:t>
      </w:r>
    </w:p>
    <w:p w14:paraId="26D3D36E">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07B280B2">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2、我方同意自本项目竞争性磋商采购文件采购公告规定的递交响应文件截止时间起遵循本响应函，并承诺在“第三章 供应商须知”规定的响应有效期内不修改、撤销响应文件。</w:t>
      </w:r>
    </w:p>
    <w:p w14:paraId="2B634974">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3、我方在此声明，所递交的响应文件及有关资料内容完整、真实和准确。</w:t>
      </w:r>
    </w:p>
    <w:p w14:paraId="105A6F2C">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4、如本项目采购内容涉及须符合国家强制规定的，我方承诺我方本次竞标均符合国家有关强制规定。</w:t>
      </w:r>
    </w:p>
    <w:p w14:paraId="2569E084">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30773233">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6、我方已详细审核竞争性磋商采购文件，我方知道必须放弃提出含糊不清或误解问题的权利。</w:t>
      </w:r>
    </w:p>
    <w:p w14:paraId="747A4ED0">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7、我方承诺满足竞争性磋商采购文件第六章“合同文本”的条款，承担完成合同的责任和义务。</w:t>
      </w:r>
    </w:p>
    <w:p w14:paraId="0659826E">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8、我方同意应贵方要求提供与本竞标有关的任何数据或资料。若贵方需要，我方愿意提供我方作出的一切承诺的证明材料。</w:t>
      </w:r>
    </w:p>
    <w:p w14:paraId="56706C3B">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9、我方完全理解贵方不一定接受响应报价最低的竞标人为成交供应商的行为。</w:t>
      </w:r>
    </w:p>
    <w:p w14:paraId="2AA1DD90">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EE95935">
      <w:pPr>
        <w:tabs>
          <w:tab w:val="left" w:pos="945"/>
        </w:tabs>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（1）提供虚假材料谋取中标、成交的；</w:t>
      </w:r>
    </w:p>
    <w:p w14:paraId="6F826B32">
      <w:pPr>
        <w:tabs>
          <w:tab w:val="left" w:pos="945"/>
        </w:tabs>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（2）采取不正当手段诋毁、排挤其他供应商的；</w:t>
      </w:r>
    </w:p>
    <w:p w14:paraId="09D0E305">
      <w:pPr>
        <w:tabs>
          <w:tab w:val="left" w:pos="945"/>
        </w:tabs>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（3）与采购人、其他供应商或者采购代理机构恶意串通的；</w:t>
      </w:r>
    </w:p>
    <w:p w14:paraId="64AC1C16">
      <w:pPr>
        <w:tabs>
          <w:tab w:val="left" w:pos="945"/>
        </w:tabs>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（4）向采购人、采购代理机构行贿或者提供其他不正当利益的；</w:t>
      </w:r>
    </w:p>
    <w:p w14:paraId="2F672430">
      <w:pPr>
        <w:tabs>
          <w:tab w:val="left" w:pos="945"/>
        </w:tabs>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（5）在采购过程中与采购人进行协商谈判的；</w:t>
      </w:r>
    </w:p>
    <w:p w14:paraId="2C13DFBD">
      <w:pPr>
        <w:tabs>
          <w:tab w:val="left" w:pos="945"/>
        </w:tabs>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（6）拒绝有关部门监督检查或提供虚假情况的。</w:t>
      </w:r>
    </w:p>
    <w:p w14:paraId="37E4C230">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11、与本磋商有关的一切正式往来信函请寄：</w:t>
      </w:r>
    </w:p>
    <w:p w14:paraId="6B5788CB">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地址：</w:t>
      </w:r>
    </w:p>
    <w:p w14:paraId="6E917283">
      <w:pPr>
        <w:spacing w:line="400" w:lineRule="exact"/>
        <w:ind w:firstLine="480" w:firstLineChars="200"/>
        <w:rPr>
          <w:rFonts w:hint="eastAsia" w:ascii="仿宋" w:hAnsi="仿宋" w:eastAsia="仿宋" w:cs="仿宋"/>
          <w:kern w:val="0"/>
          <w:sz w:val="24"/>
          <w:highlight w:val="none"/>
          <w:u w:val="single"/>
        </w:rPr>
      </w:pPr>
      <w:r>
        <w:rPr>
          <w:rFonts w:hint="eastAsia" w:ascii="仿宋" w:hAnsi="仿宋" w:eastAsia="仿宋" w:cs="仿宋"/>
          <w:kern w:val="0"/>
          <w:sz w:val="24"/>
          <w:highlight w:val="none"/>
        </w:rPr>
        <w:t>电话：</w:t>
      </w:r>
      <w:r>
        <w:rPr>
          <w:rFonts w:hint="eastAsia" w:ascii="仿宋" w:hAnsi="仿宋" w:eastAsia="仿宋" w:cs="仿宋"/>
          <w:kern w:val="0"/>
          <w:sz w:val="24"/>
          <w:highlight w:val="none"/>
          <w:u w:val="single"/>
        </w:rPr>
        <w:t xml:space="preserve">                                      　　　　　　　　　</w:t>
      </w:r>
    </w:p>
    <w:p w14:paraId="6E06F0F7">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传真：</w:t>
      </w:r>
      <w:r>
        <w:rPr>
          <w:rFonts w:hint="eastAsia" w:ascii="仿宋" w:hAnsi="仿宋" w:eastAsia="仿宋" w:cs="仿宋"/>
          <w:kern w:val="0"/>
          <w:sz w:val="24"/>
          <w:highlight w:val="none"/>
          <w:u w:val="single"/>
        </w:rPr>
        <w:t>　　　　　　　　　　　　　　　　　　　　　　　　　　　　</w:t>
      </w:r>
    </w:p>
    <w:p w14:paraId="39EBC387">
      <w:pPr>
        <w:spacing w:line="400" w:lineRule="exact"/>
        <w:ind w:firstLine="480" w:firstLineChars="200"/>
        <w:rPr>
          <w:rFonts w:hint="default" w:ascii="仿宋" w:hAnsi="仿宋" w:eastAsia="仿宋" w:cs="仿宋"/>
          <w:kern w:val="0"/>
          <w:sz w:val="24"/>
          <w:highlight w:val="none"/>
          <w:u w:val="single"/>
          <w:lang w:val="en-US" w:eastAsia="zh-CN"/>
        </w:rPr>
      </w:pPr>
      <w:r>
        <w:rPr>
          <w:rFonts w:hint="eastAsia" w:ascii="仿宋" w:hAnsi="仿宋" w:eastAsia="仿宋" w:cs="仿宋"/>
          <w:kern w:val="0"/>
          <w:sz w:val="24"/>
          <w:highlight w:val="none"/>
        </w:rPr>
        <w:t>邮政编码：</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p>
    <w:p w14:paraId="7DE2E452">
      <w:pPr>
        <w:spacing w:line="400" w:lineRule="exact"/>
        <w:ind w:firstLine="480" w:firstLineChars="200"/>
        <w:rPr>
          <w:rFonts w:hint="eastAsia" w:ascii="仿宋" w:hAnsi="仿宋" w:eastAsia="仿宋" w:cs="仿宋"/>
          <w:kern w:val="0"/>
          <w:sz w:val="24"/>
          <w:highlight w:val="none"/>
          <w:u w:val="single"/>
        </w:rPr>
      </w:pPr>
      <w:r>
        <w:rPr>
          <w:rFonts w:hint="eastAsia" w:ascii="仿宋" w:hAnsi="仿宋" w:eastAsia="仿宋" w:cs="仿宋"/>
          <w:kern w:val="0"/>
          <w:sz w:val="24"/>
          <w:highlight w:val="none"/>
        </w:rPr>
        <w:t>开户名称：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p>
    <w:p w14:paraId="138086C2">
      <w:pPr>
        <w:spacing w:line="400" w:lineRule="exact"/>
        <w:ind w:firstLine="480" w:firstLineChars="200"/>
        <w:rPr>
          <w:rFonts w:hint="eastAsia" w:ascii="仿宋" w:hAnsi="仿宋" w:eastAsia="仿宋" w:cs="仿宋"/>
          <w:kern w:val="0"/>
          <w:sz w:val="24"/>
          <w:highlight w:val="none"/>
          <w:u w:val="single"/>
        </w:rPr>
      </w:pPr>
      <w:r>
        <w:rPr>
          <w:rFonts w:hint="eastAsia" w:ascii="仿宋" w:hAnsi="仿宋" w:eastAsia="仿宋" w:cs="仿宋"/>
          <w:kern w:val="0"/>
          <w:sz w:val="24"/>
          <w:highlight w:val="none"/>
        </w:rPr>
        <w:t>开户银行：</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p>
    <w:p w14:paraId="46F29F2A">
      <w:pPr>
        <w:spacing w:line="400" w:lineRule="exact"/>
        <w:ind w:firstLine="480" w:firstLineChars="200"/>
        <w:rPr>
          <w:rFonts w:hint="eastAsia" w:ascii="仿宋" w:hAnsi="仿宋" w:eastAsia="仿宋" w:cs="仿宋"/>
          <w:kern w:val="0"/>
          <w:sz w:val="24"/>
          <w:highlight w:val="none"/>
          <w:u w:val="single"/>
        </w:rPr>
      </w:pPr>
      <w:r>
        <w:rPr>
          <w:rFonts w:hint="eastAsia" w:ascii="仿宋" w:hAnsi="仿宋" w:eastAsia="仿宋" w:cs="仿宋"/>
          <w:kern w:val="0"/>
          <w:sz w:val="24"/>
          <w:highlight w:val="none"/>
        </w:rPr>
        <w:t>银行账号：</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p>
    <w:p w14:paraId="29E42710">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特此承诺。</w:t>
      </w:r>
    </w:p>
    <w:p w14:paraId="5B93B352">
      <w:pPr>
        <w:spacing w:line="400" w:lineRule="exact"/>
        <w:contextualSpacing/>
        <w:jc w:val="left"/>
        <w:rPr>
          <w:rFonts w:hint="eastAsia" w:ascii="仿宋" w:hAnsi="仿宋" w:eastAsia="仿宋" w:cs="仿宋"/>
          <w:sz w:val="24"/>
          <w:highlight w:val="none"/>
        </w:rPr>
      </w:pPr>
    </w:p>
    <w:p w14:paraId="3C6FF164">
      <w:pPr>
        <w:autoSpaceDE w:val="0"/>
        <w:autoSpaceDN w:val="0"/>
        <w:spacing w:line="400" w:lineRule="exact"/>
        <w:ind w:firstLine="6000" w:firstLineChars="25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448741A9">
      <w:pPr>
        <w:autoSpaceDE w:val="0"/>
        <w:autoSpaceDN w:val="0"/>
        <w:spacing w:line="400" w:lineRule="exact"/>
        <w:ind w:firstLine="6480" w:firstLineChars="2700"/>
        <w:rPr>
          <w:rFonts w:hint="eastAsia" w:ascii="仿宋" w:hAnsi="仿宋" w:eastAsia="仿宋" w:cs="仿宋"/>
          <w:kern w:val="0"/>
          <w:sz w:val="24"/>
          <w:highlight w:val="none"/>
          <w:lang w:val="zh-CN"/>
        </w:rPr>
        <w:sectPr>
          <w:pgSz w:w="11905" w:h="16838"/>
          <w:pgMar w:top="1304" w:right="1304" w:bottom="1304" w:left="1304" w:header="720" w:footer="720" w:gutter="0"/>
          <w:pgNumType w:fmt="decimal"/>
          <w:cols w:space="720" w:num="1"/>
          <w:docGrid w:type="lines" w:linePitch="339" w:charSpace="0"/>
        </w:sectPr>
      </w:pPr>
      <w:r>
        <w:rPr>
          <w:rFonts w:hint="eastAsia" w:ascii="仿宋" w:hAnsi="仿宋" w:eastAsia="仿宋" w:cs="仿宋"/>
          <w:kern w:val="0"/>
          <w:sz w:val="24"/>
          <w:highlight w:val="none"/>
          <w:lang w:val="zh-CN"/>
        </w:rPr>
        <w:t>日期：  年  月   日</w:t>
      </w:r>
    </w:p>
    <w:p w14:paraId="62DF0E48">
      <w:pPr>
        <w:numPr>
          <w:ilvl w:val="0"/>
          <w:numId w:val="3"/>
        </w:numPr>
        <w:spacing w:line="52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响应报价表</w:t>
      </w:r>
    </w:p>
    <w:p w14:paraId="7ECE523F">
      <w:pPr>
        <w:rPr>
          <w:rFonts w:hint="eastAsia" w:ascii="仿宋" w:hAnsi="仿宋" w:eastAsia="仿宋" w:cs="仿宋"/>
          <w:kern w:val="0"/>
          <w:sz w:val="32"/>
          <w:szCs w:val="20"/>
          <w:highlight w:val="none"/>
        </w:rPr>
      </w:pPr>
    </w:p>
    <w:p w14:paraId="40A3B495">
      <w:pPr>
        <w:snapToGrid w:val="0"/>
        <w:spacing w:before="50" w:after="50" w:line="360" w:lineRule="auto"/>
        <w:rPr>
          <w:rFonts w:hint="eastAsia" w:ascii="仿宋" w:hAnsi="仿宋" w:eastAsia="仿宋" w:cs="仿宋"/>
          <w:sz w:val="24"/>
          <w:highlight w:val="none"/>
          <w:u w:val="single"/>
        </w:rPr>
      </w:pPr>
      <w:r>
        <w:rPr>
          <w:rFonts w:hint="eastAsia" w:ascii="仿宋" w:hAnsi="仿宋" w:eastAsia="仿宋" w:cs="仿宋"/>
          <w:sz w:val="24"/>
          <w:highlight w:val="none"/>
        </w:rPr>
        <w:t>项目名称：              编号：         分标：</w:t>
      </w:r>
    </w:p>
    <w:p w14:paraId="19C9AF6B">
      <w:pPr>
        <w:snapToGrid w:val="0"/>
        <w:spacing w:before="50" w:after="50" w:line="360" w:lineRule="auto"/>
        <w:rPr>
          <w:rFonts w:hint="eastAsia" w:ascii="仿宋" w:hAnsi="仿宋" w:eastAsia="仿宋" w:cs="仿宋"/>
          <w:sz w:val="24"/>
          <w:highlight w:val="none"/>
          <w:u w:val="single"/>
        </w:rPr>
      </w:pPr>
      <w:r>
        <w:rPr>
          <w:rFonts w:hint="eastAsia" w:ascii="仿宋" w:hAnsi="仿宋" w:eastAsia="仿宋" w:cs="仿宋"/>
          <w:sz w:val="24"/>
          <w:highlight w:val="none"/>
        </w:rPr>
        <w:t>供应商名称：</w:t>
      </w:r>
    </w:p>
    <w:tbl>
      <w:tblPr>
        <w:tblStyle w:val="31"/>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6DA2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1F90D2E2">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28F5A0FC">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vAlign w:val="center"/>
          </w:tcPr>
          <w:p w14:paraId="1583D3BB">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具体服务内容</w:t>
            </w:r>
          </w:p>
        </w:tc>
        <w:tc>
          <w:tcPr>
            <w:tcW w:w="1080" w:type="dxa"/>
            <w:tcBorders>
              <w:top w:val="single" w:color="auto" w:sz="4" w:space="0"/>
              <w:left w:val="single" w:color="auto" w:sz="4" w:space="0"/>
              <w:bottom w:val="single" w:color="auto" w:sz="4" w:space="0"/>
              <w:right w:val="single" w:color="auto" w:sz="4" w:space="0"/>
            </w:tcBorders>
            <w:vAlign w:val="center"/>
          </w:tcPr>
          <w:p w14:paraId="3FFD24FA">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3DAE1CF1">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2B57C501">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单项合价（元）</w:t>
            </w:r>
          </w:p>
          <w:p w14:paraId="75D54DFE">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tcPr>
          <w:p w14:paraId="652288F6">
            <w:pPr>
              <w:keepNext w:val="0"/>
              <w:keepLines w:val="0"/>
              <w:suppressLineNumbers w:val="0"/>
              <w:spacing w:before="0" w:beforeAutospacing="0" w:after="0" w:afterAutospacing="0" w:line="360" w:lineRule="auto"/>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服务要求（或服务期限）</w:t>
            </w:r>
          </w:p>
        </w:tc>
        <w:tc>
          <w:tcPr>
            <w:tcW w:w="957" w:type="dxa"/>
            <w:tcBorders>
              <w:top w:val="single" w:color="auto" w:sz="4" w:space="0"/>
              <w:left w:val="single" w:color="auto" w:sz="4" w:space="0"/>
              <w:bottom w:val="single" w:color="auto" w:sz="4" w:space="0"/>
              <w:right w:val="single" w:color="auto" w:sz="4" w:space="0"/>
            </w:tcBorders>
            <w:vAlign w:val="center"/>
          </w:tcPr>
          <w:p w14:paraId="303F7A81">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备注</w:t>
            </w:r>
          </w:p>
        </w:tc>
      </w:tr>
      <w:tr w14:paraId="20E1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4A51B0DA">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2E91CA5B">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55EC5446">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08B2567">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DFD3078">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51C26869">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4DEBD52B">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C5D4BE0">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r>
      <w:tr w14:paraId="6836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28A7E852">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6F456E77">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2BE55D2">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6100F1B">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43BF0CF">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2A27F3B4">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6807C1CB">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2C81CF3">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r>
      <w:tr w14:paraId="2953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3CD5B983">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20138816">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5D94FF2B">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329294F">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D657849">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27B65CE8">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76CCA975">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34CB6D7">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r>
      <w:tr w14:paraId="4CFB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2182A540">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2"/>
                <w:highlight w:val="none"/>
              </w:rPr>
              <w:t>报价合计（包含税费等所有费用）：（大写）人民币           （¥         元）</w:t>
            </w:r>
          </w:p>
        </w:tc>
      </w:tr>
      <w:tr w14:paraId="5495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6E6BC1F3">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1"/>
                <w:highlight w:val="none"/>
                <w:u w:val="single"/>
              </w:rPr>
              <w:t>　　</w:t>
            </w:r>
            <w:r>
              <w:rPr>
                <w:rFonts w:hint="eastAsia" w:ascii="仿宋" w:hAnsi="仿宋" w:eastAsia="仿宋" w:cs="仿宋"/>
                <w:szCs w:val="21"/>
                <w:highlight w:val="none"/>
              </w:rPr>
              <w:t>分标（此处有分标时填写具体分标号，无分标时填写“无”）</w:t>
            </w:r>
          </w:p>
        </w:tc>
      </w:tr>
      <w:tr w14:paraId="2F4A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24C1B96B">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2"/>
                <w:highlight w:val="none"/>
              </w:rPr>
              <w:t>验收标准：</w:t>
            </w:r>
          </w:p>
        </w:tc>
      </w:tr>
      <w:tr w14:paraId="245A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62F50BC3">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2"/>
                <w:highlight w:val="none"/>
              </w:rPr>
              <w:t>优惠及其它：</w:t>
            </w:r>
          </w:p>
        </w:tc>
      </w:tr>
    </w:tbl>
    <w:p w14:paraId="18DEDE1C">
      <w:pPr>
        <w:snapToGrid w:val="0"/>
        <w:spacing w:before="50" w:after="50"/>
        <w:ind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注： </w:t>
      </w:r>
    </w:p>
    <w:p w14:paraId="121F737C">
      <w:pPr>
        <w:snapToGrid w:val="0"/>
        <w:spacing w:line="288"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1、供应商需按本表格式填写，不得自行更改，也不得留空, 如有多分标，按分标分别提供响应报价表</w:t>
      </w:r>
      <w:r>
        <w:rPr>
          <w:rFonts w:hint="eastAsia" w:ascii="仿宋" w:hAnsi="仿宋" w:eastAsia="仿宋" w:cs="仿宋"/>
          <w:b/>
          <w:kern w:val="0"/>
          <w:sz w:val="24"/>
          <w:highlight w:val="none"/>
          <w:lang w:val="zh-CN"/>
        </w:rPr>
        <w:t>。</w:t>
      </w:r>
    </w:p>
    <w:p w14:paraId="31C914F8">
      <w:pPr>
        <w:snapToGrid w:val="0"/>
        <w:spacing w:line="288" w:lineRule="auto"/>
        <w:ind w:firstLine="480" w:firstLineChars="200"/>
        <w:rPr>
          <w:rFonts w:hint="eastAsia" w:ascii="仿宋" w:hAnsi="仿宋" w:eastAsia="仿宋" w:cs="仿宋"/>
          <w:b/>
          <w:kern w:val="0"/>
          <w:sz w:val="24"/>
          <w:highlight w:val="none"/>
          <w:lang w:val="zh-CN"/>
        </w:rPr>
      </w:pPr>
      <w:r>
        <w:rPr>
          <w:rFonts w:hint="eastAsia" w:ascii="仿宋" w:hAnsi="仿宋" w:eastAsia="仿宋" w:cs="仿宋"/>
          <w:kern w:val="0"/>
          <w:sz w:val="24"/>
          <w:highlight w:val="none"/>
          <w:lang w:val="zh-CN"/>
        </w:rPr>
        <w:t>2、如为联合体响应的，“供应商名称”处必须列明联合体各方名称，并标注联合体牵头人名称，且盖章处须加盖联合体各方盖法人单位章或电子签章，</w:t>
      </w:r>
      <w:r>
        <w:rPr>
          <w:rFonts w:hint="eastAsia" w:ascii="仿宋" w:hAnsi="仿宋" w:eastAsia="仿宋" w:cs="仿宋"/>
          <w:b/>
          <w:kern w:val="0"/>
          <w:sz w:val="24"/>
          <w:highlight w:val="none"/>
          <w:lang w:val="zh-CN"/>
        </w:rPr>
        <w:t>否则其响应作无效响应处理。</w:t>
      </w:r>
    </w:p>
    <w:p w14:paraId="41867280">
      <w:pPr>
        <w:snapToGrid w:val="0"/>
        <w:spacing w:line="288" w:lineRule="auto"/>
        <w:ind w:firstLine="480" w:firstLineChars="200"/>
        <w:rPr>
          <w:rFonts w:hint="eastAsia" w:ascii="仿宋" w:hAnsi="仿宋" w:eastAsia="仿宋" w:cs="仿宋"/>
          <w:b/>
          <w:kern w:val="0"/>
          <w:sz w:val="24"/>
          <w:highlight w:val="none"/>
          <w:lang w:val="zh-CN"/>
        </w:rPr>
      </w:pPr>
      <w:r>
        <w:rPr>
          <w:rFonts w:hint="eastAsia" w:ascii="仿宋" w:hAnsi="仿宋" w:eastAsia="仿宋" w:cs="仿宋"/>
          <w:kern w:val="0"/>
          <w:sz w:val="24"/>
          <w:highlight w:val="none"/>
          <w:lang w:val="zh-CN"/>
        </w:rPr>
        <w:t>3、以上表格要求细分项目及报价，在“具体服务内容”一栏中，填写具体服务，，</w:t>
      </w:r>
      <w:r>
        <w:rPr>
          <w:rFonts w:hint="eastAsia" w:ascii="仿宋" w:hAnsi="仿宋" w:eastAsia="仿宋" w:cs="仿宋"/>
          <w:b/>
          <w:kern w:val="0"/>
          <w:sz w:val="24"/>
          <w:highlight w:val="none"/>
          <w:lang w:val="zh-CN"/>
        </w:rPr>
        <w:t>否则其响应作无效响应处理。</w:t>
      </w:r>
    </w:p>
    <w:p w14:paraId="2091C115">
      <w:pPr>
        <w:snapToGrid w:val="0"/>
        <w:spacing w:line="288"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4、特别提示：采购机构将对项目名称和项目编号，成交供应商名称、地址和成交金额，主要成交标的的名称、规格型号、数量、单价、服务要求等予以公示。</w:t>
      </w:r>
    </w:p>
    <w:p w14:paraId="1EECF564">
      <w:pPr>
        <w:snapToGrid w:val="0"/>
        <w:spacing w:line="288"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szCs w:val="22"/>
          <w:highlight w:val="none"/>
          <w:lang w:val="zh-CN"/>
        </w:rPr>
        <w:t>5、</w:t>
      </w:r>
      <w:r>
        <w:rPr>
          <w:rFonts w:hint="eastAsia" w:ascii="仿宋" w:hAnsi="仿宋" w:eastAsia="仿宋" w:cs="仿宋"/>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F5366D1">
      <w:pPr>
        <w:autoSpaceDE w:val="0"/>
        <w:autoSpaceDN w:val="0"/>
        <w:spacing w:line="360" w:lineRule="auto"/>
        <w:ind w:firstLine="5520" w:firstLineChars="23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673D3AA1">
      <w:pPr>
        <w:spacing w:line="500" w:lineRule="exact"/>
        <w:ind w:firstLine="6360" w:firstLineChars="2650"/>
        <w:rPr>
          <w:rFonts w:hint="eastAsia" w:ascii="仿宋" w:hAnsi="仿宋" w:eastAsia="仿宋" w:cs="仿宋"/>
          <w:kern w:val="0"/>
          <w:sz w:val="24"/>
          <w:szCs w:val="21"/>
          <w:highlight w:val="none"/>
          <w:lang w:val="zh-CN"/>
        </w:rPr>
        <w:sectPr>
          <w:pgSz w:w="11905" w:h="16838"/>
          <w:pgMar w:top="1304" w:right="1304" w:bottom="1304" w:left="1304" w:header="720" w:footer="720" w:gutter="0"/>
          <w:pgNumType w:fmt="decimal"/>
          <w:cols w:space="720" w:num="1"/>
          <w:docGrid w:type="lines" w:linePitch="339" w:charSpace="0"/>
        </w:sectPr>
      </w:pPr>
      <w:r>
        <w:rPr>
          <w:rFonts w:hint="eastAsia" w:ascii="仿宋" w:hAnsi="仿宋" w:eastAsia="仿宋" w:cs="仿宋"/>
          <w:kern w:val="0"/>
          <w:sz w:val="24"/>
          <w:szCs w:val="21"/>
          <w:highlight w:val="none"/>
          <w:lang w:val="zh-CN"/>
        </w:rPr>
        <w:t>日期：  年  月   日</w:t>
      </w:r>
    </w:p>
    <w:p w14:paraId="74707FC3">
      <w:pPr>
        <w:spacing w:line="500" w:lineRule="exact"/>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三、中小企业声明函</w:t>
      </w:r>
    </w:p>
    <w:p w14:paraId="7CBAF824">
      <w:pPr>
        <w:rPr>
          <w:rFonts w:hint="eastAsia" w:ascii="仿宋" w:hAnsi="仿宋" w:eastAsia="仿宋" w:cs="仿宋"/>
          <w:highlight w:val="none"/>
        </w:rPr>
      </w:pPr>
    </w:p>
    <w:p w14:paraId="40242ACC">
      <w:pPr>
        <w:spacing w:line="500" w:lineRule="exact"/>
        <w:jc w:val="center"/>
        <w:rPr>
          <w:rFonts w:hint="eastAsia" w:ascii="仿宋" w:hAnsi="仿宋" w:eastAsia="仿宋" w:cs="仿宋"/>
          <w:b/>
          <w:bCs/>
          <w:kern w:val="0"/>
          <w:sz w:val="30"/>
          <w:szCs w:val="30"/>
          <w:highlight w:val="none"/>
        </w:rPr>
      </w:pPr>
      <w:r>
        <w:rPr>
          <w:rFonts w:hint="eastAsia" w:ascii="仿宋" w:hAnsi="仿宋" w:eastAsia="仿宋" w:cs="仿宋"/>
          <w:b/>
          <w:bCs/>
          <w:kern w:val="0"/>
          <w:sz w:val="30"/>
          <w:szCs w:val="30"/>
          <w:highlight w:val="none"/>
        </w:rPr>
        <w:t>中小企业声明函（服务）</w:t>
      </w:r>
    </w:p>
    <w:p w14:paraId="10DD2CBC">
      <w:pPr>
        <w:rPr>
          <w:rFonts w:hint="eastAsia" w:ascii="仿宋" w:hAnsi="仿宋" w:eastAsia="仿宋" w:cs="仿宋"/>
          <w:highlight w:val="none"/>
        </w:rPr>
      </w:pPr>
    </w:p>
    <w:p w14:paraId="7102FD16">
      <w:pPr>
        <w:tabs>
          <w:tab w:val="left" w:pos="1065"/>
          <w:tab w:val="left" w:pos="6477"/>
        </w:tabs>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本公司（联合体）郑重声明，根据《政府采购促进中小企业发展管理办法》（财库﹝2020﹞46号）的规定，本公司（联合体）参加</w:t>
      </w:r>
      <w:r>
        <w:rPr>
          <w:rFonts w:hint="eastAsia" w:ascii="仿宋" w:hAnsi="仿宋" w:eastAsia="仿宋" w:cs="仿宋"/>
          <w:sz w:val="24"/>
          <w:highlight w:val="none"/>
          <w:u w:val="single"/>
        </w:rPr>
        <w:t>    （单位名称）</w:t>
      </w:r>
      <w:r>
        <w:rPr>
          <w:rFonts w:hint="eastAsia" w:ascii="仿宋" w:hAnsi="仿宋" w:eastAsia="仿宋" w:cs="仿宋"/>
          <w:sz w:val="24"/>
          <w:highlight w:val="none"/>
        </w:rPr>
        <w:t>的</w:t>
      </w:r>
      <w:r>
        <w:rPr>
          <w:rFonts w:hint="eastAsia" w:ascii="仿宋" w:hAnsi="仿宋" w:eastAsia="仿宋" w:cs="仿宋"/>
          <w:sz w:val="24"/>
          <w:highlight w:val="none"/>
          <w:u w:val="single"/>
        </w:rPr>
        <w:t xml:space="preserve">    （项目名称） </w:t>
      </w:r>
      <w:r>
        <w:rPr>
          <w:rFonts w:hint="eastAsia" w:ascii="仿宋" w:hAnsi="仿宋" w:eastAsia="仿宋" w:cs="仿宋"/>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33686A3">
      <w:pPr>
        <w:tabs>
          <w:tab w:val="left" w:pos="1065"/>
          <w:tab w:val="left" w:pos="6477"/>
        </w:tabs>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u w:val="single"/>
        </w:rPr>
        <w:t>   （标的名称）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    （采购文件中明确的所属行业）</w:t>
      </w:r>
      <w:r>
        <w:rPr>
          <w:rFonts w:hint="eastAsia" w:ascii="仿宋" w:hAnsi="仿宋" w:eastAsia="仿宋" w:cs="仿宋"/>
          <w:sz w:val="24"/>
          <w:highlight w:val="none"/>
        </w:rPr>
        <w:t>；承建（承接）企业为</w:t>
      </w:r>
      <w:r>
        <w:rPr>
          <w:rFonts w:hint="eastAsia" w:ascii="仿宋" w:hAnsi="仿宋" w:eastAsia="仿宋" w:cs="仿宋"/>
          <w:sz w:val="24"/>
          <w:highlight w:val="none"/>
          <w:u w:val="single"/>
        </w:rPr>
        <w:t>    （企业名称）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w:t>
      </w:r>
      <w:r>
        <w:rPr>
          <w:rFonts w:hint="eastAsia" w:ascii="仿宋" w:hAnsi="仿宋" w:eastAsia="仿宋" w:cs="仿宋"/>
          <w:sz w:val="24"/>
          <w:highlight w:val="none"/>
        </w:rPr>
        <w:t>万元，属于</w:t>
      </w:r>
      <w:r>
        <w:rPr>
          <w:rFonts w:hint="eastAsia" w:ascii="仿宋" w:hAnsi="仿宋" w:eastAsia="仿宋" w:cs="仿宋"/>
          <w:sz w:val="24"/>
          <w:highlight w:val="none"/>
          <w:u w:val="single"/>
        </w:rPr>
        <w:t>     （中型企业、小型企业、微型企业）</w:t>
      </w:r>
      <w:r>
        <w:rPr>
          <w:rFonts w:hint="eastAsia" w:ascii="仿宋" w:hAnsi="仿宋" w:eastAsia="仿宋" w:cs="仿宋"/>
          <w:sz w:val="24"/>
          <w:highlight w:val="none"/>
        </w:rPr>
        <w:t>；</w:t>
      </w:r>
    </w:p>
    <w:p w14:paraId="690E33F3">
      <w:pPr>
        <w:tabs>
          <w:tab w:val="left" w:pos="1065"/>
          <w:tab w:val="left" w:pos="6477"/>
        </w:tabs>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u w:val="single"/>
        </w:rPr>
        <w:t>     （标的名称）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     （采购文件中明确的所属行业）</w:t>
      </w:r>
      <w:r>
        <w:rPr>
          <w:rFonts w:hint="eastAsia" w:ascii="仿宋" w:hAnsi="仿宋" w:eastAsia="仿宋" w:cs="仿宋"/>
          <w:sz w:val="24"/>
          <w:highlight w:val="none"/>
        </w:rPr>
        <w:t>行业；制造商为</w:t>
      </w:r>
      <w:r>
        <w:rPr>
          <w:rFonts w:hint="eastAsia" w:ascii="仿宋" w:hAnsi="仿宋" w:eastAsia="仿宋" w:cs="仿宋"/>
          <w:sz w:val="24"/>
          <w:highlight w:val="none"/>
          <w:u w:val="single"/>
        </w:rPr>
        <w:t>       （企业名称）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w:t>
      </w:r>
      <w:r>
        <w:rPr>
          <w:rFonts w:hint="eastAsia" w:ascii="仿宋" w:hAnsi="仿宋" w:eastAsia="仿宋" w:cs="仿宋"/>
          <w:sz w:val="24"/>
          <w:highlight w:val="none"/>
        </w:rPr>
        <w:t>万元，属于</w:t>
      </w:r>
      <w:r>
        <w:rPr>
          <w:rFonts w:hint="eastAsia" w:ascii="仿宋" w:hAnsi="仿宋" w:eastAsia="仿宋" w:cs="仿宋"/>
          <w:sz w:val="24"/>
          <w:highlight w:val="none"/>
          <w:u w:val="single"/>
        </w:rPr>
        <w:t>     （中型企业、小型企业、微型企业）</w:t>
      </w:r>
      <w:r>
        <w:rPr>
          <w:rFonts w:hint="eastAsia" w:ascii="仿宋" w:hAnsi="仿宋" w:eastAsia="仿宋" w:cs="仿宋"/>
          <w:sz w:val="24"/>
          <w:highlight w:val="none"/>
        </w:rPr>
        <w:t>；</w:t>
      </w:r>
    </w:p>
    <w:p w14:paraId="44BE059B">
      <w:pPr>
        <w:spacing w:line="360" w:lineRule="auto"/>
        <w:ind w:left="142" w:right="142"/>
        <w:contextualSpacing/>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0D51952D">
      <w:pPr>
        <w:spacing w:line="360" w:lineRule="auto"/>
        <w:ind w:left="-405" w:leftChars="-193" w:right="142" w:firstLine="453" w:firstLineChars="189"/>
        <w:contextualSpacing/>
        <w:rPr>
          <w:rFonts w:hint="eastAsia" w:ascii="仿宋" w:hAnsi="仿宋" w:eastAsia="仿宋" w:cs="仿宋"/>
          <w:sz w:val="24"/>
          <w:highlight w:val="none"/>
        </w:rPr>
      </w:pPr>
      <w:r>
        <w:rPr>
          <w:rFonts w:hint="eastAsia" w:ascii="仿宋" w:hAnsi="仿宋" w:eastAsia="仿宋" w:cs="仿宋"/>
          <w:sz w:val="24"/>
          <w:highlight w:val="none"/>
        </w:rPr>
        <w:t>以上企业，不属于大企业的分支机构，不存在控股股东为大企业的情形，也不存在与大企业的负责人为同一人的情形。</w:t>
      </w:r>
    </w:p>
    <w:p w14:paraId="6003CFC2">
      <w:pPr>
        <w:spacing w:line="360" w:lineRule="auto"/>
        <w:ind w:left="-426" w:right="142" w:firstLine="567"/>
        <w:contextualSpacing/>
        <w:rPr>
          <w:rFonts w:hint="eastAsia" w:ascii="仿宋" w:hAnsi="仿宋" w:eastAsia="仿宋" w:cs="仿宋"/>
          <w:sz w:val="24"/>
          <w:highlight w:val="none"/>
        </w:rPr>
      </w:pPr>
      <w:r>
        <w:rPr>
          <w:rFonts w:hint="eastAsia" w:ascii="仿宋" w:hAnsi="仿宋" w:eastAsia="仿宋" w:cs="仿宋"/>
          <w:sz w:val="24"/>
          <w:highlight w:val="none"/>
        </w:rPr>
        <w:t>本企业对上述声明内容的真实性负责。如有虚假，将依法承担相应责任。</w:t>
      </w:r>
    </w:p>
    <w:p w14:paraId="550752E7">
      <w:pPr>
        <w:autoSpaceDE w:val="0"/>
        <w:autoSpaceDN w:val="0"/>
        <w:spacing w:line="360" w:lineRule="auto"/>
        <w:ind w:left="4335" w:leftChars="1950" w:hanging="240" w:hangingChars="100"/>
        <w:rPr>
          <w:rFonts w:hint="eastAsia" w:ascii="仿宋" w:hAnsi="仿宋" w:eastAsia="仿宋" w:cs="仿宋"/>
          <w:kern w:val="0"/>
          <w:sz w:val="24"/>
          <w:highlight w:val="none"/>
        </w:rPr>
      </w:pPr>
    </w:p>
    <w:p w14:paraId="224CAC30">
      <w:pPr>
        <w:autoSpaceDE w:val="0"/>
        <w:autoSpaceDN w:val="0"/>
        <w:spacing w:line="360" w:lineRule="auto"/>
        <w:ind w:left="4335" w:leftChars="1950" w:hanging="240" w:hangingChars="1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6DD593FE">
      <w:pPr>
        <w:autoSpaceDE w:val="0"/>
        <w:autoSpaceDN w:val="0"/>
        <w:spacing w:line="360" w:lineRule="auto"/>
        <w:ind w:firstLine="6480" w:firstLineChars="27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日期：  年  月   日</w:t>
      </w:r>
    </w:p>
    <w:p w14:paraId="2CE9771B">
      <w:pPr>
        <w:spacing w:line="360" w:lineRule="auto"/>
        <w:ind w:left="3960" w:right="1808"/>
        <w:contextualSpacing/>
        <w:rPr>
          <w:rFonts w:hint="eastAsia" w:ascii="仿宋" w:hAnsi="仿宋" w:eastAsia="仿宋" w:cs="仿宋"/>
          <w:highlight w:val="none"/>
        </w:rPr>
      </w:pPr>
    </w:p>
    <w:p w14:paraId="66E558F5">
      <w:pPr>
        <w:spacing w:line="360" w:lineRule="auto"/>
        <w:contextualSpacing/>
        <w:jc w:val="left"/>
        <w:rPr>
          <w:rFonts w:hint="eastAsia" w:ascii="仿宋" w:hAnsi="仿宋" w:eastAsia="仿宋" w:cs="仿宋"/>
          <w:kern w:val="0"/>
          <w:sz w:val="24"/>
          <w:highlight w:val="none"/>
        </w:rPr>
      </w:pPr>
      <w:r>
        <w:rPr>
          <w:rFonts w:hint="eastAsia" w:ascii="仿宋" w:hAnsi="仿宋" w:eastAsia="仿宋" w:cs="仿宋"/>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141B8C7">
      <w:pPr>
        <w:snapToGrid w:val="0"/>
        <w:spacing w:before="169" w:beforeLines="50" w:after="50" w:line="360" w:lineRule="auto"/>
        <w:rPr>
          <w:rFonts w:hint="eastAsia" w:ascii="仿宋" w:hAnsi="仿宋" w:eastAsia="仿宋" w:cs="仿宋"/>
          <w:b/>
          <w:bCs/>
          <w:sz w:val="32"/>
          <w:szCs w:val="32"/>
          <w:highlight w:val="none"/>
        </w:rPr>
        <w:sectPr>
          <w:pgSz w:w="11905" w:h="16838"/>
          <w:pgMar w:top="1304" w:right="1304" w:bottom="1304" w:left="1304" w:header="720" w:footer="720" w:gutter="0"/>
          <w:pgNumType w:fmt="decimal"/>
          <w:cols w:space="720" w:num="1"/>
          <w:docGrid w:type="lines" w:linePitch="339" w:charSpace="0"/>
        </w:sectPr>
      </w:pPr>
      <w:bookmarkStart w:id="130" w:name="_Toc44229899"/>
      <w:bookmarkStart w:id="131" w:name="_Toc31723070"/>
      <w:bookmarkStart w:id="132" w:name="_Toc35611516"/>
      <w:bookmarkStart w:id="133" w:name="_Toc31728084"/>
      <w:bookmarkStart w:id="134" w:name="_Toc35611438"/>
    </w:p>
    <w:bookmarkEnd w:id="130"/>
    <w:bookmarkEnd w:id="131"/>
    <w:bookmarkEnd w:id="132"/>
    <w:bookmarkEnd w:id="133"/>
    <w:bookmarkEnd w:id="134"/>
    <w:p w14:paraId="38D339A2">
      <w:pPr>
        <w:keepNext/>
        <w:keepLines/>
        <w:spacing w:before="260" w:after="260" w:line="416" w:lineRule="auto"/>
        <w:jc w:val="center"/>
        <w:outlineLvl w:val="1"/>
        <w:rPr>
          <w:rFonts w:hint="eastAsia" w:ascii="仿宋" w:hAnsi="仿宋" w:eastAsia="仿宋" w:cs="仿宋"/>
          <w:bCs/>
          <w:sz w:val="32"/>
          <w:szCs w:val="32"/>
          <w:highlight w:val="none"/>
        </w:rPr>
      </w:pPr>
      <w:bookmarkStart w:id="135" w:name="_Toc127516340"/>
      <w:bookmarkStart w:id="136" w:name="_Toc80205942"/>
      <w:bookmarkStart w:id="137" w:name="_Toc28900"/>
      <w:r>
        <w:rPr>
          <w:rFonts w:hint="eastAsia" w:ascii="仿宋" w:hAnsi="仿宋" w:eastAsia="仿宋" w:cs="仿宋"/>
          <w:b/>
          <w:bCs/>
          <w:sz w:val="32"/>
          <w:szCs w:val="32"/>
          <w:highlight w:val="none"/>
        </w:rPr>
        <w:t>第六节 其他文书、文件格式</w:t>
      </w:r>
      <w:bookmarkEnd w:id="135"/>
      <w:bookmarkEnd w:id="136"/>
      <w:bookmarkEnd w:id="137"/>
    </w:p>
    <w:p w14:paraId="7DB34A5C">
      <w:pPr>
        <w:spacing w:line="520" w:lineRule="exact"/>
        <w:rPr>
          <w:rFonts w:hint="eastAsia" w:ascii="仿宋" w:hAnsi="仿宋" w:eastAsia="仿宋" w:cs="仿宋"/>
          <w:sz w:val="24"/>
          <w:highlight w:val="none"/>
        </w:rPr>
      </w:pPr>
    </w:p>
    <w:p w14:paraId="7DF14BE1">
      <w:pPr>
        <w:spacing w:line="500" w:lineRule="exact"/>
        <w:jc w:val="center"/>
        <w:rPr>
          <w:rFonts w:hint="eastAsia" w:ascii="仿宋" w:hAnsi="仿宋" w:eastAsia="仿宋" w:cs="仿宋"/>
          <w:b/>
          <w:bCs/>
          <w:kern w:val="0"/>
          <w:sz w:val="30"/>
          <w:szCs w:val="30"/>
          <w:highlight w:val="none"/>
        </w:rPr>
      </w:pPr>
      <w:r>
        <w:rPr>
          <w:rFonts w:hint="eastAsia" w:ascii="仿宋" w:hAnsi="仿宋" w:eastAsia="仿宋" w:cs="仿宋"/>
          <w:b/>
          <w:bCs/>
          <w:kern w:val="0"/>
          <w:sz w:val="30"/>
          <w:szCs w:val="30"/>
          <w:highlight w:val="none"/>
        </w:rPr>
        <w:t>残疾人福利性单位声明函</w:t>
      </w:r>
    </w:p>
    <w:p w14:paraId="20BFAF85">
      <w:pPr>
        <w:spacing w:line="520" w:lineRule="exact"/>
        <w:rPr>
          <w:rFonts w:hint="eastAsia" w:ascii="仿宋" w:hAnsi="仿宋" w:eastAsia="仿宋" w:cs="仿宋"/>
          <w:sz w:val="32"/>
          <w:szCs w:val="32"/>
          <w:highlight w:val="none"/>
        </w:rPr>
      </w:pPr>
    </w:p>
    <w:p w14:paraId="69A190D6">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中国残疾人联合会关于促进残疾人就业政府采购政策的通知》（财库〔2017〕141号）的规定，本单位为符合条件的残疾人福利性单位，且本单位参加单位的项目采购活动由本单位提供服务。</w:t>
      </w:r>
    </w:p>
    <w:p w14:paraId="5C7BF8E7">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本单位对上述声明的真实性负责。如有虚假，将依法承担相应责任。</w:t>
      </w:r>
    </w:p>
    <w:p w14:paraId="290A67D6">
      <w:pPr>
        <w:spacing w:line="360" w:lineRule="auto"/>
        <w:contextualSpacing/>
        <w:rPr>
          <w:rFonts w:hint="eastAsia" w:ascii="仿宋" w:hAnsi="仿宋" w:eastAsia="仿宋" w:cs="仿宋"/>
          <w:sz w:val="24"/>
          <w:highlight w:val="none"/>
        </w:rPr>
      </w:pPr>
    </w:p>
    <w:p w14:paraId="22C25C9D">
      <w:pPr>
        <w:spacing w:line="360" w:lineRule="auto"/>
        <w:contextualSpacing/>
        <w:rPr>
          <w:rFonts w:hint="eastAsia" w:ascii="仿宋" w:hAnsi="仿宋" w:eastAsia="仿宋" w:cs="仿宋"/>
          <w:sz w:val="24"/>
          <w:highlight w:val="none"/>
        </w:rPr>
      </w:pPr>
    </w:p>
    <w:p w14:paraId="3687F416">
      <w:pPr>
        <w:spacing w:line="360" w:lineRule="auto"/>
        <w:contextualSpacing/>
        <w:rPr>
          <w:rFonts w:hint="eastAsia" w:ascii="仿宋" w:hAnsi="仿宋" w:eastAsia="仿宋" w:cs="仿宋"/>
          <w:sz w:val="24"/>
          <w:highlight w:val="none"/>
        </w:rPr>
      </w:pPr>
    </w:p>
    <w:p w14:paraId="5482A95E">
      <w:pPr>
        <w:spacing w:line="360" w:lineRule="auto"/>
        <w:ind w:firstLine="2400" w:firstLineChars="1000"/>
        <w:contextualSpacing/>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043B43E6">
      <w:pPr>
        <w:spacing w:line="360" w:lineRule="auto"/>
        <w:ind w:firstLine="4320" w:firstLineChars="1800"/>
        <w:contextualSpacing/>
        <w:rPr>
          <w:rFonts w:hint="eastAsia" w:ascii="仿宋" w:hAnsi="仿宋" w:eastAsia="仿宋" w:cs="仿宋"/>
          <w:sz w:val="24"/>
          <w:highlight w:val="none"/>
        </w:rPr>
      </w:pPr>
      <w:r>
        <w:rPr>
          <w:rFonts w:hint="eastAsia" w:ascii="仿宋" w:hAnsi="仿宋" w:eastAsia="仿宋" w:cs="仿宋"/>
          <w:sz w:val="24"/>
          <w:highlight w:val="none"/>
        </w:rPr>
        <w:t>日  期：     年   月   日</w:t>
      </w:r>
    </w:p>
    <w:p w14:paraId="6E8570AB">
      <w:pPr>
        <w:spacing w:line="360" w:lineRule="auto"/>
        <w:contextualSpacing/>
        <w:rPr>
          <w:rFonts w:hint="eastAsia" w:ascii="仿宋" w:hAnsi="仿宋" w:eastAsia="仿宋" w:cs="仿宋"/>
          <w:sz w:val="24"/>
          <w:highlight w:val="none"/>
        </w:rPr>
      </w:pPr>
    </w:p>
    <w:p w14:paraId="2E27AA95">
      <w:pPr>
        <w:spacing w:line="360" w:lineRule="auto"/>
        <w:contextualSpacing/>
        <w:rPr>
          <w:rFonts w:hint="eastAsia" w:ascii="仿宋" w:hAnsi="仿宋" w:eastAsia="仿宋" w:cs="仿宋"/>
          <w:sz w:val="24"/>
          <w:highlight w:val="none"/>
        </w:rPr>
      </w:pPr>
    </w:p>
    <w:p w14:paraId="477BFFC0">
      <w:pPr>
        <w:spacing w:line="360" w:lineRule="auto"/>
        <w:contextualSpacing/>
        <w:rPr>
          <w:rFonts w:hint="eastAsia" w:ascii="仿宋" w:hAnsi="仿宋" w:eastAsia="仿宋" w:cs="仿宋"/>
          <w:sz w:val="24"/>
          <w:highlight w:val="none"/>
        </w:rPr>
      </w:pPr>
    </w:p>
    <w:p w14:paraId="609A7F2D">
      <w:pPr>
        <w:spacing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40916F4">
      <w:pPr>
        <w:spacing w:line="360" w:lineRule="auto"/>
        <w:contextualSpacing/>
        <w:rPr>
          <w:rFonts w:hint="eastAsia" w:ascii="仿宋" w:hAnsi="仿宋" w:eastAsia="仿宋" w:cs="仿宋"/>
          <w:sz w:val="24"/>
          <w:highlight w:val="none"/>
        </w:rPr>
      </w:pPr>
    </w:p>
    <w:p w14:paraId="31CE51FE">
      <w:pPr>
        <w:spacing w:line="360" w:lineRule="auto"/>
        <w:contextualSpacing/>
        <w:rPr>
          <w:rFonts w:hint="eastAsia" w:ascii="仿宋" w:hAnsi="仿宋" w:eastAsia="仿宋" w:cs="仿宋"/>
          <w:sz w:val="24"/>
          <w:highlight w:val="none"/>
        </w:rPr>
        <w:sectPr>
          <w:headerReference r:id="rId22" w:type="default"/>
          <w:footerReference r:id="rId23" w:type="default"/>
          <w:pgSz w:w="11905" w:h="16838"/>
          <w:pgMar w:top="1304" w:right="1304" w:bottom="1304" w:left="1304" w:header="720" w:footer="720" w:gutter="0"/>
          <w:pgNumType w:fmt="decimal"/>
          <w:cols w:space="720" w:num="1"/>
          <w:docGrid w:type="lines" w:linePitch="339" w:charSpace="0"/>
        </w:sectPr>
      </w:pPr>
    </w:p>
    <w:p w14:paraId="4BF211DA">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知识产权合规性声明</w:t>
      </w:r>
    </w:p>
    <w:p w14:paraId="0747E073">
      <w:pPr>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7850F1A9">
      <w:pPr>
        <w:spacing w:line="48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本企业（单位）自愿参与政府投资政府采购的</w:t>
      </w:r>
      <w:bookmarkStart w:id="138" w:name="PO_3000001868_PM002_14"/>
      <w:bookmarkEnd w:id="138"/>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w:t>
      </w:r>
      <w:r>
        <w:rPr>
          <w:rFonts w:hint="eastAsia" w:ascii="仿宋" w:hAnsi="仿宋" w:eastAsia="仿宋" w:cs="仿宋"/>
          <w:b/>
          <w:bCs/>
          <w:sz w:val="24"/>
          <w:highlight w:val="none"/>
        </w:rPr>
        <w:t>在此郑重承诺：</w:t>
      </w:r>
      <w:r>
        <w:rPr>
          <w:rFonts w:hint="eastAsia" w:ascii="仿宋" w:hAnsi="仿宋" w:eastAsia="仿宋" w:cs="仿宋"/>
          <w:sz w:val="24"/>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21CF324A">
      <w:pPr>
        <w:snapToGrid w:val="0"/>
        <w:spacing w:line="360" w:lineRule="auto"/>
        <w:ind w:left="5137" w:leftChars="1736" w:hanging="1491" w:hangingChars="825"/>
        <w:rPr>
          <w:rFonts w:hint="eastAsia" w:ascii="仿宋" w:hAnsi="仿宋" w:eastAsia="仿宋" w:cs="仿宋"/>
          <w:b/>
          <w:sz w:val="18"/>
          <w:szCs w:val="18"/>
          <w:highlight w:val="none"/>
        </w:rPr>
      </w:pPr>
      <w:r>
        <w:rPr>
          <w:rFonts w:hint="eastAsia" w:ascii="仿宋" w:hAnsi="仿宋" w:eastAsia="仿宋" w:cs="仿宋"/>
          <w:b/>
          <w:sz w:val="18"/>
          <w:szCs w:val="18"/>
          <w:highlight w:val="none"/>
        </w:rPr>
        <w:t xml:space="preserve">           </w:t>
      </w:r>
    </w:p>
    <w:p w14:paraId="7D2D777D">
      <w:pPr>
        <w:snapToGrid w:val="0"/>
        <w:spacing w:line="360" w:lineRule="auto"/>
        <w:ind w:left="5137" w:leftChars="1736" w:hanging="1491" w:hangingChars="825"/>
        <w:rPr>
          <w:rFonts w:hint="eastAsia" w:ascii="仿宋" w:hAnsi="仿宋" w:eastAsia="仿宋" w:cs="仿宋"/>
          <w:b/>
          <w:sz w:val="18"/>
          <w:szCs w:val="18"/>
          <w:highlight w:val="none"/>
        </w:rPr>
      </w:pPr>
      <w:r>
        <w:rPr>
          <w:rFonts w:hint="eastAsia" w:ascii="仿宋" w:hAnsi="仿宋" w:eastAsia="仿宋" w:cs="仿宋"/>
          <w:b/>
          <w:sz w:val="18"/>
          <w:szCs w:val="18"/>
          <w:highlight w:val="none"/>
        </w:rPr>
        <w:t xml:space="preserve"> </w:t>
      </w:r>
    </w:p>
    <w:p w14:paraId="0B926506">
      <w:pPr>
        <w:snapToGrid w:val="0"/>
        <w:spacing w:line="360" w:lineRule="auto"/>
        <w:ind w:left="5137" w:leftChars="1736" w:hanging="1491" w:hangingChars="825"/>
        <w:rPr>
          <w:rFonts w:hint="eastAsia" w:ascii="仿宋" w:hAnsi="仿宋" w:eastAsia="仿宋" w:cs="仿宋"/>
          <w:b/>
          <w:sz w:val="18"/>
          <w:szCs w:val="18"/>
          <w:highlight w:val="none"/>
        </w:rPr>
      </w:pPr>
      <w:r>
        <w:rPr>
          <w:rFonts w:hint="eastAsia" w:ascii="仿宋" w:hAnsi="仿宋" w:eastAsia="仿宋" w:cs="仿宋"/>
          <w:b/>
          <w:sz w:val="18"/>
          <w:szCs w:val="18"/>
          <w:highlight w:val="none"/>
        </w:rPr>
        <w:t xml:space="preserve"> </w:t>
      </w:r>
    </w:p>
    <w:p w14:paraId="16112DC3">
      <w:pPr>
        <w:snapToGrid w:val="0"/>
        <w:spacing w:line="360" w:lineRule="auto"/>
        <w:ind w:left="5137" w:leftChars="1736" w:hanging="1491" w:hangingChars="825"/>
        <w:rPr>
          <w:rFonts w:hint="eastAsia" w:ascii="仿宋" w:hAnsi="仿宋" w:eastAsia="仿宋" w:cs="仿宋"/>
          <w:b/>
          <w:sz w:val="18"/>
          <w:szCs w:val="18"/>
          <w:highlight w:val="none"/>
        </w:rPr>
      </w:pPr>
      <w:r>
        <w:rPr>
          <w:rFonts w:hint="eastAsia" w:ascii="仿宋" w:hAnsi="仿宋" w:eastAsia="仿宋" w:cs="仿宋"/>
          <w:b/>
          <w:sz w:val="18"/>
          <w:szCs w:val="18"/>
          <w:highlight w:val="none"/>
        </w:rPr>
        <w:t xml:space="preserve"> </w:t>
      </w:r>
    </w:p>
    <w:p w14:paraId="2CA1ADD5">
      <w:pPr>
        <w:spacing w:line="360" w:lineRule="auto"/>
        <w:ind w:firstLine="1807" w:firstLineChars="1000"/>
        <w:contextualSpacing/>
        <w:rPr>
          <w:rFonts w:hint="eastAsia" w:ascii="仿宋" w:hAnsi="仿宋" w:eastAsia="仿宋" w:cs="仿宋"/>
          <w:sz w:val="24"/>
          <w:highlight w:val="none"/>
        </w:rPr>
      </w:pPr>
      <w:r>
        <w:rPr>
          <w:rFonts w:hint="eastAsia" w:ascii="仿宋" w:hAnsi="仿宋" w:eastAsia="仿宋" w:cs="仿宋"/>
          <w:b/>
          <w:sz w:val="18"/>
          <w:szCs w:val="18"/>
          <w:highlight w:val="none"/>
        </w:rPr>
        <w:t xml:space="preserve">      </w:t>
      </w:r>
      <w:r>
        <w:rPr>
          <w:rFonts w:hint="eastAsia" w:ascii="仿宋" w:hAnsi="仿宋" w:eastAsia="仿宋" w:cs="仿宋"/>
          <w:sz w:val="24"/>
          <w:highlight w:val="none"/>
        </w:rPr>
        <w:t>供应商名称（电子签章）：</w:t>
      </w:r>
    </w:p>
    <w:p w14:paraId="6F5D89A9">
      <w:pPr>
        <w:snapToGrid w:val="0"/>
        <w:spacing w:line="360" w:lineRule="auto"/>
        <w:ind w:firstLine="5160" w:firstLineChars="2150"/>
        <w:rPr>
          <w:rFonts w:hint="eastAsia" w:ascii="仿宋" w:hAnsi="仿宋" w:eastAsia="仿宋" w:cs="仿宋"/>
          <w:sz w:val="24"/>
          <w:highlight w:val="none"/>
        </w:rPr>
      </w:pPr>
      <w:r>
        <w:rPr>
          <w:rFonts w:hint="eastAsia" w:ascii="仿宋" w:hAnsi="仿宋" w:eastAsia="仿宋" w:cs="仿宋"/>
          <w:sz w:val="24"/>
          <w:highlight w:val="none"/>
        </w:rPr>
        <w:t>日  期：     年   月   日</w:t>
      </w:r>
    </w:p>
    <w:p w14:paraId="7D8A52E7">
      <w:pPr>
        <w:spacing w:line="520" w:lineRule="exact"/>
        <w:jc w:val="center"/>
        <w:rPr>
          <w:rFonts w:hint="eastAsia" w:ascii="仿宋" w:hAnsi="仿宋" w:eastAsia="仿宋" w:cs="仿宋"/>
          <w:sz w:val="24"/>
          <w:highlight w:val="none"/>
        </w:rPr>
      </w:pPr>
    </w:p>
    <w:p w14:paraId="72CF7DDD">
      <w:pPr>
        <w:spacing w:line="520" w:lineRule="exact"/>
        <w:jc w:val="center"/>
        <w:rPr>
          <w:rFonts w:hint="eastAsia" w:ascii="仿宋" w:hAnsi="仿宋" w:eastAsia="仿宋" w:cs="仿宋"/>
          <w:sz w:val="24"/>
          <w:highlight w:val="none"/>
        </w:rPr>
      </w:pPr>
    </w:p>
    <w:p w14:paraId="1845F020">
      <w:pPr>
        <w:spacing w:line="520" w:lineRule="exact"/>
        <w:jc w:val="center"/>
        <w:rPr>
          <w:rFonts w:hint="eastAsia" w:ascii="仿宋" w:hAnsi="仿宋" w:eastAsia="仿宋" w:cs="仿宋"/>
          <w:sz w:val="24"/>
          <w:highlight w:val="none"/>
        </w:rPr>
      </w:pPr>
    </w:p>
    <w:p w14:paraId="4EF74462">
      <w:pPr>
        <w:spacing w:line="520" w:lineRule="exact"/>
        <w:jc w:val="center"/>
        <w:rPr>
          <w:rFonts w:hint="eastAsia" w:ascii="仿宋" w:hAnsi="仿宋" w:eastAsia="仿宋" w:cs="仿宋"/>
          <w:sz w:val="24"/>
          <w:highlight w:val="none"/>
        </w:rPr>
      </w:pPr>
    </w:p>
    <w:p w14:paraId="2292A1F5">
      <w:pPr>
        <w:spacing w:line="520" w:lineRule="exact"/>
        <w:jc w:val="center"/>
        <w:rPr>
          <w:rFonts w:hint="eastAsia" w:ascii="仿宋" w:hAnsi="仿宋" w:eastAsia="仿宋" w:cs="仿宋"/>
          <w:sz w:val="24"/>
          <w:highlight w:val="none"/>
        </w:rPr>
      </w:pPr>
    </w:p>
    <w:p w14:paraId="39C55FA6">
      <w:pPr>
        <w:spacing w:line="520" w:lineRule="exact"/>
        <w:jc w:val="center"/>
        <w:rPr>
          <w:rFonts w:hint="eastAsia" w:ascii="仿宋" w:hAnsi="仿宋" w:eastAsia="仿宋" w:cs="仿宋"/>
          <w:sz w:val="24"/>
          <w:highlight w:val="none"/>
        </w:rPr>
      </w:pPr>
    </w:p>
    <w:p w14:paraId="5E8350B2">
      <w:pPr>
        <w:spacing w:line="520" w:lineRule="exact"/>
        <w:jc w:val="center"/>
        <w:rPr>
          <w:rFonts w:hint="eastAsia" w:ascii="仿宋" w:hAnsi="仿宋" w:eastAsia="仿宋" w:cs="仿宋"/>
          <w:sz w:val="24"/>
          <w:highlight w:val="none"/>
        </w:rPr>
      </w:pPr>
    </w:p>
    <w:p w14:paraId="450D9DFF">
      <w:pPr>
        <w:spacing w:line="520" w:lineRule="exact"/>
        <w:jc w:val="center"/>
        <w:rPr>
          <w:rFonts w:hint="eastAsia" w:ascii="仿宋" w:hAnsi="仿宋" w:eastAsia="仿宋" w:cs="仿宋"/>
          <w:sz w:val="24"/>
          <w:highlight w:val="none"/>
        </w:rPr>
      </w:pPr>
    </w:p>
    <w:p w14:paraId="6ACA722A">
      <w:pPr>
        <w:spacing w:line="520" w:lineRule="exact"/>
        <w:jc w:val="center"/>
        <w:rPr>
          <w:rFonts w:hint="eastAsia" w:ascii="仿宋" w:hAnsi="仿宋" w:eastAsia="仿宋" w:cs="仿宋"/>
          <w:sz w:val="24"/>
          <w:highlight w:val="none"/>
        </w:rPr>
      </w:pPr>
    </w:p>
    <w:p w14:paraId="5B833802">
      <w:pPr>
        <w:spacing w:line="520" w:lineRule="exact"/>
        <w:jc w:val="center"/>
        <w:rPr>
          <w:rFonts w:hint="eastAsia" w:ascii="仿宋" w:hAnsi="仿宋" w:eastAsia="仿宋" w:cs="仿宋"/>
          <w:sz w:val="24"/>
          <w:highlight w:val="none"/>
        </w:rPr>
      </w:pPr>
    </w:p>
    <w:p w14:paraId="7DF59B4C">
      <w:pPr>
        <w:spacing w:line="520" w:lineRule="exact"/>
        <w:jc w:val="center"/>
        <w:rPr>
          <w:rFonts w:hint="eastAsia" w:ascii="仿宋" w:hAnsi="仿宋" w:eastAsia="仿宋" w:cs="仿宋"/>
          <w:sz w:val="24"/>
          <w:highlight w:val="none"/>
        </w:rPr>
      </w:pPr>
    </w:p>
    <w:p w14:paraId="3C3D5A83">
      <w:pPr>
        <w:spacing w:line="520" w:lineRule="exact"/>
        <w:jc w:val="center"/>
        <w:rPr>
          <w:rFonts w:hint="eastAsia" w:ascii="仿宋" w:hAnsi="仿宋" w:eastAsia="仿宋" w:cs="仿宋"/>
          <w:sz w:val="24"/>
          <w:highlight w:val="none"/>
        </w:rPr>
      </w:pPr>
    </w:p>
    <w:p w14:paraId="3D8E2DC7">
      <w:pPr>
        <w:spacing w:line="520" w:lineRule="exact"/>
        <w:jc w:val="center"/>
        <w:rPr>
          <w:rFonts w:hint="eastAsia" w:ascii="仿宋" w:hAnsi="仿宋" w:eastAsia="仿宋" w:cs="仿宋"/>
          <w:sz w:val="24"/>
          <w:highlight w:val="none"/>
        </w:rPr>
      </w:pPr>
    </w:p>
    <w:p w14:paraId="015B39F3">
      <w:pPr>
        <w:spacing w:line="520" w:lineRule="exact"/>
        <w:jc w:val="center"/>
        <w:rPr>
          <w:rFonts w:hint="eastAsia" w:ascii="仿宋" w:hAnsi="仿宋" w:eastAsia="仿宋" w:cs="仿宋"/>
          <w:sz w:val="24"/>
          <w:highlight w:val="none"/>
        </w:rPr>
      </w:pPr>
    </w:p>
    <w:p w14:paraId="1FDDF9BE">
      <w:pPr>
        <w:keepNext/>
        <w:keepLines/>
        <w:numPr>
          <w:ilvl w:val="0"/>
          <w:numId w:val="4"/>
        </w:numPr>
        <w:spacing w:before="340" w:after="330" w:line="578" w:lineRule="auto"/>
        <w:jc w:val="center"/>
        <w:outlineLvl w:val="0"/>
        <w:rPr>
          <w:rFonts w:hint="eastAsia" w:ascii="仿宋" w:hAnsi="仿宋" w:eastAsia="仿宋" w:cs="仿宋"/>
          <w:kern w:val="44"/>
          <w:sz w:val="44"/>
          <w:szCs w:val="44"/>
          <w:highlight w:val="none"/>
        </w:rPr>
      </w:pPr>
      <w:bookmarkStart w:id="139" w:name="_Toc127516341"/>
      <w:bookmarkStart w:id="140" w:name="_Toc24183"/>
      <w:r>
        <w:rPr>
          <w:rFonts w:hint="eastAsia" w:ascii="仿宋" w:hAnsi="仿宋" w:eastAsia="仿宋" w:cs="仿宋"/>
          <w:kern w:val="44"/>
          <w:sz w:val="44"/>
          <w:szCs w:val="44"/>
          <w:highlight w:val="none"/>
        </w:rPr>
        <w:t>合同文本</w:t>
      </w:r>
      <w:bookmarkEnd w:id="139"/>
      <w:bookmarkEnd w:id="140"/>
    </w:p>
    <w:p w14:paraId="2D034B38">
      <w:pPr>
        <w:pStyle w:val="2"/>
        <w:jc w:val="center"/>
        <w:rPr>
          <w:rFonts w:hint="eastAsia" w:ascii="仿宋" w:hAnsi="仿宋" w:eastAsia="仿宋" w:cs="仿宋"/>
          <w:b w:val="0"/>
          <w:bCs w:val="0"/>
          <w:highlight w:val="none"/>
        </w:rPr>
      </w:pPr>
      <w:r>
        <w:rPr>
          <w:rFonts w:hint="eastAsia" w:ascii="仿宋" w:hAnsi="仿宋" w:eastAsia="仿宋" w:cs="仿宋"/>
          <w:b w:val="0"/>
          <w:bCs w:val="0"/>
          <w:highlight w:val="none"/>
        </w:rPr>
        <w:br w:type="page"/>
      </w:r>
    </w:p>
    <w:p w14:paraId="6E2BAE69">
      <w:pPr>
        <w:rPr>
          <w:rFonts w:hint="eastAsia" w:ascii="仿宋" w:hAnsi="仿宋" w:eastAsia="仿宋" w:cs="仿宋"/>
          <w:sz w:val="24"/>
          <w:highlight w:val="none"/>
        </w:rPr>
      </w:pPr>
      <w:r>
        <w:rPr>
          <w:rFonts w:hint="eastAsia" w:ascii="仿宋" w:hAnsi="仿宋" w:eastAsia="仿宋" w:cs="仿宋"/>
          <w:sz w:val="24"/>
          <w:highlight w:val="none"/>
        </w:rPr>
        <w:t>“广西政府采购云”平台合同编号：</w:t>
      </w:r>
    </w:p>
    <w:p w14:paraId="4A319BEA">
      <w:pPr>
        <w:rPr>
          <w:rFonts w:hint="eastAsia" w:ascii="仿宋" w:hAnsi="仿宋" w:eastAsia="仿宋" w:cs="仿宋"/>
          <w:sz w:val="24"/>
          <w:highlight w:val="none"/>
        </w:rPr>
      </w:pPr>
    </w:p>
    <w:p w14:paraId="381E3BBE">
      <w:pPr>
        <w:rPr>
          <w:rFonts w:hint="eastAsia" w:ascii="仿宋" w:hAnsi="仿宋" w:eastAsia="仿宋" w:cs="仿宋"/>
          <w:sz w:val="24"/>
          <w:highlight w:val="none"/>
        </w:rPr>
      </w:pPr>
    </w:p>
    <w:p w14:paraId="4F9E2E83">
      <w:pPr>
        <w:spacing w:line="360" w:lineRule="auto"/>
        <w:jc w:val="center"/>
        <w:rPr>
          <w:rFonts w:hint="eastAsia" w:ascii="仿宋" w:hAnsi="仿宋" w:eastAsia="仿宋" w:cs="仿宋"/>
          <w:b/>
          <w:bCs/>
          <w:sz w:val="52"/>
          <w:highlight w:val="none"/>
        </w:rPr>
      </w:pPr>
      <w:r>
        <w:rPr>
          <w:rFonts w:hint="eastAsia" w:ascii="仿宋" w:hAnsi="仿宋" w:eastAsia="仿宋" w:cs="仿宋"/>
          <w:b/>
          <w:bCs/>
          <w:sz w:val="52"/>
          <w:highlight w:val="none"/>
        </w:rPr>
        <w:t>南 宁 市 政 府 采 购</w:t>
      </w:r>
    </w:p>
    <w:p w14:paraId="7DEF7D01">
      <w:pPr>
        <w:spacing w:line="360" w:lineRule="auto"/>
        <w:ind w:firstLine="420" w:firstLineChars="200"/>
        <w:rPr>
          <w:rFonts w:hint="eastAsia" w:ascii="仿宋" w:hAnsi="仿宋" w:eastAsia="仿宋" w:cs="仿宋"/>
          <w:highlight w:val="none"/>
        </w:rPr>
      </w:pPr>
    </w:p>
    <w:p w14:paraId="288CACFA">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 xml:space="preserve">                                                 </w:t>
      </w:r>
    </w:p>
    <w:p w14:paraId="7F9B3CD9">
      <w:pPr>
        <w:spacing w:line="360" w:lineRule="auto"/>
        <w:jc w:val="center"/>
        <w:rPr>
          <w:rFonts w:hint="eastAsia" w:ascii="仿宋" w:hAnsi="仿宋" w:eastAsia="仿宋" w:cs="仿宋"/>
          <w:b/>
          <w:bCs/>
          <w:sz w:val="44"/>
          <w:highlight w:val="none"/>
        </w:rPr>
      </w:pPr>
      <w:r>
        <w:rPr>
          <w:rFonts w:hint="eastAsia" w:ascii="仿宋" w:hAnsi="仿宋" w:eastAsia="仿宋" w:cs="仿宋"/>
          <w:b/>
          <w:bCs/>
          <w:sz w:val="44"/>
          <w:highlight w:val="none"/>
          <w:u w:val="single"/>
        </w:rPr>
        <w:t xml:space="preserve"> </w:t>
      </w:r>
      <w:r>
        <w:rPr>
          <w:rFonts w:hint="eastAsia" w:ascii="仿宋" w:hAnsi="仿宋" w:eastAsia="仿宋" w:cs="仿宋"/>
          <w:b/>
          <w:bCs/>
          <w:sz w:val="44"/>
          <w:highlight w:val="none"/>
          <w:u w:val="single"/>
          <w:lang w:eastAsia="zh-CN"/>
        </w:rPr>
        <w:t>轨道交通第三方安全评估</w:t>
      </w:r>
      <w:r>
        <w:rPr>
          <w:rFonts w:hint="eastAsia" w:ascii="仿宋" w:hAnsi="仿宋" w:eastAsia="仿宋" w:cs="仿宋"/>
          <w:b/>
          <w:bCs/>
          <w:sz w:val="44"/>
          <w:highlight w:val="none"/>
          <w:u w:val="single"/>
        </w:rPr>
        <w:t xml:space="preserve"> </w:t>
      </w:r>
      <w:r>
        <w:rPr>
          <w:rFonts w:hint="eastAsia" w:ascii="仿宋" w:hAnsi="仿宋" w:eastAsia="仿宋" w:cs="仿宋"/>
          <w:b/>
          <w:bCs/>
          <w:sz w:val="44"/>
          <w:highlight w:val="none"/>
        </w:rPr>
        <w:t>合同</w:t>
      </w:r>
    </w:p>
    <w:p w14:paraId="30C35EF7">
      <w:pPr>
        <w:spacing w:line="360" w:lineRule="auto"/>
        <w:jc w:val="center"/>
        <w:rPr>
          <w:rFonts w:hint="eastAsia" w:ascii="仿宋" w:hAnsi="仿宋" w:eastAsia="仿宋" w:cs="仿宋"/>
          <w:b/>
          <w:bCs/>
          <w:sz w:val="44"/>
          <w:highlight w:val="none"/>
        </w:rPr>
      </w:pPr>
    </w:p>
    <w:p w14:paraId="7CC86A34">
      <w:pPr>
        <w:spacing w:line="360" w:lineRule="auto"/>
        <w:ind w:firstLine="3507" w:firstLineChars="794"/>
        <w:rPr>
          <w:rFonts w:hint="eastAsia" w:ascii="仿宋" w:hAnsi="仿宋" w:eastAsia="仿宋" w:cs="仿宋"/>
          <w:b/>
          <w:bCs/>
          <w:sz w:val="44"/>
          <w:highlight w:val="none"/>
        </w:rPr>
      </w:pPr>
    </w:p>
    <w:p w14:paraId="2F239EC4">
      <w:pPr>
        <w:spacing w:line="360" w:lineRule="auto"/>
        <w:ind w:firstLine="3507" w:firstLineChars="794"/>
        <w:rPr>
          <w:rFonts w:hint="eastAsia" w:ascii="仿宋" w:hAnsi="仿宋" w:eastAsia="仿宋" w:cs="仿宋"/>
          <w:b/>
          <w:bCs/>
          <w:color w:val="auto"/>
          <w:sz w:val="44"/>
          <w:highlight w:val="none"/>
        </w:rPr>
      </w:pPr>
    </w:p>
    <w:p w14:paraId="1980F5BE">
      <w:pPr>
        <w:ind w:firstLine="723" w:firstLineChars="20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采购项目编号：</w:t>
      </w:r>
      <w:r>
        <w:rPr>
          <w:rFonts w:hint="eastAsia" w:ascii="仿宋" w:hAnsi="仿宋" w:eastAsia="仿宋" w:cs="仿宋"/>
          <w:b/>
          <w:color w:val="auto"/>
          <w:sz w:val="36"/>
          <w:szCs w:val="36"/>
          <w:highlight w:val="none"/>
          <w:u w:val="single"/>
        </w:rPr>
        <w:t xml:space="preserve"> </w:t>
      </w:r>
      <w:r>
        <w:rPr>
          <w:rFonts w:hint="eastAsia" w:ascii="仿宋" w:hAnsi="仿宋" w:eastAsia="仿宋" w:cs="仿宋"/>
          <w:b/>
          <w:color w:val="auto"/>
          <w:sz w:val="36"/>
          <w:szCs w:val="36"/>
          <w:highlight w:val="none"/>
          <w:u w:val="single"/>
          <w:lang w:eastAsia="zh-CN"/>
        </w:rPr>
        <w:t>NNZC2026-C3-990387-GXZX</w:t>
      </w:r>
      <w:r>
        <w:rPr>
          <w:rFonts w:hint="eastAsia" w:ascii="仿宋" w:hAnsi="仿宋" w:eastAsia="仿宋" w:cs="仿宋"/>
          <w:b/>
          <w:color w:val="auto"/>
          <w:sz w:val="36"/>
          <w:szCs w:val="36"/>
          <w:highlight w:val="none"/>
          <w:u w:val="single"/>
        </w:rPr>
        <w:t xml:space="preserve"> </w:t>
      </w:r>
    </w:p>
    <w:p w14:paraId="5A268FEE">
      <w:pPr>
        <w:ind w:firstLine="723" w:firstLineChars="20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采购计划编号：</w:t>
      </w:r>
      <w:r>
        <w:rPr>
          <w:rFonts w:hint="eastAsia" w:ascii="仿宋" w:hAnsi="仿宋" w:eastAsia="仿宋" w:cs="仿宋"/>
          <w:b/>
          <w:color w:val="auto"/>
          <w:sz w:val="36"/>
          <w:szCs w:val="36"/>
          <w:highlight w:val="none"/>
          <w:u w:val="single"/>
        </w:rPr>
        <w:t xml:space="preserve"> </w:t>
      </w:r>
      <w:r>
        <w:rPr>
          <w:rFonts w:hint="eastAsia" w:ascii="仿宋" w:hAnsi="仿宋" w:eastAsia="仿宋" w:cs="仿宋"/>
          <w:b/>
          <w:color w:val="auto"/>
          <w:sz w:val="36"/>
          <w:szCs w:val="36"/>
          <w:highlight w:val="none"/>
          <w:u w:val="single"/>
          <w:lang w:val="en-US" w:eastAsia="zh-CN"/>
        </w:rPr>
        <w:t>NNZC[2026]1672号</w:t>
      </w:r>
      <w:r>
        <w:rPr>
          <w:rFonts w:hint="eastAsia" w:ascii="仿宋" w:hAnsi="仿宋" w:eastAsia="仿宋" w:cs="仿宋"/>
          <w:b/>
          <w:color w:val="auto"/>
          <w:sz w:val="36"/>
          <w:szCs w:val="36"/>
          <w:highlight w:val="none"/>
          <w:u w:val="single"/>
        </w:rPr>
        <w:t xml:space="preserve"> </w:t>
      </w:r>
    </w:p>
    <w:p w14:paraId="6CF21937">
      <w:pPr>
        <w:ind w:firstLine="1308" w:firstLineChars="545"/>
        <w:rPr>
          <w:rFonts w:hint="eastAsia" w:ascii="仿宋" w:hAnsi="仿宋" w:eastAsia="仿宋" w:cs="仿宋"/>
          <w:sz w:val="24"/>
          <w:highlight w:val="none"/>
        </w:rPr>
      </w:pPr>
    </w:p>
    <w:p w14:paraId="1346AAFF">
      <w:pPr>
        <w:ind w:firstLine="1995" w:firstLineChars="552"/>
        <w:rPr>
          <w:rFonts w:hint="eastAsia" w:ascii="仿宋" w:hAnsi="仿宋" w:eastAsia="仿宋" w:cs="仿宋"/>
          <w:b/>
          <w:sz w:val="36"/>
          <w:szCs w:val="36"/>
          <w:highlight w:val="none"/>
          <w:u w:val="single"/>
        </w:rPr>
      </w:pPr>
    </w:p>
    <w:p w14:paraId="29ACED12">
      <w:pPr>
        <w:ind w:firstLine="1995" w:firstLineChars="552"/>
        <w:rPr>
          <w:rFonts w:hint="eastAsia" w:ascii="仿宋" w:hAnsi="仿宋" w:eastAsia="仿宋" w:cs="仿宋"/>
          <w:b/>
          <w:sz w:val="36"/>
          <w:szCs w:val="36"/>
          <w:highlight w:val="none"/>
          <w:u w:val="single"/>
        </w:rPr>
      </w:pPr>
    </w:p>
    <w:p w14:paraId="2DE053E1">
      <w:pPr>
        <w:tabs>
          <w:tab w:val="left" w:pos="7200"/>
        </w:tabs>
        <w:spacing w:line="360" w:lineRule="auto"/>
        <w:ind w:firstLine="1995" w:firstLineChars="552"/>
        <w:rPr>
          <w:rFonts w:hint="eastAsia" w:ascii="仿宋" w:hAnsi="仿宋" w:eastAsia="仿宋" w:cs="仿宋"/>
          <w:b/>
          <w:sz w:val="36"/>
          <w:szCs w:val="36"/>
          <w:highlight w:val="none"/>
          <w:u w:val="single"/>
        </w:rPr>
      </w:pPr>
      <w:r>
        <w:rPr>
          <w:rFonts w:hint="eastAsia" w:ascii="仿宋" w:hAnsi="仿宋" w:eastAsia="仿宋" w:cs="仿宋"/>
          <w:b/>
          <w:sz w:val="36"/>
          <w:szCs w:val="36"/>
          <w:highlight w:val="none"/>
        </w:rPr>
        <w:t>采购人：</w:t>
      </w:r>
      <w:r>
        <w:rPr>
          <w:rFonts w:hint="eastAsia" w:ascii="仿宋" w:hAnsi="仿宋" w:eastAsia="仿宋" w:cs="仿宋"/>
          <w:b/>
          <w:sz w:val="36"/>
          <w:szCs w:val="36"/>
          <w:highlight w:val="none"/>
          <w:u w:val="single"/>
        </w:rPr>
        <w:t xml:space="preserve">                       </w:t>
      </w:r>
    </w:p>
    <w:p w14:paraId="49C18027">
      <w:pPr>
        <w:tabs>
          <w:tab w:val="left" w:pos="7380"/>
        </w:tabs>
        <w:spacing w:line="360" w:lineRule="auto"/>
        <w:ind w:firstLine="1995" w:firstLineChars="552"/>
        <w:rPr>
          <w:rFonts w:hint="eastAsia" w:ascii="仿宋" w:hAnsi="仿宋" w:eastAsia="仿宋" w:cs="仿宋"/>
          <w:b/>
          <w:bCs/>
          <w:sz w:val="44"/>
          <w:highlight w:val="none"/>
        </w:rPr>
      </w:pPr>
      <w:r>
        <w:rPr>
          <w:rFonts w:hint="eastAsia" w:ascii="仿宋" w:hAnsi="仿宋" w:eastAsia="仿宋" w:cs="仿宋"/>
          <w:b/>
          <w:sz w:val="36"/>
          <w:szCs w:val="36"/>
          <w:highlight w:val="none"/>
        </w:rPr>
        <w:t>成交供应商：</w:t>
      </w:r>
      <w:r>
        <w:rPr>
          <w:rFonts w:hint="eastAsia" w:ascii="仿宋" w:hAnsi="仿宋" w:eastAsia="仿宋" w:cs="仿宋"/>
          <w:b/>
          <w:sz w:val="36"/>
          <w:szCs w:val="36"/>
          <w:highlight w:val="none"/>
          <w:u w:val="single"/>
        </w:rPr>
        <w:t xml:space="preserve">                   </w:t>
      </w:r>
    </w:p>
    <w:p w14:paraId="1DB13B16">
      <w:pPr>
        <w:tabs>
          <w:tab w:val="left" w:pos="7380"/>
        </w:tabs>
        <w:spacing w:line="360" w:lineRule="auto"/>
        <w:rPr>
          <w:rFonts w:hint="eastAsia" w:ascii="仿宋" w:hAnsi="仿宋" w:eastAsia="仿宋" w:cs="仿宋"/>
          <w:b/>
          <w:bCs/>
          <w:sz w:val="44"/>
          <w:highlight w:val="none"/>
        </w:rPr>
      </w:pPr>
    </w:p>
    <w:p w14:paraId="0F7D66DF">
      <w:pPr>
        <w:tabs>
          <w:tab w:val="left" w:pos="7380"/>
        </w:tabs>
        <w:spacing w:line="360" w:lineRule="auto"/>
        <w:rPr>
          <w:rFonts w:hint="eastAsia" w:ascii="仿宋" w:hAnsi="仿宋" w:eastAsia="仿宋" w:cs="仿宋"/>
          <w:b/>
          <w:bCs/>
          <w:sz w:val="44"/>
          <w:highlight w:val="none"/>
        </w:rPr>
      </w:pPr>
    </w:p>
    <w:p w14:paraId="6C31268E">
      <w:pPr>
        <w:tabs>
          <w:tab w:val="left" w:pos="7380"/>
        </w:tabs>
        <w:spacing w:line="360" w:lineRule="auto"/>
        <w:rPr>
          <w:rFonts w:hint="eastAsia" w:ascii="仿宋" w:hAnsi="仿宋" w:eastAsia="仿宋" w:cs="仿宋"/>
          <w:b/>
          <w:bCs/>
          <w:sz w:val="44"/>
          <w:highlight w:val="none"/>
        </w:rPr>
      </w:pPr>
    </w:p>
    <w:p w14:paraId="4A8041F4">
      <w:pPr>
        <w:tabs>
          <w:tab w:val="left" w:pos="7380"/>
        </w:tabs>
        <w:spacing w:line="360" w:lineRule="auto"/>
        <w:ind w:firstLine="3360" w:firstLineChars="1400"/>
        <w:rPr>
          <w:rFonts w:hint="eastAsia" w:ascii="仿宋" w:hAnsi="仿宋" w:eastAsia="仿宋" w:cs="仿宋"/>
          <w:sz w:val="24"/>
          <w:highlight w:val="none"/>
          <w:lang w:val="zh-CN"/>
        </w:rPr>
      </w:pPr>
      <w:r>
        <w:rPr>
          <w:rFonts w:hint="eastAsia" w:ascii="仿宋" w:hAnsi="仿宋" w:eastAsia="仿宋" w:cs="仿宋"/>
          <w:sz w:val="24"/>
          <w:highlight w:val="none"/>
          <w:lang w:val="zh-CN"/>
        </w:rPr>
        <w:t>签订时间：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p>
    <w:p w14:paraId="333AF824">
      <w:pPr>
        <w:snapToGrid w:val="0"/>
        <w:spacing w:line="360" w:lineRule="auto"/>
        <w:jc w:val="center"/>
        <w:rPr>
          <w:rFonts w:hint="eastAsia" w:ascii="仿宋" w:hAnsi="仿宋" w:eastAsia="仿宋" w:cs="仿宋"/>
          <w:b/>
          <w:sz w:val="24"/>
          <w:highlight w:val="none"/>
        </w:rPr>
      </w:pPr>
      <w:r>
        <w:rPr>
          <w:rFonts w:hint="eastAsia" w:ascii="仿宋" w:hAnsi="仿宋" w:eastAsia="仿宋" w:cs="仿宋"/>
          <w:b/>
          <w:bCs/>
          <w:sz w:val="44"/>
          <w:highlight w:val="none"/>
        </w:rPr>
        <w:br w:type="page"/>
      </w:r>
      <w:r>
        <w:rPr>
          <w:rFonts w:hint="eastAsia" w:ascii="仿宋" w:hAnsi="仿宋" w:eastAsia="仿宋" w:cs="仿宋"/>
          <w:b/>
          <w:sz w:val="24"/>
          <w:highlight w:val="none"/>
        </w:rPr>
        <w:t>合同目录</w:t>
      </w:r>
    </w:p>
    <w:p w14:paraId="5B77F252">
      <w:pPr>
        <w:snapToGrid w:val="0"/>
        <w:spacing w:line="360" w:lineRule="auto"/>
        <w:jc w:val="center"/>
        <w:rPr>
          <w:rFonts w:hint="eastAsia" w:ascii="仿宋" w:hAnsi="仿宋" w:eastAsia="仿宋" w:cs="仿宋"/>
          <w:b/>
          <w:bCs/>
          <w:sz w:val="44"/>
          <w:highlight w:val="none"/>
        </w:rPr>
      </w:pPr>
    </w:p>
    <w:p w14:paraId="761C8843">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一、</w:t>
      </w:r>
      <w:r>
        <w:rPr>
          <w:rFonts w:hint="eastAsia" w:ascii="仿宋" w:hAnsi="仿宋" w:eastAsia="仿宋" w:cs="仿宋"/>
          <w:sz w:val="24"/>
          <w:highlight w:val="none"/>
        </w:rPr>
        <w:t>第一部分 合同书</w:t>
      </w:r>
      <w:r>
        <w:rPr>
          <w:rFonts w:hint="eastAsia" w:ascii="仿宋" w:hAnsi="仿宋" w:eastAsia="仿宋" w:cs="仿宋"/>
          <w:kern w:val="0"/>
          <w:sz w:val="24"/>
          <w:highlight w:val="none"/>
        </w:rPr>
        <w:t>……………………………………………………………（页码）</w:t>
      </w:r>
    </w:p>
    <w:p w14:paraId="71E4747A">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二、第二部分 合同一般条款……………………………………………………（页码）</w:t>
      </w:r>
    </w:p>
    <w:p w14:paraId="644C6D04">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三、第三部分 合同专用条款……………………………………………………（页码）</w:t>
      </w:r>
    </w:p>
    <w:p w14:paraId="457ECA83">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四、</w:t>
      </w:r>
      <w:r>
        <w:rPr>
          <w:rFonts w:hint="eastAsia" w:ascii="仿宋" w:hAnsi="仿宋" w:eastAsia="仿宋" w:cs="仿宋"/>
          <w:sz w:val="24"/>
          <w:highlight w:val="none"/>
        </w:rPr>
        <w:t>第四部分 合同附件</w:t>
      </w:r>
      <w:r>
        <w:rPr>
          <w:rFonts w:hint="eastAsia" w:ascii="仿宋" w:hAnsi="仿宋" w:eastAsia="仿宋" w:cs="仿宋"/>
          <w:kern w:val="0"/>
          <w:sz w:val="24"/>
          <w:highlight w:val="none"/>
        </w:rPr>
        <w:t>…………………………………………………………（页码）</w:t>
      </w:r>
    </w:p>
    <w:p w14:paraId="3DD3B814">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4.1成交通知书 …………………………………………………………………（页码）</w:t>
      </w:r>
    </w:p>
    <w:p w14:paraId="12B8C2FE">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4.2采购文件服务需求一览表 …………………………………………………（页码）</w:t>
      </w:r>
    </w:p>
    <w:p w14:paraId="69FB88E2">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4.3采购文件的更改通知（如有） ……………………………………………（页码）</w:t>
      </w:r>
    </w:p>
    <w:p w14:paraId="203D3BF8">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4.4响应函 ………………………………………………………………………（页码）</w:t>
      </w:r>
    </w:p>
    <w:p w14:paraId="17258CCE">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4.5响应报价表 …………………………………………………………………（页码）</w:t>
      </w:r>
    </w:p>
    <w:p w14:paraId="2725E6A0">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4.6响应服务技术资料表 ………………………………………………………（页码）</w:t>
      </w:r>
    </w:p>
    <w:p w14:paraId="242F300D">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4.7商务条款偏离表 ……………………………………………………………（页码）</w:t>
      </w:r>
    </w:p>
    <w:p w14:paraId="075BF774">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4.8成交供应商澄清函（如有请提供） ………………………………………（页码）</w:t>
      </w:r>
    </w:p>
    <w:p w14:paraId="4BCB0BE3">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4.9其他与本合同相关的资料（如有请提供） ………………………………（页码）</w:t>
      </w:r>
    </w:p>
    <w:p w14:paraId="503D6D61">
      <w:pPr>
        <w:snapToGrid w:val="0"/>
        <w:spacing w:line="360" w:lineRule="auto"/>
        <w:rPr>
          <w:rFonts w:hint="eastAsia" w:ascii="仿宋" w:hAnsi="仿宋" w:eastAsia="仿宋" w:cs="仿宋"/>
          <w:kern w:val="0"/>
          <w:sz w:val="24"/>
          <w:highlight w:val="none"/>
        </w:rPr>
      </w:pPr>
    </w:p>
    <w:p w14:paraId="48F61BF3">
      <w:pPr>
        <w:widowControl/>
        <w:jc w:val="left"/>
        <w:rPr>
          <w:rFonts w:hint="eastAsia" w:ascii="仿宋" w:hAnsi="仿宋" w:eastAsia="仿宋" w:cs="仿宋"/>
          <w:kern w:val="0"/>
          <w:sz w:val="32"/>
          <w:szCs w:val="20"/>
          <w:highlight w:val="none"/>
        </w:rPr>
        <w:sectPr>
          <w:pgSz w:w="11905" w:h="16838"/>
          <w:pgMar w:top="1304" w:right="1304" w:bottom="1304" w:left="1304" w:header="720" w:footer="720" w:gutter="0"/>
          <w:pgNumType w:fmt="decimal"/>
          <w:cols w:space="720" w:num="1"/>
          <w:docGrid w:type="lines" w:linePitch="339" w:charSpace="0"/>
        </w:sectPr>
      </w:pPr>
    </w:p>
    <w:p w14:paraId="24CF505A">
      <w:pPr>
        <w:pStyle w:val="84"/>
        <w:ind w:firstLine="562"/>
        <w:jc w:val="center"/>
        <w:outlineLvl w:val="1"/>
        <w:rPr>
          <w:rFonts w:hint="eastAsia" w:ascii="仿宋" w:hAnsi="仿宋" w:eastAsia="仿宋" w:cs="仿宋"/>
          <w:b/>
          <w:sz w:val="28"/>
          <w:szCs w:val="28"/>
          <w:highlight w:val="none"/>
        </w:rPr>
      </w:pPr>
      <w:bookmarkStart w:id="141" w:name="_Toc80205944"/>
      <w:bookmarkStart w:id="142" w:name="_Toc4565"/>
      <w:bookmarkStart w:id="143" w:name="_Toc30027"/>
      <w:r>
        <w:rPr>
          <w:rFonts w:hint="eastAsia" w:ascii="仿宋" w:hAnsi="仿宋" w:eastAsia="仿宋" w:cs="仿宋"/>
          <w:b/>
          <w:sz w:val="28"/>
          <w:szCs w:val="28"/>
          <w:highlight w:val="none"/>
        </w:rPr>
        <w:t>第一部分 合同书</w:t>
      </w:r>
      <w:bookmarkEnd w:id="141"/>
      <w:bookmarkEnd w:id="142"/>
      <w:bookmarkEnd w:id="143"/>
    </w:p>
    <w:p w14:paraId="7C14BA1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lang w:val="en-US" w:eastAsia="zh-CN"/>
        </w:rPr>
        <w:t>2026</w:t>
      </w:r>
      <w:r>
        <w:rPr>
          <w:rFonts w:hint="eastAsia" w:ascii="仿宋" w:hAnsi="仿宋" w:eastAsia="仿宋" w:cs="仿宋"/>
          <w:spacing w:val="-88"/>
          <w:sz w:val="24"/>
          <w:szCs w:val="24"/>
          <w:highlight w:val="none"/>
        </w:rPr>
        <w:t xml:space="preserve"> </w:t>
      </w:r>
      <w:r>
        <w:rPr>
          <w:rFonts w:hint="eastAsia" w:ascii="仿宋" w:hAnsi="仿宋" w:eastAsia="仿宋" w:cs="仿宋"/>
          <w:spacing w:val="-3"/>
          <w:sz w:val="24"/>
          <w:szCs w:val="24"/>
          <w:highlight w:val="none"/>
        </w:rPr>
        <w:t>年</w:t>
      </w:r>
      <w:r>
        <w:rPr>
          <w:rFonts w:hint="eastAsia" w:ascii="仿宋" w:hAnsi="仿宋" w:eastAsia="仿宋" w:cs="仿宋"/>
          <w:spacing w:val="-111"/>
          <w:sz w:val="24"/>
          <w:szCs w:val="24"/>
          <w:highlight w:val="none"/>
        </w:rPr>
        <w:t xml:space="preserve"> </w:t>
      </w:r>
      <w:r>
        <w:rPr>
          <w:rFonts w:hint="eastAsia" w:ascii="仿宋" w:hAnsi="仿宋" w:eastAsia="仿宋" w:cs="仿宋"/>
          <w:spacing w:val="8"/>
          <w:sz w:val="24"/>
          <w:szCs w:val="24"/>
          <w:highlight w:val="none"/>
          <w:u w:val="single" w:color="auto"/>
        </w:rPr>
        <w:t xml:space="preserve"> </w:t>
      </w:r>
      <w:r>
        <w:rPr>
          <w:rFonts w:hint="eastAsia" w:ascii="仿宋" w:hAnsi="仿宋" w:eastAsia="仿宋" w:cs="仿宋"/>
          <w:spacing w:val="8"/>
          <w:sz w:val="24"/>
          <w:szCs w:val="24"/>
          <w:highlight w:val="none"/>
          <w:u w:val="single" w:color="auto"/>
          <w:lang w:val="en-US" w:eastAsia="zh-CN"/>
        </w:rPr>
        <w:t xml:space="preserve"> </w:t>
      </w:r>
      <w:r>
        <w:rPr>
          <w:rFonts w:hint="eastAsia" w:ascii="仿宋" w:hAnsi="仿宋" w:eastAsia="仿宋" w:cs="仿宋"/>
          <w:spacing w:val="8"/>
          <w:sz w:val="24"/>
          <w:szCs w:val="24"/>
          <w:highlight w:val="none"/>
          <w:u w:val="single" w:color="auto"/>
        </w:rPr>
        <w:t xml:space="preserve"> </w:t>
      </w:r>
      <w:r>
        <w:rPr>
          <w:rFonts w:hint="eastAsia" w:ascii="仿宋" w:hAnsi="仿宋" w:eastAsia="仿宋" w:cs="仿宋"/>
          <w:spacing w:val="-91"/>
          <w:sz w:val="24"/>
          <w:szCs w:val="24"/>
          <w:highlight w:val="none"/>
        </w:rPr>
        <w:t xml:space="preserve"> </w:t>
      </w:r>
      <w:r>
        <w:rPr>
          <w:rFonts w:hint="eastAsia" w:ascii="仿宋" w:hAnsi="仿宋" w:eastAsia="仿宋" w:cs="仿宋"/>
          <w:spacing w:val="-3"/>
          <w:sz w:val="24"/>
          <w:szCs w:val="24"/>
          <w:highlight w:val="none"/>
        </w:rPr>
        <w:t>月</w:t>
      </w:r>
      <w:r>
        <w:rPr>
          <w:rFonts w:hint="eastAsia" w:ascii="仿宋" w:hAnsi="仿宋" w:eastAsia="仿宋" w:cs="仿宋"/>
          <w:spacing w:val="-111"/>
          <w:sz w:val="24"/>
          <w:szCs w:val="24"/>
          <w:highlight w:val="none"/>
        </w:rPr>
        <w:t xml:space="preserve"> </w:t>
      </w:r>
      <w:r>
        <w:rPr>
          <w:rFonts w:hint="eastAsia" w:ascii="仿宋" w:hAnsi="仿宋" w:eastAsia="仿宋" w:cs="仿宋"/>
          <w:spacing w:val="8"/>
          <w:sz w:val="24"/>
          <w:szCs w:val="24"/>
          <w:highlight w:val="none"/>
          <w:u w:val="single" w:color="auto"/>
        </w:rPr>
        <w:t xml:space="preserve">    </w:t>
      </w:r>
      <w:r>
        <w:rPr>
          <w:rFonts w:hint="eastAsia" w:ascii="仿宋" w:hAnsi="仿宋" w:eastAsia="仿宋" w:cs="仿宋"/>
          <w:spacing w:val="-3"/>
          <w:sz w:val="24"/>
          <w:szCs w:val="24"/>
          <w:highlight w:val="none"/>
        </w:rPr>
        <w:t>日，</w:t>
      </w:r>
      <w:r>
        <w:rPr>
          <w:rFonts w:hint="eastAsia" w:ascii="仿宋" w:hAnsi="仿宋" w:eastAsia="仿宋" w:cs="仿宋"/>
          <w:spacing w:val="9"/>
          <w:sz w:val="24"/>
          <w:szCs w:val="24"/>
          <w:highlight w:val="none"/>
          <w:u w:val="single" w:color="auto"/>
        </w:rPr>
        <w:t xml:space="preserve"> </w:t>
      </w:r>
      <w:r>
        <w:rPr>
          <w:rFonts w:hint="eastAsia" w:ascii="仿宋" w:hAnsi="仿宋" w:eastAsia="仿宋" w:cs="仿宋"/>
          <w:spacing w:val="9"/>
          <w:sz w:val="24"/>
          <w:szCs w:val="24"/>
          <w:highlight w:val="none"/>
          <w:u w:val="single" w:color="auto"/>
          <w:lang w:eastAsia="zh-CN"/>
        </w:rPr>
        <w:t>南宁市交通运输局</w:t>
      </w:r>
      <w:r>
        <w:rPr>
          <w:rFonts w:hint="eastAsia" w:ascii="仿宋" w:hAnsi="仿宋" w:eastAsia="仿宋" w:cs="仿宋"/>
          <w:spacing w:val="9"/>
          <w:sz w:val="24"/>
          <w:szCs w:val="24"/>
          <w:highlight w:val="none"/>
          <w:u w:val="single" w:color="auto"/>
        </w:rPr>
        <w:t xml:space="preserve"> </w:t>
      </w:r>
      <w:r>
        <w:rPr>
          <w:rFonts w:hint="eastAsia" w:ascii="仿宋" w:hAnsi="仿宋" w:eastAsia="仿宋" w:cs="仿宋"/>
          <w:spacing w:val="-80"/>
          <w:sz w:val="24"/>
          <w:szCs w:val="24"/>
          <w:highlight w:val="none"/>
        </w:rPr>
        <w:t xml:space="preserve"> </w:t>
      </w:r>
      <w:r>
        <w:rPr>
          <w:rFonts w:hint="eastAsia" w:ascii="仿宋" w:hAnsi="仿宋" w:eastAsia="仿宋" w:cs="仿宋"/>
          <w:spacing w:val="-3"/>
          <w:sz w:val="24"/>
          <w:szCs w:val="24"/>
          <w:highlight w:val="none"/>
        </w:rPr>
        <w:t>以</w:t>
      </w:r>
      <w:r>
        <w:rPr>
          <w:rFonts w:hint="eastAsia" w:ascii="仿宋" w:hAnsi="仿宋" w:eastAsia="仿宋" w:cs="仿宋"/>
          <w:spacing w:val="-113"/>
          <w:sz w:val="24"/>
          <w:szCs w:val="24"/>
          <w:highlight w:val="none"/>
        </w:rPr>
        <w:t xml:space="preserve"> </w:t>
      </w:r>
      <w:r>
        <w:rPr>
          <w:rFonts w:hint="eastAsia" w:ascii="仿宋" w:hAnsi="仿宋" w:eastAsia="仿宋" w:cs="仿宋"/>
          <w:spacing w:val="15"/>
          <w:sz w:val="24"/>
          <w:szCs w:val="24"/>
          <w:highlight w:val="none"/>
          <w:u w:val="single" w:color="auto"/>
        </w:rPr>
        <w:t xml:space="preserve"> </w:t>
      </w:r>
      <w:r>
        <w:rPr>
          <w:rFonts w:hint="eastAsia" w:ascii="仿宋" w:hAnsi="仿宋" w:eastAsia="仿宋" w:cs="仿宋"/>
          <w:spacing w:val="15"/>
          <w:sz w:val="24"/>
          <w:szCs w:val="24"/>
          <w:highlight w:val="none"/>
          <w:u w:val="single" w:color="auto"/>
          <w:lang w:val="en-US" w:eastAsia="zh-CN"/>
        </w:rPr>
        <w:t>竞争性磋商采购方式</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99"/>
          <w:sz w:val="24"/>
          <w:szCs w:val="24"/>
          <w:highlight w:val="none"/>
        </w:rPr>
        <w:t xml:space="preserve"> </w:t>
      </w:r>
      <w:r>
        <w:rPr>
          <w:rFonts w:hint="eastAsia" w:ascii="仿宋" w:hAnsi="仿宋" w:eastAsia="仿宋" w:cs="仿宋"/>
          <w:spacing w:val="-3"/>
          <w:sz w:val="24"/>
          <w:szCs w:val="24"/>
          <w:highlight w:val="none"/>
        </w:rPr>
        <w:t>对</w:t>
      </w:r>
      <w:r>
        <w:rPr>
          <w:rFonts w:hint="eastAsia" w:ascii="仿宋" w:hAnsi="仿宋" w:eastAsia="仿宋" w:cs="仿宋"/>
          <w:spacing w:val="8"/>
          <w:sz w:val="24"/>
          <w:szCs w:val="24"/>
          <w:highlight w:val="none"/>
          <w:u w:val="single" w:color="auto"/>
        </w:rPr>
        <w:t xml:space="preserve"> </w:t>
      </w:r>
      <w:r>
        <w:rPr>
          <w:rFonts w:hint="eastAsia" w:ascii="仿宋" w:hAnsi="仿宋" w:eastAsia="仿宋" w:cs="仿宋"/>
          <w:spacing w:val="8"/>
          <w:sz w:val="24"/>
          <w:szCs w:val="24"/>
          <w:highlight w:val="none"/>
          <w:u w:val="single" w:color="auto"/>
          <w:lang w:eastAsia="zh-CN"/>
        </w:rPr>
        <w:t>轨道交通第三方安全评估</w:t>
      </w:r>
      <w:r>
        <w:rPr>
          <w:rFonts w:hint="eastAsia" w:ascii="仿宋" w:hAnsi="仿宋" w:eastAsia="仿宋" w:cs="仿宋"/>
          <w:spacing w:val="8"/>
          <w:sz w:val="24"/>
          <w:szCs w:val="24"/>
          <w:highlight w:val="none"/>
          <w:u w:val="single" w:color="auto"/>
        </w:rPr>
        <w:t xml:space="preserve"> </w:t>
      </w:r>
      <w:r>
        <w:rPr>
          <w:rFonts w:hint="eastAsia" w:ascii="仿宋" w:hAnsi="仿宋" w:eastAsia="仿宋" w:cs="仿宋"/>
          <w:spacing w:val="-99"/>
          <w:sz w:val="24"/>
          <w:szCs w:val="24"/>
          <w:highlight w:val="none"/>
        </w:rPr>
        <w:t xml:space="preserve"> </w:t>
      </w:r>
      <w:r>
        <w:rPr>
          <w:rFonts w:hint="eastAsia" w:ascii="仿宋" w:hAnsi="仿宋" w:eastAsia="仿宋" w:cs="仿宋"/>
          <w:spacing w:val="-3"/>
          <w:sz w:val="24"/>
          <w:szCs w:val="24"/>
          <w:highlight w:val="none"/>
        </w:rPr>
        <w:t>项目进行了采购。经</w:t>
      </w:r>
      <w:r>
        <w:rPr>
          <w:rFonts w:hint="eastAsia" w:ascii="仿宋" w:hAnsi="仿宋" w:eastAsia="仿宋" w:cs="仿宋"/>
          <w:spacing w:val="-3"/>
          <w:sz w:val="24"/>
          <w:szCs w:val="24"/>
          <w:highlight w:val="none"/>
          <w:u w:val="single"/>
          <w:lang w:val="en-US" w:eastAsia="zh-CN"/>
        </w:rPr>
        <w:t xml:space="preserve"> </w:t>
      </w:r>
      <w:r>
        <w:rPr>
          <w:rFonts w:hint="eastAsia" w:ascii="仿宋" w:hAnsi="仿宋" w:eastAsia="仿宋" w:cs="仿宋"/>
          <w:spacing w:val="8"/>
          <w:sz w:val="24"/>
          <w:szCs w:val="24"/>
          <w:highlight w:val="none"/>
          <w:u w:val="single" w:color="auto"/>
          <w:lang w:eastAsia="zh-CN"/>
        </w:rPr>
        <w:t>轨道交通第三方安全评估</w:t>
      </w:r>
      <w:r>
        <w:rPr>
          <w:rFonts w:hint="eastAsia" w:ascii="仿宋" w:hAnsi="仿宋" w:eastAsia="仿宋" w:cs="仿宋"/>
          <w:spacing w:val="8"/>
          <w:sz w:val="24"/>
          <w:szCs w:val="24"/>
          <w:highlight w:val="none"/>
          <w:u w:val="single" w:color="auto"/>
          <w:lang w:val="en-US" w:eastAsia="zh-CN"/>
        </w:rPr>
        <w:t>磋商小组</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pacing w:val="-1"/>
          <w:sz w:val="24"/>
          <w:szCs w:val="24"/>
          <w:highlight w:val="none"/>
        </w:rPr>
        <w:t>评定</w:t>
      </w:r>
      <w:r>
        <w:rPr>
          <w:rFonts w:hint="eastAsia" w:ascii="仿宋" w:hAnsi="仿宋" w:eastAsia="仿宋" w:cs="仿宋"/>
          <w:spacing w:val="-34"/>
          <w:sz w:val="24"/>
          <w:szCs w:val="24"/>
          <w:highlight w:val="none"/>
        </w:rPr>
        <w:t>，</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34"/>
          <w:sz w:val="24"/>
          <w:szCs w:val="24"/>
          <w:highlight w:val="none"/>
          <w:u w:val="single" w:color="auto"/>
        </w:rPr>
        <w:t>（</w:t>
      </w:r>
      <w:r>
        <w:rPr>
          <w:rFonts w:hint="eastAsia" w:ascii="仿宋" w:hAnsi="仿宋" w:eastAsia="仿宋" w:cs="仿宋"/>
          <w:spacing w:val="-1"/>
          <w:sz w:val="24"/>
          <w:szCs w:val="24"/>
          <w:highlight w:val="none"/>
          <w:u w:val="single" w:color="auto"/>
          <w:lang w:eastAsia="zh-CN"/>
        </w:rPr>
        <w:t>成交供应商</w:t>
      </w:r>
      <w:r>
        <w:rPr>
          <w:rFonts w:hint="eastAsia" w:ascii="仿宋" w:hAnsi="仿宋" w:eastAsia="仿宋" w:cs="仿宋"/>
          <w:spacing w:val="-1"/>
          <w:sz w:val="24"/>
          <w:szCs w:val="24"/>
          <w:highlight w:val="none"/>
          <w:u w:val="single" w:color="auto"/>
        </w:rPr>
        <w:t>名称）</w:t>
      </w:r>
      <w:r>
        <w:rPr>
          <w:rFonts w:hint="eastAsia" w:ascii="仿宋" w:hAnsi="仿宋" w:eastAsia="仿宋" w:cs="仿宋"/>
          <w:spacing w:val="-1"/>
          <w:sz w:val="24"/>
          <w:szCs w:val="24"/>
          <w:highlight w:val="none"/>
          <w:u w:val="single" w:color="auto"/>
          <w:lang w:val="en-US" w:eastAsia="zh-CN"/>
        </w:rPr>
        <w:t xml:space="preserve"> </w:t>
      </w:r>
      <w:r>
        <w:rPr>
          <w:rFonts w:hint="eastAsia" w:ascii="仿宋" w:hAnsi="仿宋" w:eastAsia="仿宋" w:cs="仿宋"/>
          <w:spacing w:val="-1"/>
          <w:sz w:val="24"/>
          <w:szCs w:val="24"/>
          <w:highlight w:val="none"/>
        </w:rPr>
        <w:t>为该</w:t>
      </w:r>
      <w:r>
        <w:rPr>
          <w:rFonts w:hint="eastAsia" w:ascii="仿宋" w:hAnsi="仿宋" w:eastAsia="仿宋" w:cs="仿宋"/>
          <w:spacing w:val="-2"/>
          <w:sz w:val="24"/>
          <w:szCs w:val="24"/>
          <w:highlight w:val="none"/>
        </w:rPr>
        <w:t>项目</w:t>
      </w:r>
      <w:r>
        <w:rPr>
          <w:rFonts w:hint="eastAsia" w:ascii="仿宋" w:hAnsi="仿宋" w:eastAsia="仿宋" w:cs="仿宋"/>
          <w:spacing w:val="-2"/>
          <w:sz w:val="24"/>
          <w:szCs w:val="24"/>
          <w:highlight w:val="none"/>
          <w:lang w:eastAsia="zh-CN"/>
        </w:rPr>
        <w:t>成交供应商</w:t>
      </w:r>
      <w:r>
        <w:rPr>
          <w:rFonts w:hint="eastAsia" w:ascii="仿宋" w:hAnsi="仿宋" w:eastAsia="仿宋" w:cs="仿宋"/>
          <w:spacing w:val="-2"/>
          <w:sz w:val="24"/>
          <w:szCs w:val="24"/>
          <w:highlight w:val="none"/>
        </w:rPr>
        <w:t>。现于</w:t>
      </w:r>
      <w:r>
        <w:rPr>
          <w:rFonts w:hint="eastAsia" w:ascii="仿宋" w:hAnsi="仿宋" w:eastAsia="仿宋" w:cs="仿宋"/>
          <w:spacing w:val="-2"/>
          <w:sz w:val="24"/>
          <w:szCs w:val="24"/>
          <w:highlight w:val="none"/>
          <w:lang w:eastAsia="zh-CN"/>
        </w:rPr>
        <w:t>成交通知书</w:t>
      </w:r>
      <w:r>
        <w:rPr>
          <w:rFonts w:hint="eastAsia" w:ascii="仿宋" w:hAnsi="仿宋" w:eastAsia="仿宋" w:cs="仿宋"/>
          <w:spacing w:val="-2"/>
          <w:sz w:val="24"/>
          <w:szCs w:val="24"/>
          <w:highlight w:val="none"/>
        </w:rPr>
        <w:t>发出</w:t>
      </w:r>
      <w:r>
        <w:rPr>
          <w:rFonts w:hint="eastAsia" w:ascii="仿宋" w:hAnsi="仿宋" w:eastAsia="仿宋" w:cs="仿宋"/>
          <w:spacing w:val="-3"/>
          <w:sz w:val="24"/>
          <w:szCs w:val="24"/>
          <w:highlight w:val="none"/>
        </w:rPr>
        <w:t>之日起</w:t>
      </w:r>
      <w:r>
        <w:rPr>
          <w:rFonts w:hint="eastAsia" w:ascii="仿宋" w:hAnsi="仿宋" w:eastAsia="仿宋" w:cs="仿宋"/>
          <w:spacing w:val="-3"/>
          <w:sz w:val="24"/>
          <w:szCs w:val="24"/>
          <w:highlight w:val="none"/>
          <w:u w:val="single" w:color="auto"/>
        </w:rPr>
        <w:t xml:space="preserve"> 2</w:t>
      </w:r>
      <w:r>
        <w:rPr>
          <w:rFonts w:hint="eastAsia" w:ascii="仿宋" w:hAnsi="仿宋" w:eastAsia="仿宋" w:cs="仿宋"/>
          <w:spacing w:val="-3"/>
          <w:sz w:val="24"/>
          <w:szCs w:val="24"/>
          <w:highlight w:val="none"/>
          <w:u w:val="single" w:color="auto"/>
          <w:lang w:val="en-US" w:eastAsia="zh-CN"/>
        </w:rPr>
        <w:t>5</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3"/>
          <w:sz w:val="24"/>
          <w:szCs w:val="24"/>
          <w:highlight w:val="none"/>
        </w:rPr>
        <w:t>日内，按照采购文件确定的事项签订本合同。</w:t>
      </w:r>
    </w:p>
    <w:p w14:paraId="0E4CE913">
      <w:pPr>
        <w:spacing w:line="360" w:lineRule="auto"/>
        <w:ind w:firstLine="480" w:firstLineChars="200"/>
        <w:rPr>
          <w:rFonts w:hint="eastAsia" w:ascii="仿宋_GB2312" w:hAnsi="楷体" w:eastAsia="仿宋_GB2312"/>
          <w:sz w:val="24"/>
        </w:rPr>
      </w:pPr>
      <w:r>
        <w:rPr>
          <w:rFonts w:hint="eastAsia" w:ascii="仿宋_GB2312" w:hAnsi="楷体" w:eastAsia="仿宋_GB2312"/>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u w:val="single"/>
        </w:rPr>
        <w:t xml:space="preserve"> 南宁市交通运输局 </w:t>
      </w:r>
      <w:r>
        <w:rPr>
          <w:rFonts w:hint="eastAsia" w:ascii="仿宋_GB2312" w:hAnsi="楷体" w:eastAsia="仿宋_GB2312"/>
          <w:sz w:val="24"/>
          <w:lang w:val="zh-CN"/>
        </w:rPr>
        <w:t>(以下简称：甲方)和</w:t>
      </w:r>
      <w:r>
        <w:rPr>
          <w:rFonts w:hint="eastAsia" w:ascii="仿宋_GB2312" w:hAnsi="楷体" w:eastAsia="仿宋_GB2312"/>
          <w:sz w:val="24"/>
          <w:u w:val="single"/>
          <w:lang w:eastAsia="zh-CN"/>
        </w:rPr>
        <w:t>（成交供应商名称）</w:t>
      </w:r>
      <w:r>
        <w:rPr>
          <w:rFonts w:hint="eastAsia" w:ascii="仿宋_GB2312" w:hAnsi="楷体" w:eastAsia="仿宋_GB2312"/>
          <w:sz w:val="24"/>
          <w:lang w:val="zh-CN"/>
        </w:rPr>
        <w:t>(以下简称：乙方)协商一致，约定以下合同</w:t>
      </w:r>
      <w:r>
        <w:rPr>
          <w:rFonts w:hint="eastAsia" w:ascii="仿宋_GB2312" w:hAnsi="楷体" w:eastAsia="仿宋_GB2312"/>
          <w:sz w:val="24"/>
        </w:rPr>
        <w:t>条款，以兹共同遵守、全面履行。</w:t>
      </w:r>
    </w:p>
    <w:p w14:paraId="4B7E1A78">
      <w:pPr>
        <w:spacing w:line="360" w:lineRule="auto"/>
        <w:ind w:firstLine="482" w:firstLineChars="200"/>
        <w:rPr>
          <w:rFonts w:hint="eastAsia" w:ascii="仿宋_GB2312" w:hAnsi="楷体" w:eastAsia="仿宋_GB2312"/>
          <w:b/>
          <w:sz w:val="24"/>
        </w:rPr>
      </w:pPr>
      <w:bookmarkStart w:id="144" w:name="_Toc24059"/>
      <w:bookmarkStart w:id="145" w:name="_Toc3029"/>
      <w:bookmarkStart w:id="146" w:name="_Toc2232"/>
      <w:r>
        <w:rPr>
          <w:rFonts w:hint="eastAsia" w:ascii="仿宋_GB2312" w:hAnsi="楷体" w:eastAsia="仿宋_GB2312"/>
          <w:b/>
          <w:sz w:val="24"/>
        </w:rPr>
        <w:t>1.1 合同组成部分</w:t>
      </w:r>
      <w:bookmarkEnd w:id="144"/>
      <w:bookmarkEnd w:id="145"/>
      <w:bookmarkEnd w:id="146"/>
    </w:p>
    <w:p w14:paraId="5732AF1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7EFB724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1.1.1 本合同及其补充合同、变更协议；</w:t>
      </w:r>
    </w:p>
    <w:p w14:paraId="1174E2B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1.1.2 成交通知书；</w:t>
      </w:r>
    </w:p>
    <w:p w14:paraId="6A229B7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1.1.3 采购文件及“响应报价”（含澄清或者说明文件）；</w:t>
      </w:r>
    </w:p>
    <w:p w14:paraId="2AF621C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1.1.4 采购文件（含澄清或者修改文件）；</w:t>
      </w:r>
    </w:p>
    <w:p w14:paraId="6CC53C5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1.1.5 其他相关采购文件。</w:t>
      </w:r>
    </w:p>
    <w:p w14:paraId="406877AF">
      <w:pPr>
        <w:spacing w:line="360" w:lineRule="auto"/>
        <w:ind w:firstLine="482" w:firstLineChars="200"/>
        <w:rPr>
          <w:rFonts w:hint="eastAsia" w:ascii="仿宋_GB2312" w:hAnsi="楷体" w:eastAsia="仿宋_GB2312"/>
          <w:b/>
          <w:sz w:val="24"/>
        </w:rPr>
      </w:pPr>
      <w:bookmarkStart w:id="147" w:name="_Toc24300"/>
      <w:bookmarkStart w:id="148" w:name="_Toc27126"/>
      <w:bookmarkStart w:id="149" w:name="_Toc21295"/>
      <w:r>
        <w:rPr>
          <w:rFonts w:hint="eastAsia" w:ascii="仿宋_GB2312" w:hAnsi="楷体" w:eastAsia="仿宋_GB2312"/>
          <w:b/>
          <w:sz w:val="24"/>
        </w:rPr>
        <w:t>1.2 标的物</w:t>
      </w:r>
      <w:bookmarkEnd w:id="147"/>
      <w:bookmarkEnd w:id="148"/>
      <w:bookmarkEnd w:id="149"/>
    </w:p>
    <w:p w14:paraId="3B7C4FB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 标的物1信息</w:t>
      </w:r>
    </w:p>
    <w:p w14:paraId="4F7D7BF5">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1.2.1.1名称：</w:t>
      </w:r>
      <w:r>
        <w:rPr>
          <w:rFonts w:hint="eastAsia" w:ascii="仿宋_GB2312" w:hAnsi="楷体" w:eastAsia="仿宋_GB2312"/>
          <w:sz w:val="24"/>
          <w:u w:val="single"/>
        </w:rPr>
        <w:t xml:space="preserve">          轨道交通第三方安全评估        </w:t>
      </w:r>
      <w:r>
        <w:rPr>
          <w:rFonts w:hint="eastAsia" w:ascii="仿宋_GB2312" w:hAnsi="楷体" w:eastAsia="仿宋_GB2312"/>
          <w:sz w:val="24"/>
        </w:rPr>
        <w:t>；</w:t>
      </w:r>
    </w:p>
    <w:p w14:paraId="6ADA2AB1">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1.2.1.2数量：</w:t>
      </w:r>
      <w:r>
        <w:rPr>
          <w:rFonts w:hint="eastAsia" w:ascii="仿宋_GB2312" w:hAnsi="楷体" w:eastAsia="仿宋_GB2312"/>
          <w:sz w:val="24"/>
          <w:u w:val="single"/>
        </w:rPr>
        <w:t xml:space="preserve">                  1项                   </w:t>
      </w:r>
      <w:r>
        <w:rPr>
          <w:rFonts w:hint="eastAsia" w:ascii="仿宋_GB2312" w:hAnsi="楷体" w:eastAsia="仿宋_GB2312"/>
          <w:sz w:val="24"/>
        </w:rPr>
        <w:t>；</w:t>
      </w:r>
    </w:p>
    <w:p w14:paraId="1EE77AE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1.2.1.3质量：</w:t>
      </w:r>
      <w:r>
        <w:rPr>
          <w:rFonts w:hint="eastAsia" w:ascii="仿宋_GB2312" w:hAnsi="楷体" w:eastAsia="仿宋_GB2312"/>
          <w:sz w:val="24"/>
          <w:u w:val="single"/>
        </w:rPr>
        <w:t>符合国家法律法规、地方有关现行条例制度要求</w:t>
      </w:r>
      <w:r>
        <w:rPr>
          <w:rFonts w:hint="eastAsia" w:ascii="仿宋_GB2312" w:hAnsi="楷体" w:eastAsia="仿宋_GB2312"/>
          <w:sz w:val="24"/>
        </w:rPr>
        <w:t>；</w:t>
      </w:r>
    </w:p>
    <w:p w14:paraId="0F501E85">
      <w:pPr>
        <w:spacing w:line="360" w:lineRule="auto"/>
        <w:ind w:firstLine="480" w:firstLineChars="200"/>
        <w:rPr>
          <w:rFonts w:hint="eastAsia" w:ascii="仿宋_GB2312" w:hAnsi="楷体" w:eastAsia="仿宋_GB2312"/>
          <w:sz w:val="24"/>
        </w:rPr>
      </w:pPr>
      <w:bookmarkStart w:id="150" w:name="_Toc21631"/>
      <w:bookmarkStart w:id="151" w:name="_Toc23292"/>
      <w:bookmarkStart w:id="152" w:name="_Toc21551"/>
      <w:r>
        <w:rPr>
          <w:rFonts w:hint="eastAsia" w:ascii="仿宋_GB2312" w:hAnsi="楷体" w:eastAsia="仿宋_GB2312"/>
          <w:sz w:val="24"/>
        </w:rPr>
        <w:t>1.2.1.4服务内容：</w:t>
      </w:r>
      <w:r>
        <w:rPr>
          <w:rFonts w:hint="eastAsia" w:ascii="仿宋_GB2312" w:hAnsi="楷体" w:eastAsia="仿宋_GB2312"/>
          <w:sz w:val="24"/>
          <w:u w:val="single"/>
          <w:lang w:eastAsia="zh-CN"/>
        </w:rPr>
        <w:t>根据相关政策要求，对南宁市轨道交通运营4、5号线的安全管理、运营组织与管理、车辆系统、供电系统、线路及轨道系统、消防设备、机电设备、通信系统、信号系统、环境与设备监控系统、自动售检票系统、土建设施、车辆段及综合基地、外界环境、应急管理等方面进行安全评估，出具评估报告，评估周期结束出具总评估报告，评估安全水平、风险等级，对潜在风险进行预测，提出合理化建议或意见</w:t>
      </w:r>
      <w:r>
        <w:rPr>
          <w:rFonts w:hint="eastAsia" w:ascii="仿宋_GB2312" w:hAnsi="楷体" w:eastAsia="仿宋_GB2312"/>
          <w:sz w:val="24"/>
          <w:u w:val="single"/>
        </w:rPr>
        <w:t>。</w:t>
      </w:r>
    </w:p>
    <w:p w14:paraId="7C01129C">
      <w:pPr>
        <w:pStyle w:val="19"/>
        <w:spacing w:line="360" w:lineRule="auto"/>
        <w:rPr>
          <w:highlight w:val="none"/>
        </w:rPr>
      </w:pPr>
      <w:r>
        <w:rPr>
          <w:rFonts w:hint="eastAsia" w:ascii="仿宋_GB2312" w:hAnsi="楷体" w:eastAsia="仿宋_GB2312"/>
          <w:sz w:val="24"/>
        </w:rPr>
        <w:t>1.2.1.5联合体各方分工：</w:t>
      </w:r>
      <w:r>
        <w:rPr>
          <w:rFonts w:hint="eastAsia" w:ascii="仿宋_GB2312" w:hAnsi="楷体" w:eastAsia="仿宋_GB2312"/>
          <w:sz w:val="24"/>
          <w:u w:val="single"/>
          <w:lang w:val="en-US" w:eastAsia="zh-CN"/>
        </w:rPr>
        <w:t xml:space="preserve">                   </w:t>
      </w:r>
      <w:r>
        <w:rPr>
          <w:rFonts w:hint="eastAsia" w:ascii="仿宋_GB2312" w:hAnsi="楷体" w:eastAsia="仿宋_GB2312"/>
          <w:b/>
          <w:bCs/>
          <w:sz w:val="24"/>
          <w:szCs w:val="24"/>
          <w:highlight w:val="none"/>
          <w:u w:val="single"/>
          <w:lang w:val="en-US" w:eastAsia="zh-CN"/>
        </w:rPr>
        <w:t>。</w:t>
      </w:r>
    </w:p>
    <w:p w14:paraId="169D1A67">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1.3 价款</w:t>
      </w:r>
      <w:bookmarkEnd w:id="150"/>
      <w:bookmarkEnd w:id="151"/>
      <w:bookmarkEnd w:id="152"/>
    </w:p>
    <w:p w14:paraId="2C803B63">
      <w:pPr>
        <w:spacing w:line="360" w:lineRule="auto"/>
        <w:ind w:firstLine="480" w:firstLineChars="200"/>
        <w:rPr>
          <w:rFonts w:hint="eastAsia" w:ascii="仿宋_GB2312" w:hAnsi="仿宋_GB2312" w:eastAsia="仿宋_GB2312" w:cs="仿宋_GB2312"/>
          <w:sz w:val="24"/>
          <w:szCs w:val="32"/>
        </w:rPr>
      </w:pPr>
      <w:r>
        <w:rPr>
          <w:rFonts w:hint="eastAsia" w:ascii="仿宋_GB2312" w:hAnsi="楷体" w:eastAsia="仿宋_GB2312"/>
          <w:sz w:val="24"/>
        </w:rPr>
        <w:t>本合同总价为：人民币</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 xml:space="preserve">         </w:t>
      </w:r>
      <w:r>
        <w:rPr>
          <w:rFonts w:hint="eastAsia" w:ascii="仿宋_GB2312" w:hAnsi="楷体" w:eastAsia="仿宋_GB2312"/>
          <w:sz w:val="24"/>
          <w:u w:val="single"/>
        </w:rPr>
        <w:t xml:space="preserve"> </w:t>
      </w:r>
      <w:r>
        <w:rPr>
          <w:rFonts w:hint="eastAsia" w:ascii="仿宋_GB2312" w:hAnsi="楷体" w:eastAsia="仿宋_GB2312"/>
          <w:sz w:val="24"/>
        </w:rPr>
        <w:t>元（大写：人民币</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 xml:space="preserve">                </w:t>
      </w:r>
      <w:r>
        <w:rPr>
          <w:rFonts w:hint="eastAsia" w:ascii="仿宋_GB2312" w:hAnsi="楷体" w:eastAsia="仿宋_GB2312"/>
          <w:sz w:val="24"/>
          <w:u w:val="single"/>
        </w:rPr>
        <w:t xml:space="preserve"> </w:t>
      </w:r>
      <w:r>
        <w:rPr>
          <w:rFonts w:hint="eastAsia" w:ascii="仿宋_GB2312" w:hAnsi="楷体" w:eastAsia="仿宋_GB2312"/>
          <w:sz w:val="24"/>
        </w:rPr>
        <w:t>，含税）。</w:t>
      </w:r>
    </w:p>
    <w:p w14:paraId="05547221">
      <w:pPr>
        <w:spacing w:line="360" w:lineRule="auto"/>
        <w:ind w:firstLine="482" w:firstLineChars="200"/>
        <w:rPr>
          <w:rFonts w:hint="eastAsia" w:ascii="仿宋_GB2312" w:hAnsi="楷体" w:eastAsia="仿宋_GB2312"/>
          <w:b/>
          <w:sz w:val="24"/>
        </w:rPr>
      </w:pPr>
      <w:bookmarkStart w:id="153" w:name="_Toc22618"/>
      <w:bookmarkStart w:id="154" w:name="_Toc1814"/>
      <w:bookmarkStart w:id="155" w:name="_Toc10340"/>
      <w:r>
        <w:rPr>
          <w:rFonts w:hint="eastAsia" w:ascii="仿宋_GB2312" w:hAnsi="楷体" w:eastAsia="仿宋_GB2312"/>
          <w:b/>
          <w:sz w:val="24"/>
        </w:rPr>
        <w:t>1.4 付款方式和发票开具方式</w:t>
      </w:r>
      <w:bookmarkEnd w:id="153"/>
      <w:bookmarkEnd w:id="154"/>
      <w:bookmarkEnd w:id="155"/>
    </w:p>
    <w:p w14:paraId="278FB661">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1.4.1 付款方式：</w:t>
      </w:r>
      <w:r>
        <w:rPr>
          <w:rFonts w:hint="eastAsia" w:ascii="仿宋_GB2312" w:hAnsi="楷体" w:eastAsia="仿宋_GB2312"/>
          <w:sz w:val="24"/>
          <w:u w:val="single"/>
        </w:rPr>
        <w:t>本项目无预付款，供应商（以下称“乙方”）所提交的服务经采购人（以下称“甲方”）验收合格后，按项目进度内容支付合同款：</w:t>
      </w:r>
    </w:p>
    <w:p w14:paraId="0386F1E7">
      <w:pPr>
        <w:spacing w:line="360" w:lineRule="auto"/>
        <w:ind w:firstLine="480" w:firstLineChars="200"/>
        <w:rPr>
          <w:rFonts w:hint="eastAsia" w:ascii="仿宋_GB2312" w:hAnsi="楷体" w:eastAsia="仿宋_GB2312"/>
          <w:sz w:val="24"/>
          <w:u w:val="single"/>
          <w:lang w:val="en-US" w:eastAsia="zh-CN"/>
        </w:rPr>
      </w:pPr>
      <w:r>
        <w:rPr>
          <w:rFonts w:hint="eastAsia" w:ascii="仿宋_GB2312" w:hAnsi="楷体" w:eastAsia="仿宋_GB2312"/>
          <w:sz w:val="24"/>
          <w:u w:val="single"/>
          <w:lang w:val="en-US" w:eastAsia="zh-CN"/>
        </w:rPr>
        <w:t>提交2026年南宁市轨道交通安全评估工作实施方案，经甲方认可后一个月内，甲方支付</w:t>
      </w:r>
      <w:r>
        <w:rPr>
          <w:rFonts w:hint="eastAsia" w:ascii="仿宋_GB2312" w:hAnsi="楷体" w:eastAsia="仿宋_GB2312"/>
          <w:sz w:val="24"/>
          <w:u w:val="single"/>
        </w:rPr>
        <w:t>乙方</w:t>
      </w:r>
      <w:r>
        <w:rPr>
          <w:rFonts w:hint="eastAsia" w:ascii="仿宋_GB2312" w:hAnsi="楷体" w:eastAsia="仿宋_GB2312"/>
          <w:sz w:val="24"/>
          <w:u w:val="single"/>
          <w:lang w:val="en-US" w:eastAsia="zh-CN"/>
        </w:rPr>
        <w:t>合同金额的50%；</w:t>
      </w:r>
    </w:p>
    <w:p w14:paraId="49734838">
      <w:pPr>
        <w:spacing w:line="360" w:lineRule="auto"/>
        <w:ind w:firstLine="480" w:firstLineChars="200"/>
        <w:rPr>
          <w:rFonts w:hint="eastAsia" w:ascii="仿宋_GB2312" w:hAnsi="楷体" w:eastAsia="仿宋_GB2312"/>
          <w:sz w:val="24"/>
          <w:u w:val="single"/>
          <w:lang w:val="en-US" w:eastAsia="zh-CN"/>
        </w:rPr>
      </w:pPr>
      <w:r>
        <w:rPr>
          <w:rFonts w:hint="eastAsia" w:ascii="仿宋_GB2312" w:hAnsi="楷体" w:eastAsia="仿宋_GB2312"/>
          <w:sz w:val="24"/>
          <w:u w:val="single"/>
          <w:lang w:val="en-US" w:eastAsia="zh-CN"/>
        </w:rPr>
        <w:t>提交2026年南宁市轨道交通第三方安全评估报告（一期、二期），并经甲方验收通过后一个月内，甲方支付</w:t>
      </w:r>
      <w:r>
        <w:rPr>
          <w:rFonts w:hint="eastAsia" w:ascii="仿宋_GB2312" w:hAnsi="楷体" w:eastAsia="仿宋_GB2312"/>
          <w:sz w:val="24"/>
          <w:u w:val="single"/>
        </w:rPr>
        <w:t>乙方</w:t>
      </w:r>
      <w:r>
        <w:rPr>
          <w:rFonts w:hint="eastAsia" w:ascii="仿宋_GB2312" w:hAnsi="楷体" w:eastAsia="仿宋_GB2312"/>
          <w:sz w:val="24"/>
          <w:u w:val="single"/>
          <w:lang w:val="en-US" w:eastAsia="zh-CN"/>
        </w:rPr>
        <w:t>合同金额的50%；</w:t>
      </w:r>
    </w:p>
    <w:p w14:paraId="299D97E8">
      <w:pPr>
        <w:spacing w:line="360" w:lineRule="auto"/>
        <w:ind w:firstLine="480" w:firstLineChars="200"/>
        <w:rPr>
          <w:rFonts w:hint="eastAsia" w:ascii="仿宋_GB2312" w:hAnsi="楷体" w:eastAsia="仿宋_GB2312"/>
          <w:sz w:val="24"/>
        </w:rPr>
      </w:pPr>
      <w:r>
        <w:rPr>
          <w:rFonts w:hint="eastAsia" w:ascii="仿宋_GB2312" w:hAnsi="楷体" w:eastAsia="仿宋_GB2312"/>
          <w:sz w:val="24"/>
          <w:u w:val="single"/>
          <w:lang w:val="en-US" w:eastAsia="zh-CN"/>
        </w:rPr>
        <w:t>甲方在支付合同金额时，如因国库支付管理系统关闭暂时无法支付费用的，付款期限顺延至财政国库支付系统开通后的7个工作日内支付。</w:t>
      </w:r>
    </w:p>
    <w:p w14:paraId="2D3BA70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1.4.2 发票开具方式：</w:t>
      </w:r>
      <w:r>
        <w:rPr>
          <w:rFonts w:hint="eastAsia" w:ascii="仿宋_GB2312" w:hAnsi="楷体" w:eastAsia="仿宋_GB2312"/>
          <w:sz w:val="24"/>
          <w:u w:val="single"/>
        </w:rPr>
        <w:t>(1)甲方以银行转账方式支付给乙方单位，付款前，乙方单位开具足额有效的增值税发票给甲方；(2)以上为含税价格(若因四舍五入误差导致实际开票增值税额与合同所列增值税额不一致，以实际开票增值税额为准)</w:t>
      </w:r>
      <w:r>
        <w:rPr>
          <w:rFonts w:hint="eastAsia" w:ascii="仿宋_GB2312" w:hAnsi="楷体" w:eastAsia="仿宋_GB2312"/>
          <w:sz w:val="24"/>
        </w:rPr>
        <w:t>。</w:t>
      </w:r>
    </w:p>
    <w:p w14:paraId="3232E1ED">
      <w:pPr>
        <w:spacing w:line="360" w:lineRule="auto"/>
        <w:ind w:firstLine="482" w:firstLineChars="200"/>
        <w:rPr>
          <w:rFonts w:hint="eastAsia" w:ascii="仿宋_GB2312" w:hAnsi="楷体" w:eastAsia="仿宋_GB2312"/>
          <w:b/>
          <w:sz w:val="24"/>
        </w:rPr>
      </w:pPr>
      <w:bookmarkStart w:id="156" w:name="_Toc2846"/>
      <w:bookmarkStart w:id="157" w:name="_Toc19304"/>
      <w:bookmarkStart w:id="158" w:name="_Toc32071"/>
      <w:r>
        <w:rPr>
          <w:rFonts w:hint="eastAsia" w:ascii="仿宋_GB2312" w:hAnsi="楷体" w:eastAsia="仿宋_GB2312"/>
          <w:b/>
          <w:sz w:val="24"/>
        </w:rPr>
        <w:t>1.5 标的物交付期限、地点、方式</w:t>
      </w:r>
      <w:bookmarkEnd w:id="156"/>
      <w:bookmarkEnd w:id="157"/>
      <w:bookmarkEnd w:id="158"/>
      <w:r>
        <w:rPr>
          <w:rFonts w:hint="eastAsia" w:ascii="仿宋_GB2312" w:hAnsi="楷体" w:eastAsia="仿宋_GB2312"/>
          <w:b/>
          <w:sz w:val="24"/>
        </w:rPr>
        <w:t>和服务期限</w:t>
      </w:r>
    </w:p>
    <w:p w14:paraId="63893EBC">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1.5.1 交付期限：</w:t>
      </w:r>
      <w:r>
        <w:rPr>
          <w:rFonts w:hint="eastAsia" w:ascii="仿宋_GB2312" w:hAnsi="楷体" w:eastAsia="仿宋_GB2312"/>
          <w:sz w:val="24"/>
          <w:u w:val="single"/>
          <w:lang w:val="en-US" w:eastAsia="zh-CN"/>
        </w:rPr>
        <w:t>（一）2026年9月30日前，提交2026年南宁市轨道交通安全评估工作实施方案；（二）2027年1月20日前，提交《2026年南宁市轨道交通第三方安全评估报告》（一期）；（三）2027年7月10日前，提交《2026年南宁市轨道交通第三方安全评估报告》（二期）。</w:t>
      </w:r>
    </w:p>
    <w:p w14:paraId="01A5F0F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1.5.2 交付地点：</w:t>
      </w:r>
      <w:r>
        <w:rPr>
          <w:rFonts w:hint="eastAsia" w:ascii="仿宋_GB2312" w:hAnsi="楷体" w:eastAsia="仿宋_GB2312"/>
          <w:sz w:val="24"/>
          <w:u w:val="single"/>
        </w:rPr>
        <w:t xml:space="preserve">                 南宁市                         </w:t>
      </w:r>
      <w:r>
        <w:rPr>
          <w:rFonts w:hint="eastAsia" w:ascii="仿宋_GB2312" w:hAnsi="楷体" w:eastAsia="仿宋_GB2312"/>
          <w:sz w:val="24"/>
        </w:rPr>
        <w:t>；</w:t>
      </w:r>
    </w:p>
    <w:p w14:paraId="58A9CE0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1.5.3 交付方式：</w:t>
      </w:r>
      <w:r>
        <w:rPr>
          <w:rFonts w:hint="eastAsia" w:ascii="仿宋_GB2312" w:hAnsi="楷体" w:eastAsia="仿宋_GB2312"/>
          <w:sz w:val="24"/>
          <w:u w:val="single"/>
        </w:rPr>
        <w:t>响应时磋商供应商需根据采购需求服务内容提交相应《工作时间计划表》，列明拟定完成各阶段工作的工作时间、工作内容以及责任主体。在本项目咨询服务实施时，成交供应商必须根据《工作时间计划表》提交相应的阶段性成果文件。项目完成时将系统的全部有关文件、资料等文档汇集成册交付采购人。服务期工作报告与服务成果清单作为采购人支付合同款的依据</w:t>
      </w:r>
      <w:r>
        <w:rPr>
          <w:rFonts w:hint="eastAsia" w:ascii="仿宋_GB2312" w:hAnsi="楷体" w:eastAsia="仿宋_GB2312"/>
          <w:sz w:val="24"/>
        </w:rPr>
        <w:t>；</w:t>
      </w:r>
    </w:p>
    <w:p w14:paraId="519A00D8">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1.5.4 服务及质保期限：</w:t>
      </w:r>
      <w:r>
        <w:rPr>
          <w:rFonts w:hint="eastAsia" w:ascii="仿宋_GB2312" w:hAnsi="楷体" w:eastAsia="仿宋_GB2312"/>
          <w:sz w:val="24"/>
          <w:u w:val="single"/>
        </w:rPr>
        <w:t>符合国家法律法规、地方有关现行条例制度要求</w:t>
      </w:r>
      <w:r>
        <w:rPr>
          <w:rFonts w:hint="eastAsia" w:ascii="仿宋_GB2312" w:hAnsi="楷体" w:eastAsia="仿宋_GB2312"/>
          <w:sz w:val="24"/>
        </w:rPr>
        <w:t>。</w:t>
      </w:r>
      <w:bookmarkStart w:id="159" w:name="_Toc21423"/>
      <w:bookmarkStart w:id="160" w:name="_Toc19554"/>
      <w:bookmarkStart w:id="161" w:name="_Toc27250"/>
    </w:p>
    <w:p w14:paraId="5CD7AFEF">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1.6 违约责任</w:t>
      </w:r>
      <w:bookmarkEnd w:id="159"/>
      <w:bookmarkEnd w:id="160"/>
      <w:bookmarkEnd w:id="161"/>
    </w:p>
    <w:p w14:paraId="79A3E9D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sz w:val="24"/>
          <w:u w:val="single"/>
        </w:rPr>
        <w:t>万分之五</w:t>
      </w:r>
      <w:r>
        <w:rPr>
          <w:rFonts w:hint="eastAsia" w:ascii="仿宋_GB2312" w:hAnsi="楷体" w:eastAsia="仿宋_GB2312"/>
          <w:sz w:val="24"/>
        </w:rPr>
        <w:t>（根据项目实际填写，一般为万分之五）计算，最高限额为本合同总价的</w:t>
      </w:r>
      <w:r>
        <w:rPr>
          <w:rFonts w:hint="eastAsia" w:ascii="仿宋_GB2312" w:hAnsi="楷体" w:eastAsia="仿宋_GB2312"/>
          <w:sz w:val="24"/>
          <w:u w:val="single"/>
        </w:rPr>
        <w:t xml:space="preserve"> 20 </w:t>
      </w:r>
      <w:r>
        <w:rPr>
          <w:rFonts w:hint="eastAsia" w:ascii="仿宋_GB2312" w:hAnsi="楷体" w:eastAsia="仿宋_GB2312"/>
          <w:sz w:val="24"/>
        </w:rPr>
        <w:t>%（根据项目实际填写，一般为20%）；迟延超过【30】日的，或乙方提交研究成果经甲方组织评审2次不通过，甲方有权在要求乙方支付违约金的同时，书面通知乙方解除本合同，乙方应退回全部已收取的合同价款并按合同总金额的</w:t>
      </w:r>
      <w:r>
        <w:rPr>
          <w:rFonts w:hint="eastAsia" w:ascii="仿宋_GB2312" w:hAnsi="楷体" w:eastAsia="仿宋_GB2312"/>
          <w:sz w:val="24"/>
          <w:u w:val="single"/>
        </w:rPr>
        <w:t xml:space="preserve"> 20 </w:t>
      </w:r>
      <w:r>
        <w:rPr>
          <w:rFonts w:hint="eastAsia" w:ascii="仿宋_GB2312" w:hAnsi="楷体" w:eastAsia="仿宋_GB2312"/>
          <w:sz w:val="24"/>
        </w:rPr>
        <w:t>%（根据项目实际填写，一般为20%）向甲方支付违约金；</w:t>
      </w:r>
    </w:p>
    <w:p w14:paraId="48F0437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sz w:val="24"/>
          <w:u w:val="single"/>
        </w:rPr>
        <w:t>万分之五</w:t>
      </w:r>
      <w:r>
        <w:rPr>
          <w:rFonts w:hint="eastAsia" w:ascii="仿宋_GB2312" w:hAnsi="楷体" w:eastAsia="仿宋_GB2312"/>
          <w:sz w:val="24"/>
        </w:rPr>
        <w:t>（根据项目实际填写，一般为万分之五）计算，最高限额为欠付金额的</w:t>
      </w:r>
      <w:r>
        <w:rPr>
          <w:rFonts w:hint="eastAsia" w:ascii="仿宋_GB2312" w:hAnsi="楷体" w:eastAsia="仿宋_GB2312"/>
          <w:sz w:val="24"/>
          <w:u w:val="single"/>
        </w:rPr>
        <w:t xml:space="preserve"> 20 </w:t>
      </w:r>
      <w:r>
        <w:rPr>
          <w:rFonts w:hint="eastAsia" w:ascii="仿宋_GB2312" w:hAnsi="楷体" w:eastAsia="仿宋_GB2312"/>
          <w:sz w:val="24"/>
        </w:rPr>
        <w:t>%（根据项目实际填写，一般为20%）；迟延付款的违约金计算数额达到前述最高限额之日起，乙方有权在要求甲方支付违约金的同时，书面通知甲方解除本合同；</w:t>
      </w:r>
    </w:p>
    <w:p w14:paraId="71E21AF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3FE3D88">
      <w:pPr>
        <w:spacing w:line="360" w:lineRule="auto"/>
        <w:ind w:left="239" w:leftChars="114" w:firstLine="240" w:firstLineChars="100"/>
        <w:rPr>
          <w:rFonts w:hint="eastAsia" w:ascii="仿宋" w:hAnsi="仿宋" w:eastAsia="仿宋" w:cs="仿宋"/>
          <w:sz w:val="24"/>
        </w:rPr>
      </w:pPr>
      <w:r>
        <w:rPr>
          <w:rFonts w:hint="eastAsia" w:ascii="仿宋_GB2312" w:hAnsi="楷体" w:eastAsia="仿宋_GB2312"/>
          <w:sz w:val="24"/>
        </w:rPr>
        <w:t>1.6.4乙方在质保期内未按承诺提供售后等服务的，每发生一次向甲方支付</w:t>
      </w:r>
      <w:r>
        <w:rPr>
          <w:rFonts w:hint="eastAsia" w:ascii="仿宋" w:hAnsi="仿宋" w:eastAsia="仿宋" w:cs="仿宋"/>
          <w:sz w:val="24"/>
          <w:u w:val="single"/>
        </w:rPr>
        <w:t>2000</w:t>
      </w:r>
      <w:r>
        <w:rPr>
          <w:rFonts w:hint="eastAsia" w:ascii="仿宋_GB2312" w:hAnsi="楷体" w:eastAsia="仿宋_GB2312"/>
          <w:sz w:val="24"/>
        </w:rPr>
        <w:t>元（根据项目实际填写，一般为2000元）的违约金。</w:t>
      </w:r>
    </w:p>
    <w:p w14:paraId="099FDA2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8ECE06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8C5ABC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1.6.7 如果出现政府采购监督管理部门在处理投诉事项期间，书面通知甲方暂停采购活动的情形，或者询问或质疑事项可能影响成交结果的，导致甲方中止履行合同的情形，均不视为甲方违约。</w:t>
      </w:r>
    </w:p>
    <w:p w14:paraId="05C2A70D">
      <w:pPr>
        <w:spacing w:line="360" w:lineRule="auto"/>
        <w:ind w:firstLine="482" w:firstLineChars="200"/>
        <w:rPr>
          <w:rFonts w:hint="eastAsia" w:ascii="仿宋_GB2312" w:hAnsi="楷体" w:eastAsia="仿宋_GB2312"/>
          <w:b/>
          <w:sz w:val="24"/>
        </w:rPr>
      </w:pPr>
      <w:bookmarkStart w:id="162" w:name="_Toc16021"/>
      <w:bookmarkStart w:id="163" w:name="_Toc28375"/>
      <w:bookmarkStart w:id="164" w:name="_Toc15583"/>
      <w:r>
        <w:rPr>
          <w:rFonts w:hint="eastAsia" w:ascii="仿宋_GB2312" w:hAnsi="楷体" w:eastAsia="仿宋_GB2312"/>
          <w:b/>
          <w:sz w:val="24"/>
        </w:rPr>
        <w:t>1.7 合同争议的解决</w:t>
      </w:r>
      <w:bookmarkEnd w:id="162"/>
      <w:bookmarkEnd w:id="163"/>
      <w:bookmarkEnd w:id="164"/>
    </w:p>
    <w:p w14:paraId="17A97F7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本合同履行过程中发生的任何争议，双方当事人均可通过和解或者调解解决；不愿和解、调解或者和解、调解不成的，可以选择下列第</w:t>
      </w:r>
      <w:r>
        <w:rPr>
          <w:rFonts w:hint="eastAsia" w:ascii="仿宋_GB2312" w:hAnsi="楷体" w:eastAsia="仿宋_GB2312"/>
          <w:sz w:val="24"/>
          <w:u w:val="single"/>
        </w:rPr>
        <w:t xml:space="preserve"> 1.7.2 </w:t>
      </w:r>
      <w:r>
        <w:rPr>
          <w:rFonts w:hint="eastAsia" w:ascii="仿宋_GB2312" w:hAnsi="楷体" w:eastAsia="仿宋_GB2312"/>
          <w:sz w:val="24"/>
        </w:rPr>
        <w:t>种方式解决：</w:t>
      </w:r>
    </w:p>
    <w:p w14:paraId="008F0D7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1.7.1 将争议提交</w:t>
      </w:r>
      <w:r>
        <w:rPr>
          <w:rFonts w:hint="eastAsia" w:ascii="仿宋_GB2312" w:hAnsi="楷体" w:eastAsia="仿宋_GB2312"/>
          <w:sz w:val="24"/>
          <w:u w:val="single"/>
        </w:rPr>
        <w:t>南宁</w:t>
      </w:r>
      <w:r>
        <w:rPr>
          <w:rFonts w:hint="eastAsia" w:ascii="仿宋_GB2312" w:hAnsi="楷体" w:eastAsia="仿宋_GB2312"/>
          <w:sz w:val="24"/>
        </w:rPr>
        <w:t>仲裁委员会依申请仲裁时其现行有效的仲裁规则裁决；</w:t>
      </w:r>
    </w:p>
    <w:p w14:paraId="799B2E0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1.7.2 向</w:t>
      </w:r>
      <w:r>
        <w:rPr>
          <w:rFonts w:hint="eastAsia" w:ascii="仿宋_GB2312" w:hAnsi="楷体" w:eastAsia="仿宋_GB2312"/>
          <w:sz w:val="24"/>
          <w:u w:val="single"/>
        </w:rPr>
        <w:t xml:space="preserve">   甲方所在地  </w:t>
      </w:r>
      <w:r>
        <w:rPr>
          <w:rFonts w:hint="eastAsia" w:ascii="仿宋_GB2312" w:hAnsi="楷体" w:eastAsia="仿宋_GB2312"/>
          <w:sz w:val="24"/>
        </w:rPr>
        <w:t>人民法院起诉。</w:t>
      </w:r>
    </w:p>
    <w:p w14:paraId="15B59CB2">
      <w:pPr>
        <w:spacing w:line="360" w:lineRule="auto"/>
        <w:ind w:firstLine="482" w:firstLineChars="200"/>
        <w:rPr>
          <w:rFonts w:hint="eastAsia" w:ascii="仿宋_GB2312" w:hAnsi="楷体" w:eastAsia="仿宋_GB2312"/>
          <w:b/>
          <w:sz w:val="24"/>
        </w:rPr>
      </w:pPr>
      <w:bookmarkStart w:id="165" w:name="_Toc7245"/>
      <w:bookmarkStart w:id="166" w:name="_Toc11173"/>
      <w:bookmarkStart w:id="167" w:name="_Toc15322"/>
      <w:r>
        <w:rPr>
          <w:rFonts w:hint="eastAsia" w:ascii="仿宋_GB2312" w:hAnsi="楷体" w:eastAsia="仿宋_GB2312"/>
          <w:b/>
          <w:sz w:val="24"/>
        </w:rPr>
        <w:t>1.8 合同生效</w:t>
      </w:r>
      <w:bookmarkEnd w:id="165"/>
      <w:bookmarkEnd w:id="166"/>
      <w:bookmarkEnd w:id="167"/>
    </w:p>
    <w:p w14:paraId="7BD27C4E">
      <w:pPr>
        <w:pStyle w:val="13"/>
        <w:keepNext w:val="0"/>
        <w:keepLines w:val="0"/>
        <w:pageBreakBefore w:val="0"/>
        <w:widowControl/>
        <w:kinsoku w:val="0"/>
        <w:wordWrap/>
        <w:overflowPunct/>
        <w:topLinePunct w:val="0"/>
        <w:autoSpaceDE w:val="0"/>
        <w:autoSpaceDN w:val="0"/>
        <w:bidi w:val="0"/>
        <w:adjustRightInd w:val="0"/>
        <w:snapToGrid w:val="0"/>
        <w:spacing w:after="0" w:line="440" w:lineRule="atLeast"/>
        <w:ind w:left="0" w:right="0" w:firstLine="472" w:firstLineChars="200"/>
        <w:jc w:val="both"/>
        <w:textAlignment w:val="baseline"/>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 </w:t>
      </w:r>
      <w:r>
        <w:rPr>
          <w:rFonts w:hint="eastAsia" w:ascii="仿宋" w:hAnsi="仿宋" w:eastAsia="仿宋" w:cs="仿宋"/>
          <w:spacing w:val="-2"/>
          <w:sz w:val="24"/>
          <w:szCs w:val="24"/>
          <w:highlight w:val="none"/>
        </w:rPr>
        <w:t>本</w:t>
      </w:r>
      <w:r>
        <w:rPr>
          <w:rFonts w:hint="eastAsia" w:ascii="仿宋" w:hAnsi="仿宋" w:eastAsia="仿宋" w:cs="仿宋"/>
          <w:spacing w:val="-2"/>
          <w:sz w:val="24"/>
          <w:szCs w:val="24"/>
          <w:highlight w:val="none"/>
          <w:lang w:eastAsia="zh-CN"/>
        </w:rPr>
        <w:t>合同</w:t>
      </w:r>
      <w:r>
        <w:rPr>
          <w:rFonts w:hint="eastAsia" w:ascii="仿宋" w:hAnsi="仿宋" w:eastAsia="仿宋" w:cs="仿宋"/>
          <w:spacing w:val="-2"/>
          <w:sz w:val="24"/>
          <w:szCs w:val="24"/>
          <w:highlight w:val="none"/>
        </w:rPr>
        <w:t>经</w:t>
      </w:r>
      <w:r>
        <w:rPr>
          <w:rFonts w:hint="eastAsia" w:ascii="仿宋" w:hAnsi="仿宋" w:eastAsia="仿宋" w:cs="仿宋"/>
          <w:spacing w:val="-2"/>
          <w:sz w:val="24"/>
          <w:szCs w:val="24"/>
          <w:highlight w:val="none"/>
          <w:lang w:val="en-US" w:eastAsia="zh-CN"/>
        </w:rPr>
        <w:t>双</w:t>
      </w:r>
      <w:r>
        <w:rPr>
          <w:rFonts w:hint="eastAsia" w:ascii="仿宋" w:hAnsi="仿宋" w:eastAsia="仿宋" w:cs="仿宋"/>
          <w:spacing w:val="-2"/>
          <w:sz w:val="24"/>
          <w:szCs w:val="24"/>
          <w:highlight w:val="none"/>
        </w:rPr>
        <w:t>方签字并盖章后生效。</w:t>
      </w:r>
    </w:p>
    <w:p w14:paraId="44BD5D23">
      <w:pPr>
        <w:pStyle w:val="13"/>
        <w:keepNext w:val="0"/>
        <w:keepLines w:val="0"/>
        <w:pageBreakBefore w:val="0"/>
        <w:widowControl/>
        <w:kinsoku w:val="0"/>
        <w:wordWrap/>
        <w:overflowPunct/>
        <w:topLinePunct w:val="0"/>
        <w:autoSpaceDE w:val="0"/>
        <w:autoSpaceDN w:val="0"/>
        <w:bidi w:val="0"/>
        <w:adjustRightInd w:val="0"/>
        <w:snapToGrid w:val="0"/>
        <w:spacing w:after="0" w:line="440" w:lineRule="atLeast"/>
        <w:ind w:left="0" w:right="0" w:firstLine="472" w:firstLineChars="200"/>
        <w:jc w:val="both"/>
        <w:textAlignment w:val="baseline"/>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（以下无正文）</w:t>
      </w:r>
    </w:p>
    <w:p w14:paraId="527E1882">
      <w:pPr>
        <w:pStyle w:val="13"/>
        <w:keepNext w:val="0"/>
        <w:keepLines w:val="0"/>
        <w:pageBreakBefore w:val="0"/>
        <w:widowControl/>
        <w:kinsoku w:val="0"/>
        <w:wordWrap/>
        <w:overflowPunct/>
        <w:topLinePunct w:val="0"/>
        <w:autoSpaceDE w:val="0"/>
        <w:autoSpaceDN w:val="0"/>
        <w:bidi w:val="0"/>
        <w:adjustRightInd w:val="0"/>
        <w:snapToGrid w:val="0"/>
        <w:spacing w:line="440" w:lineRule="atLeast"/>
        <w:ind w:left="0" w:right="0" w:firstLine="472" w:firstLineChars="200"/>
        <w:jc w:val="both"/>
        <w:textAlignment w:val="baseline"/>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br w:type="page"/>
      </w:r>
      <w:r>
        <w:rPr>
          <w:rFonts w:hint="eastAsia" w:ascii="仿宋" w:hAnsi="仿宋" w:eastAsia="仿宋" w:cs="仿宋"/>
          <w:spacing w:val="-2"/>
          <w:sz w:val="24"/>
          <w:szCs w:val="24"/>
          <w:highlight w:val="none"/>
        </w:rPr>
        <w:t>（本页为签</w:t>
      </w:r>
      <w:r>
        <w:rPr>
          <w:rFonts w:hint="eastAsia" w:ascii="仿宋" w:hAnsi="仿宋" w:eastAsia="仿宋" w:cs="仿宋"/>
          <w:spacing w:val="-2"/>
          <w:sz w:val="24"/>
          <w:szCs w:val="24"/>
          <w:highlight w:val="none"/>
          <w:lang w:val="en-US" w:eastAsia="zh-CN"/>
        </w:rPr>
        <w:t>章</w:t>
      </w:r>
      <w:r>
        <w:rPr>
          <w:rFonts w:hint="eastAsia" w:ascii="仿宋" w:hAnsi="仿宋" w:eastAsia="仿宋" w:cs="仿宋"/>
          <w:spacing w:val="-2"/>
          <w:sz w:val="24"/>
          <w:szCs w:val="24"/>
          <w:highlight w:val="none"/>
        </w:rPr>
        <w:t>页）</w:t>
      </w:r>
    </w:p>
    <w:p w14:paraId="42B9EB76">
      <w:pPr>
        <w:pStyle w:val="13"/>
        <w:keepNext w:val="0"/>
        <w:keepLines w:val="0"/>
        <w:pageBreakBefore w:val="0"/>
        <w:widowControl/>
        <w:kinsoku w:val="0"/>
        <w:wordWrap/>
        <w:overflowPunct/>
        <w:topLinePunct w:val="0"/>
        <w:autoSpaceDE w:val="0"/>
        <w:autoSpaceDN w:val="0"/>
        <w:bidi w:val="0"/>
        <w:adjustRightInd w:val="0"/>
        <w:snapToGrid w:val="0"/>
        <w:spacing w:line="440" w:lineRule="atLeast"/>
        <w:ind w:left="0" w:right="0" w:firstLine="476" w:firstLineChars="200"/>
        <w:jc w:val="both"/>
        <w:textAlignment w:val="baseline"/>
        <w:rPr>
          <w:rFonts w:hint="eastAsia" w:ascii="仿宋" w:hAnsi="仿宋" w:eastAsia="仿宋" w:cs="仿宋"/>
          <w:spacing w:val="-1"/>
          <w:sz w:val="24"/>
          <w:szCs w:val="24"/>
          <w:highlight w:val="none"/>
        </w:rPr>
      </w:pPr>
    </w:p>
    <w:tbl>
      <w:tblPr>
        <w:tblStyle w:val="3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4"/>
        <w:gridCol w:w="4605"/>
      </w:tblGrid>
      <w:tr w14:paraId="7C63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42528846">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甲方：南宁市交通运输局</w:t>
            </w:r>
          </w:p>
        </w:tc>
        <w:tc>
          <w:tcPr>
            <w:tcW w:w="4605" w:type="dxa"/>
            <w:noWrap/>
            <w:vAlign w:val="center"/>
          </w:tcPr>
          <w:p w14:paraId="6545A153">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乙方：</w:t>
            </w:r>
          </w:p>
        </w:tc>
      </w:tr>
      <w:tr w14:paraId="1806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2E8CB9E4">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统一社会信用代码：</w:t>
            </w:r>
          </w:p>
          <w:p w14:paraId="5E0C923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114501000075755958</w:t>
            </w:r>
          </w:p>
        </w:tc>
        <w:tc>
          <w:tcPr>
            <w:tcW w:w="4605" w:type="dxa"/>
            <w:noWrap/>
            <w:vAlign w:val="top"/>
          </w:tcPr>
          <w:p w14:paraId="5E60CE9B">
            <w:pPr>
              <w:pStyle w:val="19"/>
              <w:keepNext w:val="0"/>
              <w:keepLines w:val="0"/>
              <w:suppressLineNumbers w:val="0"/>
              <w:spacing w:before="0" w:beforeAutospacing="0" w:after="0" w:afterAutospacing="0" w:line="360" w:lineRule="auto"/>
              <w:ind w:left="0" w:right="0" w:firstLine="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统一社会信用代码或身份证号码：</w:t>
            </w:r>
          </w:p>
        </w:tc>
      </w:tr>
      <w:tr w14:paraId="7AB8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top"/>
          </w:tcPr>
          <w:p w14:paraId="27B6A131">
            <w:pPr>
              <w:keepNext w:val="0"/>
              <w:keepLines w:val="0"/>
              <w:widowControl/>
              <w:suppressLineNumbers w:val="0"/>
              <w:spacing w:before="0" w:beforeAutospacing="0" w:after="0" w:afterAutospacing="0" w:line="360" w:lineRule="auto"/>
              <w:ind w:left="0" w:right="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住所：南宁市青秀区茶花园路5-8号</w:t>
            </w:r>
          </w:p>
        </w:tc>
        <w:tc>
          <w:tcPr>
            <w:tcW w:w="4605" w:type="dxa"/>
            <w:noWrap/>
            <w:vAlign w:val="center"/>
          </w:tcPr>
          <w:p w14:paraId="41C12630">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住所：</w:t>
            </w:r>
          </w:p>
        </w:tc>
      </w:tr>
      <w:tr w14:paraId="2092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0"/>
            <w:vAlign w:val="center"/>
          </w:tcPr>
          <w:p w14:paraId="593430AB">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法定代表人或授权代表（签字或盖章）：</w:t>
            </w:r>
          </w:p>
          <w:p w14:paraId="17BDEF31">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p>
        </w:tc>
        <w:tc>
          <w:tcPr>
            <w:tcW w:w="4605" w:type="dxa"/>
            <w:noWrap w:val="0"/>
            <w:vAlign w:val="top"/>
          </w:tcPr>
          <w:p w14:paraId="22E645C1">
            <w:pPr>
              <w:keepNext w:val="0"/>
              <w:keepLines w:val="0"/>
              <w:widowControl/>
              <w:suppressLineNumbers w:val="0"/>
              <w:spacing w:before="0" w:beforeAutospacing="0" w:after="0" w:afterAutospacing="0" w:line="360" w:lineRule="auto"/>
              <w:ind w:left="0" w:right="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法定代表人或授权代表（签字或盖章）：</w:t>
            </w:r>
          </w:p>
          <w:p w14:paraId="74E1A4A0">
            <w:pPr>
              <w:pStyle w:val="19"/>
              <w:keepNext w:val="0"/>
              <w:keepLines w:val="0"/>
              <w:suppressLineNumbers w:val="0"/>
              <w:spacing w:before="0" w:beforeAutospacing="0" w:after="0" w:afterAutospacing="0" w:line="360" w:lineRule="auto"/>
              <w:ind w:left="0" w:right="0" w:firstLine="0"/>
              <w:rPr>
                <w:rFonts w:hint="eastAsia" w:ascii="仿宋" w:hAnsi="仿宋" w:eastAsia="仿宋" w:cs="仿宋"/>
                <w:color w:val="000000"/>
                <w:kern w:val="0"/>
                <w:sz w:val="24"/>
                <w:szCs w:val="24"/>
                <w:highlight w:val="none"/>
              </w:rPr>
            </w:pPr>
          </w:p>
        </w:tc>
      </w:tr>
      <w:tr w14:paraId="2D13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52C403A0">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联系人：</w:t>
            </w:r>
          </w:p>
        </w:tc>
        <w:tc>
          <w:tcPr>
            <w:tcW w:w="4605" w:type="dxa"/>
            <w:noWrap/>
            <w:vAlign w:val="center"/>
          </w:tcPr>
          <w:p w14:paraId="1351CF33">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联系人：</w:t>
            </w:r>
          </w:p>
        </w:tc>
      </w:tr>
      <w:tr w14:paraId="0309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45CAA35C">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约定送达地址：</w:t>
            </w:r>
          </w:p>
        </w:tc>
        <w:tc>
          <w:tcPr>
            <w:tcW w:w="4605" w:type="dxa"/>
            <w:noWrap/>
            <w:vAlign w:val="center"/>
          </w:tcPr>
          <w:p w14:paraId="61061171">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约定送达地址：</w:t>
            </w:r>
          </w:p>
        </w:tc>
      </w:tr>
      <w:tr w14:paraId="05C5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4160A84B">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邮政编码：530022</w:t>
            </w:r>
          </w:p>
        </w:tc>
        <w:tc>
          <w:tcPr>
            <w:tcW w:w="4605" w:type="dxa"/>
            <w:noWrap/>
            <w:vAlign w:val="center"/>
          </w:tcPr>
          <w:p w14:paraId="447371E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邮政编码：</w:t>
            </w:r>
          </w:p>
        </w:tc>
      </w:tr>
      <w:tr w14:paraId="0A1F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402CCF9B">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电话:</w:t>
            </w:r>
          </w:p>
        </w:tc>
        <w:tc>
          <w:tcPr>
            <w:tcW w:w="4605" w:type="dxa"/>
            <w:noWrap/>
            <w:vAlign w:val="center"/>
          </w:tcPr>
          <w:p w14:paraId="56406255">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电话:</w:t>
            </w:r>
          </w:p>
        </w:tc>
      </w:tr>
      <w:tr w14:paraId="61E2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34B08A6A">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传真:</w:t>
            </w:r>
          </w:p>
        </w:tc>
        <w:tc>
          <w:tcPr>
            <w:tcW w:w="4605" w:type="dxa"/>
            <w:noWrap/>
            <w:vAlign w:val="center"/>
          </w:tcPr>
          <w:p w14:paraId="1199B8BD">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传真: </w:t>
            </w:r>
          </w:p>
        </w:tc>
      </w:tr>
      <w:tr w14:paraId="5CE0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32B3C2F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电子邮箱：</w:t>
            </w:r>
          </w:p>
        </w:tc>
        <w:tc>
          <w:tcPr>
            <w:tcW w:w="4605" w:type="dxa"/>
            <w:noWrap/>
            <w:vAlign w:val="center"/>
          </w:tcPr>
          <w:p w14:paraId="3CC03C23">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电子邮箱：</w:t>
            </w:r>
          </w:p>
        </w:tc>
      </w:tr>
      <w:tr w14:paraId="18A5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63A423CA">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开户银行：工行南宁市金禄支行</w:t>
            </w:r>
          </w:p>
        </w:tc>
        <w:tc>
          <w:tcPr>
            <w:tcW w:w="4605" w:type="dxa"/>
            <w:noWrap/>
            <w:vAlign w:val="center"/>
          </w:tcPr>
          <w:p w14:paraId="2ED11DC6">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开户银行：</w:t>
            </w:r>
          </w:p>
        </w:tc>
      </w:tr>
      <w:tr w14:paraId="2BA2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top"/>
          </w:tcPr>
          <w:p w14:paraId="6F1F52E0">
            <w:pPr>
              <w:keepNext w:val="0"/>
              <w:keepLines w:val="0"/>
              <w:widowControl/>
              <w:suppressLineNumbers w:val="0"/>
              <w:spacing w:before="0" w:beforeAutospacing="0" w:after="0" w:afterAutospacing="0" w:line="360" w:lineRule="auto"/>
              <w:ind w:left="0" w:right="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开户名称：南宁市交通运输局</w:t>
            </w:r>
          </w:p>
        </w:tc>
        <w:tc>
          <w:tcPr>
            <w:tcW w:w="4605" w:type="dxa"/>
            <w:noWrap/>
            <w:vAlign w:val="center"/>
          </w:tcPr>
          <w:p w14:paraId="13D37EA5">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开户名称：</w:t>
            </w:r>
          </w:p>
        </w:tc>
      </w:tr>
      <w:tr w14:paraId="2C70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7AFAB21A">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开户账号：2102112309301083662</w:t>
            </w:r>
          </w:p>
        </w:tc>
        <w:tc>
          <w:tcPr>
            <w:tcW w:w="4605" w:type="dxa"/>
            <w:noWrap/>
            <w:vAlign w:val="center"/>
          </w:tcPr>
          <w:p w14:paraId="2B21C305">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开户账号：</w:t>
            </w:r>
          </w:p>
        </w:tc>
      </w:tr>
    </w:tbl>
    <w:p w14:paraId="52DD72EA">
      <w:pPr>
        <w:pStyle w:val="13"/>
        <w:keepNext w:val="0"/>
        <w:keepLines w:val="0"/>
        <w:pageBreakBefore w:val="0"/>
        <w:widowControl/>
        <w:kinsoku w:val="0"/>
        <w:wordWrap/>
        <w:overflowPunct/>
        <w:topLinePunct w:val="0"/>
        <w:autoSpaceDE w:val="0"/>
        <w:autoSpaceDN w:val="0"/>
        <w:bidi w:val="0"/>
        <w:adjustRightInd w:val="0"/>
        <w:snapToGrid w:val="0"/>
        <w:spacing w:line="440" w:lineRule="atLeast"/>
        <w:ind w:left="0" w:right="0" w:firstLine="480" w:firstLineChars="200"/>
        <w:jc w:val="both"/>
        <w:textAlignment w:val="baseline"/>
        <w:rPr>
          <w:rFonts w:hint="eastAsia" w:ascii="仿宋" w:hAnsi="仿宋" w:eastAsia="仿宋" w:cs="仿宋"/>
          <w:sz w:val="24"/>
          <w:szCs w:val="24"/>
          <w:highlight w:val="none"/>
        </w:rPr>
      </w:pPr>
    </w:p>
    <w:p w14:paraId="1FDD609B">
      <w:pPr>
        <w:pStyle w:val="13"/>
        <w:keepNext w:val="0"/>
        <w:keepLines w:val="0"/>
        <w:pageBreakBefore w:val="0"/>
        <w:widowControl/>
        <w:kinsoku w:val="0"/>
        <w:wordWrap/>
        <w:overflowPunct/>
        <w:topLinePunct w:val="0"/>
        <w:autoSpaceDE w:val="0"/>
        <w:autoSpaceDN w:val="0"/>
        <w:bidi w:val="0"/>
        <w:adjustRightInd w:val="0"/>
        <w:snapToGrid w:val="0"/>
        <w:spacing w:line="440" w:lineRule="atLeast"/>
        <w:ind w:left="0" w:right="0" w:firstLine="480" w:firstLineChars="200"/>
        <w:jc w:val="both"/>
        <w:textAlignment w:val="baseline"/>
        <w:rPr>
          <w:rFonts w:hint="eastAsia" w:ascii="仿宋" w:hAnsi="仿宋" w:eastAsia="仿宋" w:cs="仿宋"/>
          <w:sz w:val="24"/>
          <w:szCs w:val="24"/>
          <w:highlight w:val="none"/>
        </w:rPr>
      </w:pPr>
    </w:p>
    <w:p w14:paraId="64F9418A">
      <w:pPr>
        <w:pStyle w:val="84"/>
        <w:ind w:firstLine="482"/>
        <w:jc w:val="center"/>
        <w:outlineLvl w:val="1"/>
        <w:rPr>
          <w:rFonts w:hint="eastAsia" w:ascii="仿宋" w:hAnsi="仿宋" w:eastAsia="仿宋" w:cs="仿宋"/>
          <w:b/>
          <w:sz w:val="28"/>
          <w:szCs w:val="28"/>
          <w:highlight w:val="none"/>
        </w:rPr>
      </w:pPr>
      <w:r>
        <w:rPr>
          <w:rFonts w:hint="eastAsia" w:ascii="仿宋" w:hAnsi="仿宋" w:eastAsia="仿宋" w:cs="仿宋"/>
          <w:b/>
          <w:highlight w:val="none"/>
        </w:rPr>
        <w:br w:type="page"/>
      </w:r>
      <w:bookmarkStart w:id="168" w:name="_Toc4455"/>
      <w:bookmarkStart w:id="169" w:name="_Toc80205945"/>
      <w:bookmarkStart w:id="170" w:name="_Toc10263"/>
      <w:bookmarkStart w:id="171" w:name="_Toc331685783"/>
      <w:r>
        <w:rPr>
          <w:rFonts w:hint="eastAsia" w:ascii="仿宋" w:hAnsi="仿宋" w:eastAsia="仿宋" w:cs="仿宋"/>
          <w:b/>
          <w:sz w:val="28"/>
          <w:szCs w:val="28"/>
          <w:highlight w:val="none"/>
        </w:rPr>
        <w:t>第二部分 合同一般条款</w:t>
      </w:r>
      <w:bookmarkEnd w:id="168"/>
      <w:bookmarkEnd w:id="169"/>
      <w:bookmarkEnd w:id="170"/>
      <w:bookmarkEnd w:id="171"/>
    </w:p>
    <w:p w14:paraId="047EB511">
      <w:pPr>
        <w:spacing w:line="360" w:lineRule="auto"/>
        <w:ind w:firstLine="482" w:firstLineChars="200"/>
        <w:rPr>
          <w:rFonts w:hint="eastAsia" w:ascii="仿宋" w:hAnsi="仿宋" w:eastAsia="仿宋" w:cs="仿宋"/>
          <w:b/>
          <w:sz w:val="24"/>
          <w:highlight w:val="none"/>
        </w:rPr>
      </w:pPr>
      <w:bookmarkStart w:id="172" w:name="_Ref467379225"/>
      <w:bookmarkStart w:id="173" w:name="_Toc279701240"/>
      <w:bookmarkStart w:id="174" w:name="_Toc19614"/>
      <w:bookmarkStart w:id="175" w:name="_Toc487900349"/>
      <w:bookmarkStart w:id="176" w:name="_Ref467379109"/>
      <w:bookmarkStart w:id="177" w:name="_Toc28763"/>
      <w:bookmarkStart w:id="178" w:name="_Ref467379195"/>
      <w:bookmarkStart w:id="179" w:name="_Toc16917"/>
      <w:bookmarkStart w:id="180" w:name="_Ref467379214"/>
      <w:bookmarkStart w:id="181" w:name="_Ref467379101"/>
      <w:bookmarkStart w:id="182" w:name="_Toc259093669"/>
      <w:bookmarkStart w:id="183" w:name="_Ref467378404"/>
      <w:bookmarkStart w:id="184" w:name="_Ref467378499"/>
      <w:bookmarkStart w:id="185" w:name="_Ref467379094"/>
      <w:bookmarkStart w:id="186" w:name="_Ref467379205"/>
      <w:bookmarkStart w:id="187" w:name="_Ref467378463"/>
      <w:r>
        <w:rPr>
          <w:rFonts w:hint="eastAsia" w:ascii="仿宋" w:hAnsi="仿宋" w:eastAsia="仿宋" w:cs="仿宋"/>
          <w:b/>
          <w:sz w:val="24"/>
          <w:highlight w:val="none"/>
        </w:rPr>
        <w:t>2.1 定义</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014AC61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本合同中的下列词语应按以下内容进行解释：</w:t>
      </w:r>
    </w:p>
    <w:p w14:paraId="4EAF6C3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 “合同”系指采购人和成交人签订的载明双方当事人所达成的协议，并包括所有的附件、附录和构成合同的其他文件。</w:t>
      </w:r>
    </w:p>
    <w:p w14:paraId="1CCC386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2.1.2 “合同价”系指根据合同约定，成交人在完全履行合同义务后，采购人应支付给成交人的价格。</w:t>
      </w:r>
    </w:p>
    <w:p w14:paraId="23B34D8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 “标的物”系指成交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58C94686">
      <w:pPr>
        <w:spacing w:line="360" w:lineRule="auto"/>
        <w:ind w:firstLine="480" w:firstLineChars="200"/>
        <w:rPr>
          <w:rFonts w:hint="eastAsia" w:ascii="仿宋" w:hAnsi="仿宋" w:eastAsia="仿宋" w:cs="仿宋"/>
          <w:sz w:val="24"/>
          <w:highlight w:val="none"/>
        </w:rPr>
      </w:pPr>
      <w:bookmarkStart w:id="188" w:name="_Ref467378840"/>
      <w:r>
        <w:rPr>
          <w:rFonts w:hint="eastAsia" w:ascii="仿宋" w:hAnsi="仿宋" w:eastAsia="仿宋" w:cs="仿宋"/>
          <w:sz w:val="24"/>
          <w:highlight w:val="none"/>
        </w:rPr>
        <w:t>2.1.4 “甲方”系指与成交人签署合同的采购人</w:t>
      </w:r>
      <w:bookmarkEnd w:id="188"/>
      <w:r>
        <w:rPr>
          <w:rFonts w:hint="eastAsia" w:ascii="仿宋" w:hAnsi="仿宋" w:eastAsia="仿宋" w:cs="仿宋"/>
          <w:sz w:val="24"/>
          <w:highlight w:val="none"/>
        </w:rPr>
        <w:t>；采购人委托采购机构代表其与乙方签订合同的，采购人的授权委托书作为合同附件。</w:t>
      </w:r>
    </w:p>
    <w:p w14:paraId="3728AD4B">
      <w:pPr>
        <w:spacing w:line="360" w:lineRule="auto"/>
        <w:ind w:firstLine="480" w:firstLineChars="200"/>
        <w:rPr>
          <w:rFonts w:hint="eastAsia" w:ascii="仿宋" w:hAnsi="仿宋" w:eastAsia="仿宋" w:cs="仿宋"/>
          <w:sz w:val="24"/>
          <w:highlight w:val="none"/>
        </w:rPr>
      </w:pPr>
      <w:bookmarkStart w:id="189" w:name="_Ref467379400"/>
      <w:r>
        <w:rPr>
          <w:rFonts w:hint="eastAsia" w:ascii="仿宋" w:hAnsi="仿宋" w:eastAsia="仿宋" w:cs="仿宋"/>
          <w:sz w:val="24"/>
          <w:highlight w:val="none"/>
        </w:rPr>
        <w:t>2.1.5 “乙方”系指根据合同约定交付标的物的</w:t>
      </w:r>
      <w:bookmarkEnd w:id="189"/>
      <w:r>
        <w:rPr>
          <w:rFonts w:hint="eastAsia" w:ascii="仿宋" w:hAnsi="仿宋" w:eastAsia="仿宋" w:cs="仿宋"/>
          <w:sz w:val="24"/>
          <w:highlight w:val="none"/>
        </w:rPr>
        <w:t>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1BC1033C">
      <w:pPr>
        <w:spacing w:line="360" w:lineRule="auto"/>
        <w:ind w:firstLine="480" w:firstLineChars="200"/>
        <w:rPr>
          <w:rFonts w:hint="eastAsia" w:ascii="仿宋" w:hAnsi="仿宋" w:eastAsia="仿宋" w:cs="仿宋"/>
          <w:sz w:val="24"/>
          <w:highlight w:val="none"/>
        </w:rPr>
      </w:pPr>
      <w:bookmarkStart w:id="190" w:name="_Ref467379436"/>
      <w:r>
        <w:rPr>
          <w:rFonts w:hint="eastAsia" w:ascii="仿宋" w:hAnsi="仿宋" w:eastAsia="仿宋" w:cs="仿宋"/>
          <w:sz w:val="24"/>
          <w:highlight w:val="none"/>
        </w:rPr>
        <w:t>2.1.6 “现场”系指合同约定标的物将要运至或者实施或者安装的地点。</w:t>
      </w:r>
      <w:bookmarkEnd w:id="190"/>
    </w:p>
    <w:p w14:paraId="651BE8E9">
      <w:pPr>
        <w:spacing w:line="360" w:lineRule="auto"/>
        <w:ind w:firstLine="482" w:firstLineChars="200"/>
        <w:rPr>
          <w:rFonts w:hint="eastAsia" w:ascii="仿宋" w:hAnsi="仿宋" w:eastAsia="仿宋" w:cs="仿宋"/>
          <w:b/>
          <w:sz w:val="24"/>
          <w:highlight w:val="none"/>
        </w:rPr>
      </w:pPr>
      <w:bookmarkStart w:id="191" w:name="_Toc279701241"/>
      <w:bookmarkStart w:id="192" w:name="_Toc32504"/>
      <w:bookmarkStart w:id="193" w:name="_Toc259093670"/>
      <w:bookmarkStart w:id="194" w:name="_Toc27635"/>
      <w:bookmarkStart w:id="195" w:name="_Toc13336"/>
      <w:bookmarkStart w:id="196" w:name="_Toc487900350"/>
      <w:r>
        <w:rPr>
          <w:rFonts w:hint="eastAsia" w:ascii="仿宋" w:hAnsi="仿宋" w:eastAsia="仿宋" w:cs="仿宋"/>
          <w:b/>
          <w:sz w:val="24"/>
          <w:highlight w:val="none"/>
        </w:rPr>
        <w:t>2.2 技术规范</w:t>
      </w:r>
      <w:bookmarkEnd w:id="191"/>
      <w:bookmarkEnd w:id="192"/>
      <w:bookmarkEnd w:id="193"/>
      <w:bookmarkEnd w:id="194"/>
      <w:bookmarkEnd w:id="195"/>
      <w:bookmarkEnd w:id="196"/>
    </w:p>
    <w:p w14:paraId="323A83D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3301D3D4">
      <w:pPr>
        <w:spacing w:line="360" w:lineRule="auto"/>
        <w:ind w:firstLine="482" w:firstLineChars="200"/>
        <w:rPr>
          <w:rFonts w:hint="eastAsia" w:ascii="仿宋" w:hAnsi="仿宋" w:eastAsia="仿宋" w:cs="仿宋"/>
          <w:b/>
          <w:sz w:val="24"/>
          <w:highlight w:val="none"/>
        </w:rPr>
      </w:pPr>
      <w:bookmarkStart w:id="197" w:name="_Toc279701242"/>
      <w:bookmarkStart w:id="198" w:name="_Toc487900351"/>
      <w:bookmarkStart w:id="199" w:name="_Toc31634"/>
      <w:bookmarkStart w:id="200" w:name="_Toc9829"/>
      <w:bookmarkStart w:id="201" w:name="_Toc259093671"/>
      <w:bookmarkStart w:id="202" w:name="_Toc27853"/>
      <w:r>
        <w:rPr>
          <w:rFonts w:hint="eastAsia" w:ascii="仿宋" w:hAnsi="仿宋" w:eastAsia="仿宋" w:cs="仿宋"/>
          <w:b/>
          <w:sz w:val="24"/>
          <w:highlight w:val="none"/>
        </w:rPr>
        <w:t>2.3 知识产权</w:t>
      </w:r>
      <w:bookmarkEnd w:id="197"/>
      <w:bookmarkEnd w:id="198"/>
      <w:bookmarkEnd w:id="199"/>
      <w:bookmarkEnd w:id="200"/>
      <w:bookmarkEnd w:id="201"/>
      <w:bookmarkEnd w:id="202"/>
    </w:p>
    <w:p w14:paraId="7F3D763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D6FBC9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2.3.2具有知识产权的计算机软件等标的物的知识产权归属，详见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76115C77">
      <w:pPr>
        <w:spacing w:line="360" w:lineRule="auto"/>
        <w:ind w:firstLine="482" w:firstLineChars="200"/>
        <w:rPr>
          <w:rFonts w:hint="eastAsia" w:ascii="仿宋" w:hAnsi="仿宋" w:eastAsia="仿宋" w:cs="仿宋"/>
          <w:b/>
          <w:sz w:val="24"/>
          <w:highlight w:val="none"/>
        </w:rPr>
      </w:pPr>
      <w:bookmarkStart w:id="203" w:name="_Toc4194"/>
      <w:bookmarkStart w:id="204" w:name="_Toc29149"/>
      <w:bookmarkStart w:id="205" w:name="_Toc11932"/>
      <w:r>
        <w:rPr>
          <w:rFonts w:hint="eastAsia" w:ascii="仿宋" w:hAnsi="仿宋" w:eastAsia="仿宋" w:cs="仿宋"/>
          <w:b/>
          <w:sz w:val="24"/>
          <w:highlight w:val="none"/>
        </w:rPr>
        <w:t>2.4 包装和装运</w:t>
      </w:r>
      <w:bookmarkEnd w:id="203"/>
      <w:bookmarkEnd w:id="204"/>
      <w:bookmarkEnd w:id="205"/>
    </w:p>
    <w:p w14:paraId="77991D7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2.4.1除</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7EC42BA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2.4.2 装运标的物的要求和通知，详见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55212F5D">
      <w:pPr>
        <w:spacing w:line="360" w:lineRule="auto"/>
        <w:ind w:firstLine="482" w:firstLineChars="200"/>
        <w:rPr>
          <w:rFonts w:hint="eastAsia" w:ascii="仿宋" w:hAnsi="仿宋" w:eastAsia="仿宋" w:cs="仿宋"/>
          <w:b/>
          <w:sz w:val="24"/>
          <w:highlight w:val="none"/>
        </w:rPr>
      </w:pPr>
      <w:bookmarkStart w:id="206" w:name="_Ref467379527"/>
      <w:bookmarkStart w:id="207" w:name="_Toc259093674"/>
      <w:bookmarkStart w:id="208" w:name="_Ref467379542"/>
      <w:bookmarkStart w:id="209" w:name="_Ref467378591"/>
      <w:bookmarkStart w:id="210" w:name="_Ref467378541"/>
      <w:bookmarkStart w:id="211" w:name="_Toc487900354"/>
      <w:bookmarkStart w:id="212" w:name="_Toc279701245"/>
      <w:bookmarkStart w:id="213" w:name="_Ref467379536"/>
      <w:bookmarkStart w:id="214" w:name="_Toc30272"/>
      <w:bookmarkStart w:id="215" w:name="_Toc19074"/>
      <w:bookmarkStart w:id="216" w:name="_Toc26182"/>
      <w:r>
        <w:rPr>
          <w:rFonts w:hint="eastAsia" w:ascii="仿宋" w:hAnsi="仿宋" w:eastAsia="仿宋" w:cs="仿宋"/>
          <w:b/>
          <w:sz w:val="24"/>
          <w:highlight w:val="none"/>
        </w:rPr>
        <w:t>2.</w:t>
      </w:r>
      <w:bookmarkEnd w:id="206"/>
      <w:bookmarkEnd w:id="207"/>
      <w:bookmarkEnd w:id="208"/>
      <w:bookmarkEnd w:id="209"/>
      <w:bookmarkEnd w:id="210"/>
      <w:bookmarkEnd w:id="211"/>
      <w:bookmarkEnd w:id="212"/>
      <w:bookmarkEnd w:id="213"/>
      <w:r>
        <w:rPr>
          <w:rFonts w:hint="eastAsia" w:ascii="仿宋" w:hAnsi="仿宋" w:eastAsia="仿宋" w:cs="仿宋"/>
          <w:b/>
          <w:sz w:val="24"/>
          <w:highlight w:val="none"/>
        </w:rPr>
        <w:t>5 履约检查和问题反馈</w:t>
      </w:r>
      <w:bookmarkEnd w:id="214"/>
      <w:bookmarkEnd w:id="215"/>
      <w:bookmarkEnd w:id="216"/>
    </w:p>
    <w:p w14:paraId="2BC48888">
      <w:pPr>
        <w:spacing w:line="360" w:lineRule="auto"/>
        <w:ind w:firstLine="480" w:firstLineChars="200"/>
        <w:rPr>
          <w:rFonts w:hint="eastAsia" w:ascii="仿宋" w:hAnsi="仿宋" w:eastAsia="仿宋" w:cs="仿宋"/>
          <w:sz w:val="24"/>
          <w:highlight w:val="none"/>
        </w:rPr>
      </w:pPr>
      <w:bookmarkStart w:id="217" w:name="_Ref467379657"/>
      <w:r>
        <w:rPr>
          <w:rFonts w:hint="eastAsia" w:ascii="仿宋" w:hAnsi="仿宋" w:eastAsia="仿宋" w:cs="仿宋"/>
          <w:sz w:val="24"/>
          <w:highlight w:val="none"/>
        </w:rPr>
        <w:t>2.5.1</w:t>
      </w:r>
      <w:bookmarkEnd w:id="217"/>
      <w:bookmarkStart w:id="218" w:name="_Toc186431854"/>
      <w:bookmarkStart w:id="219" w:name="_Ref467379807"/>
      <w:bookmarkStart w:id="220" w:name="_Toc487900357"/>
      <w:bookmarkStart w:id="221" w:name="_Toc279701247"/>
      <w:bookmarkStart w:id="222" w:name="_Ref467379793"/>
      <w:bookmarkStart w:id="223" w:name="_Toc259093676"/>
      <w:r>
        <w:rPr>
          <w:rFonts w:hint="eastAsia" w:ascii="仿宋" w:hAnsi="仿宋" w:eastAsia="仿宋" w:cs="仿宋"/>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F3F56B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2.5.2 合同履行期间，甲方有权将履行过程中出现的问题反馈给乙方，双方当事人应以书面形式约定需要完善和改进的内容</w:t>
      </w:r>
      <w:bookmarkEnd w:id="218"/>
      <w:bookmarkStart w:id="224" w:name="_Toc186431855"/>
      <w:r>
        <w:rPr>
          <w:rFonts w:hint="eastAsia" w:ascii="仿宋" w:hAnsi="仿宋" w:eastAsia="仿宋" w:cs="仿宋"/>
          <w:sz w:val="24"/>
          <w:highlight w:val="none"/>
        </w:rPr>
        <w:t>。</w:t>
      </w:r>
    </w:p>
    <w:bookmarkEnd w:id="224"/>
    <w:p w14:paraId="7877ADAB">
      <w:pPr>
        <w:spacing w:line="360" w:lineRule="auto"/>
        <w:ind w:firstLine="482" w:firstLineChars="200"/>
        <w:rPr>
          <w:rFonts w:hint="eastAsia" w:ascii="仿宋" w:hAnsi="仿宋" w:eastAsia="仿宋" w:cs="仿宋"/>
          <w:b/>
          <w:sz w:val="24"/>
          <w:highlight w:val="none"/>
        </w:rPr>
      </w:pPr>
      <w:bookmarkStart w:id="225" w:name="_Toc19219"/>
      <w:bookmarkStart w:id="226" w:name="_Toc28451"/>
      <w:bookmarkStart w:id="227" w:name="_Toc7836"/>
      <w:r>
        <w:rPr>
          <w:rFonts w:hint="eastAsia" w:ascii="仿宋" w:hAnsi="仿宋" w:eastAsia="仿宋" w:cs="仿宋"/>
          <w:b/>
          <w:sz w:val="24"/>
          <w:highlight w:val="none"/>
        </w:rPr>
        <w:t>2.6 结算方式和付款条件</w:t>
      </w:r>
      <w:bookmarkEnd w:id="219"/>
      <w:bookmarkEnd w:id="220"/>
      <w:bookmarkEnd w:id="221"/>
      <w:bookmarkEnd w:id="222"/>
      <w:bookmarkEnd w:id="223"/>
      <w:bookmarkEnd w:id="225"/>
      <w:bookmarkEnd w:id="226"/>
      <w:bookmarkEnd w:id="227"/>
    </w:p>
    <w:p w14:paraId="2F46BDE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038E5D3D">
      <w:pPr>
        <w:spacing w:line="360" w:lineRule="auto"/>
        <w:ind w:firstLine="482" w:firstLineChars="200"/>
        <w:rPr>
          <w:rFonts w:hint="eastAsia" w:ascii="仿宋" w:hAnsi="仿宋" w:eastAsia="仿宋" w:cs="仿宋"/>
          <w:b/>
          <w:sz w:val="24"/>
          <w:highlight w:val="none"/>
        </w:rPr>
      </w:pPr>
      <w:bookmarkStart w:id="228" w:name="_Toc487900358"/>
      <w:bookmarkStart w:id="229" w:name="_Toc279701248"/>
      <w:bookmarkStart w:id="230" w:name="_Toc259093677"/>
      <w:bookmarkStart w:id="231" w:name="_Ref467379863"/>
      <w:bookmarkStart w:id="232" w:name="_Ref467379852"/>
      <w:bookmarkStart w:id="233" w:name="_Ref467379923"/>
      <w:bookmarkStart w:id="234" w:name="_Toc3225"/>
      <w:bookmarkStart w:id="235" w:name="_Toc774"/>
      <w:bookmarkStart w:id="236" w:name="_Toc16110"/>
      <w:r>
        <w:rPr>
          <w:rFonts w:hint="eastAsia" w:ascii="仿宋" w:hAnsi="仿宋" w:eastAsia="仿宋" w:cs="仿宋"/>
          <w:b/>
          <w:sz w:val="24"/>
          <w:highlight w:val="none"/>
        </w:rPr>
        <w:t>2.7 技术资料</w:t>
      </w:r>
      <w:bookmarkEnd w:id="228"/>
      <w:bookmarkEnd w:id="229"/>
      <w:bookmarkEnd w:id="230"/>
      <w:bookmarkEnd w:id="231"/>
      <w:bookmarkEnd w:id="232"/>
      <w:bookmarkEnd w:id="233"/>
      <w:r>
        <w:rPr>
          <w:rFonts w:hint="eastAsia" w:ascii="仿宋" w:hAnsi="仿宋" w:eastAsia="仿宋" w:cs="仿宋"/>
          <w:b/>
          <w:sz w:val="24"/>
          <w:highlight w:val="none"/>
        </w:rPr>
        <w:t>和保密义务</w:t>
      </w:r>
      <w:bookmarkEnd w:id="234"/>
      <w:bookmarkEnd w:id="235"/>
      <w:bookmarkEnd w:id="236"/>
    </w:p>
    <w:p w14:paraId="5CCF84A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2.7.1 乙方有权依据合同约定和项目需要，向甲方了解有关情况，调阅有关资料等，甲方应予积极配合；</w:t>
      </w:r>
    </w:p>
    <w:p w14:paraId="2888A87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2.7.2 乙方有义务妥善保管和保护由甲方提供的前款信息和资料等；</w:t>
      </w:r>
    </w:p>
    <w:p w14:paraId="063AF01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F38EF91">
      <w:pPr>
        <w:spacing w:line="360" w:lineRule="auto"/>
        <w:ind w:firstLine="482" w:firstLineChars="200"/>
        <w:rPr>
          <w:rFonts w:hint="eastAsia" w:ascii="仿宋" w:hAnsi="仿宋" w:eastAsia="仿宋" w:cs="仿宋"/>
          <w:b/>
          <w:sz w:val="24"/>
          <w:highlight w:val="none"/>
        </w:rPr>
      </w:pPr>
      <w:bookmarkStart w:id="237" w:name="_Toc7860"/>
      <w:r>
        <w:rPr>
          <w:rFonts w:hint="eastAsia" w:ascii="仿宋" w:hAnsi="仿宋" w:eastAsia="仿宋" w:cs="仿宋"/>
          <w:b/>
          <w:sz w:val="24"/>
          <w:highlight w:val="none"/>
        </w:rPr>
        <w:t>2.8 质量保证</w:t>
      </w:r>
      <w:bookmarkEnd w:id="237"/>
    </w:p>
    <w:p w14:paraId="4D7F474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2.8.1 乙方应建立和完善履行合同的内部质量保证体系，并提供相关内部规章制度给甲方，以便甲方进行监督检查；</w:t>
      </w:r>
    </w:p>
    <w:p w14:paraId="381D4E8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2.8.2 乙方应保证履行合同的人员数量和素质、软件和硬件设备的配置、场地、环境和设施等满足全面履行合同的要求，并应接受甲方的监督检查。</w:t>
      </w:r>
    </w:p>
    <w:p w14:paraId="379FB7D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2.8.3乙方应确保项目技术人员的数量和水平与响应文件一致。未经甲方书面同意，乙方不得擅自更换响应文件中注明的项目经理和技术负责人。否则</w:t>
      </w:r>
      <w:r>
        <w:rPr>
          <w:rFonts w:hint="eastAsia" w:ascii="仿宋" w:hAnsi="仿宋" w:eastAsia="仿宋" w:cs="仿宋"/>
          <w:kern w:val="0"/>
          <w:sz w:val="24"/>
          <w:highlight w:val="none"/>
        </w:rPr>
        <w:t>甲方有权放弃或终止合同。</w:t>
      </w:r>
    </w:p>
    <w:p w14:paraId="1E4EE16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 w:hAnsi="仿宋" w:eastAsia="仿宋" w:cs="仿宋"/>
          <w:sz w:val="24"/>
          <w:highlight w:val="none"/>
          <w:u w:val="single"/>
        </w:rPr>
        <w:t>30%</w:t>
      </w:r>
      <w:r>
        <w:rPr>
          <w:rFonts w:hint="eastAsia" w:ascii="仿宋" w:hAnsi="仿宋" w:eastAsia="仿宋" w:cs="仿宋"/>
          <w:sz w:val="24"/>
          <w:highlight w:val="none"/>
        </w:rPr>
        <w:t>（根据项目实际情况填写，一般为30%）。</w:t>
      </w:r>
    </w:p>
    <w:p w14:paraId="325F70CC">
      <w:pPr>
        <w:spacing w:line="360" w:lineRule="auto"/>
        <w:ind w:firstLine="482" w:firstLineChars="200"/>
        <w:rPr>
          <w:rFonts w:hint="eastAsia" w:ascii="仿宋" w:hAnsi="仿宋" w:eastAsia="仿宋" w:cs="仿宋"/>
          <w:b/>
          <w:sz w:val="24"/>
          <w:highlight w:val="none"/>
        </w:rPr>
      </w:pPr>
      <w:bookmarkStart w:id="238" w:name="_Toc17244"/>
      <w:bookmarkStart w:id="239" w:name="_Toc279701252"/>
      <w:bookmarkStart w:id="240" w:name="_Toc487900362"/>
      <w:bookmarkStart w:id="241" w:name="_Toc259093681"/>
      <w:r>
        <w:rPr>
          <w:rFonts w:hint="eastAsia" w:ascii="仿宋" w:hAnsi="仿宋" w:eastAsia="仿宋" w:cs="仿宋"/>
          <w:b/>
          <w:sz w:val="24"/>
          <w:highlight w:val="none"/>
        </w:rPr>
        <w:t>2.9 标的物的风险负担</w:t>
      </w:r>
      <w:bookmarkEnd w:id="238"/>
    </w:p>
    <w:p w14:paraId="06A5054F">
      <w:pPr>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标的物或者在途标的物或者交付给第一承运人后的标的物毁损、灭失的风险负担详见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141A6E47">
      <w:pPr>
        <w:spacing w:line="360" w:lineRule="auto"/>
        <w:ind w:firstLine="482" w:firstLineChars="200"/>
        <w:rPr>
          <w:rFonts w:hint="eastAsia" w:ascii="仿宋" w:hAnsi="仿宋" w:eastAsia="仿宋" w:cs="仿宋"/>
          <w:b/>
          <w:sz w:val="24"/>
          <w:highlight w:val="none"/>
        </w:rPr>
      </w:pPr>
      <w:bookmarkStart w:id="242" w:name="_Toc14055"/>
      <w:r>
        <w:rPr>
          <w:rFonts w:hint="eastAsia" w:ascii="仿宋" w:hAnsi="仿宋" w:eastAsia="仿宋" w:cs="仿宋"/>
          <w:b/>
          <w:sz w:val="24"/>
          <w:highlight w:val="none"/>
        </w:rPr>
        <w:t>2.10 延迟交货</w:t>
      </w:r>
      <w:bookmarkEnd w:id="239"/>
      <w:bookmarkEnd w:id="240"/>
      <w:bookmarkEnd w:id="241"/>
      <w:bookmarkEnd w:id="242"/>
      <w:r>
        <w:rPr>
          <w:rFonts w:hint="eastAsia" w:ascii="仿宋" w:hAnsi="仿宋" w:eastAsia="仿宋" w:cs="仿宋"/>
          <w:b/>
          <w:sz w:val="24"/>
          <w:highlight w:val="none"/>
        </w:rPr>
        <w:t>/交付</w:t>
      </w:r>
    </w:p>
    <w:p w14:paraId="4AD8FB8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4A6BBDF4">
      <w:pPr>
        <w:spacing w:line="360" w:lineRule="auto"/>
        <w:ind w:firstLine="482" w:firstLineChars="200"/>
        <w:rPr>
          <w:rFonts w:hint="eastAsia" w:ascii="仿宋" w:hAnsi="仿宋" w:eastAsia="仿宋" w:cs="仿宋"/>
          <w:b/>
          <w:sz w:val="24"/>
          <w:highlight w:val="none"/>
        </w:rPr>
      </w:pPr>
      <w:bookmarkStart w:id="243" w:name="_Toc7502"/>
      <w:bookmarkStart w:id="244" w:name="_Toc487900364"/>
      <w:bookmarkStart w:id="245" w:name="_Ref467378121"/>
      <w:bookmarkStart w:id="246" w:name="_Toc279701254"/>
      <w:bookmarkStart w:id="247" w:name="_Toc259093683"/>
      <w:r>
        <w:rPr>
          <w:rFonts w:hint="eastAsia" w:ascii="仿宋" w:hAnsi="仿宋" w:eastAsia="仿宋" w:cs="仿宋"/>
          <w:b/>
          <w:sz w:val="24"/>
          <w:highlight w:val="none"/>
        </w:rPr>
        <w:t>2.11 合同变更</w:t>
      </w:r>
      <w:bookmarkEnd w:id="243"/>
    </w:p>
    <w:p w14:paraId="3795F77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3574D6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2.11.2 合同继续履行将损害国家利益和社会公共利益的，双方当事人应当以书面形式变更合同。有过错的一方应当承担赔偿责任，双方当事人都有过错的，各自承担相应的责任。</w:t>
      </w:r>
      <w:bookmarkStart w:id="248" w:name="_Toc259093688"/>
      <w:bookmarkStart w:id="249" w:name="_Toc279701259"/>
      <w:bookmarkStart w:id="250" w:name="_Toc487900369"/>
    </w:p>
    <w:p w14:paraId="0B4DA8EB">
      <w:pPr>
        <w:spacing w:line="360" w:lineRule="auto"/>
        <w:ind w:firstLine="482" w:firstLineChars="200"/>
        <w:rPr>
          <w:rFonts w:hint="eastAsia" w:ascii="仿宋" w:hAnsi="仿宋" w:eastAsia="仿宋" w:cs="仿宋"/>
          <w:b/>
          <w:sz w:val="24"/>
          <w:highlight w:val="none"/>
        </w:rPr>
      </w:pPr>
      <w:bookmarkStart w:id="251" w:name="_Toc15237"/>
      <w:bookmarkStart w:id="252" w:name="_Toc10366"/>
      <w:bookmarkStart w:id="253" w:name="_Toc22955"/>
      <w:r>
        <w:rPr>
          <w:rFonts w:hint="eastAsia" w:ascii="仿宋" w:hAnsi="仿宋" w:eastAsia="仿宋" w:cs="仿宋"/>
          <w:b/>
          <w:sz w:val="24"/>
          <w:highlight w:val="none"/>
        </w:rPr>
        <w:t>2.12 合同转让</w:t>
      </w:r>
      <w:bookmarkEnd w:id="248"/>
      <w:bookmarkEnd w:id="249"/>
      <w:bookmarkEnd w:id="250"/>
      <w:r>
        <w:rPr>
          <w:rFonts w:hint="eastAsia" w:ascii="仿宋" w:hAnsi="仿宋" w:eastAsia="仿宋" w:cs="仿宋"/>
          <w:b/>
          <w:sz w:val="24"/>
          <w:highlight w:val="none"/>
        </w:rPr>
        <w:t>和分包</w:t>
      </w:r>
      <w:bookmarkEnd w:id="251"/>
      <w:bookmarkEnd w:id="252"/>
      <w:bookmarkEnd w:id="253"/>
    </w:p>
    <w:p w14:paraId="4ED8DFA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3188B48">
      <w:pPr>
        <w:spacing w:line="360" w:lineRule="auto"/>
        <w:ind w:firstLine="482" w:firstLineChars="200"/>
        <w:rPr>
          <w:rFonts w:hint="eastAsia" w:ascii="仿宋" w:hAnsi="仿宋" w:eastAsia="仿宋" w:cs="仿宋"/>
          <w:b/>
          <w:sz w:val="24"/>
          <w:highlight w:val="none"/>
        </w:rPr>
      </w:pPr>
      <w:bookmarkStart w:id="254" w:name="_Toc14066"/>
      <w:bookmarkStart w:id="255" w:name="_Toc16508"/>
      <w:bookmarkStart w:id="256" w:name="_Toc13566"/>
      <w:r>
        <w:rPr>
          <w:rFonts w:hint="eastAsia" w:ascii="仿宋" w:hAnsi="仿宋" w:eastAsia="仿宋" w:cs="仿宋"/>
          <w:b/>
          <w:sz w:val="24"/>
          <w:highlight w:val="none"/>
        </w:rPr>
        <w:t>2.13 不可抗力</w:t>
      </w:r>
      <w:bookmarkEnd w:id="254"/>
      <w:bookmarkEnd w:id="255"/>
      <w:bookmarkEnd w:id="256"/>
    </w:p>
    <w:p w14:paraId="42D71E7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2.13.1如果任何一方遭遇法律规定的不可抗力，致使合同履行受阻时，履行合同的期限应予延长，延长的期限应相当于不可抗力所影响的时间；</w:t>
      </w:r>
    </w:p>
    <w:p w14:paraId="7BC4A34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2.13.2受不可抗力影响的一方在不可抗力发生后，应在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约定时间内以书面形式通知对方当事人，并在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约定时间内，将有关部门出具的证明文件送达对方当事人。</w:t>
      </w:r>
    </w:p>
    <w:p w14:paraId="5D30E24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2.13.3 因不可抗力致使不能实现合同目的的，当事人可以解除合同；</w:t>
      </w:r>
    </w:p>
    <w:p w14:paraId="3B235BC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2.13.4 因不可抗力致使合同有变更必要的，双方当事人应在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约定时间内以书面形式变更合同；</w:t>
      </w:r>
    </w:p>
    <w:p w14:paraId="2F0A92E0">
      <w:pPr>
        <w:spacing w:line="360" w:lineRule="auto"/>
        <w:ind w:firstLine="482" w:firstLineChars="200"/>
        <w:rPr>
          <w:rFonts w:hint="eastAsia" w:ascii="仿宋" w:hAnsi="仿宋" w:eastAsia="仿宋" w:cs="仿宋"/>
          <w:b/>
          <w:sz w:val="24"/>
          <w:highlight w:val="none"/>
        </w:rPr>
      </w:pPr>
      <w:bookmarkStart w:id="257" w:name="_Toc487900365"/>
      <w:bookmarkStart w:id="258" w:name="_Toc30676"/>
      <w:bookmarkStart w:id="259" w:name="_Toc6969"/>
      <w:bookmarkStart w:id="260" w:name="_Toc259093684"/>
      <w:bookmarkStart w:id="261" w:name="_Toc279701255"/>
      <w:bookmarkStart w:id="262" w:name="_Toc689"/>
      <w:r>
        <w:rPr>
          <w:rFonts w:hint="eastAsia" w:ascii="仿宋" w:hAnsi="仿宋" w:eastAsia="仿宋" w:cs="仿宋"/>
          <w:b/>
          <w:sz w:val="24"/>
          <w:highlight w:val="none"/>
        </w:rPr>
        <w:t>2.14 税费</w:t>
      </w:r>
      <w:bookmarkEnd w:id="257"/>
      <w:bookmarkEnd w:id="258"/>
      <w:bookmarkEnd w:id="259"/>
      <w:bookmarkEnd w:id="260"/>
      <w:bookmarkEnd w:id="261"/>
      <w:bookmarkEnd w:id="262"/>
    </w:p>
    <w:p w14:paraId="1693E2C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与合同有关的一切税费，均按照中华人民共和国法律的相关规定执行。</w:t>
      </w:r>
    </w:p>
    <w:p w14:paraId="25A96AD4">
      <w:pPr>
        <w:spacing w:line="360" w:lineRule="auto"/>
        <w:ind w:firstLine="482" w:firstLineChars="200"/>
        <w:rPr>
          <w:rFonts w:hint="eastAsia" w:ascii="仿宋" w:hAnsi="仿宋" w:eastAsia="仿宋" w:cs="仿宋"/>
          <w:b/>
          <w:sz w:val="24"/>
          <w:highlight w:val="none"/>
        </w:rPr>
      </w:pPr>
      <w:bookmarkStart w:id="263" w:name="_Toc279701258"/>
      <w:bookmarkStart w:id="264" w:name="_Toc8298"/>
      <w:bookmarkStart w:id="265" w:name="_Toc16959"/>
      <w:bookmarkStart w:id="266" w:name="_Toc7102"/>
      <w:bookmarkStart w:id="267" w:name="_Toc259093687"/>
      <w:bookmarkStart w:id="268" w:name="_Toc487900368"/>
      <w:r>
        <w:rPr>
          <w:rFonts w:hint="eastAsia" w:ascii="仿宋" w:hAnsi="仿宋" w:eastAsia="仿宋" w:cs="仿宋"/>
          <w:b/>
          <w:sz w:val="24"/>
          <w:highlight w:val="none"/>
        </w:rPr>
        <w:t>2.15 乙方破产</w:t>
      </w:r>
      <w:bookmarkEnd w:id="263"/>
      <w:bookmarkEnd w:id="264"/>
      <w:bookmarkEnd w:id="265"/>
      <w:bookmarkEnd w:id="266"/>
      <w:bookmarkEnd w:id="267"/>
      <w:bookmarkEnd w:id="268"/>
    </w:p>
    <w:p w14:paraId="1762F32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0EF9283">
      <w:pPr>
        <w:spacing w:line="360" w:lineRule="auto"/>
        <w:ind w:firstLine="482" w:firstLineChars="200"/>
        <w:rPr>
          <w:rFonts w:hint="eastAsia" w:ascii="仿宋" w:hAnsi="仿宋" w:eastAsia="仿宋" w:cs="仿宋"/>
          <w:b/>
          <w:sz w:val="24"/>
          <w:highlight w:val="none"/>
        </w:rPr>
      </w:pPr>
      <w:bookmarkStart w:id="269" w:name="_Toc29333"/>
      <w:bookmarkStart w:id="270" w:name="_Toc15387"/>
      <w:bookmarkStart w:id="271" w:name="_Toc6134"/>
      <w:r>
        <w:rPr>
          <w:rFonts w:hint="eastAsia" w:ascii="仿宋" w:hAnsi="仿宋" w:eastAsia="仿宋" w:cs="仿宋"/>
          <w:b/>
          <w:sz w:val="24"/>
          <w:highlight w:val="none"/>
        </w:rPr>
        <w:t>2.16 合同中止、终止</w:t>
      </w:r>
      <w:bookmarkEnd w:id="269"/>
      <w:bookmarkEnd w:id="270"/>
      <w:bookmarkEnd w:id="271"/>
    </w:p>
    <w:p w14:paraId="698B63F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2.16.1 双方当事人不得擅自中止或者终止合同；</w:t>
      </w:r>
    </w:p>
    <w:p w14:paraId="7C2F3AB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2.16.2合同继续履行将损害国家利益和社会公共利益的，双方当事人应当中止或者终止合同。有过错的一方应当承担赔偿责任，双方当事人都有过错的，各自承担相应的责任。</w:t>
      </w:r>
    </w:p>
    <w:p w14:paraId="35960F30">
      <w:pPr>
        <w:spacing w:line="360" w:lineRule="auto"/>
        <w:ind w:firstLine="482" w:firstLineChars="200"/>
        <w:rPr>
          <w:rFonts w:hint="eastAsia" w:ascii="仿宋" w:hAnsi="仿宋" w:eastAsia="仿宋" w:cs="仿宋"/>
          <w:b/>
          <w:sz w:val="24"/>
          <w:highlight w:val="none"/>
        </w:rPr>
      </w:pPr>
      <w:bookmarkStart w:id="272" w:name="_Toc6596"/>
      <w:bookmarkStart w:id="273" w:name="_Toc1125"/>
      <w:bookmarkStart w:id="274" w:name="_Toc14563"/>
      <w:r>
        <w:rPr>
          <w:rFonts w:hint="eastAsia" w:ascii="仿宋" w:hAnsi="仿宋" w:eastAsia="仿宋" w:cs="仿宋"/>
          <w:b/>
          <w:sz w:val="24"/>
          <w:highlight w:val="none"/>
        </w:rPr>
        <w:t>2.17 检验和验收</w:t>
      </w:r>
      <w:bookmarkEnd w:id="272"/>
      <w:bookmarkEnd w:id="273"/>
      <w:bookmarkEnd w:id="274"/>
    </w:p>
    <w:p w14:paraId="6AC9457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2.17.1标的物交付前，乙方应对标的物的质量、数量等方面进行详细、全面的检验，并向甲方出具证明标的物符合合同约定的文件；标的物交付时，乙方在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约定时间内组织验收，并可依法邀请相关方参加，验收应出具验收书。</w:t>
      </w:r>
    </w:p>
    <w:p w14:paraId="7CA2F51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918219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2.17.3 检验和验收标准、程序等具体内容以及前述验收书的效力详见</w:t>
      </w:r>
      <w:r>
        <w:rPr>
          <w:rFonts w:hint="eastAsia" w:ascii="仿宋" w:hAnsi="仿宋" w:eastAsia="仿宋" w:cs="仿宋"/>
          <w:b/>
          <w:i/>
          <w:sz w:val="24"/>
          <w:highlight w:val="none"/>
          <w:u w:val="single"/>
        </w:rPr>
        <w:t>合同专用条款</w:t>
      </w:r>
      <w:r>
        <w:rPr>
          <w:rFonts w:hint="eastAsia" w:ascii="仿宋" w:hAnsi="仿宋" w:eastAsia="仿宋" w:cs="仿宋"/>
          <w:i/>
          <w:sz w:val="24"/>
          <w:highlight w:val="none"/>
        </w:rPr>
        <w:t>。</w:t>
      </w:r>
    </w:p>
    <w:bookmarkEnd w:id="244"/>
    <w:bookmarkEnd w:id="245"/>
    <w:bookmarkEnd w:id="246"/>
    <w:bookmarkEnd w:id="247"/>
    <w:p w14:paraId="50CE31EA">
      <w:pPr>
        <w:spacing w:line="360" w:lineRule="auto"/>
        <w:ind w:firstLine="482" w:firstLineChars="200"/>
        <w:rPr>
          <w:rFonts w:hint="eastAsia" w:ascii="仿宋" w:hAnsi="仿宋" w:eastAsia="仿宋" w:cs="仿宋"/>
          <w:b/>
          <w:sz w:val="24"/>
          <w:highlight w:val="none"/>
        </w:rPr>
      </w:pPr>
      <w:bookmarkStart w:id="275" w:name="_Toc487900371"/>
      <w:bookmarkStart w:id="276" w:name="_Toc259093690"/>
      <w:bookmarkStart w:id="277" w:name="_Toc279701261"/>
      <w:bookmarkStart w:id="278" w:name="_Toc19604"/>
      <w:bookmarkStart w:id="279" w:name="_Toc25182"/>
      <w:bookmarkStart w:id="280" w:name="_Toc11284"/>
      <w:r>
        <w:rPr>
          <w:rFonts w:hint="eastAsia" w:ascii="仿宋" w:hAnsi="仿宋" w:eastAsia="仿宋" w:cs="仿宋"/>
          <w:b/>
          <w:sz w:val="24"/>
          <w:highlight w:val="none"/>
        </w:rPr>
        <w:t>2.18 通知</w:t>
      </w:r>
      <w:bookmarkEnd w:id="275"/>
      <w:bookmarkEnd w:id="276"/>
      <w:bookmarkEnd w:id="277"/>
      <w:r>
        <w:rPr>
          <w:rFonts w:hint="eastAsia" w:ascii="仿宋" w:hAnsi="仿宋" w:eastAsia="仿宋" w:cs="仿宋"/>
          <w:b/>
          <w:sz w:val="24"/>
          <w:highlight w:val="none"/>
        </w:rPr>
        <w:t>和送达</w:t>
      </w:r>
      <w:bookmarkEnd w:id="278"/>
      <w:bookmarkEnd w:id="279"/>
      <w:bookmarkEnd w:id="280"/>
    </w:p>
    <w:p w14:paraId="2B831949">
      <w:pPr>
        <w:spacing w:line="360" w:lineRule="auto"/>
        <w:ind w:firstLine="480" w:firstLineChars="200"/>
        <w:rPr>
          <w:rFonts w:hint="eastAsia" w:ascii="仿宋" w:hAnsi="仿宋" w:eastAsia="仿宋" w:cs="仿宋"/>
          <w:sz w:val="24"/>
          <w:highlight w:val="none"/>
        </w:rPr>
      </w:pPr>
      <w:bookmarkStart w:id="281" w:name="_Toc6698"/>
      <w:bookmarkStart w:id="282" w:name="_Toc3135"/>
      <w:bookmarkStart w:id="283" w:name="_Toc279701262"/>
      <w:bookmarkStart w:id="284" w:name="_Toc259093691"/>
      <w:bookmarkStart w:id="285" w:name="_Toc487900372"/>
      <w:r>
        <w:rPr>
          <w:rFonts w:hint="eastAsia" w:ascii="仿宋" w:hAnsi="仿宋" w:eastAsia="仿宋" w:cs="仿宋"/>
          <w:sz w:val="24"/>
          <w:highlight w:val="none"/>
        </w:rPr>
        <w:t>2.18.1 任何一方因履行合同而以合同第一部分尾部所列明的</w:t>
      </w:r>
      <w:r>
        <w:rPr>
          <w:rFonts w:hint="eastAsia" w:ascii="仿宋" w:hAnsi="仿宋" w:eastAsia="仿宋" w:cs="仿宋"/>
          <w:sz w:val="24"/>
          <w:highlight w:val="none"/>
          <w:u w:val="single"/>
        </w:rPr>
        <w:t>“约定送达地址”</w:t>
      </w:r>
      <w:r>
        <w:rPr>
          <w:rFonts w:hint="eastAsia" w:ascii="仿宋" w:hAnsi="仿宋" w:eastAsia="仿宋" w:cs="仿宋"/>
          <w:sz w:val="24"/>
          <w:highlight w:val="none"/>
        </w:rPr>
        <w:t>为收件地址的所有通知、文件、材料，均视为已向对方当事人送达；任何一方变更上述送达方式或者地址的，应于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个工作日内（根据项目实际填写）书面通知对方当事人，在对方当事人收到有关变更通知之前，变更前的约定送达方式或者地址仍视为有效。</w:t>
      </w:r>
      <w:bookmarkEnd w:id="281"/>
      <w:bookmarkEnd w:id="282"/>
    </w:p>
    <w:p w14:paraId="5434B5F5">
      <w:pPr>
        <w:spacing w:line="360" w:lineRule="auto"/>
        <w:ind w:firstLine="480" w:firstLineChars="200"/>
        <w:rPr>
          <w:rFonts w:hint="eastAsia" w:ascii="仿宋" w:hAnsi="仿宋" w:eastAsia="仿宋" w:cs="仿宋"/>
          <w:sz w:val="24"/>
          <w:highlight w:val="none"/>
        </w:rPr>
      </w:pPr>
      <w:bookmarkStart w:id="286" w:name="_Toc23128"/>
      <w:bookmarkStart w:id="287" w:name="_Toc23294"/>
      <w:r>
        <w:rPr>
          <w:rFonts w:hint="eastAsia" w:ascii="仿宋" w:hAnsi="仿宋" w:eastAsia="仿宋" w:cs="仿宋"/>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86"/>
      <w:bookmarkEnd w:id="287"/>
    </w:p>
    <w:p w14:paraId="45ACC5E8">
      <w:pPr>
        <w:spacing w:line="360" w:lineRule="auto"/>
        <w:ind w:firstLine="482" w:firstLineChars="200"/>
        <w:rPr>
          <w:rFonts w:hint="eastAsia" w:ascii="仿宋" w:hAnsi="仿宋" w:eastAsia="仿宋" w:cs="仿宋"/>
          <w:b/>
          <w:sz w:val="24"/>
          <w:highlight w:val="none"/>
        </w:rPr>
      </w:pPr>
      <w:bookmarkStart w:id="288" w:name="_Toc18540"/>
      <w:bookmarkStart w:id="289" w:name="_Toc4355"/>
      <w:bookmarkStart w:id="290" w:name="_Toc30599"/>
      <w:r>
        <w:rPr>
          <w:rFonts w:hint="eastAsia" w:ascii="仿宋" w:hAnsi="仿宋" w:eastAsia="仿宋" w:cs="仿宋"/>
          <w:b/>
          <w:sz w:val="24"/>
          <w:highlight w:val="none"/>
        </w:rPr>
        <w:t>2.19 计量单位</w:t>
      </w:r>
      <w:bookmarkEnd w:id="283"/>
      <w:bookmarkEnd w:id="284"/>
      <w:bookmarkEnd w:id="285"/>
      <w:bookmarkEnd w:id="288"/>
      <w:bookmarkEnd w:id="289"/>
      <w:bookmarkEnd w:id="290"/>
    </w:p>
    <w:p w14:paraId="13F6C91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除技术规范中另有规定外,合同的计量单位均使用国家法定计量单位。</w:t>
      </w:r>
    </w:p>
    <w:p w14:paraId="5ABAC3F4">
      <w:pPr>
        <w:spacing w:line="360" w:lineRule="auto"/>
        <w:ind w:firstLine="482" w:firstLineChars="200"/>
        <w:rPr>
          <w:rFonts w:hint="eastAsia" w:ascii="仿宋" w:hAnsi="仿宋" w:eastAsia="仿宋" w:cs="仿宋"/>
          <w:b/>
          <w:sz w:val="24"/>
          <w:highlight w:val="none"/>
        </w:rPr>
      </w:pPr>
      <w:bookmarkStart w:id="291" w:name="_Toc259093692"/>
      <w:bookmarkStart w:id="292" w:name="_Toc18567"/>
      <w:bookmarkStart w:id="293" w:name="_Toc279701263"/>
      <w:bookmarkStart w:id="294" w:name="_Toc487900373"/>
      <w:bookmarkStart w:id="295" w:name="_Toc12773"/>
      <w:bookmarkStart w:id="296" w:name="_Toc10330"/>
      <w:r>
        <w:rPr>
          <w:rFonts w:hint="eastAsia" w:ascii="仿宋" w:hAnsi="仿宋" w:eastAsia="仿宋" w:cs="仿宋"/>
          <w:b/>
          <w:sz w:val="24"/>
          <w:highlight w:val="none"/>
        </w:rPr>
        <w:t>2.20 合同使用的文字和适用的法律</w:t>
      </w:r>
      <w:bookmarkEnd w:id="291"/>
      <w:bookmarkEnd w:id="292"/>
      <w:bookmarkEnd w:id="293"/>
      <w:bookmarkEnd w:id="294"/>
      <w:bookmarkEnd w:id="295"/>
      <w:bookmarkEnd w:id="296"/>
    </w:p>
    <w:p w14:paraId="76CA571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2.20.1 合同使用汉语书就、变更和解释；</w:t>
      </w:r>
    </w:p>
    <w:p w14:paraId="61A5EC7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2.20.2 合同适用中华人民共和国法律。</w:t>
      </w:r>
    </w:p>
    <w:p w14:paraId="000FB9C7">
      <w:pPr>
        <w:spacing w:line="360" w:lineRule="auto"/>
        <w:ind w:firstLine="482" w:firstLineChars="200"/>
        <w:rPr>
          <w:rFonts w:hint="eastAsia" w:ascii="仿宋" w:hAnsi="仿宋" w:eastAsia="仿宋" w:cs="仿宋"/>
          <w:b/>
          <w:sz w:val="24"/>
          <w:highlight w:val="none"/>
        </w:rPr>
      </w:pPr>
      <w:bookmarkStart w:id="297" w:name="_Toc12004"/>
      <w:bookmarkStart w:id="298" w:name="_Toc3148"/>
      <w:bookmarkStart w:id="299" w:name="_Toc259093693"/>
      <w:bookmarkStart w:id="300" w:name="_Toc16673"/>
      <w:bookmarkStart w:id="301" w:name="_Toc279701264"/>
      <w:bookmarkStart w:id="302" w:name="_Toc487900374"/>
      <w:r>
        <w:rPr>
          <w:rFonts w:hint="eastAsia" w:ascii="仿宋" w:hAnsi="仿宋" w:eastAsia="仿宋" w:cs="仿宋"/>
          <w:b/>
          <w:sz w:val="24"/>
          <w:highlight w:val="none"/>
        </w:rPr>
        <w:t>2.21 履约保证金</w:t>
      </w:r>
      <w:bookmarkEnd w:id="297"/>
      <w:bookmarkEnd w:id="298"/>
      <w:bookmarkEnd w:id="299"/>
      <w:bookmarkEnd w:id="300"/>
      <w:bookmarkEnd w:id="301"/>
    </w:p>
    <w:p w14:paraId="06F7BCD4">
      <w:pPr>
        <w:spacing w:line="360" w:lineRule="auto"/>
        <w:ind w:firstLine="480" w:firstLineChars="200"/>
        <w:rPr>
          <w:rFonts w:hint="eastAsia" w:ascii="仿宋" w:hAnsi="仿宋" w:eastAsia="仿宋" w:cs="仿宋"/>
          <w:snapToGrid w:val="0"/>
          <w:kern w:val="0"/>
          <w:sz w:val="24"/>
          <w:highlight w:val="none"/>
        </w:rPr>
      </w:pPr>
      <w:r>
        <w:rPr>
          <w:rFonts w:hint="eastAsia" w:ascii="仿宋" w:hAnsi="仿宋" w:eastAsia="仿宋" w:cs="仿宋"/>
          <w:sz w:val="24"/>
          <w:highlight w:val="none"/>
        </w:rPr>
        <w:t>本项目不收取履约保证金</w:t>
      </w:r>
    </w:p>
    <w:p w14:paraId="128C02A9">
      <w:pPr>
        <w:spacing w:line="360" w:lineRule="auto"/>
        <w:ind w:firstLine="482" w:firstLineChars="200"/>
        <w:rPr>
          <w:rFonts w:hint="eastAsia" w:ascii="仿宋" w:hAnsi="仿宋" w:eastAsia="仿宋" w:cs="仿宋"/>
          <w:kern w:val="0"/>
          <w:sz w:val="24"/>
          <w:highlight w:val="none"/>
          <w:lang w:val="zh-CN"/>
        </w:rPr>
      </w:pPr>
      <w:r>
        <w:rPr>
          <w:rFonts w:hint="eastAsia" w:ascii="仿宋" w:hAnsi="仿宋" w:eastAsia="仿宋" w:cs="仿宋"/>
          <w:b/>
          <w:sz w:val="24"/>
          <w:highlight w:val="none"/>
        </w:rPr>
        <w:t>2.22 中小企业政策</w:t>
      </w:r>
    </w:p>
    <w:p w14:paraId="1741AB1D">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2.22.1本合同（□是  □否）为中小企业“政采贷”可融资合同，关于中小企业信用融资事项见采购文件“供应商须知正文”。</w:t>
      </w:r>
    </w:p>
    <w:p w14:paraId="590A1173">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2.22.2本合同（□是  □否）为中小企业预留合同。</w:t>
      </w:r>
    </w:p>
    <w:bookmarkEnd w:id="302"/>
    <w:p w14:paraId="696FD1E9">
      <w:pPr>
        <w:spacing w:line="360" w:lineRule="auto"/>
        <w:ind w:firstLine="482" w:firstLineChars="200"/>
        <w:rPr>
          <w:rFonts w:hint="eastAsia" w:ascii="仿宋" w:hAnsi="仿宋" w:eastAsia="仿宋" w:cs="仿宋"/>
          <w:b/>
          <w:sz w:val="24"/>
          <w:highlight w:val="none"/>
        </w:rPr>
      </w:pPr>
      <w:bookmarkStart w:id="303" w:name="_Toc19890"/>
      <w:bookmarkStart w:id="304" w:name="_Toc14001"/>
      <w:bookmarkStart w:id="305" w:name="_Toc6885"/>
      <w:r>
        <w:rPr>
          <w:rFonts w:hint="eastAsia" w:ascii="仿宋" w:hAnsi="仿宋" w:eastAsia="仿宋" w:cs="仿宋"/>
          <w:b/>
          <w:sz w:val="24"/>
          <w:highlight w:val="none"/>
        </w:rPr>
        <w:t>2.23 合同份数</w:t>
      </w:r>
      <w:bookmarkEnd w:id="303"/>
      <w:bookmarkEnd w:id="304"/>
      <w:bookmarkEnd w:id="305"/>
    </w:p>
    <w:p w14:paraId="788F79F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份，甲方执</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份，乙方执</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份。每份均具有同等法律效力。</w:t>
      </w:r>
    </w:p>
    <w:p w14:paraId="16C2C787">
      <w:pPr>
        <w:pStyle w:val="84"/>
        <w:jc w:val="center"/>
        <w:outlineLvl w:val="1"/>
        <w:rPr>
          <w:rFonts w:hint="eastAsia" w:ascii="仿宋" w:hAnsi="仿宋" w:eastAsia="仿宋" w:cs="仿宋"/>
          <w:b/>
          <w:sz w:val="28"/>
          <w:szCs w:val="28"/>
          <w:highlight w:val="none"/>
        </w:rPr>
      </w:pPr>
      <w:r>
        <w:rPr>
          <w:rFonts w:hint="eastAsia" w:ascii="仿宋" w:hAnsi="仿宋" w:eastAsia="仿宋" w:cs="仿宋"/>
          <w:highlight w:val="none"/>
        </w:rPr>
        <w:br w:type="page"/>
      </w:r>
      <w:bookmarkStart w:id="306" w:name="_Toc331685784"/>
      <w:bookmarkStart w:id="307" w:name="_Toc11028"/>
      <w:bookmarkStart w:id="308" w:name="_Toc80205946"/>
      <w:bookmarkStart w:id="309" w:name="_Toc10247"/>
      <w:r>
        <w:rPr>
          <w:rFonts w:hint="eastAsia" w:ascii="仿宋" w:hAnsi="仿宋" w:eastAsia="仿宋" w:cs="仿宋"/>
          <w:b/>
          <w:sz w:val="28"/>
          <w:szCs w:val="28"/>
          <w:highlight w:val="none"/>
        </w:rPr>
        <w:t>第三部分  合同专用条款</w:t>
      </w:r>
      <w:bookmarkEnd w:id="306"/>
      <w:bookmarkEnd w:id="307"/>
      <w:bookmarkEnd w:id="308"/>
      <w:bookmarkEnd w:id="309"/>
    </w:p>
    <w:p w14:paraId="69B6394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1E8BF52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3.1具有知识产权的标的物知识产权归属：</w:t>
      </w:r>
      <w:r>
        <w:rPr>
          <w:rFonts w:hint="eastAsia" w:ascii="仿宋" w:hAnsi="仿宋" w:eastAsia="仿宋" w:cs="仿宋"/>
          <w:kern w:val="0"/>
          <w:sz w:val="24"/>
          <w:highlight w:val="none"/>
          <w:u w:val="single"/>
        </w:rPr>
        <w:t xml:space="preserve">                                        </w:t>
      </w:r>
    </w:p>
    <w:p w14:paraId="375F6B3A">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3.2包装和装运专用条款（如果有）：</w:t>
      </w:r>
      <w:r>
        <w:rPr>
          <w:rFonts w:hint="eastAsia" w:ascii="仿宋" w:hAnsi="仿宋" w:eastAsia="仿宋" w:cs="仿宋"/>
          <w:kern w:val="0"/>
          <w:sz w:val="24"/>
          <w:highlight w:val="none"/>
          <w:u w:val="single"/>
        </w:rPr>
        <w:t xml:space="preserve">                                        </w:t>
      </w:r>
    </w:p>
    <w:p w14:paraId="39795184">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3.3装运标的物的要求和通知：</w:t>
      </w:r>
      <w:r>
        <w:rPr>
          <w:rFonts w:hint="eastAsia" w:ascii="仿宋" w:hAnsi="仿宋" w:eastAsia="仿宋" w:cs="仿宋"/>
          <w:kern w:val="0"/>
          <w:sz w:val="24"/>
          <w:highlight w:val="none"/>
          <w:u w:val="single"/>
        </w:rPr>
        <w:t xml:space="preserve">                                        </w:t>
      </w:r>
    </w:p>
    <w:p w14:paraId="2CA5CF7C">
      <w:pPr>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3.4</w:t>
      </w:r>
      <w:r>
        <w:rPr>
          <w:rFonts w:hint="eastAsia" w:ascii="仿宋" w:hAnsi="仿宋" w:eastAsia="仿宋" w:cs="仿宋"/>
          <w:b/>
          <w:sz w:val="24"/>
          <w:highlight w:val="none"/>
        </w:rPr>
        <w:t>结算方式和付款条件</w:t>
      </w:r>
    </w:p>
    <w:p w14:paraId="065607A6">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本次项目合同总价为大写人民币</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kern w:val="0"/>
          <w:sz w:val="24"/>
          <w:highlight w:val="none"/>
          <w:lang w:val="zh-CN"/>
        </w:rPr>
        <w:t>元）。本项目采用以下勾选结算方式进行支付：</w:t>
      </w:r>
    </w:p>
    <w:p w14:paraId="69C655E8">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□采用一次性支付方式，付款条件为：</w:t>
      </w:r>
      <w:r>
        <w:rPr>
          <w:rFonts w:hint="eastAsia" w:ascii="仿宋" w:hAnsi="仿宋" w:eastAsia="仿宋" w:cs="仿宋"/>
          <w:kern w:val="0"/>
          <w:sz w:val="24"/>
          <w:highlight w:val="none"/>
          <w:u w:val="single"/>
        </w:rPr>
        <w:t xml:space="preserve">           </w:t>
      </w:r>
    </w:p>
    <w:p w14:paraId="53D4571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□采用分期付款方式，付款条件为</w:t>
      </w:r>
      <w:r>
        <w:rPr>
          <w:rFonts w:hint="eastAsia" w:ascii="仿宋" w:hAnsi="仿宋" w:eastAsia="仿宋" w:cs="仿宋"/>
          <w:kern w:val="0"/>
          <w:sz w:val="24"/>
          <w:highlight w:val="none"/>
        </w:rPr>
        <w:t>：</w:t>
      </w:r>
    </w:p>
    <w:p w14:paraId="11D91518">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第一期付款</w:t>
      </w:r>
      <w:r>
        <w:rPr>
          <w:rFonts w:hint="eastAsia" w:ascii="仿宋" w:hAnsi="仿宋" w:eastAsia="仿宋" w:cs="仿宋"/>
          <w:kern w:val="0"/>
          <w:sz w:val="24"/>
          <w:highlight w:val="none"/>
        </w:rPr>
        <w:t>：</w:t>
      </w:r>
      <w:r>
        <w:rPr>
          <w:rFonts w:hint="eastAsia" w:ascii="仿宋" w:hAnsi="仿宋" w:eastAsia="仿宋" w:cs="仿宋"/>
          <w:kern w:val="0"/>
          <w:sz w:val="24"/>
          <w:highlight w:val="none"/>
          <w:u w:val="single"/>
        </w:rPr>
        <w:t xml:space="preserve">                                        </w:t>
      </w:r>
    </w:p>
    <w:p w14:paraId="5DBA0EB5">
      <w:pPr>
        <w:spacing w:line="360" w:lineRule="auto"/>
        <w:ind w:firstLine="480" w:firstLineChars="200"/>
        <w:rPr>
          <w:rFonts w:hint="eastAsia" w:ascii="仿宋" w:hAnsi="仿宋" w:eastAsia="仿宋" w:cs="仿宋"/>
          <w:kern w:val="0"/>
          <w:sz w:val="24"/>
          <w:highlight w:val="none"/>
          <w:u w:val="single"/>
        </w:rPr>
      </w:pPr>
      <w:r>
        <w:rPr>
          <w:rFonts w:hint="eastAsia" w:ascii="仿宋" w:hAnsi="仿宋" w:eastAsia="仿宋" w:cs="仿宋"/>
          <w:kern w:val="0"/>
          <w:sz w:val="24"/>
          <w:highlight w:val="none"/>
          <w:lang w:val="zh-CN"/>
        </w:rPr>
        <w:t>第</w:t>
      </w:r>
      <w:r>
        <w:rPr>
          <w:rFonts w:hint="eastAsia" w:ascii="仿宋" w:hAnsi="仿宋" w:eastAsia="仿宋" w:cs="仿宋"/>
          <w:kern w:val="0"/>
          <w:sz w:val="24"/>
          <w:highlight w:val="none"/>
        </w:rPr>
        <w:t>二</w:t>
      </w:r>
      <w:r>
        <w:rPr>
          <w:rFonts w:hint="eastAsia" w:ascii="仿宋" w:hAnsi="仿宋" w:eastAsia="仿宋" w:cs="仿宋"/>
          <w:kern w:val="0"/>
          <w:sz w:val="24"/>
          <w:highlight w:val="none"/>
          <w:lang w:val="zh-CN"/>
        </w:rPr>
        <w:t>期付款</w:t>
      </w:r>
      <w:r>
        <w:rPr>
          <w:rFonts w:hint="eastAsia" w:ascii="仿宋" w:hAnsi="仿宋" w:eastAsia="仿宋" w:cs="仿宋"/>
          <w:kern w:val="0"/>
          <w:sz w:val="24"/>
          <w:highlight w:val="none"/>
        </w:rPr>
        <w:t>：</w:t>
      </w:r>
      <w:r>
        <w:rPr>
          <w:rFonts w:hint="eastAsia" w:ascii="仿宋" w:hAnsi="仿宋" w:eastAsia="仿宋" w:cs="仿宋"/>
          <w:kern w:val="0"/>
          <w:sz w:val="24"/>
          <w:highlight w:val="none"/>
          <w:u w:val="single"/>
        </w:rPr>
        <w:t xml:space="preserve">                                        </w:t>
      </w:r>
    </w:p>
    <w:p w14:paraId="4C7D9D4F">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7B1ED60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甲方无故逾期支付服务费用的，按照每逾期一日支付欠付服务费额度的</w:t>
      </w:r>
      <w:r>
        <w:rPr>
          <w:rFonts w:hint="eastAsia" w:ascii="仿宋" w:hAnsi="仿宋" w:eastAsia="仿宋" w:cs="仿宋"/>
          <w:sz w:val="24"/>
          <w:highlight w:val="none"/>
          <w:u w:val="single"/>
        </w:rPr>
        <w:t>万分之五</w:t>
      </w:r>
      <w:r>
        <w:rPr>
          <w:rFonts w:hint="eastAsia" w:ascii="仿宋" w:hAnsi="仿宋" w:eastAsia="仿宋" w:cs="仿宋"/>
          <w:sz w:val="24"/>
          <w:highlight w:val="none"/>
        </w:rPr>
        <w:t>（根据项目实际填写，一般为万分之五）承担违约责任，违约金上限按照《合同书》约定执行。</w:t>
      </w:r>
    </w:p>
    <w:p w14:paraId="4DC1175B">
      <w:pPr>
        <w:spacing w:line="360"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rPr>
        <w:t>（温馨提示：根据《广西壮族自治区财政厅关于持续优化政府采购营商环境推动高质量发展的通知》（桂财采〔2024〕55号）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政府采购预付款应当在合同、担保措施生效及具备实施条件后10个工作日内支付。）</w:t>
      </w:r>
    </w:p>
    <w:p w14:paraId="62CDD34B">
      <w:pPr>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3.5</w:t>
      </w:r>
      <w:r>
        <w:rPr>
          <w:rFonts w:hint="eastAsia" w:ascii="仿宋" w:hAnsi="仿宋" w:eastAsia="仿宋" w:cs="仿宋"/>
          <w:b/>
          <w:sz w:val="24"/>
          <w:highlight w:val="none"/>
        </w:rPr>
        <w:t>标的物的风险负担</w:t>
      </w:r>
    </w:p>
    <w:p w14:paraId="5AA2AEE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标的物或者在途标的物或者交付给第一承运人后的标的物毁损、灭失的风险负担：</w:t>
      </w:r>
    </w:p>
    <w:p w14:paraId="3FEAFFFE">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u w:val="single"/>
        </w:rPr>
        <w:t xml:space="preserve">乙方                                                                       </w:t>
      </w:r>
    </w:p>
    <w:p w14:paraId="3C3FBBC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3.5.1受不可抗力影响的一方在不可抗力发生后，应在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日内（根据项目实际填写）以书面形式通知对方当事人，并在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日内（根据项目实际填写），将有关部门出具的证明文件送达对方当事人。</w:t>
      </w:r>
    </w:p>
    <w:p w14:paraId="53C6FD8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3.5.2因不可抗力致使合同有变更必要的，双方当事人应在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日内（根据项目实际填写）以书面形式变更合同；</w:t>
      </w:r>
    </w:p>
    <w:p w14:paraId="3EAE304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3.5.3标的物交付前，乙方应对标的物的质量、数量等方面进行详细、全面的检验，并向甲方出具证明标的物符合合同约定的文件；标的物交付时，乙方在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日内（根据项目实际填写）发起验收，并可依法邀请相关方参加，验收应出具验收书。</w:t>
      </w:r>
    </w:p>
    <w:p w14:paraId="5B9FD007">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3.5.4检验和验收标准、程序等具体内容以及前述验收书的效力：</w:t>
      </w:r>
      <w:r>
        <w:rPr>
          <w:rFonts w:hint="eastAsia" w:ascii="仿宋" w:hAnsi="仿宋" w:eastAsia="仿宋" w:cs="仿宋"/>
          <w:sz w:val="24"/>
          <w:highlight w:val="none"/>
          <w:u w:val="single"/>
        </w:rPr>
        <w:t xml:space="preserve">              </w:t>
      </w:r>
    </w:p>
    <w:p w14:paraId="720F067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3.5.5 其他：</w:t>
      </w:r>
      <w:r>
        <w:rPr>
          <w:rFonts w:hint="eastAsia" w:ascii="仿宋" w:hAnsi="仿宋" w:eastAsia="仿宋" w:cs="仿宋"/>
          <w:sz w:val="24"/>
          <w:highlight w:val="none"/>
          <w:u w:val="single"/>
        </w:rPr>
        <w:t xml:space="preserve">                    </w:t>
      </w:r>
    </w:p>
    <w:p w14:paraId="19C382DD">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3.6项目验收：</w:t>
      </w:r>
    </w:p>
    <w:p w14:paraId="5BCDAD1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6432E5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8D4F2D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72A3CBD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3.6.4验收产生的费用首次验收费用由甲方承担，如首次验收不合格，后续验收费用由乙方支付。</w:t>
      </w:r>
    </w:p>
    <w:p w14:paraId="015FE83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3.6.5验收内容及资料要求：</w:t>
      </w:r>
    </w:p>
    <w:p w14:paraId="24423BB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根根据采购文件确定的技术指标或者服务要求确定验收指标和标准。未进行相应约定的，应当符合国家强制性规定、政策要求、安全标准、行业或企业有关标准等。</w:t>
      </w:r>
    </w:p>
    <w:p w14:paraId="27F4288B">
      <w:pPr>
        <w:tabs>
          <w:tab w:val="left" w:pos="904"/>
        </w:tabs>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3.6.4验收内容</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257"/>
        <w:gridCol w:w="4587"/>
      </w:tblGrid>
      <w:tr w14:paraId="12EA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4DCC03D0">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序号</w:t>
            </w:r>
          </w:p>
        </w:tc>
        <w:tc>
          <w:tcPr>
            <w:tcW w:w="3257" w:type="dxa"/>
            <w:tcBorders>
              <w:top w:val="single" w:color="auto" w:sz="4" w:space="0"/>
              <w:left w:val="single" w:color="auto" w:sz="4" w:space="0"/>
              <w:bottom w:val="single" w:color="auto" w:sz="4" w:space="0"/>
              <w:right w:val="single" w:color="auto" w:sz="4" w:space="0"/>
            </w:tcBorders>
            <w:vAlign w:val="center"/>
          </w:tcPr>
          <w:p w14:paraId="725BFE17">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验收内容</w:t>
            </w:r>
          </w:p>
        </w:tc>
        <w:tc>
          <w:tcPr>
            <w:tcW w:w="4587" w:type="dxa"/>
            <w:tcBorders>
              <w:top w:val="single" w:color="auto" w:sz="4" w:space="0"/>
              <w:left w:val="single" w:color="auto" w:sz="4" w:space="0"/>
              <w:bottom w:val="single" w:color="auto" w:sz="4" w:space="0"/>
              <w:right w:val="single" w:color="auto" w:sz="4" w:space="0"/>
            </w:tcBorders>
            <w:vAlign w:val="center"/>
          </w:tcPr>
          <w:p w14:paraId="417EC5E9">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验收标准</w:t>
            </w:r>
          </w:p>
        </w:tc>
      </w:tr>
      <w:tr w14:paraId="4C17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63605024">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1</w:t>
            </w:r>
          </w:p>
        </w:tc>
        <w:tc>
          <w:tcPr>
            <w:tcW w:w="3257" w:type="dxa"/>
            <w:tcBorders>
              <w:top w:val="single" w:color="auto" w:sz="4" w:space="0"/>
              <w:left w:val="single" w:color="auto" w:sz="4" w:space="0"/>
              <w:bottom w:val="single" w:color="auto" w:sz="4" w:space="0"/>
              <w:right w:val="single" w:color="auto" w:sz="4" w:space="0"/>
            </w:tcBorders>
            <w:vAlign w:val="center"/>
          </w:tcPr>
          <w:p w14:paraId="1347FCC1">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交付标的物数量</w:t>
            </w:r>
          </w:p>
        </w:tc>
        <w:tc>
          <w:tcPr>
            <w:tcW w:w="4587" w:type="dxa"/>
            <w:tcBorders>
              <w:top w:val="single" w:color="auto" w:sz="4" w:space="0"/>
              <w:left w:val="single" w:color="auto" w:sz="4" w:space="0"/>
              <w:bottom w:val="single" w:color="auto" w:sz="4" w:space="0"/>
              <w:right w:val="single" w:color="auto" w:sz="4" w:space="0"/>
            </w:tcBorders>
            <w:vAlign w:val="center"/>
          </w:tcPr>
          <w:p w14:paraId="78D862C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highlight w:val="none"/>
              </w:rPr>
            </w:pPr>
          </w:p>
        </w:tc>
      </w:tr>
      <w:tr w14:paraId="5747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29A51947">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2</w:t>
            </w:r>
          </w:p>
        </w:tc>
        <w:tc>
          <w:tcPr>
            <w:tcW w:w="3257" w:type="dxa"/>
            <w:tcBorders>
              <w:top w:val="single" w:color="auto" w:sz="4" w:space="0"/>
              <w:left w:val="single" w:color="auto" w:sz="4" w:space="0"/>
              <w:bottom w:val="single" w:color="auto" w:sz="4" w:space="0"/>
              <w:right w:val="single" w:color="auto" w:sz="4" w:space="0"/>
            </w:tcBorders>
            <w:vAlign w:val="center"/>
          </w:tcPr>
          <w:p w14:paraId="3C429919">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交付标的物的质量文件</w:t>
            </w:r>
          </w:p>
        </w:tc>
        <w:tc>
          <w:tcPr>
            <w:tcW w:w="4587" w:type="dxa"/>
            <w:tcBorders>
              <w:top w:val="single" w:color="auto" w:sz="4" w:space="0"/>
              <w:left w:val="single" w:color="auto" w:sz="4" w:space="0"/>
              <w:bottom w:val="single" w:color="auto" w:sz="4" w:space="0"/>
              <w:right w:val="single" w:color="auto" w:sz="4" w:space="0"/>
            </w:tcBorders>
            <w:vAlign w:val="center"/>
          </w:tcPr>
          <w:p w14:paraId="339C4AD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highlight w:val="none"/>
              </w:rPr>
            </w:pPr>
          </w:p>
        </w:tc>
      </w:tr>
      <w:tr w14:paraId="17E9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7D097DE5">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4</w:t>
            </w:r>
          </w:p>
        </w:tc>
        <w:tc>
          <w:tcPr>
            <w:tcW w:w="3257" w:type="dxa"/>
            <w:tcBorders>
              <w:top w:val="single" w:color="auto" w:sz="4" w:space="0"/>
              <w:left w:val="single" w:color="auto" w:sz="4" w:space="0"/>
              <w:bottom w:val="single" w:color="auto" w:sz="4" w:space="0"/>
              <w:right w:val="single" w:color="auto" w:sz="4" w:space="0"/>
            </w:tcBorders>
            <w:vAlign w:val="center"/>
          </w:tcPr>
          <w:p w14:paraId="47D32541">
            <w:pPr>
              <w:keepNext w:val="0"/>
              <w:keepLines w:val="0"/>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交付标的物技术、性能指标</w:t>
            </w:r>
          </w:p>
        </w:tc>
        <w:tc>
          <w:tcPr>
            <w:tcW w:w="4587" w:type="dxa"/>
            <w:tcBorders>
              <w:top w:val="single" w:color="auto" w:sz="4" w:space="0"/>
              <w:left w:val="single" w:color="auto" w:sz="4" w:space="0"/>
              <w:bottom w:val="single" w:color="auto" w:sz="4" w:space="0"/>
              <w:right w:val="single" w:color="auto" w:sz="4" w:space="0"/>
            </w:tcBorders>
            <w:vAlign w:val="center"/>
          </w:tcPr>
          <w:p w14:paraId="3366DB8E">
            <w:pPr>
              <w:pStyle w:val="13"/>
              <w:keepNext w:val="0"/>
              <w:keepLines w:val="0"/>
              <w:suppressLineNumbers w:val="0"/>
              <w:spacing w:before="0" w:beforeAutospacing="0" w:after="0" w:afterAutospacing="0"/>
              <w:ind w:left="0" w:right="0"/>
              <w:jc w:val="center"/>
              <w:rPr>
                <w:rFonts w:hint="eastAsia" w:ascii="仿宋" w:hAnsi="仿宋" w:eastAsia="仿宋" w:cs="仿宋"/>
                <w:highlight w:val="none"/>
              </w:rPr>
            </w:pPr>
          </w:p>
        </w:tc>
      </w:tr>
      <w:tr w14:paraId="0001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79884D6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5</w:t>
            </w:r>
          </w:p>
        </w:tc>
        <w:tc>
          <w:tcPr>
            <w:tcW w:w="3257" w:type="dxa"/>
            <w:tcBorders>
              <w:top w:val="single" w:color="auto" w:sz="4" w:space="0"/>
              <w:left w:val="single" w:color="auto" w:sz="4" w:space="0"/>
              <w:bottom w:val="single" w:color="auto" w:sz="4" w:space="0"/>
              <w:right w:val="single" w:color="auto" w:sz="4" w:space="0"/>
            </w:tcBorders>
            <w:vAlign w:val="center"/>
          </w:tcPr>
          <w:p w14:paraId="23304854">
            <w:pPr>
              <w:keepNext w:val="0"/>
              <w:keepLines w:val="0"/>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sz w:val="24"/>
                <w:highlight w:val="none"/>
              </w:rPr>
              <w:t>售后服务承诺</w:t>
            </w:r>
          </w:p>
        </w:tc>
        <w:tc>
          <w:tcPr>
            <w:tcW w:w="4587" w:type="dxa"/>
            <w:tcBorders>
              <w:top w:val="single" w:color="auto" w:sz="4" w:space="0"/>
              <w:left w:val="single" w:color="auto" w:sz="4" w:space="0"/>
              <w:bottom w:val="single" w:color="auto" w:sz="4" w:space="0"/>
              <w:right w:val="single" w:color="auto" w:sz="4" w:space="0"/>
            </w:tcBorders>
            <w:vAlign w:val="center"/>
          </w:tcPr>
          <w:p w14:paraId="1535766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highlight w:val="none"/>
              </w:rPr>
            </w:pPr>
          </w:p>
        </w:tc>
      </w:tr>
      <w:tr w14:paraId="4EF9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5FAF44BD">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6</w:t>
            </w:r>
          </w:p>
        </w:tc>
        <w:tc>
          <w:tcPr>
            <w:tcW w:w="3257" w:type="dxa"/>
            <w:tcBorders>
              <w:top w:val="single" w:color="auto" w:sz="4" w:space="0"/>
              <w:left w:val="single" w:color="auto" w:sz="4" w:space="0"/>
              <w:bottom w:val="single" w:color="auto" w:sz="4" w:space="0"/>
              <w:right w:val="single" w:color="auto" w:sz="4" w:space="0"/>
            </w:tcBorders>
            <w:vAlign w:val="center"/>
          </w:tcPr>
          <w:p w14:paraId="2DEEC19E">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其他工作</w:t>
            </w:r>
          </w:p>
        </w:tc>
        <w:tc>
          <w:tcPr>
            <w:tcW w:w="4587" w:type="dxa"/>
            <w:tcBorders>
              <w:top w:val="single" w:color="auto" w:sz="4" w:space="0"/>
              <w:left w:val="single" w:color="auto" w:sz="4" w:space="0"/>
              <w:bottom w:val="single" w:color="auto" w:sz="4" w:space="0"/>
              <w:right w:val="single" w:color="auto" w:sz="4" w:space="0"/>
            </w:tcBorders>
            <w:vAlign w:val="center"/>
          </w:tcPr>
          <w:p w14:paraId="64D1F70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highlight w:val="none"/>
              </w:rPr>
            </w:pPr>
          </w:p>
        </w:tc>
      </w:tr>
    </w:tbl>
    <w:p w14:paraId="11CC853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温馨提示：根据《广西壮族自治区财政厅关于持续优化政府采购营商环境推动高质量发展的通知》（桂财采〔2024〕55号）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政府采购预付款应当在合同、担保措施生效及具备实施条件后10个工作日内支付。） </w:t>
      </w:r>
    </w:p>
    <w:p w14:paraId="4C767E8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3.6.7验收资料要求</w:t>
      </w:r>
    </w:p>
    <w:p w14:paraId="620D2DF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验收资料要求包括（不限于）以下内容：</w:t>
      </w:r>
    </w:p>
    <w:p w14:paraId="35169D0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（1）采购文件；</w:t>
      </w:r>
    </w:p>
    <w:p w14:paraId="36D7482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（2）响应文件；</w:t>
      </w:r>
    </w:p>
    <w:p w14:paraId="7B6E0E5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（3）采购合同；</w:t>
      </w:r>
    </w:p>
    <w:p w14:paraId="3405C80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（4）到货核验单（需采购核验人、复核人及乙方交货人三方签字盖章）、产品拍照图片、产品说明书、产品合格证、质量保证书原件、三包凭证、产品的检测报告、原厂质保承诺函等；</w:t>
      </w:r>
    </w:p>
    <w:p w14:paraId="51FCCE32">
      <w:pPr>
        <w:spacing w:line="360" w:lineRule="auto"/>
        <w:ind w:firstLine="480" w:firstLineChars="200"/>
        <w:rPr>
          <w:rFonts w:hint="eastAsia" w:ascii="仿宋" w:hAnsi="仿宋" w:eastAsia="仿宋" w:cs="仿宋"/>
          <w:sz w:val="24"/>
          <w:highlight w:val="none"/>
        </w:rPr>
        <w:sectPr>
          <w:footerReference r:id="rId24" w:type="default"/>
          <w:pgSz w:w="11905" w:h="16838"/>
          <w:pgMar w:top="1304" w:right="1304" w:bottom="1304" w:left="1304" w:header="720" w:footer="720" w:gutter="0"/>
          <w:pgNumType w:fmt="decimal"/>
          <w:cols w:space="720" w:num="1"/>
          <w:docGrid w:type="lines" w:linePitch="339" w:charSpace="0"/>
        </w:sectPr>
      </w:pPr>
      <w:r>
        <w:rPr>
          <w:rFonts w:hint="eastAsia" w:ascii="仿宋" w:hAnsi="仿宋" w:eastAsia="仿宋" w:cs="仿宋"/>
          <w:sz w:val="24"/>
          <w:highlight w:val="none"/>
        </w:rPr>
        <w:t>（5）其他需提供的相关材料。</w:t>
      </w:r>
    </w:p>
    <w:p w14:paraId="723D9474">
      <w:pPr>
        <w:tabs>
          <w:tab w:val="left" w:pos="3261"/>
        </w:tabs>
        <w:spacing w:line="360" w:lineRule="auto"/>
        <w:contextualSpacing/>
        <w:jc w:val="center"/>
        <w:rPr>
          <w:rFonts w:hint="eastAsia" w:ascii="仿宋" w:hAnsi="仿宋" w:eastAsia="仿宋" w:cs="仿宋"/>
          <w:b/>
          <w:sz w:val="44"/>
          <w:szCs w:val="44"/>
          <w:highlight w:val="none"/>
        </w:rPr>
      </w:pPr>
    </w:p>
    <w:p w14:paraId="2DB001B8">
      <w:pPr>
        <w:tabs>
          <w:tab w:val="left" w:pos="3261"/>
        </w:tabs>
        <w:spacing w:line="360" w:lineRule="auto"/>
        <w:contextualSpacing/>
        <w:jc w:val="center"/>
        <w:rPr>
          <w:rFonts w:hint="eastAsia" w:ascii="仿宋" w:hAnsi="仿宋" w:eastAsia="仿宋" w:cs="仿宋"/>
          <w:b/>
          <w:sz w:val="44"/>
          <w:szCs w:val="44"/>
          <w:highlight w:val="none"/>
        </w:rPr>
      </w:pPr>
    </w:p>
    <w:p w14:paraId="3297D777">
      <w:pPr>
        <w:tabs>
          <w:tab w:val="left" w:pos="3261"/>
        </w:tabs>
        <w:spacing w:line="360" w:lineRule="auto"/>
        <w:contextualSpacing/>
        <w:jc w:val="center"/>
        <w:rPr>
          <w:rFonts w:hint="eastAsia" w:ascii="仿宋" w:hAnsi="仿宋" w:eastAsia="仿宋" w:cs="仿宋"/>
          <w:b/>
          <w:sz w:val="44"/>
          <w:szCs w:val="44"/>
          <w:highlight w:val="none"/>
        </w:rPr>
      </w:pPr>
    </w:p>
    <w:p w14:paraId="59F3696E">
      <w:pPr>
        <w:tabs>
          <w:tab w:val="left" w:pos="3261"/>
        </w:tabs>
        <w:spacing w:line="360" w:lineRule="auto"/>
        <w:contextualSpacing/>
        <w:jc w:val="center"/>
        <w:rPr>
          <w:rFonts w:hint="eastAsia" w:ascii="仿宋" w:hAnsi="仿宋" w:eastAsia="仿宋" w:cs="仿宋"/>
          <w:b/>
          <w:sz w:val="44"/>
          <w:szCs w:val="44"/>
          <w:highlight w:val="none"/>
        </w:rPr>
      </w:pPr>
    </w:p>
    <w:p w14:paraId="689CBFCA">
      <w:pPr>
        <w:tabs>
          <w:tab w:val="left" w:pos="3261"/>
        </w:tabs>
        <w:spacing w:line="360" w:lineRule="auto"/>
        <w:contextualSpacing/>
        <w:jc w:val="center"/>
        <w:rPr>
          <w:rFonts w:hint="eastAsia" w:ascii="仿宋" w:hAnsi="仿宋" w:eastAsia="仿宋" w:cs="仿宋"/>
          <w:b/>
          <w:sz w:val="44"/>
          <w:szCs w:val="44"/>
          <w:highlight w:val="none"/>
        </w:rPr>
      </w:pPr>
    </w:p>
    <w:p w14:paraId="196D34FC">
      <w:pPr>
        <w:keepNext/>
        <w:keepLines/>
        <w:spacing w:before="340" w:after="330" w:line="578" w:lineRule="auto"/>
        <w:jc w:val="center"/>
        <w:outlineLvl w:val="0"/>
        <w:rPr>
          <w:rFonts w:hint="eastAsia" w:ascii="仿宋" w:hAnsi="仿宋" w:eastAsia="仿宋" w:cs="仿宋"/>
          <w:b/>
          <w:bCs/>
          <w:kern w:val="44"/>
          <w:sz w:val="44"/>
          <w:szCs w:val="44"/>
          <w:highlight w:val="none"/>
        </w:rPr>
        <w:sectPr>
          <w:pgSz w:w="11905" w:h="16838"/>
          <w:pgMar w:top="1304" w:right="1304" w:bottom="1304" w:left="1304" w:header="720" w:footer="720" w:gutter="0"/>
          <w:pgNumType w:fmt="decimal"/>
          <w:cols w:space="720" w:num="1"/>
          <w:docGrid w:type="lines" w:linePitch="339" w:charSpace="0"/>
        </w:sectPr>
      </w:pPr>
      <w:bookmarkStart w:id="310" w:name="_Toc9390"/>
      <w:bookmarkStart w:id="311" w:name="_Toc127516342"/>
      <w:r>
        <w:rPr>
          <w:rFonts w:hint="eastAsia" w:ascii="仿宋" w:hAnsi="仿宋" w:eastAsia="仿宋" w:cs="仿宋"/>
          <w:bCs/>
          <w:kern w:val="44"/>
          <w:sz w:val="44"/>
          <w:szCs w:val="44"/>
          <w:highlight w:val="none"/>
        </w:rPr>
        <w:t>第七章 质疑、投诉材料格式</w:t>
      </w:r>
      <w:bookmarkEnd w:id="310"/>
      <w:bookmarkEnd w:id="311"/>
    </w:p>
    <w:p w14:paraId="690C7351">
      <w:pPr>
        <w:spacing w:line="360"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质疑函（格式）</w:t>
      </w:r>
    </w:p>
    <w:p w14:paraId="5AE42D8B">
      <w:pPr>
        <w:spacing w:line="360" w:lineRule="auto"/>
        <w:ind w:firstLine="482" w:firstLineChars="200"/>
        <w:contextualSpacing/>
        <w:outlineLvl w:val="1"/>
        <w:rPr>
          <w:rFonts w:hint="eastAsia" w:ascii="仿宋" w:hAnsi="仿宋" w:eastAsia="仿宋" w:cs="仿宋"/>
          <w:b/>
          <w:bCs/>
          <w:kern w:val="0"/>
          <w:sz w:val="24"/>
          <w:highlight w:val="none"/>
        </w:rPr>
      </w:pPr>
      <w:bookmarkStart w:id="312" w:name="_Toc10498"/>
      <w:r>
        <w:rPr>
          <w:rFonts w:hint="eastAsia" w:ascii="仿宋" w:hAnsi="仿宋" w:eastAsia="仿宋" w:cs="仿宋"/>
          <w:b/>
          <w:bCs/>
          <w:kern w:val="0"/>
          <w:sz w:val="24"/>
          <w:highlight w:val="none"/>
        </w:rPr>
        <w:t>一、质疑供应商基本信息：</w:t>
      </w:r>
      <w:bookmarkEnd w:id="312"/>
    </w:p>
    <w:p w14:paraId="0345DC13">
      <w:pPr>
        <w:spacing w:line="360" w:lineRule="auto"/>
        <w:ind w:firstLine="480" w:firstLineChars="200"/>
        <w:contextualSpacing/>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质疑供应商：</w:t>
      </w:r>
    </w:p>
    <w:p w14:paraId="47232FED">
      <w:pPr>
        <w:spacing w:line="360" w:lineRule="auto"/>
        <w:ind w:firstLine="480" w:firstLineChars="200"/>
        <w:contextualSpacing/>
        <w:rPr>
          <w:rFonts w:hint="eastAsia" w:ascii="仿宋" w:hAnsi="仿宋" w:eastAsia="仿宋" w:cs="仿宋"/>
          <w:bCs/>
          <w:kern w:val="0"/>
          <w:sz w:val="24"/>
          <w:highlight w:val="none"/>
        </w:rPr>
      </w:pPr>
      <w:r>
        <w:rPr>
          <w:rFonts w:hint="eastAsia" w:ascii="仿宋" w:hAnsi="仿宋" w:eastAsia="仿宋" w:cs="仿宋"/>
          <w:bCs/>
          <w:kern w:val="0"/>
          <w:sz w:val="24"/>
          <w:highlight w:val="none"/>
        </w:rPr>
        <w:t>地址：                 邮编：</w:t>
      </w:r>
    </w:p>
    <w:p w14:paraId="4506D3AE">
      <w:pPr>
        <w:spacing w:line="360" w:lineRule="auto"/>
        <w:ind w:firstLine="480" w:firstLineChars="200"/>
        <w:contextualSpacing/>
        <w:rPr>
          <w:rFonts w:hint="eastAsia" w:ascii="仿宋" w:hAnsi="仿宋" w:eastAsia="仿宋" w:cs="仿宋"/>
          <w:bCs/>
          <w:kern w:val="0"/>
          <w:sz w:val="24"/>
          <w:highlight w:val="none"/>
        </w:rPr>
      </w:pPr>
      <w:r>
        <w:rPr>
          <w:rFonts w:hint="eastAsia" w:ascii="仿宋" w:hAnsi="仿宋" w:eastAsia="仿宋" w:cs="仿宋"/>
          <w:bCs/>
          <w:kern w:val="0"/>
          <w:sz w:val="24"/>
          <w:highlight w:val="none"/>
        </w:rPr>
        <w:t>联系人：                 联系电话：</w:t>
      </w:r>
    </w:p>
    <w:p w14:paraId="56D46A68">
      <w:pPr>
        <w:spacing w:line="360" w:lineRule="auto"/>
        <w:ind w:firstLine="480" w:firstLineChars="200"/>
        <w:contextualSpacing/>
        <w:rPr>
          <w:rFonts w:hint="eastAsia" w:ascii="仿宋" w:hAnsi="仿宋" w:eastAsia="仿宋" w:cs="仿宋"/>
          <w:bCs/>
          <w:kern w:val="0"/>
          <w:sz w:val="24"/>
          <w:highlight w:val="none"/>
        </w:rPr>
      </w:pPr>
      <w:r>
        <w:rPr>
          <w:rFonts w:hint="eastAsia" w:ascii="仿宋" w:hAnsi="仿宋" w:eastAsia="仿宋" w:cs="仿宋"/>
          <w:bCs/>
          <w:kern w:val="0"/>
          <w:sz w:val="24"/>
          <w:highlight w:val="none"/>
        </w:rPr>
        <w:t>授权代表：</w:t>
      </w:r>
    </w:p>
    <w:p w14:paraId="464815A3">
      <w:pPr>
        <w:spacing w:line="360" w:lineRule="auto"/>
        <w:ind w:firstLine="480" w:firstLineChars="200"/>
        <w:contextualSpacing/>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联系电话：</w:t>
      </w:r>
    </w:p>
    <w:p w14:paraId="68DCF9A6">
      <w:pPr>
        <w:spacing w:line="360" w:lineRule="auto"/>
        <w:ind w:firstLine="480" w:firstLineChars="200"/>
        <w:contextualSpacing/>
        <w:rPr>
          <w:rFonts w:hint="eastAsia" w:ascii="仿宋" w:hAnsi="仿宋" w:eastAsia="仿宋" w:cs="仿宋"/>
          <w:bCs/>
          <w:kern w:val="0"/>
          <w:sz w:val="24"/>
          <w:highlight w:val="none"/>
        </w:rPr>
      </w:pPr>
      <w:r>
        <w:rPr>
          <w:rFonts w:hint="eastAsia" w:ascii="仿宋" w:hAnsi="仿宋" w:eastAsia="仿宋" w:cs="仿宋"/>
          <w:bCs/>
          <w:kern w:val="0"/>
          <w:sz w:val="24"/>
          <w:highlight w:val="none"/>
        </w:rPr>
        <w:t>地址：                 邮编：</w:t>
      </w:r>
    </w:p>
    <w:p w14:paraId="662A056E">
      <w:pPr>
        <w:spacing w:line="360" w:lineRule="auto"/>
        <w:ind w:firstLine="482" w:firstLineChars="200"/>
        <w:contextualSpacing/>
        <w:outlineLvl w:val="1"/>
        <w:rPr>
          <w:rFonts w:hint="eastAsia" w:ascii="仿宋" w:hAnsi="仿宋" w:eastAsia="仿宋" w:cs="仿宋"/>
          <w:b/>
          <w:bCs/>
          <w:kern w:val="0"/>
          <w:sz w:val="24"/>
          <w:highlight w:val="none"/>
        </w:rPr>
      </w:pPr>
      <w:bookmarkStart w:id="313" w:name="_Toc7712"/>
      <w:r>
        <w:rPr>
          <w:rFonts w:hint="eastAsia" w:ascii="仿宋" w:hAnsi="仿宋" w:eastAsia="仿宋" w:cs="仿宋"/>
          <w:b/>
          <w:bCs/>
          <w:kern w:val="0"/>
          <w:sz w:val="24"/>
          <w:highlight w:val="none"/>
        </w:rPr>
        <w:t>二、质疑项目基本情况：</w:t>
      </w:r>
      <w:bookmarkEnd w:id="313"/>
    </w:p>
    <w:p w14:paraId="3A03845A">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bCs/>
          <w:kern w:val="0"/>
          <w:sz w:val="24"/>
          <w:highlight w:val="none"/>
        </w:rPr>
        <w:t>质疑</w:t>
      </w:r>
      <w:r>
        <w:rPr>
          <w:rFonts w:hint="eastAsia" w:ascii="仿宋" w:hAnsi="仿宋" w:eastAsia="仿宋" w:cs="仿宋"/>
          <w:kern w:val="0"/>
          <w:sz w:val="24"/>
          <w:highlight w:val="none"/>
        </w:rPr>
        <w:t>项目的名称：</w:t>
      </w:r>
    </w:p>
    <w:p w14:paraId="597FB63F">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bCs/>
          <w:kern w:val="0"/>
          <w:sz w:val="24"/>
          <w:highlight w:val="none"/>
        </w:rPr>
        <w:t>质疑</w:t>
      </w:r>
      <w:r>
        <w:rPr>
          <w:rFonts w:hint="eastAsia" w:ascii="仿宋" w:hAnsi="仿宋" w:eastAsia="仿宋" w:cs="仿宋"/>
          <w:kern w:val="0"/>
          <w:sz w:val="24"/>
          <w:highlight w:val="none"/>
        </w:rPr>
        <w:t>项目的编号：</w:t>
      </w:r>
    </w:p>
    <w:p w14:paraId="61EB2992">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采购人名称：</w:t>
      </w:r>
    </w:p>
    <w:p w14:paraId="53231B3D">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质疑事项：</w:t>
      </w:r>
    </w:p>
    <w:p w14:paraId="14916761">
      <w:pPr>
        <w:spacing w:line="360" w:lineRule="auto"/>
        <w:ind w:left="25" w:leftChars="12" w:firstLine="352" w:firstLineChars="14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□采购文件   采购文件获取日期：</w:t>
      </w:r>
    </w:p>
    <w:p w14:paraId="369F0E55">
      <w:pPr>
        <w:spacing w:line="360" w:lineRule="auto"/>
        <w:ind w:left="25" w:leftChars="12" w:firstLine="352" w:firstLineChars="14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□采购过程   </w:t>
      </w:r>
    </w:p>
    <w:p w14:paraId="1620AD67">
      <w:pPr>
        <w:spacing w:line="360" w:lineRule="auto"/>
        <w:ind w:left="25" w:leftChars="12" w:firstLine="352" w:firstLineChars="147"/>
        <w:contextualSpacing/>
        <w:rPr>
          <w:rFonts w:hint="eastAsia" w:ascii="仿宋" w:hAnsi="仿宋" w:eastAsia="仿宋" w:cs="仿宋"/>
          <w:bCs/>
          <w:kern w:val="0"/>
          <w:sz w:val="24"/>
          <w:highlight w:val="none"/>
          <w:u w:val="single"/>
        </w:rPr>
      </w:pPr>
      <w:r>
        <w:rPr>
          <w:rFonts w:hint="eastAsia" w:ascii="仿宋" w:hAnsi="仿宋" w:eastAsia="仿宋" w:cs="仿宋"/>
          <w:kern w:val="0"/>
          <w:sz w:val="24"/>
          <w:highlight w:val="none"/>
        </w:rPr>
        <w:t xml:space="preserve">□成交结果   </w:t>
      </w:r>
    </w:p>
    <w:p w14:paraId="45C07F45">
      <w:pPr>
        <w:spacing w:line="360" w:lineRule="auto"/>
        <w:ind w:left="25" w:leftChars="12" w:firstLine="472" w:firstLineChars="196"/>
        <w:contextualSpacing/>
        <w:outlineLvl w:val="1"/>
        <w:rPr>
          <w:rFonts w:hint="eastAsia" w:ascii="仿宋" w:hAnsi="仿宋" w:eastAsia="仿宋" w:cs="仿宋"/>
          <w:b/>
          <w:kern w:val="0"/>
          <w:sz w:val="24"/>
          <w:highlight w:val="none"/>
        </w:rPr>
      </w:pPr>
      <w:bookmarkStart w:id="314" w:name="_Toc9640"/>
      <w:r>
        <w:rPr>
          <w:rFonts w:hint="eastAsia" w:ascii="仿宋" w:hAnsi="仿宋" w:eastAsia="仿宋" w:cs="仿宋"/>
          <w:b/>
          <w:kern w:val="0"/>
          <w:sz w:val="24"/>
          <w:highlight w:val="none"/>
        </w:rPr>
        <w:t>三、质疑事项具体内容</w:t>
      </w:r>
      <w:bookmarkEnd w:id="314"/>
    </w:p>
    <w:p w14:paraId="6E7EBCC0">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质疑事项1：</w:t>
      </w:r>
    </w:p>
    <w:p w14:paraId="7E450269">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事实依据：</w:t>
      </w:r>
    </w:p>
    <w:p w14:paraId="40E794E8">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法律依据：</w:t>
      </w:r>
    </w:p>
    <w:p w14:paraId="64FF985F">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质疑事项2</w:t>
      </w:r>
    </w:p>
    <w:p w14:paraId="645B2CDD">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55150B08">
      <w:pPr>
        <w:spacing w:line="360" w:lineRule="auto"/>
        <w:ind w:left="25" w:leftChars="12" w:firstLine="472" w:firstLineChars="197"/>
        <w:contextualSpacing/>
        <w:outlineLvl w:val="1"/>
        <w:rPr>
          <w:rFonts w:hint="eastAsia" w:ascii="仿宋" w:hAnsi="仿宋" w:eastAsia="仿宋" w:cs="仿宋"/>
          <w:kern w:val="0"/>
          <w:sz w:val="24"/>
          <w:highlight w:val="none"/>
        </w:rPr>
      </w:pPr>
      <w:bookmarkStart w:id="315" w:name="_Toc21205"/>
      <w:r>
        <w:rPr>
          <w:rFonts w:hint="eastAsia" w:ascii="仿宋" w:hAnsi="仿宋" w:eastAsia="仿宋" w:cs="仿宋"/>
          <w:kern w:val="0"/>
          <w:sz w:val="24"/>
          <w:highlight w:val="none"/>
        </w:rPr>
        <w:t>四、与质疑事项相关的质疑请求：</w:t>
      </w:r>
      <w:bookmarkEnd w:id="315"/>
    </w:p>
    <w:p w14:paraId="1DD7A64A">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请求：</w:t>
      </w:r>
    </w:p>
    <w:p w14:paraId="3D08AFF1">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签字（签章）：                                       公章：</w:t>
      </w:r>
    </w:p>
    <w:p w14:paraId="2922DC7A">
      <w:pPr>
        <w:spacing w:line="360" w:lineRule="auto"/>
        <w:ind w:left="25" w:leftChars="12" w:firstLine="352" w:firstLineChars="147"/>
        <w:contextualSpacing/>
        <w:rPr>
          <w:rFonts w:hint="eastAsia" w:ascii="仿宋" w:hAnsi="仿宋" w:eastAsia="仿宋" w:cs="仿宋"/>
          <w:kern w:val="0"/>
          <w:sz w:val="24"/>
          <w:highlight w:val="none"/>
        </w:rPr>
      </w:pPr>
    </w:p>
    <w:p w14:paraId="42752E26">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7A480403">
      <w:pPr>
        <w:spacing w:line="360" w:lineRule="auto"/>
        <w:contextualSpacing/>
        <w:rPr>
          <w:rFonts w:hint="eastAsia" w:ascii="仿宋" w:hAnsi="仿宋" w:eastAsia="仿宋" w:cs="仿宋"/>
          <w:b/>
          <w:kern w:val="0"/>
          <w:sz w:val="24"/>
          <w:highlight w:val="none"/>
        </w:rPr>
      </w:pPr>
      <w:r>
        <w:rPr>
          <w:rFonts w:hint="eastAsia" w:ascii="仿宋" w:hAnsi="仿宋" w:eastAsia="仿宋" w:cs="仿宋"/>
          <w:b/>
          <w:kern w:val="0"/>
          <w:sz w:val="24"/>
          <w:highlight w:val="none"/>
        </w:rPr>
        <w:t>说明：</w:t>
      </w:r>
    </w:p>
    <w:p w14:paraId="7AD17FA4">
      <w:pPr>
        <w:spacing w:line="360" w:lineRule="auto"/>
        <w:ind w:left="25" w:leftChars="12" w:firstLine="354" w:firstLineChars="147"/>
        <w:contextualSpacing/>
        <w:rPr>
          <w:rFonts w:hint="eastAsia" w:ascii="仿宋" w:hAnsi="仿宋" w:eastAsia="仿宋" w:cs="仿宋"/>
          <w:b/>
          <w:bCs/>
          <w:kern w:val="0"/>
          <w:sz w:val="24"/>
          <w:highlight w:val="none"/>
        </w:rPr>
      </w:pPr>
      <w:r>
        <w:rPr>
          <w:rFonts w:hint="eastAsia" w:ascii="仿宋" w:hAnsi="仿宋" w:eastAsia="仿宋" w:cs="仿宋"/>
          <w:b/>
          <w:kern w:val="0"/>
          <w:sz w:val="24"/>
          <w:highlight w:val="none"/>
        </w:rPr>
        <w:t>1.供应商提出质疑时，应提交质疑函和必要的证明材料</w:t>
      </w:r>
      <w:r>
        <w:rPr>
          <w:rFonts w:hint="eastAsia" w:ascii="仿宋" w:hAnsi="仿宋" w:eastAsia="仿宋" w:cs="仿宋"/>
          <w:b/>
          <w:bCs/>
          <w:kern w:val="0"/>
          <w:sz w:val="24"/>
          <w:highlight w:val="none"/>
        </w:rPr>
        <w:t>。</w:t>
      </w:r>
    </w:p>
    <w:p w14:paraId="499D0E4E">
      <w:pPr>
        <w:spacing w:line="360" w:lineRule="auto"/>
        <w:ind w:left="25" w:leftChars="12" w:firstLine="354" w:firstLineChars="147"/>
        <w:contextualSpacing/>
        <w:rPr>
          <w:rFonts w:hint="eastAsia" w:ascii="仿宋" w:hAnsi="仿宋" w:eastAsia="仿宋" w:cs="仿宋"/>
          <w:b/>
          <w:kern w:val="0"/>
          <w:sz w:val="24"/>
          <w:highlight w:val="none"/>
        </w:rPr>
      </w:pPr>
      <w:r>
        <w:rPr>
          <w:rFonts w:hint="eastAsia" w:ascii="仿宋" w:hAnsi="仿宋" w:eastAsia="仿宋" w:cs="仿宋"/>
          <w:b/>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5F3C8">
      <w:pPr>
        <w:spacing w:line="360" w:lineRule="auto"/>
        <w:ind w:left="25" w:leftChars="12" w:firstLine="354" w:firstLineChars="147"/>
        <w:contextualSpacing/>
        <w:rPr>
          <w:rFonts w:hint="eastAsia" w:ascii="仿宋" w:hAnsi="仿宋" w:eastAsia="仿宋" w:cs="仿宋"/>
          <w:b/>
          <w:kern w:val="0"/>
          <w:sz w:val="24"/>
          <w:highlight w:val="none"/>
        </w:rPr>
      </w:pPr>
      <w:r>
        <w:rPr>
          <w:rFonts w:hint="eastAsia" w:ascii="仿宋" w:hAnsi="仿宋" w:eastAsia="仿宋" w:cs="仿宋"/>
          <w:b/>
          <w:kern w:val="0"/>
          <w:sz w:val="24"/>
          <w:highlight w:val="none"/>
        </w:rPr>
        <w:t>3.质疑函的质疑事项应具体、明确，并有必要的事实依据和法律依据。</w:t>
      </w:r>
    </w:p>
    <w:p w14:paraId="7A1EA3E9">
      <w:pPr>
        <w:spacing w:line="360" w:lineRule="auto"/>
        <w:ind w:left="25" w:leftChars="12" w:firstLine="354" w:firstLineChars="147"/>
        <w:contextualSpacing/>
        <w:rPr>
          <w:rFonts w:hint="eastAsia" w:ascii="仿宋" w:hAnsi="仿宋" w:eastAsia="仿宋" w:cs="仿宋"/>
          <w:b/>
          <w:kern w:val="0"/>
          <w:sz w:val="24"/>
          <w:highlight w:val="none"/>
        </w:rPr>
      </w:pPr>
      <w:r>
        <w:rPr>
          <w:rFonts w:hint="eastAsia" w:ascii="仿宋" w:hAnsi="仿宋" w:eastAsia="仿宋" w:cs="仿宋"/>
          <w:b/>
          <w:kern w:val="0"/>
          <w:sz w:val="24"/>
          <w:highlight w:val="none"/>
        </w:rPr>
        <w:t>4.质疑函的质疑请求应与质疑事项相关。</w:t>
      </w:r>
    </w:p>
    <w:p w14:paraId="2F6B3EE4">
      <w:pPr>
        <w:spacing w:line="360" w:lineRule="auto"/>
        <w:ind w:left="25" w:leftChars="12" w:firstLine="354" w:firstLineChars="147"/>
        <w:contextualSpacing/>
        <w:rPr>
          <w:rFonts w:hint="eastAsia" w:ascii="仿宋" w:hAnsi="仿宋" w:eastAsia="仿宋" w:cs="仿宋"/>
          <w:b/>
          <w:kern w:val="0"/>
          <w:sz w:val="20"/>
          <w:szCs w:val="21"/>
          <w:highlight w:val="none"/>
        </w:rPr>
      </w:pPr>
      <w:r>
        <w:rPr>
          <w:rFonts w:hint="eastAsia" w:ascii="仿宋" w:hAnsi="仿宋" w:eastAsia="仿宋" w:cs="仿宋"/>
          <w:b/>
          <w:kern w:val="0"/>
          <w:sz w:val="24"/>
          <w:highlight w:val="none"/>
        </w:rPr>
        <w:t>5.质疑供应商为法人或者其他组织的，质疑函应由法定代表人、主要负责人，或者其授权代表签字或者盖章，并加盖公章。</w:t>
      </w:r>
    </w:p>
    <w:p w14:paraId="304E2E01">
      <w:pPr>
        <w:snapToGrid w:val="0"/>
        <w:rPr>
          <w:rFonts w:hint="eastAsia" w:ascii="仿宋" w:hAnsi="仿宋" w:eastAsia="仿宋" w:cs="仿宋"/>
          <w:b/>
          <w:kern w:val="0"/>
          <w:sz w:val="24"/>
          <w:highlight w:val="none"/>
        </w:rPr>
      </w:pPr>
    </w:p>
    <w:p w14:paraId="3B08D698">
      <w:pPr>
        <w:spacing w:line="460" w:lineRule="exact"/>
        <w:jc w:val="center"/>
        <w:rPr>
          <w:rFonts w:hint="eastAsia" w:ascii="仿宋" w:hAnsi="仿宋" w:eastAsia="仿宋" w:cs="仿宋"/>
          <w:sz w:val="44"/>
          <w:highlight w:val="none"/>
        </w:rPr>
      </w:pPr>
      <w:r>
        <w:rPr>
          <w:rFonts w:hint="eastAsia" w:ascii="仿宋" w:hAnsi="仿宋" w:eastAsia="仿宋" w:cs="仿宋"/>
          <w:sz w:val="44"/>
          <w:highlight w:val="none"/>
        </w:rPr>
        <w:br w:type="page"/>
      </w:r>
    </w:p>
    <w:p w14:paraId="1BD8242A">
      <w:pPr>
        <w:spacing w:line="360"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投诉书（格式）</w:t>
      </w:r>
    </w:p>
    <w:p w14:paraId="6DC9C6F4">
      <w:pPr>
        <w:snapToGrid w:val="0"/>
        <w:spacing w:line="360" w:lineRule="auto"/>
        <w:ind w:firstLine="482" w:firstLineChars="200"/>
        <w:outlineLvl w:val="1"/>
        <w:rPr>
          <w:rFonts w:hint="eastAsia" w:ascii="仿宋" w:hAnsi="仿宋" w:eastAsia="仿宋" w:cs="仿宋"/>
          <w:b/>
          <w:bCs/>
          <w:kern w:val="0"/>
          <w:sz w:val="24"/>
          <w:highlight w:val="none"/>
        </w:rPr>
      </w:pPr>
      <w:bookmarkStart w:id="316" w:name="_Toc22190"/>
      <w:r>
        <w:rPr>
          <w:rFonts w:hint="eastAsia" w:ascii="仿宋" w:hAnsi="仿宋" w:eastAsia="仿宋" w:cs="仿宋"/>
          <w:b/>
          <w:bCs/>
          <w:kern w:val="0"/>
          <w:sz w:val="24"/>
          <w:highlight w:val="none"/>
        </w:rPr>
        <w:t>一、投诉相关主体基本情况：</w:t>
      </w:r>
      <w:bookmarkEnd w:id="316"/>
    </w:p>
    <w:p w14:paraId="7F416618">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供应商：</w:t>
      </w:r>
    </w:p>
    <w:p w14:paraId="5090C625">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地址：                 邮编：</w:t>
      </w:r>
    </w:p>
    <w:p w14:paraId="17316326">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法定代表人/主要负责人：</w:t>
      </w:r>
    </w:p>
    <w:p w14:paraId="018F06F8">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联系电话：</w:t>
      </w:r>
    </w:p>
    <w:p w14:paraId="33A7D38C">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授权代表：                 联系电话：</w:t>
      </w:r>
    </w:p>
    <w:p w14:paraId="5C67FD79">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地址：</w:t>
      </w:r>
    </w:p>
    <w:p w14:paraId="75FCA9B8">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邮编：</w:t>
      </w:r>
    </w:p>
    <w:p w14:paraId="6534BF8A">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被投诉人1：</w:t>
      </w:r>
    </w:p>
    <w:p w14:paraId="083D2834">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地址：</w:t>
      </w:r>
    </w:p>
    <w:p w14:paraId="2B6007DD">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邮编：</w:t>
      </w:r>
    </w:p>
    <w:p w14:paraId="3E126B28">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联系人：                 联系电话：</w:t>
      </w:r>
    </w:p>
    <w:p w14:paraId="1602D94E">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被投诉人2：</w:t>
      </w:r>
    </w:p>
    <w:p w14:paraId="73D0BD66">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w:t>
      </w:r>
    </w:p>
    <w:p w14:paraId="05C12DB2">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相关供应商：</w:t>
      </w:r>
    </w:p>
    <w:p w14:paraId="487E6D5C">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地址：                 邮编：</w:t>
      </w:r>
    </w:p>
    <w:p w14:paraId="18C50F59">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联系人：               联系电话：</w:t>
      </w:r>
    </w:p>
    <w:p w14:paraId="0698A121">
      <w:pPr>
        <w:snapToGrid w:val="0"/>
        <w:spacing w:line="360" w:lineRule="auto"/>
        <w:ind w:firstLine="482" w:firstLineChars="200"/>
        <w:outlineLvl w:val="1"/>
        <w:rPr>
          <w:rFonts w:hint="eastAsia" w:ascii="仿宋" w:hAnsi="仿宋" w:eastAsia="仿宋" w:cs="仿宋"/>
          <w:b/>
          <w:bCs/>
          <w:kern w:val="0"/>
          <w:sz w:val="24"/>
          <w:highlight w:val="none"/>
        </w:rPr>
      </w:pPr>
      <w:bookmarkStart w:id="317" w:name="_Toc25848"/>
      <w:r>
        <w:rPr>
          <w:rFonts w:hint="eastAsia" w:ascii="仿宋" w:hAnsi="仿宋" w:eastAsia="仿宋" w:cs="仿宋"/>
          <w:b/>
          <w:bCs/>
          <w:kern w:val="0"/>
          <w:sz w:val="24"/>
          <w:highlight w:val="none"/>
        </w:rPr>
        <w:t>二、投诉项目基本情况：</w:t>
      </w:r>
      <w:bookmarkEnd w:id="317"/>
    </w:p>
    <w:p w14:paraId="29777833">
      <w:pPr>
        <w:spacing w:line="360" w:lineRule="auto"/>
        <w:ind w:left="25" w:leftChars="12" w:firstLine="472" w:firstLineChars="197"/>
        <w:rPr>
          <w:rFonts w:hint="eastAsia" w:ascii="仿宋" w:hAnsi="仿宋" w:eastAsia="仿宋" w:cs="仿宋"/>
          <w:kern w:val="0"/>
          <w:sz w:val="24"/>
          <w:highlight w:val="none"/>
        </w:rPr>
      </w:pPr>
      <w:r>
        <w:rPr>
          <w:rFonts w:hint="eastAsia" w:ascii="仿宋" w:hAnsi="仿宋" w:eastAsia="仿宋" w:cs="仿宋"/>
          <w:bCs/>
          <w:kern w:val="0"/>
          <w:sz w:val="24"/>
          <w:highlight w:val="none"/>
        </w:rPr>
        <w:t>采购</w:t>
      </w:r>
      <w:r>
        <w:rPr>
          <w:rFonts w:hint="eastAsia" w:ascii="仿宋" w:hAnsi="仿宋" w:eastAsia="仿宋" w:cs="仿宋"/>
          <w:kern w:val="0"/>
          <w:sz w:val="24"/>
          <w:highlight w:val="none"/>
        </w:rPr>
        <w:t>项目的名称：</w:t>
      </w:r>
    </w:p>
    <w:p w14:paraId="6FBD6E4F">
      <w:pPr>
        <w:spacing w:line="360" w:lineRule="auto"/>
        <w:ind w:left="25" w:leftChars="12" w:firstLine="472" w:firstLineChars="197"/>
        <w:rPr>
          <w:rFonts w:hint="eastAsia" w:ascii="仿宋" w:hAnsi="仿宋" w:eastAsia="仿宋" w:cs="仿宋"/>
          <w:kern w:val="0"/>
          <w:sz w:val="24"/>
          <w:highlight w:val="none"/>
        </w:rPr>
      </w:pPr>
      <w:r>
        <w:rPr>
          <w:rFonts w:hint="eastAsia" w:ascii="仿宋" w:hAnsi="仿宋" w:eastAsia="仿宋" w:cs="仿宋"/>
          <w:bCs/>
          <w:kern w:val="0"/>
          <w:sz w:val="24"/>
          <w:highlight w:val="none"/>
        </w:rPr>
        <w:t>采购</w:t>
      </w:r>
      <w:r>
        <w:rPr>
          <w:rFonts w:hint="eastAsia" w:ascii="仿宋" w:hAnsi="仿宋" w:eastAsia="仿宋" w:cs="仿宋"/>
          <w:kern w:val="0"/>
          <w:sz w:val="24"/>
          <w:highlight w:val="none"/>
        </w:rPr>
        <w:t>项目的编号：</w:t>
      </w:r>
    </w:p>
    <w:p w14:paraId="5A6A386C">
      <w:pPr>
        <w:spacing w:line="360" w:lineRule="auto"/>
        <w:ind w:left="25" w:leftChars="12" w:firstLine="472" w:firstLineChars="197"/>
        <w:rPr>
          <w:rFonts w:hint="eastAsia" w:ascii="仿宋" w:hAnsi="仿宋" w:eastAsia="仿宋" w:cs="仿宋"/>
          <w:bCs/>
          <w:kern w:val="0"/>
          <w:sz w:val="24"/>
          <w:highlight w:val="none"/>
          <w:u w:val="single"/>
        </w:rPr>
      </w:pPr>
      <w:r>
        <w:rPr>
          <w:rFonts w:hint="eastAsia" w:ascii="仿宋" w:hAnsi="仿宋" w:eastAsia="仿宋" w:cs="仿宋"/>
          <w:kern w:val="0"/>
          <w:sz w:val="24"/>
          <w:highlight w:val="none"/>
        </w:rPr>
        <w:t>采购人名称：</w:t>
      </w:r>
    </w:p>
    <w:p w14:paraId="363D1812">
      <w:pPr>
        <w:spacing w:line="360" w:lineRule="auto"/>
        <w:ind w:left="25" w:leftChars="12" w:firstLine="472" w:firstLineChars="197"/>
        <w:rPr>
          <w:rFonts w:hint="eastAsia" w:ascii="仿宋" w:hAnsi="仿宋" w:eastAsia="仿宋" w:cs="仿宋"/>
          <w:bCs/>
          <w:kern w:val="0"/>
          <w:sz w:val="24"/>
          <w:highlight w:val="none"/>
          <w:u w:val="single"/>
        </w:rPr>
      </w:pPr>
      <w:r>
        <w:rPr>
          <w:rFonts w:hint="eastAsia" w:ascii="仿宋" w:hAnsi="仿宋" w:eastAsia="仿宋" w:cs="仿宋"/>
          <w:kern w:val="0"/>
          <w:sz w:val="24"/>
          <w:highlight w:val="none"/>
        </w:rPr>
        <w:t>代理机构名称：</w:t>
      </w:r>
    </w:p>
    <w:p w14:paraId="658947EB">
      <w:pPr>
        <w:spacing w:line="360" w:lineRule="auto"/>
        <w:ind w:left="25" w:leftChars="12" w:firstLine="472" w:firstLineChars="197"/>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采购文件公告：</w:t>
      </w:r>
      <w:r>
        <w:rPr>
          <w:rFonts w:hint="eastAsia" w:ascii="仿宋" w:hAnsi="仿宋" w:eastAsia="仿宋" w:cs="仿宋"/>
          <w:bCs/>
          <w:kern w:val="0"/>
          <w:sz w:val="24"/>
          <w:highlight w:val="none"/>
          <w:u w:val="single"/>
        </w:rPr>
        <w:t>是/否</w:t>
      </w:r>
      <w:r>
        <w:rPr>
          <w:rFonts w:hint="eastAsia" w:ascii="仿宋" w:hAnsi="仿宋" w:eastAsia="仿宋" w:cs="仿宋"/>
          <w:bCs/>
          <w:kern w:val="0"/>
          <w:sz w:val="24"/>
          <w:highlight w:val="none"/>
        </w:rPr>
        <w:t>公告期限：</w:t>
      </w:r>
    </w:p>
    <w:p w14:paraId="6248C866">
      <w:pPr>
        <w:spacing w:line="360" w:lineRule="auto"/>
        <w:ind w:left="25" w:leftChars="12" w:firstLine="472" w:firstLineChars="197"/>
        <w:rPr>
          <w:rFonts w:hint="eastAsia" w:ascii="仿宋" w:hAnsi="仿宋" w:eastAsia="仿宋" w:cs="仿宋"/>
          <w:b/>
          <w:kern w:val="0"/>
          <w:sz w:val="24"/>
          <w:highlight w:val="none"/>
        </w:rPr>
      </w:pPr>
      <w:r>
        <w:rPr>
          <w:rFonts w:hint="eastAsia" w:ascii="仿宋" w:hAnsi="仿宋" w:eastAsia="仿宋" w:cs="仿宋"/>
          <w:bCs/>
          <w:kern w:val="0"/>
          <w:sz w:val="24"/>
          <w:highlight w:val="none"/>
        </w:rPr>
        <w:t>采购结果公告：</w:t>
      </w:r>
      <w:r>
        <w:rPr>
          <w:rFonts w:hint="eastAsia" w:ascii="仿宋" w:hAnsi="仿宋" w:eastAsia="仿宋" w:cs="仿宋"/>
          <w:bCs/>
          <w:kern w:val="0"/>
          <w:sz w:val="24"/>
          <w:highlight w:val="none"/>
          <w:u w:val="single"/>
        </w:rPr>
        <w:t>是/否</w:t>
      </w:r>
      <w:r>
        <w:rPr>
          <w:rFonts w:hint="eastAsia" w:ascii="仿宋" w:hAnsi="仿宋" w:eastAsia="仿宋" w:cs="仿宋"/>
          <w:bCs/>
          <w:kern w:val="0"/>
          <w:sz w:val="24"/>
          <w:highlight w:val="none"/>
        </w:rPr>
        <w:t>公告期限：</w:t>
      </w:r>
    </w:p>
    <w:p w14:paraId="34348E19">
      <w:pPr>
        <w:spacing w:line="360" w:lineRule="auto"/>
        <w:ind w:left="25" w:leftChars="12" w:firstLine="472" w:firstLineChars="196"/>
        <w:outlineLvl w:val="1"/>
        <w:rPr>
          <w:rFonts w:hint="eastAsia" w:ascii="仿宋" w:hAnsi="仿宋" w:eastAsia="仿宋" w:cs="仿宋"/>
          <w:b/>
          <w:kern w:val="0"/>
          <w:sz w:val="24"/>
          <w:highlight w:val="none"/>
        </w:rPr>
      </w:pPr>
      <w:bookmarkStart w:id="318" w:name="_Toc30921"/>
      <w:r>
        <w:rPr>
          <w:rFonts w:hint="eastAsia" w:ascii="仿宋" w:hAnsi="仿宋" w:eastAsia="仿宋" w:cs="仿宋"/>
          <w:b/>
          <w:kern w:val="0"/>
          <w:sz w:val="24"/>
          <w:highlight w:val="none"/>
        </w:rPr>
        <w:t>三、质疑基本情况</w:t>
      </w:r>
      <w:bookmarkEnd w:id="318"/>
    </w:p>
    <w:p w14:paraId="1B098117">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投诉人于年月日，向提出质疑，质疑事项为：</w:t>
      </w:r>
    </w:p>
    <w:p w14:paraId="4E265F4C">
      <w:pPr>
        <w:spacing w:line="360" w:lineRule="auto"/>
        <w:ind w:firstLine="241"/>
        <w:rPr>
          <w:rFonts w:hint="eastAsia" w:ascii="仿宋" w:hAnsi="仿宋" w:eastAsia="仿宋" w:cs="仿宋"/>
          <w:bCs/>
          <w:kern w:val="0"/>
          <w:sz w:val="24"/>
          <w:highlight w:val="none"/>
          <w:u w:val="single"/>
        </w:rPr>
      </w:pPr>
    </w:p>
    <w:p w14:paraId="083813DE">
      <w:pPr>
        <w:spacing w:line="360" w:lineRule="auto"/>
        <w:ind w:firstLine="241"/>
        <w:rPr>
          <w:rFonts w:hint="eastAsia" w:ascii="仿宋" w:hAnsi="仿宋" w:eastAsia="仿宋" w:cs="仿宋"/>
          <w:bCs/>
          <w:kern w:val="0"/>
          <w:sz w:val="24"/>
          <w:highlight w:val="none"/>
          <w:u w:val="single"/>
        </w:rPr>
      </w:pPr>
    </w:p>
    <w:p w14:paraId="3AC6349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bCs/>
          <w:kern w:val="0"/>
          <w:sz w:val="24"/>
          <w:highlight w:val="none"/>
          <w:u w:val="single"/>
        </w:rPr>
        <w:t>采购人/代理机构</w:t>
      </w:r>
      <w:r>
        <w:rPr>
          <w:rFonts w:hint="eastAsia" w:ascii="仿宋" w:hAnsi="仿宋" w:eastAsia="仿宋" w:cs="仿宋"/>
          <w:bCs/>
          <w:kern w:val="0"/>
          <w:sz w:val="24"/>
          <w:highlight w:val="none"/>
        </w:rPr>
        <w:t>于</w:t>
      </w:r>
      <w:r>
        <w:rPr>
          <w:rFonts w:hint="eastAsia" w:ascii="仿宋" w:hAnsi="仿宋" w:eastAsia="仿宋" w:cs="仿宋"/>
          <w:kern w:val="0"/>
          <w:sz w:val="24"/>
          <w:highlight w:val="none"/>
        </w:rPr>
        <w:t>年月日，</w:t>
      </w:r>
      <w:r>
        <w:rPr>
          <w:rFonts w:hint="eastAsia" w:ascii="仿宋" w:hAnsi="仿宋" w:eastAsia="仿宋" w:cs="仿宋"/>
          <w:bCs/>
          <w:kern w:val="0"/>
          <w:sz w:val="24"/>
          <w:highlight w:val="none"/>
        </w:rPr>
        <w:t xml:space="preserve">就质疑事项作出了答复/没有在法定期限内作出答复。                                                                                             </w:t>
      </w:r>
    </w:p>
    <w:p w14:paraId="70B4E7B5">
      <w:pPr>
        <w:spacing w:line="360" w:lineRule="auto"/>
        <w:ind w:left="25" w:leftChars="12" w:firstLine="472" w:firstLineChars="196"/>
        <w:outlineLvl w:val="1"/>
        <w:rPr>
          <w:rFonts w:hint="eastAsia" w:ascii="仿宋" w:hAnsi="仿宋" w:eastAsia="仿宋" w:cs="仿宋"/>
          <w:b/>
          <w:kern w:val="0"/>
          <w:sz w:val="24"/>
          <w:highlight w:val="none"/>
        </w:rPr>
      </w:pPr>
      <w:bookmarkStart w:id="319" w:name="_Toc7350"/>
      <w:r>
        <w:rPr>
          <w:rFonts w:hint="eastAsia" w:ascii="仿宋" w:hAnsi="仿宋" w:eastAsia="仿宋" w:cs="仿宋"/>
          <w:b/>
          <w:kern w:val="0"/>
          <w:sz w:val="24"/>
          <w:highlight w:val="none"/>
        </w:rPr>
        <w:t>四、投诉事项具体内容</w:t>
      </w:r>
      <w:bookmarkEnd w:id="319"/>
    </w:p>
    <w:p w14:paraId="731E018C">
      <w:pPr>
        <w:spacing w:line="360" w:lineRule="auto"/>
        <w:ind w:left="25" w:leftChars="12" w:firstLine="472" w:firstLineChars="197"/>
        <w:rPr>
          <w:rFonts w:hint="eastAsia" w:ascii="仿宋" w:hAnsi="仿宋" w:eastAsia="仿宋" w:cs="仿宋"/>
          <w:bCs/>
          <w:kern w:val="0"/>
          <w:sz w:val="24"/>
          <w:highlight w:val="none"/>
          <w:u w:val="single"/>
        </w:rPr>
      </w:pPr>
      <w:r>
        <w:rPr>
          <w:rFonts w:hint="eastAsia" w:ascii="仿宋" w:hAnsi="仿宋" w:eastAsia="仿宋" w:cs="仿宋"/>
          <w:kern w:val="0"/>
          <w:sz w:val="24"/>
          <w:highlight w:val="none"/>
        </w:rPr>
        <w:t>投诉事项1：</w:t>
      </w:r>
    </w:p>
    <w:p w14:paraId="4875C163">
      <w:pPr>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事实依据：</w:t>
      </w:r>
    </w:p>
    <w:p w14:paraId="650C5837">
      <w:pPr>
        <w:spacing w:line="360" w:lineRule="auto"/>
        <w:ind w:left="25" w:leftChars="12" w:firstLine="472" w:firstLineChars="197"/>
        <w:rPr>
          <w:rFonts w:hint="eastAsia" w:ascii="仿宋" w:hAnsi="仿宋" w:eastAsia="仿宋" w:cs="仿宋"/>
          <w:kern w:val="0"/>
          <w:sz w:val="24"/>
          <w:highlight w:val="none"/>
        </w:rPr>
      </w:pPr>
    </w:p>
    <w:p w14:paraId="5992240B">
      <w:pPr>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法律依据：</w:t>
      </w:r>
    </w:p>
    <w:p w14:paraId="091D2815">
      <w:pPr>
        <w:spacing w:line="360" w:lineRule="auto"/>
        <w:ind w:left="25" w:leftChars="12" w:firstLine="352" w:firstLineChars="147"/>
        <w:rPr>
          <w:rFonts w:hint="eastAsia" w:ascii="仿宋" w:hAnsi="仿宋" w:eastAsia="仿宋" w:cs="仿宋"/>
          <w:bCs/>
          <w:kern w:val="0"/>
          <w:sz w:val="24"/>
          <w:highlight w:val="none"/>
          <w:u w:val="single"/>
        </w:rPr>
      </w:pPr>
    </w:p>
    <w:p w14:paraId="397A222C">
      <w:pPr>
        <w:spacing w:line="360" w:lineRule="auto"/>
        <w:ind w:left="25" w:leftChars="12" w:firstLine="472" w:firstLineChars="197"/>
        <w:rPr>
          <w:rFonts w:hint="eastAsia" w:ascii="仿宋" w:hAnsi="仿宋" w:eastAsia="仿宋" w:cs="仿宋"/>
          <w:bCs/>
          <w:kern w:val="0"/>
          <w:sz w:val="24"/>
          <w:highlight w:val="none"/>
        </w:rPr>
      </w:pPr>
      <w:r>
        <w:rPr>
          <w:rFonts w:hint="eastAsia" w:ascii="仿宋" w:hAnsi="仿宋" w:eastAsia="仿宋" w:cs="仿宋"/>
          <w:kern w:val="0"/>
          <w:sz w:val="24"/>
          <w:highlight w:val="none"/>
        </w:rPr>
        <w:t xml:space="preserve">投诉事项2  </w:t>
      </w:r>
    </w:p>
    <w:p w14:paraId="3229D4C9">
      <w:pPr>
        <w:spacing w:line="360" w:lineRule="auto"/>
        <w:ind w:left="25" w:leftChars="12" w:firstLine="472" w:firstLineChars="197"/>
        <w:rPr>
          <w:rFonts w:hint="eastAsia" w:ascii="仿宋" w:hAnsi="仿宋" w:eastAsia="仿宋" w:cs="仿宋"/>
          <w:bCs/>
          <w:kern w:val="0"/>
          <w:sz w:val="24"/>
          <w:highlight w:val="none"/>
        </w:rPr>
      </w:pPr>
      <w:r>
        <w:rPr>
          <w:rFonts w:hint="eastAsia" w:ascii="仿宋" w:hAnsi="仿宋" w:eastAsia="仿宋" w:cs="仿宋"/>
          <w:bCs/>
          <w:kern w:val="0"/>
          <w:sz w:val="24"/>
          <w:highlight w:val="none"/>
        </w:rPr>
        <w:t>……</w:t>
      </w:r>
    </w:p>
    <w:p w14:paraId="507A1990">
      <w:pPr>
        <w:spacing w:line="360" w:lineRule="auto"/>
        <w:ind w:left="25" w:leftChars="12" w:firstLine="472" w:firstLineChars="196"/>
        <w:outlineLvl w:val="1"/>
        <w:rPr>
          <w:rFonts w:hint="eastAsia" w:ascii="仿宋" w:hAnsi="仿宋" w:eastAsia="仿宋" w:cs="仿宋"/>
          <w:b/>
          <w:kern w:val="0"/>
          <w:sz w:val="24"/>
          <w:highlight w:val="none"/>
        </w:rPr>
      </w:pPr>
      <w:bookmarkStart w:id="320" w:name="_Toc130"/>
      <w:r>
        <w:rPr>
          <w:rFonts w:hint="eastAsia" w:ascii="仿宋" w:hAnsi="仿宋" w:eastAsia="仿宋" w:cs="仿宋"/>
          <w:b/>
          <w:kern w:val="0"/>
          <w:sz w:val="24"/>
          <w:highlight w:val="none"/>
        </w:rPr>
        <w:t>五、与投诉事项相关的投诉请求：</w:t>
      </w:r>
      <w:bookmarkEnd w:id="320"/>
    </w:p>
    <w:p w14:paraId="6166346C">
      <w:pPr>
        <w:spacing w:line="360" w:lineRule="auto"/>
        <w:ind w:left="25" w:leftChars="12" w:firstLine="472" w:firstLineChars="197"/>
        <w:rPr>
          <w:rFonts w:hint="eastAsia" w:ascii="仿宋" w:hAnsi="仿宋" w:eastAsia="仿宋" w:cs="仿宋"/>
          <w:kern w:val="0"/>
          <w:sz w:val="24"/>
          <w:highlight w:val="none"/>
        </w:rPr>
      </w:pPr>
      <w:r>
        <w:rPr>
          <w:rFonts w:hint="eastAsia" w:ascii="仿宋" w:hAnsi="仿宋" w:eastAsia="仿宋" w:cs="仿宋"/>
          <w:kern w:val="0"/>
          <w:sz w:val="24"/>
          <w:highlight w:val="none"/>
        </w:rPr>
        <w:t>请求：</w:t>
      </w:r>
    </w:p>
    <w:p w14:paraId="3B583441">
      <w:pPr>
        <w:spacing w:line="360" w:lineRule="auto"/>
        <w:ind w:left="25" w:leftChars="12" w:firstLine="352" w:firstLineChars="147"/>
        <w:rPr>
          <w:rFonts w:hint="eastAsia" w:ascii="仿宋" w:hAnsi="仿宋" w:eastAsia="仿宋" w:cs="仿宋"/>
          <w:kern w:val="0"/>
          <w:sz w:val="24"/>
          <w:highlight w:val="none"/>
        </w:rPr>
      </w:pPr>
    </w:p>
    <w:p w14:paraId="65753304">
      <w:pPr>
        <w:spacing w:line="360" w:lineRule="auto"/>
        <w:ind w:left="25" w:leftChars="12" w:firstLine="472" w:firstLineChars="197"/>
        <w:rPr>
          <w:rFonts w:hint="eastAsia" w:ascii="仿宋" w:hAnsi="仿宋" w:eastAsia="仿宋" w:cs="仿宋"/>
          <w:kern w:val="0"/>
          <w:sz w:val="24"/>
          <w:highlight w:val="none"/>
        </w:rPr>
      </w:pPr>
      <w:r>
        <w:rPr>
          <w:rFonts w:hint="eastAsia" w:ascii="仿宋" w:hAnsi="仿宋" w:eastAsia="仿宋" w:cs="仿宋"/>
          <w:kern w:val="0"/>
          <w:sz w:val="24"/>
          <w:highlight w:val="none"/>
        </w:rPr>
        <w:t>签字（签章）：                                       公章：</w:t>
      </w:r>
    </w:p>
    <w:p w14:paraId="7A1840F4">
      <w:pPr>
        <w:spacing w:line="360" w:lineRule="auto"/>
        <w:ind w:left="25" w:leftChars="12" w:firstLine="352" w:firstLineChars="147"/>
        <w:rPr>
          <w:rFonts w:hint="eastAsia" w:ascii="仿宋" w:hAnsi="仿宋" w:eastAsia="仿宋" w:cs="仿宋"/>
          <w:kern w:val="0"/>
          <w:sz w:val="24"/>
          <w:highlight w:val="none"/>
        </w:rPr>
      </w:pPr>
    </w:p>
    <w:p w14:paraId="2134AC9A">
      <w:pPr>
        <w:spacing w:line="360" w:lineRule="auto"/>
        <w:ind w:left="25" w:leftChars="12" w:firstLine="472" w:firstLineChars="197"/>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66304D3B">
      <w:pPr>
        <w:snapToGrid w:val="0"/>
        <w:spacing w:line="360" w:lineRule="auto"/>
        <w:rPr>
          <w:rFonts w:hint="eastAsia" w:ascii="仿宋" w:hAnsi="仿宋" w:eastAsia="仿宋" w:cs="仿宋"/>
          <w:b/>
          <w:kern w:val="0"/>
          <w:sz w:val="24"/>
          <w:highlight w:val="none"/>
        </w:rPr>
      </w:pPr>
    </w:p>
    <w:p w14:paraId="0527BFD3">
      <w:pPr>
        <w:snapToGrid w:val="0"/>
        <w:spacing w:line="360" w:lineRule="auto"/>
        <w:rPr>
          <w:rFonts w:hint="eastAsia" w:ascii="仿宋" w:hAnsi="仿宋" w:eastAsia="仿宋" w:cs="仿宋"/>
          <w:b/>
          <w:kern w:val="0"/>
          <w:sz w:val="24"/>
          <w:highlight w:val="none"/>
        </w:rPr>
      </w:pPr>
      <w:r>
        <w:rPr>
          <w:rFonts w:hint="eastAsia" w:ascii="仿宋" w:hAnsi="仿宋" w:eastAsia="仿宋" w:cs="仿宋"/>
          <w:b/>
          <w:kern w:val="0"/>
          <w:sz w:val="24"/>
          <w:highlight w:val="none"/>
        </w:rPr>
        <w:t>说明：</w:t>
      </w:r>
    </w:p>
    <w:p w14:paraId="288CA4A5">
      <w:pPr>
        <w:spacing w:line="360" w:lineRule="auto"/>
        <w:ind w:left="25" w:leftChars="12" w:firstLine="354" w:firstLineChars="147"/>
        <w:rPr>
          <w:rFonts w:hint="eastAsia" w:ascii="仿宋" w:hAnsi="仿宋" w:eastAsia="仿宋" w:cs="仿宋"/>
          <w:b/>
          <w:bCs/>
          <w:kern w:val="0"/>
          <w:sz w:val="24"/>
          <w:highlight w:val="none"/>
        </w:rPr>
      </w:pPr>
      <w:r>
        <w:rPr>
          <w:rFonts w:hint="eastAsia" w:ascii="仿宋" w:hAnsi="仿宋" w:eastAsia="仿宋" w:cs="仿宋"/>
          <w:b/>
          <w:kern w:val="0"/>
          <w:sz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kern w:val="0"/>
          <w:sz w:val="24"/>
          <w:highlight w:val="none"/>
        </w:rPr>
        <w:t>。</w:t>
      </w:r>
    </w:p>
    <w:p w14:paraId="2487407D">
      <w:pPr>
        <w:spacing w:line="360" w:lineRule="auto"/>
        <w:ind w:left="25" w:leftChars="12" w:firstLine="354" w:firstLineChars="147"/>
        <w:rPr>
          <w:rFonts w:hint="eastAsia" w:ascii="仿宋" w:hAnsi="仿宋" w:eastAsia="仿宋" w:cs="仿宋"/>
          <w:b/>
          <w:kern w:val="0"/>
          <w:sz w:val="24"/>
          <w:highlight w:val="none"/>
        </w:rPr>
      </w:pPr>
      <w:r>
        <w:rPr>
          <w:rFonts w:hint="eastAsia" w:ascii="仿宋" w:hAnsi="仿宋" w:eastAsia="仿宋" w:cs="仿宋"/>
          <w:b/>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5B7E4BA">
      <w:pPr>
        <w:spacing w:line="360" w:lineRule="auto"/>
        <w:ind w:left="25" w:leftChars="12" w:firstLine="354" w:firstLineChars="147"/>
        <w:rPr>
          <w:rFonts w:hint="eastAsia" w:ascii="仿宋" w:hAnsi="仿宋" w:eastAsia="仿宋" w:cs="仿宋"/>
          <w:b/>
          <w:kern w:val="0"/>
          <w:sz w:val="24"/>
          <w:highlight w:val="none"/>
        </w:rPr>
      </w:pPr>
      <w:r>
        <w:rPr>
          <w:rFonts w:hint="eastAsia" w:ascii="仿宋" w:hAnsi="仿宋" w:eastAsia="仿宋" w:cs="仿宋"/>
          <w:b/>
          <w:kern w:val="0"/>
          <w:sz w:val="24"/>
          <w:highlight w:val="none"/>
        </w:rPr>
        <w:t>3.投诉书应简要列明质疑事项，质疑函、质疑答复等作为附件材料提供。</w:t>
      </w:r>
    </w:p>
    <w:p w14:paraId="02AD84A2">
      <w:pPr>
        <w:spacing w:line="360" w:lineRule="auto"/>
        <w:ind w:left="25" w:leftChars="12" w:firstLine="354" w:firstLineChars="147"/>
        <w:rPr>
          <w:rFonts w:hint="eastAsia" w:ascii="仿宋" w:hAnsi="仿宋" w:eastAsia="仿宋" w:cs="仿宋"/>
          <w:b/>
          <w:kern w:val="0"/>
          <w:sz w:val="24"/>
          <w:highlight w:val="none"/>
        </w:rPr>
      </w:pPr>
      <w:r>
        <w:rPr>
          <w:rFonts w:hint="eastAsia" w:ascii="仿宋" w:hAnsi="仿宋" w:eastAsia="仿宋" w:cs="仿宋"/>
          <w:b/>
          <w:kern w:val="0"/>
          <w:sz w:val="24"/>
          <w:highlight w:val="none"/>
        </w:rPr>
        <w:t>4.投诉书的投诉事项应具体、明确，并有必要的事实依据和法律依据。</w:t>
      </w:r>
    </w:p>
    <w:p w14:paraId="4FDF8C2C">
      <w:pPr>
        <w:spacing w:line="360" w:lineRule="auto"/>
        <w:ind w:left="25" w:leftChars="12" w:firstLine="354" w:firstLineChars="147"/>
        <w:rPr>
          <w:rFonts w:hint="eastAsia" w:ascii="仿宋" w:hAnsi="仿宋" w:eastAsia="仿宋" w:cs="仿宋"/>
          <w:b/>
          <w:kern w:val="0"/>
          <w:sz w:val="24"/>
          <w:highlight w:val="none"/>
        </w:rPr>
      </w:pPr>
      <w:r>
        <w:rPr>
          <w:rFonts w:hint="eastAsia" w:ascii="仿宋" w:hAnsi="仿宋" w:eastAsia="仿宋" w:cs="仿宋"/>
          <w:b/>
          <w:kern w:val="0"/>
          <w:sz w:val="24"/>
          <w:highlight w:val="none"/>
        </w:rPr>
        <w:t>5.投诉书的投诉请求应与投诉事项相关。</w:t>
      </w:r>
    </w:p>
    <w:p w14:paraId="1C10F1FD">
      <w:pPr>
        <w:spacing w:line="360" w:lineRule="auto"/>
        <w:ind w:left="25" w:leftChars="12" w:firstLine="354" w:firstLineChars="147"/>
        <w:rPr>
          <w:rFonts w:hint="eastAsia" w:ascii="仿宋" w:hAnsi="仿宋" w:eastAsia="仿宋" w:cs="仿宋"/>
          <w:highlight w:val="none"/>
        </w:rPr>
      </w:pPr>
      <w:r>
        <w:rPr>
          <w:rFonts w:hint="eastAsia" w:ascii="仿宋" w:hAnsi="仿宋" w:eastAsia="仿宋" w:cs="仿宋"/>
          <w:b/>
          <w:kern w:val="0"/>
          <w:sz w:val="24"/>
          <w:highlight w:val="none"/>
        </w:rPr>
        <w:t>6.投诉人为法人或者其他组织的，投诉书应由法定代表人、主要负责人，或者其授权代表签字或者盖章，并加盖公章。</w:t>
      </w:r>
    </w:p>
    <w:sectPr>
      <w:footerReference r:id="rId26" w:type="first"/>
      <w:footerReference r:id="rId25" w:type="default"/>
      <w:pgSz w:w="11905" w:h="16838"/>
      <w:pgMar w:top="1304" w:right="1304" w:bottom="1304" w:left="1304" w:header="720" w:footer="720" w:gutter="0"/>
      <w:pgNumType w:fmt="decimal"/>
      <w:cols w:space="720" w:num="1"/>
      <w:docGrid w:type="lines" w:linePitch="3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EDD29">
    <w:pPr>
      <w:pStyle w:val="21"/>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D1F4F">
    <w:pPr>
      <w:pStyle w:val="21"/>
      <w:framePr w:wrap="around" w:vAnchor="text" w:hAnchor="margin" w:xAlign="right" w:y="1"/>
      <w:rPr>
        <w:rStyle w:val="36"/>
      </w:rPr>
    </w:pPr>
    <w:r>
      <w:fldChar w:fldCharType="begin"/>
    </w:r>
    <w:r>
      <w:rPr>
        <w:rStyle w:val="36"/>
      </w:rPr>
      <w:instrText xml:space="preserve">PAGE  </w:instrText>
    </w:r>
    <w:r>
      <w:fldChar w:fldCharType="separate"/>
    </w:r>
    <w:r>
      <w:rPr>
        <w:rStyle w:val="36"/>
      </w:rPr>
      <w:t>122</w:t>
    </w:r>
    <w:r>
      <w:fldChar w:fldCharType="end"/>
    </w:r>
  </w:p>
  <w:p w14:paraId="02EA2084">
    <w:pPr>
      <w:pStyle w:val="21"/>
      <w:ind w:right="360"/>
      <w:jc w:val="both"/>
    </w:pP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4C0BD">
    <w:pPr>
      <w:pStyle w:val="2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F04147">
                          <w:pPr>
                            <w:pStyle w:val="21"/>
                          </w:pPr>
                          <w:r>
                            <w:fldChar w:fldCharType="begin"/>
                          </w:r>
                          <w:r>
                            <w:instrText xml:space="preserve"> PAGE  \* MERGEFORMAT </w:instrText>
                          </w:r>
                          <w:r>
                            <w:fldChar w:fldCharType="separate"/>
                          </w:r>
                          <w:r>
                            <w:t>57</w:t>
                          </w:r>
                          <w:r>
                            <w:fldChar w:fldCharType="end"/>
                          </w:r>
                        </w:p>
                      </w:txbxContent>
                    </wps:txbx>
                    <wps:bodyPr wrap="none" lIns="0" tIns="0" rIns="0" bIns="0">
                      <a:spAutoFit/>
                    </wps:bodyPr>
                  </wps:wsp>
                </a:graphicData>
              </a:graphic>
            </wp:anchor>
          </w:drawing>
        </mc:Choice>
        <mc:Fallback>
          <w:pict>
            <v:shape id="文本框 514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4OGMQBAACQAwAADgAAAGRycy9lMm9Eb2MueG1srVPNjtMwEL4j8Q6W&#10;79RpB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bxa&#10;vlxmhfoANSbeB0xNwxs/4N7MfkBnJj6oaPMXKRGMo77nq75ySETkR+vVel1hSGBsviA+e3geIqS3&#10;0luSjYZGHGDRlZ/eQxpT55Rczfk7bUwZonF/ORAze1jufewxW2nYDxOhvW/PyKfH2TfU4apTYt45&#10;lDavyWzE2dhPRq4B4fUxYeHST0YdoaZiOKjCaFqqvAl/3kvWw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4OGMQBAACQAwAADgAAAAAAAAABACAAAAAeAQAAZHJzL2Uyb0RvYy54bWxQ&#10;SwUGAAAAAAYABgBZAQAAVAUAAAAA&#10;">
              <v:fill on="f" focussize="0,0"/>
              <v:stroke on="f"/>
              <v:imagedata o:title=""/>
              <o:lock v:ext="edit" aspectratio="f"/>
              <v:textbox inset="0mm,0mm,0mm,0mm" style="mso-fit-shape-to-text:t;">
                <w:txbxContent>
                  <w:p w14:paraId="0CF04147">
                    <w:pPr>
                      <w:pStyle w:val="21"/>
                    </w:pPr>
                    <w:r>
                      <w:fldChar w:fldCharType="begin"/>
                    </w:r>
                    <w:r>
                      <w:instrText xml:space="preserve"> PAGE  \* MERGEFORMAT </w:instrText>
                    </w:r>
                    <w:r>
                      <w:fldChar w:fldCharType="separate"/>
                    </w:r>
                    <w:r>
                      <w:t>57</w:t>
                    </w:r>
                    <w:r>
                      <w:fldChar w:fldCharType="end"/>
                    </w:r>
                  </w:p>
                </w:txbxContent>
              </v:textbox>
            </v:shape>
          </w:pict>
        </mc:Fallback>
      </mc:AlternateContent>
    </w:r>
  </w:p>
  <w:p w14:paraId="2D5DE299">
    <w:pPr>
      <w:pStyle w:val="2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EBB27">
    <w:pPr>
      <w:pStyle w:val="21"/>
      <w:framePr w:wrap="around" w:vAnchor="text" w:hAnchor="margin" w:xAlign="center" w:y="1"/>
      <w:rPr>
        <w:rStyle w:val="36"/>
      </w:rPr>
    </w:pPr>
    <w:r>
      <w:fldChar w:fldCharType="begin"/>
    </w:r>
    <w:r>
      <w:rPr>
        <w:rStyle w:val="36"/>
      </w:rPr>
      <w:instrText xml:space="preserve">PAGE  </w:instrText>
    </w:r>
    <w:r>
      <w:fldChar w:fldCharType="end"/>
    </w:r>
  </w:p>
  <w:p w14:paraId="1A26D7D7">
    <w:pPr>
      <w:pStyle w:val="21"/>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24D5">
    <w:pPr>
      <w:pStyle w:val="21"/>
      <w:framePr w:wrap="around" w:vAnchor="text" w:hAnchor="margin" w:xAlign="right" w:y="1"/>
      <w:rPr>
        <w:rStyle w:val="36"/>
      </w:rPr>
    </w:pPr>
    <w:r>
      <w:fldChar w:fldCharType="begin"/>
    </w:r>
    <w:r>
      <w:rPr>
        <w:rStyle w:val="36"/>
      </w:rPr>
      <w:instrText xml:space="preserve">PAGE  </w:instrText>
    </w:r>
    <w:r>
      <w:fldChar w:fldCharType="separate"/>
    </w:r>
    <w:r>
      <w:rPr>
        <w:rStyle w:val="36"/>
      </w:rPr>
      <w:t>122</w:t>
    </w:r>
    <w:r>
      <w:fldChar w:fldCharType="end"/>
    </w:r>
  </w:p>
  <w:p w14:paraId="51AA8CCD">
    <w:pPr>
      <w:pStyle w:val="21"/>
      <w:ind w:right="360"/>
      <w:jc w:val="both"/>
    </w:pPr>
    <w:r>
      <w:rPr>
        <w:rFonts w:hint="eastAsia"/>
      </w:rPr>
      <w:t>121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73BA6">
    <w:pPr>
      <w:pStyle w:val="21"/>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FB66CF">
                          <w:pPr>
                            <w:pStyle w:val="21"/>
                          </w:pPr>
                          <w:r>
                            <w:fldChar w:fldCharType="begin"/>
                          </w:r>
                          <w:r>
                            <w:instrText xml:space="preserve"> PAGE  \* MERGEFORMAT </w:instrText>
                          </w:r>
                          <w:r>
                            <w:fldChar w:fldCharType="separate"/>
                          </w:r>
                          <w:r>
                            <w:t>69</w:t>
                          </w:r>
                          <w:r>
                            <w:fldChar w:fldCharType="end"/>
                          </w:r>
                        </w:p>
                      </w:txbxContent>
                    </wps:txbx>
                    <wps:bodyPr wrap="none" lIns="0" tIns="0" rIns="0" bIns="0">
                      <a:spAutoFit/>
                    </wps:bodyPr>
                  </wps:wsp>
                </a:graphicData>
              </a:graphic>
            </wp:anchor>
          </w:drawing>
        </mc:Choice>
        <mc:Fallback>
          <w:pict>
            <v:shape id="文本框 514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59pOcQBAACQ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4tgdtzjwy/dvlx+/Lj+/klfL&#10;l6usUB+gxsS7gKlpeOsH3JvZD+jMxAcVbf4iJYJx1Pd81VcOiYj8aL1arysMCYzNF8RnD89DhPRO&#10;ekuy0dCIAyy68tMHSGPqnJKrOX+rjSlDNO4vB2JmD8u9jz1mKw37YSK09+0Z+fQ4+4Y6XHVKzHuH&#10;0uY1mY04G/vJyDUgvDkmLFz6yagj1FQMB1UYTUuVN+HPe8l6+JG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559pOcQBAACQAwAADgAAAAAAAAABACAAAAAeAQAAZHJzL2Uyb0RvYy54bWxQ&#10;SwUGAAAAAAYABgBZAQAAVAUAAAAA&#10;">
              <v:fill on="f" focussize="0,0"/>
              <v:stroke on="f"/>
              <v:imagedata o:title=""/>
              <o:lock v:ext="edit" aspectratio="f"/>
              <v:textbox inset="0mm,0mm,0mm,0mm" style="mso-fit-shape-to-text:t;">
                <w:txbxContent>
                  <w:p w14:paraId="4DFB66CF">
                    <w:pPr>
                      <w:pStyle w:val="21"/>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651C">
    <w:pPr>
      <w:pStyle w:val="2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E1D949">
                          <w:pPr>
                            <w:pStyle w:val="21"/>
                          </w:pPr>
                          <w:r>
                            <w:fldChar w:fldCharType="begin"/>
                          </w:r>
                          <w:r>
                            <w:instrText xml:space="preserve"> PAGE  \* MERGEFORMAT </w:instrText>
                          </w:r>
                          <w:r>
                            <w:fldChar w:fldCharType="separate"/>
                          </w:r>
                          <w:r>
                            <w:t>74</w:t>
                          </w:r>
                          <w:r>
                            <w:fldChar w:fldCharType="end"/>
                          </w:r>
                        </w:p>
                      </w:txbxContent>
                    </wps:txbx>
                    <wps:bodyPr wrap="none" lIns="0" tIns="0" rIns="0" bIns="0">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wmGHMYBAACQAwAADgAAAGRycy9lMm9Eb2MueG1srVNLbtswEN0XyB0I&#10;7mPJLtIYguWghZGgQNEWSHoAmiItAvyBQ1vyBdobdNVN9z2Xz9EhJTlNssmiG2o4M3wz781oddMb&#10;TQ4igHK2pvNZSYmw3DXK7mr67eH2ckkJRGYbpp0VNT0KoDfrizerzldi4VqnGxEIglioOl/TNkZf&#10;FQXwVhgGM+eFxaB0wbCI17ArmsA6RDe6WJTlu6JzofHBcQGA3s0QpCNieA2gk1JxsXF8b4SNA2oQ&#10;mkWkBK3yQNe5WykFj1+kBBGJrikyjfnEImhv01msV6zaBeZbxccW2GtaeMbJMGWx6BlqwyIj+6Be&#10;QBnFgwMn44w7UwxEsiLIYl4+0+a+ZV5kLig1+LPo8P9g+efD10BUU9NrSiwzOPDTzx+nX39Ov7+T&#10;q/nb66RQ56HCxHuPqbH/4Hrcm8kP6EzEexlM+iIlgnHU93jWV/SR8PRouVguSwxxjE0XxC8en/sA&#10;8U44Q5JR04ADzLqywyeIQ+qUkqpZd6u0zkPU9okDMZOnSL0PPSYr9tt+JLR1zRH5dDj7mlpcdUr0&#10;R4vSpjWZjDAZ29FINcC/30csnPtJqAPUWAwHlRmNS5U24d97znr8kd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PCYYcxgEAAJADAAAOAAAAAAAAAAEAIAAAAB4BAABkcnMvZTJvRG9jLnht&#10;bFBLBQYAAAAABgAGAFkBAABWBQAAAAA=&#10;">
              <v:fill on="f" focussize="0,0"/>
              <v:stroke on="f"/>
              <v:imagedata o:title=""/>
              <o:lock v:ext="edit" aspectratio="f"/>
              <v:textbox inset="0mm,0mm,0mm,0mm" style="mso-fit-shape-to-text:t;">
                <w:txbxContent>
                  <w:p w14:paraId="0FE1D949">
                    <w:pPr>
                      <w:pStyle w:val="2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E2158">
    <w:pPr>
      <w:pStyle w:val="21"/>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80AC0D">
                          <w:pPr>
                            <w:pStyle w:val="21"/>
                          </w:pPr>
                          <w:r>
                            <w:fldChar w:fldCharType="begin"/>
                          </w:r>
                          <w:r>
                            <w:instrText xml:space="preserve"> PAGE  \* MERGEFORMAT </w:instrText>
                          </w:r>
                          <w:r>
                            <w:fldChar w:fldCharType="separate"/>
                          </w:r>
                          <w:r>
                            <w:t>87</w:t>
                          </w:r>
                          <w:r>
                            <w:fldChar w:fldCharType="end"/>
                          </w:r>
                        </w:p>
                      </w:txbxContent>
                    </wps:txbx>
                    <wps:bodyPr wrap="none" lIns="0" tIns="0" rIns="0" bIns="0">
                      <a:spAutoFit/>
                    </wps:bodyPr>
                  </wps:wsp>
                </a:graphicData>
              </a:graphic>
            </wp:anchor>
          </w:drawing>
        </mc:Choice>
        <mc:Fallback>
          <w:pict>
            <v:shape id="文本框 5138"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2/z8QBAACQAwAADgAAAGRycy9lMm9Eb2MueG1srVPNjtMwEL4j8Q6W&#10;79ukXYFC1HQFqhYhIUBaeADXsRtL/pPHbdIXgDfgxIU7z9XnYOwk3R8ue+DijGfG38z3zWR9MxhN&#10;jiKAcrahy0VJibDctcruG/rt6+1VRQlEZlumnRUNPQmgN5uXL9a9r8XKdU63IhAEsVD3vqFdjL4u&#10;CuCdMAwWzguLQemCYRGvYV+0gfWIbnSxKsvXRe9C64PjAgC92zFIJ8TwHEAnpeJi6/jBCBtH1CA0&#10;i0gJOuWBbnK3UgoeP0sJIhLdUGQa84lF0N6ls9isWb0PzHeKTy2w57TwhJNhymLRC9SWRUYOQf0D&#10;ZRQPDpyMC+5MMRLJiiCLZflEm7uOeZG5oNTgL6LD/4Pln45fAlFtQ99QYpnBgZ9//jj/+nP+/Z28&#10;Wl5XSaHeQ42Jdx5T4/DODbg3sx/QmYgPMpj0RUoE46jv6aKvGCLh6VG1qqoSQxxj8wXxi/vnPkB8&#10;L5whyWhowAFmXdnxI8QxdU5J1ay7VVrnIWr7yIGYyVOk3scekxWH3TAR2rn2hHx6nH1DLa46JfqD&#10;RWnTmsxGmI3dZKQa4N8eIhbO/STUEWoqhoPKjKalSpvw8J6z7n+kz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ne2/z8QBAACQAwAADgAAAAAAAAABACAAAAAeAQAAZHJzL2Uyb0RvYy54bWxQ&#10;SwUGAAAAAAYABgBZAQAAVAUAAAAA&#10;">
              <v:fill on="f" focussize="0,0"/>
              <v:stroke on="f"/>
              <v:imagedata o:title=""/>
              <o:lock v:ext="edit" aspectratio="f"/>
              <v:textbox inset="0mm,0mm,0mm,0mm" style="mso-fit-shape-to-text:t;">
                <w:txbxContent>
                  <w:p w14:paraId="0D80AC0D">
                    <w:pPr>
                      <w:pStyle w:val="21"/>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6A89D">
    <w:pPr>
      <w:pStyle w:val="21"/>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587494">
                          <w:pPr>
                            <w:pStyle w:val="21"/>
                          </w:pPr>
                          <w:r>
                            <w:fldChar w:fldCharType="begin"/>
                          </w:r>
                          <w:r>
                            <w:instrText xml:space="preserve"> PAGE  \* MERGEFORMAT </w:instrText>
                          </w:r>
                          <w:r>
                            <w:fldChar w:fldCharType="separate"/>
                          </w:r>
                          <w:r>
                            <w:t>89</w:t>
                          </w:r>
                          <w:r>
                            <w:fldChar w:fldCharType="end"/>
                          </w:r>
                        </w:p>
                      </w:txbxContent>
                    </wps:txbx>
                    <wps:bodyPr wrap="none" lIns="0" tIns="0" rIns="0" bIns="0">
                      <a:spAutoFit/>
                    </wps:bodyPr>
                  </wps:wsp>
                </a:graphicData>
              </a:graphic>
            </wp:anchor>
          </w:drawing>
        </mc:Choice>
        <mc:Fallback>
          <w:pict>
            <v:shape id="文本框 5139"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PCHVcQBAACR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BY3ASVx3OLEL9+/XX78uvz8Sl4s&#10;n7/KEvUBasy8C5ibhjd+wPTZD+jMzAcVbf4iJ4JxRDtfBZZDIiI/Wq/W6wpDAmPzBfHZ/fMQIb2V&#10;3pJsNDTiBIuw/PQe0pg6p+Rqzt9qY8oUjfvLgZjZw3LvY4/ZSsN+mAjtfXtGPj0Ov6EOd50S886h&#10;tthfmo04G/vJyDUgvD4mLFz6yagj1FQMJ1UYTVuVV+HPe8m6/5O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TPCHVcQBAACRAwAADgAAAAAAAAABACAAAAAeAQAAZHJzL2Uyb0RvYy54bWxQ&#10;SwUGAAAAAAYABgBZAQAAVAUAAAAA&#10;">
              <v:fill on="f" focussize="0,0"/>
              <v:stroke on="f"/>
              <v:imagedata o:title=""/>
              <o:lock v:ext="edit" aspectratio="f"/>
              <v:textbox inset="0mm,0mm,0mm,0mm" style="mso-fit-shape-to-text:t;">
                <w:txbxContent>
                  <w:p w14:paraId="10587494">
                    <w:pPr>
                      <w:pStyle w:val="21"/>
                    </w:pPr>
                    <w:r>
                      <w:fldChar w:fldCharType="begin"/>
                    </w:r>
                    <w:r>
                      <w:instrText xml:space="preserve"> PAGE  \* MERGEFORMAT </w:instrText>
                    </w:r>
                    <w:r>
                      <w:fldChar w:fldCharType="separate"/>
                    </w:r>
                    <w:r>
                      <w:t>89</w:t>
                    </w:r>
                    <w:r>
                      <w:fldChar w:fldCharType="end"/>
                    </w:r>
                  </w:p>
                </w:txbxContent>
              </v:textbox>
            </v:shape>
          </w:pict>
        </mc:Fallback>
      </mc:AlternateContent>
    </w:r>
  </w:p>
  <w:p w14:paraId="0AC61566">
    <w:pPr>
      <w:pStyle w:val="21"/>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8AECE">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280BBE">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ouLsQBAACQAwAADgAAAGRycy9lMm9Eb2MueG1srVPBjtMwEL0j8Q+W&#10;79RpJFAVNV3tqlqEhABp4QNcx2ks2R7L4zbpD8AfcOLCne/qdzBO0i4slz1wccYz4zfz3kzWN4Oz&#10;7KgjGvA1Xy4KzrRX0Bi/r/mXz/evVpxhkr6RFryu+Ukjv9m8fLHuQ6VL6MA2OjIC8Vj1oeZdSqES&#10;AlWnncQFBO0p2EJ0MtE17kUTZU/ozoqyKN6IHmITIiiNSN7tFOQzYnwOILStUXoL6uC0TxNq1FYm&#10;ooSdCcg3Y7dtq1X62LaoE7M1J6ZpPKkI2bt8is1aVvsoQ2fU3IJ8TgtPODlpPBW9Qm1lkuwQzT9Q&#10;zqgICG1aKHBiIjIqQiyWxRNtHjoZ9MiFpMZwFR3/H6z6cPwUmWloEzjz0tHAz9+/nX/8Ov/8yl4v&#10;yzIr1AesKPEhUGoa7mDI2bMfyZmJD210+UuUGMVJ39NVXz0kpvKjVblaFRRSFLtcCEc8Pg8R01sN&#10;jmWj5pEGOOoqj+8xTamXlFzNw72xlvyysv4vB2Fmj8i9Tz1mKw27YW58B82J+PQ0+5p7WnXO7DtP&#10;0uY1uRjxYuxmI9fAcHtIVHjsJ6NOUHMxGtTIaF6qvAl/3sesxx9p8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couLsQBAACQAwAADgAAAAAAAAABACAAAAAeAQAAZHJzL2Uyb0RvYy54bWxQ&#10;SwUGAAAAAAYABgBZAQAAVAUAAAAA&#10;">
              <v:fill on="f" focussize="0,0"/>
              <v:stroke on="f"/>
              <v:imagedata o:title=""/>
              <o:lock v:ext="edit" aspectratio="f"/>
              <v:textbox inset="0mm,0mm,0mm,0mm" style="mso-fit-shape-to-text:t;">
                <w:txbxContent>
                  <w:p w14:paraId="36280BBE">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B601">
    <w:pPr>
      <w:pStyle w:val="21"/>
      <w:framePr w:wrap="around" w:vAnchor="text" w:hAnchor="margin" w:xAlign="center" w:y="1"/>
      <w:rPr>
        <w:rStyle w:val="36"/>
        <w:sz w:val="21"/>
      </w:rPr>
    </w:pPr>
    <w:r>
      <w:rPr>
        <w:sz w:val="21"/>
      </w:rPr>
      <w:fldChar w:fldCharType="begin"/>
    </w:r>
    <w:r>
      <w:rPr>
        <w:rStyle w:val="36"/>
        <w:sz w:val="21"/>
      </w:rPr>
      <w:instrText xml:space="preserve">PAGE  </w:instrText>
    </w:r>
    <w:r>
      <w:rPr>
        <w:sz w:val="21"/>
      </w:rPr>
      <w:fldChar w:fldCharType="separate"/>
    </w:r>
    <w:r>
      <w:rPr>
        <w:rStyle w:val="36"/>
        <w:sz w:val="21"/>
      </w:rPr>
      <w:t>0</w:t>
    </w:r>
    <w:r>
      <w:rPr>
        <w:sz w:val="21"/>
      </w:rPr>
      <w:fldChar w:fldCharType="end"/>
    </w:r>
  </w:p>
  <w:p w14:paraId="6DE452DF">
    <w:pPr>
      <w:pStyle w:val="21"/>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C88B">
    <w:pPr>
      <w:pStyle w:val="21"/>
      <w:tabs>
        <w:tab w:val="center" w:pos="4439"/>
        <w:tab w:val="clear" w:pos="4153"/>
      </w:tabs>
      <w:jc w:val="both"/>
    </w:pPr>
  </w:p>
  <w:p w14:paraId="02BD9AEC">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6CC64">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C0A84">
    <w:pPr>
      <w:pStyle w:val="21"/>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E872E2">
                          <w:pPr>
                            <w:pStyle w:val="21"/>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51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vAVns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XVHiuMWBX75/u/z4dfn5lbxc&#10;3txkhfoANSbeB0xNwxs/4N7MfkBnJj6oaPMXKRGMo77nq75ySETkR+vVel1hSGBsviA+e3geIqS3&#10;0luSjYZGHGDRlZ/eQxpT55Rczfk7bUwZonF/ORAze1jufewxW2nYDxOhvW/PyKfH2TfU4apTYt45&#10;lDavyWzE2dhPRq4B4fUxYeHST0YdoaZiOKjCaFqqvAl/3kvWw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MvAVnsQBAACQAwAADgAAAAAAAAABACAAAAAeAQAAZHJzL2Uyb0RvYy54bWxQ&#10;SwUGAAAAAAYABgBZAQAAVAUAAAAA&#10;">
              <v:fill on="f" focussize="0,0"/>
              <v:stroke on="f"/>
              <v:imagedata o:title=""/>
              <o:lock v:ext="edit" aspectratio="f"/>
              <v:textbox inset="0mm,0mm,0mm,0mm" style="mso-fit-shape-to-text:t;">
                <w:txbxContent>
                  <w:p w14:paraId="02E872E2">
                    <w:pPr>
                      <w:pStyle w:val="21"/>
                    </w:pPr>
                    <w:r>
                      <w:fldChar w:fldCharType="begin"/>
                    </w:r>
                    <w:r>
                      <w:instrText xml:space="preserve"> PAGE  \* MERGEFORMAT </w:instrText>
                    </w:r>
                    <w:r>
                      <w:fldChar w:fldCharType="separate"/>
                    </w:r>
                    <w:r>
                      <w:t>3</w:t>
                    </w:r>
                    <w:r>
                      <w:fldChar w:fldCharType="end"/>
                    </w:r>
                  </w:p>
                </w:txbxContent>
              </v:textbox>
            </v:shape>
          </w:pict>
        </mc:Fallback>
      </mc:AlternateContent>
    </w:r>
  </w:p>
  <w:p w14:paraId="5B8BD3AD">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E4053">
    <w:pPr>
      <w:pStyle w:val="2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3F5D95">
                          <w:pPr>
                            <w:pStyle w:val="21"/>
                          </w:pPr>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 id="文本框 513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rjz9sUBAACQAwAADgAAAGRycy9lMm9Eb2MueG1srVNLbtswEN0XyB0I&#10;7mvJTlsYguWghZGgQNEWSHIAmiItAvyBQ1vyBdobdNVN9z2Xz9EhJTm/TRbdUMOZ4Zt5b0arq95o&#10;chABlLM1nc9KSoTlrlF2V9P7u+u3S0ogMtsw7ayo6VEAvVpfvFl1vhIL1zrdiEAQxELV+Zq2Mfqq&#10;KIC3wjCYOS8sBqULhkW8hl3RBNYhutHFoiw/FJ0LjQ+OCwD0boYgHRHDawCdlIqLjeN7I2wcUIPQ&#10;LCIlaJUHus7dSil4/CYliEh0TZFpzCcWQXubzmK9YtUuMN8qPrbAXtPCM06GKYtFz1AbFhnZB/UC&#10;yigeHDgZZ9yZYiCSFUEW8/KZNrct8yJzQanBn0WH/wfLvx6+B6Kaml5SYpnBgZ9+/Tz9/nv684O8&#10;n1++Swp1HipMvPWYGvtPrse9mfyAzkS8l8GkL1IiGEd9j2d9RR8JT4+Wi+WyxBDH2HRB/OLhuQ8Q&#10;b4QzJBk1DTjArCs7fIE4pE4pqZp110rrPERtnzgQM3mK1PvQY7Jiv+1HQlvXHJFPh7OvqcVVp0R/&#10;tihtWpPJCJOxHY1UA/zHfcTCuZ+EOkCNxXBQmdG4VGkTHt9z1sOPtP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OK48/bFAQAAkAMAAA4AAAAAAAAAAQAgAAAAHgEAAGRycy9lMm9Eb2MueG1s&#10;UEsFBgAAAAAGAAYAWQEAAFUFAAAAAA==&#10;">
              <v:fill on="f" focussize="0,0"/>
              <v:stroke on="f"/>
              <v:imagedata o:title=""/>
              <o:lock v:ext="edit" aspectratio="f"/>
              <v:textbox inset="0mm,0mm,0mm,0mm" style="mso-fit-shape-to-text:t;">
                <w:txbxContent>
                  <w:p w14:paraId="2B3F5D95">
                    <w:pPr>
                      <w:pStyle w:val="21"/>
                    </w:pPr>
                    <w:r>
                      <w:fldChar w:fldCharType="begin"/>
                    </w:r>
                    <w:r>
                      <w:instrText xml:space="preserve"> PAGE  \* MERGEFORMAT </w:instrText>
                    </w:r>
                    <w:r>
                      <w:fldChar w:fldCharType="separate"/>
                    </w:r>
                    <w:r>
                      <w:t>15</w:t>
                    </w:r>
                    <w:r>
                      <w:fldChar w:fldCharType="end"/>
                    </w:r>
                  </w:p>
                </w:txbxContent>
              </v:textbox>
            </v:shape>
          </w:pict>
        </mc:Fallback>
      </mc:AlternateContent>
    </w:r>
  </w:p>
  <w:p w14:paraId="794A1671">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7AC34">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5064EC">
                          <w:pPr>
                            <w:pStyle w:val="21"/>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3F5064EC">
                    <w:pPr>
                      <w:pStyle w:val="2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404CD">
    <w:pPr>
      <w:pStyle w:val="2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B7F487">
                          <w:pPr>
                            <w:pStyle w:val="21"/>
                          </w:pPr>
                          <w:r>
                            <w:fldChar w:fldCharType="begin"/>
                          </w:r>
                          <w:r>
                            <w:instrText xml:space="preserve"> PAGE  \* MERGEFORMAT </w:instrText>
                          </w:r>
                          <w:r>
                            <w:fldChar w:fldCharType="separate"/>
                          </w:r>
                          <w:r>
                            <w:t>55</w:t>
                          </w:r>
                          <w:r>
                            <w:fldChar w:fldCharType="end"/>
                          </w:r>
                        </w:p>
                      </w:txbxContent>
                    </wps:txbx>
                    <wps:bodyPr wrap="none" lIns="0" tIns="0" rIns="0" bIns="0">
                      <a:spAutoFit/>
                    </wps:bodyPr>
                  </wps:wsp>
                </a:graphicData>
              </a:graphic>
            </wp:anchor>
          </w:drawing>
        </mc:Choice>
        <mc:Fallback>
          <w:pict>
            <v:shape id="文本框 514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QNgtMQBAACQAwAADgAAAGRycy9lMm9Eb2MueG1srVPNjtMwEL4j8Q6W&#10;79RpxaIqarpaVC1CQoC08ACuYzeW/CeP26QvAG/AiQt3nqvPwdhJW1gue9iLM54ZfzPfN5PV7WAN&#10;OcgI2ruGzmcVJdIJ32q3a+jXL/evlpRA4q7lxjvZ0KMEert++WLVh1oufOdNKyNBEAd1HxrapRRq&#10;xkB00nKY+SAdBpWPlie8xh1rI+8R3Rq2qKo3rPexDdELCYDezRikE2J8CqBXSgu58WJvpUsjapSG&#10;J6QEnQ5A16VbpaRIn5QCmYhpKDJN5cQiaG/zydYrXu8iD50WUwv8KS084mS5dlj0ArXhiZN91P9B&#10;WS2iB6/STHjLRiJFEWQxrx5p89DxIAsXlBrCRXR4Pljx8fA5Et029IYSxy0O/PTj++nn79Ovb+Rm&#10;/roo1AeoMfEhYGoa3voB9yYrl/2Azkx8UNHmL1IiGEd9jxd95ZCIyI+Wi+WywpDA2PmCOOz6PERI&#10;76S3JBsNjTjAois/fIA0pp5TcjXn77UxZYjG/eNAzOxh1x6zlYbtMDW+9e0R+fQ4+4Y6XHVKzHuH&#10;0uY1ORvxbGwnI9eAcLdPWLj0k1FHqKkYDqowmpYqb8Lf95J1/ZH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QNgtMQBAACQAwAADgAAAAAAAAABACAAAAAeAQAAZHJzL2Uyb0RvYy54bWxQ&#10;SwUGAAAAAAYABgBZAQAAVAUAAAAA&#10;">
              <v:fill on="f" focussize="0,0"/>
              <v:stroke on="f"/>
              <v:imagedata o:title=""/>
              <o:lock v:ext="edit" aspectratio="f"/>
              <v:textbox inset="0mm,0mm,0mm,0mm" style="mso-fit-shape-to-text:t;">
                <w:txbxContent>
                  <w:p w14:paraId="4FB7F487">
                    <w:pPr>
                      <w:pStyle w:val="21"/>
                    </w:pPr>
                    <w:r>
                      <w:fldChar w:fldCharType="begin"/>
                    </w:r>
                    <w:r>
                      <w:instrText xml:space="preserve"> PAGE  \* MERGEFORMAT </w:instrText>
                    </w:r>
                    <w:r>
                      <w:fldChar w:fldCharType="separate"/>
                    </w:r>
                    <w:r>
                      <w:t>55</w:t>
                    </w:r>
                    <w:r>
                      <w:fldChar w:fldCharType="end"/>
                    </w:r>
                  </w:p>
                </w:txbxContent>
              </v:textbox>
            </v:shape>
          </w:pict>
        </mc:Fallback>
      </mc:AlternateContent>
    </w:r>
  </w:p>
  <w:p w14:paraId="0B1CA3FF">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B5B2E">
    <w:pPr>
      <w:pStyle w:val="21"/>
      <w:framePr w:wrap="around" w:vAnchor="text" w:hAnchor="margin" w:xAlign="center" w:y="1"/>
      <w:rPr>
        <w:rStyle w:val="36"/>
      </w:rPr>
    </w:pPr>
    <w:r>
      <w:fldChar w:fldCharType="begin"/>
    </w:r>
    <w:r>
      <w:rPr>
        <w:rStyle w:val="36"/>
      </w:rPr>
      <w:instrText xml:space="preserve">PAGE  </w:instrText>
    </w:r>
    <w:r>
      <w:fldChar w:fldCharType="end"/>
    </w:r>
  </w:p>
  <w:p w14:paraId="64508CEB">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FB282">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4313E">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7BD45">
    <w:pPr>
      <w:pStyle w:val="2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4E31">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1D8CB">
    <w:pPr>
      <w:pStyle w:val="22"/>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F887F">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F1E4A"/>
    <w:multiLevelType w:val="singleLevel"/>
    <w:tmpl w:val="816F1E4A"/>
    <w:lvl w:ilvl="0" w:tentative="0">
      <w:start w:val="6"/>
      <w:numFmt w:val="chineseCounting"/>
      <w:suff w:val="space"/>
      <w:lvlText w:val="第%1章"/>
      <w:lvlJc w:val="left"/>
      <w:rPr>
        <w:rFonts w:hint="eastAsia"/>
      </w:rPr>
    </w:lvl>
  </w:abstractNum>
  <w:abstractNum w:abstractNumId="1">
    <w:nsid w:val="89684B85"/>
    <w:multiLevelType w:val="singleLevel"/>
    <w:tmpl w:val="89684B85"/>
    <w:lvl w:ilvl="0" w:tentative="0">
      <w:start w:val="2"/>
      <w:numFmt w:val="chineseCounting"/>
      <w:suff w:val="nothing"/>
      <w:lvlText w:val="%1、"/>
      <w:lvlJc w:val="left"/>
      <w:rPr>
        <w:rFonts w:hint="eastAsia"/>
      </w:rPr>
    </w:lvl>
  </w:abstractNum>
  <w:abstractNum w:abstractNumId="2">
    <w:nsid w:val="9A9A8C41"/>
    <w:multiLevelType w:val="singleLevel"/>
    <w:tmpl w:val="9A9A8C41"/>
    <w:lvl w:ilvl="0" w:tentative="0">
      <w:start w:val="1"/>
      <w:numFmt w:val="decimal"/>
      <w:suff w:val="nothing"/>
      <w:lvlText w:val="%1"/>
      <w:lvlJc w:val="left"/>
      <w:pPr>
        <w:tabs>
          <w:tab w:val="left" w:pos="420"/>
        </w:tabs>
        <w:ind w:left="425" w:hanging="425"/>
      </w:pPr>
      <w:rPr>
        <w:rFonts w:hint="default"/>
      </w:rPr>
    </w:lvl>
  </w:abstractNum>
  <w:abstractNum w:abstractNumId="3">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cs="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cs="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cs="Times New Roman"/>
        <w:b/>
        <w:i w:val="0"/>
        <w:sz w:val="24"/>
      </w:rPr>
    </w:lvl>
    <w:lvl w:ilvl="3" w:tentative="0">
      <w:start w:val="1"/>
      <w:numFmt w:val="decimal"/>
      <w:pStyle w:val="5"/>
      <w:lvlText w:val="%1.%2.%3.%4"/>
      <w:lvlJc w:val="left"/>
      <w:pPr>
        <w:tabs>
          <w:tab w:val="left" w:pos="3063"/>
        </w:tabs>
        <w:ind w:left="3063" w:hanging="1078"/>
      </w:pPr>
      <w:rPr>
        <w:rFonts w:hint="default" w:ascii="Arial" w:hAnsi="Arial" w:cs="Times New Roman"/>
        <w:b w:val="0"/>
        <w:i w:val="0"/>
        <w:sz w:val="24"/>
      </w:r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5136"/>
        </w:tabs>
        <w:ind w:left="4394" w:hanging="1418"/>
      </w:pPr>
    </w:lvl>
    <w:lvl w:ilvl="8" w:tentative="0">
      <w:start w:val="1"/>
      <w:numFmt w:val="decimal"/>
      <w:lvlText w:val="%1.%2.%3.%4.%5.%6.%7.%8.%9"/>
      <w:lvlJc w:val="left"/>
      <w:pPr>
        <w:tabs>
          <w:tab w:val="left" w:pos="5562"/>
        </w:tabs>
        <w:ind w:left="5102" w:hanging="17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6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iNjM0YWQ0ZmIxZDA4OTExYjYxNmU4NDQ2ODNmOGQ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246E"/>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251"/>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143"/>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589D"/>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5B18"/>
    <w:rsid w:val="00286FB5"/>
    <w:rsid w:val="00287763"/>
    <w:rsid w:val="00287FCB"/>
    <w:rsid w:val="002904FE"/>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D7878"/>
    <w:rsid w:val="002E109C"/>
    <w:rsid w:val="002E193E"/>
    <w:rsid w:val="002E1A94"/>
    <w:rsid w:val="002E1D55"/>
    <w:rsid w:val="002E26C4"/>
    <w:rsid w:val="002E30A5"/>
    <w:rsid w:val="002E47E4"/>
    <w:rsid w:val="002E4BF9"/>
    <w:rsid w:val="002E4D61"/>
    <w:rsid w:val="002E5FED"/>
    <w:rsid w:val="002E68A7"/>
    <w:rsid w:val="002E6E6C"/>
    <w:rsid w:val="002E713F"/>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08BF"/>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468C"/>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1C84"/>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1F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0E6F"/>
    <w:rsid w:val="005A11BC"/>
    <w:rsid w:val="005A1525"/>
    <w:rsid w:val="005A1E17"/>
    <w:rsid w:val="005A1E30"/>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2170"/>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3900"/>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89"/>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11CD"/>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0F0"/>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4E15"/>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0876"/>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3B5"/>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6929"/>
    <w:rsid w:val="00DC6F22"/>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26B7C"/>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400"/>
    <w:rsid w:val="00F81587"/>
    <w:rsid w:val="00F8288F"/>
    <w:rsid w:val="00F84033"/>
    <w:rsid w:val="00F84802"/>
    <w:rsid w:val="00F85B72"/>
    <w:rsid w:val="00F86540"/>
    <w:rsid w:val="00F865CE"/>
    <w:rsid w:val="00F8766F"/>
    <w:rsid w:val="00F91082"/>
    <w:rsid w:val="00F9116D"/>
    <w:rsid w:val="00F91A9A"/>
    <w:rsid w:val="00F9203B"/>
    <w:rsid w:val="00F93427"/>
    <w:rsid w:val="00F93ABB"/>
    <w:rsid w:val="00F94D79"/>
    <w:rsid w:val="00F9658C"/>
    <w:rsid w:val="00F97A7F"/>
    <w:rsid w:val="00FA0889"/>
    <w:rsid w:val="00FA16E7"/>
    <w:rsid w:val="00FA31C7"/>
    <w:rsid w:val="00FA472D"/>
    <w:rsid w:val="00FA4A32"/>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422176"/>
    <w:rsid w:val="01AF3D99"/>
    <w:rsid w:val="01C0753F"/>
    <w:rsid w:val="020D1CA4"/>
    <w:rsid w:val="022F3AF1"/>
    <w:rsid w:val="02511F9D"/>
    <w:rsid w:val="02824FCA"/>
    <w:rsid w:val="0336188F"/>
    <w:rsid w:val="03A314B8"/>
    <w:rsid w:val="03D82B98"/>
    <w:rsid w:val="03E109E3"/>
    <w:rsid w:val="03EC0C52"/>
    <w:rsid w:val="03F83E8B"/>
    <w:rsid w:val="041E081C"/>
    <w:rsid w:val="0433224A"/>
    <w:rsid w:val="04510922"/>
    <w:rsid w:val="046F4BA2"/>
    <w:rsid w:val="04CB4231"/>
    <w:rsid w:val="052630C7"/>
    <w:rsid w:val="05C56868"/>
    <w:rsid w:val="05F22720"/>
    <w:rsid w:val="065A5CA7"/>
    <w:rsid w:val="067F098A"/>
    <w:rsid w:val="06CF736D"/>
    <w:rsid w:val="06DA69AD"/>
    <w:rsid w:val="07916369"/>
    <w:rsid w:val="07B72767"/>
    <w:rsid w:val="07C77DF9"/>
    <w:rsid w:val="08077E72"/>
    <w:rsid w:val="08114650"/>
    <w:rsid w:val="086B3FA2"/>
    <w:rsid w:val="08882DD0"/>
    <w:rsid w:val="08FA50E4"/>
    <w:rsid w:val="09CC2AAC"/>
    <w:rsid w:val="09D26E76"/>
    <w:rsid w:val="0A652D3E"/>
    <w:rsid w:val="0B2B3C7B"/>
    <w:rsid w:val="0B326F2A"/>
    <w:rsid w:val="0B5D195B"/>
    <w:rsid w:val="0BAB6B6A"/>
    <w:rsid w:val="0BFA26DA"/>
    <w:rsid w:val="0C1E2888"/>
    <w:rsid w:val="0C346B5F"/>
    <w:rsid w:val="0C403449"/>
    <w:rsid w:val="0C440164"/>
    <w:rsid w:val="0C92213C"/>
    <w:rsid w:val="0D84032B"/>
    <w:rsid w:val="0DDF6F9F"/>
    <w:rsid w:val="0DFA16E3"/>
    <w:rsid w:val="0E1E1875"/>
    <w:rsid w:val="0EDA6AA7"/>
    <w:rsid w:val="0F274759"/>
    <w:rsid w:val="0F2A74C4"/>
    <w:rsid w:val="0FBCA17F"/>
    <w:rsid w:val="0FDE37F3"/>
    <w:rsid w:val="101A42BE"/>
    <w:rsid w:val="10432A8F"/>
    <w:rsid w:val="10484987"/>
    <w:rsid w:val="10A27F31"/>
    <w:rsid w:val="10DE52EC"/>
    <w:rsid w:val="11427629"/>
    <w:rsid w:val="11627CCB"/>
    <w:rsid w:val="11927058"/>
    <w:rsid w:val="11A007F3"/>
    <w:rsid w:val="12C16C73"/>
    <w:rsid w:val="12F86B39"/>
    <w:rsid w:val="13AF4F03"/>
    <w:rsid w:val="13C20EF5"/>
    <w:rsid w:val="14254418"/>
    <w:rsid w:val="14736E66"/>
    <w:rsid w:val="147F458F"/>
    <w:rsid w:val="14891A12"/>
    <w:rsid w:val="14D958EC"/>
    <w:rsid w:val="1534169A"/>
    <w:rsid w:val="153D7608"/>
    <w:rsid w:val="15C03E03"/>
    <w:rsid w:val="162A25EB"/>
    <w:rsid w:val="163A3D1E"/>
    <w:rsid w:val="16FD2A55"/>
    <w:rsid w:val="17067C1A"/>
    <w:rsid w:val="17366761"/>
    <w:rsid w:val="17491877"/>
    <w:rsid w:val="177C01F0"/>
    <w:rsid w:val="17CE6630"/>
    <w:rsid w:val="186935DE"/>
    <w:rsid w:val="186E0FEE"/>
    <w:rsid w:val="19370583"/>
    <w:rsid w:val="19595E57"/>
    <w:rsid w:val="1A02029D"/>
    <w:rsid w:val="1A473F02"/>
    <w:rsid w:val="1AFF0AFE"/>
    <w:rsid w:val="1B4F19F8"/>
    <w:rsid w:val="1B6B4DAD"/>
    <w:rsid w:val="1BE7224A"/>
    <w:rsid w:val="1C226F03"/>
    <w:rsid w:val="1DE516E8"/>
    <w:rsid w:val="1DF06496"/>
    <w:rsid w:val="1EAB5578"/>
    <w:rsid w:val="1ECC44FA"/>
    <w:rsid w:val="1EE342DE"/>
    <w:rsid w:val="1F063325"/>
    <w:rsid w:val="1F121E3A"/>
    <w:rsid w:val="1F365C88"/>
    <w:rsid w:val="1F8C4364"/>
    <w:rsid w:val="1F938A0B"/>
    <w:rsid w:val="1FBC5DF5"/>
    <w:rsid w:val="1FCF55A5"/>
    <w:rsid w:val="1FE392AD"/>
    <w:rsid w:val="1FF90588"/>
    <w:rsid w:val="1FFF5F06"/>
    <w:rsid w:val="20920044"/>
    <w:rsid w:val="20C3623F"/>
    <w:rsid w:val="213A47C0"/>
    <w:rsid w:val="21781212"/>
    <w:rsid w:val="217F21D3"/>
    <w:rsid w:val="21B83F86"/>
    <w:rsid w:val="221178A8"/>
    <w:rsid w:val="221213CF"/>
    <w:rsid w:val="22327A92"/>
    <w:rsid w:val="22BF2E43"/>
    <w:rsid w:val="22D70117"/>
    <w:rsid w:val="231D53A2"/>
    <w:rsid w:val="23404213"/>
    <w:rsid w:val="236D5383"/>
    <w:rsid w:val="23B311BD"/>
    <w:rsid w:val="23B6250A"/>
    <w:rsid w:val="23B7504C"/>
    <w:rsid w:val="24521E21"/>
    <w:rsid w:val="24571307"/>
    <w:rsid w:val="25110A2A"/>
    <w:rsid w:val="255A2660"/>
    <w:rsid w:val="256C0944"/>
    <w:rsid w:val="259F2EFD"/>
    <w:rsid w:val="25B8643B"/>
    <w:rsid w:val="25E92311"/>
    <w:rsid w:val="25EE7927"/>
    <w:rsid w:val="25FEDE37"/>
    <w:rsid w:val="26446DE3"/>
    <w:rsid w:val="269669E7"/>
    <w:rsid w:val="26D703BB"/>
    <w:rsid w:val="26D7699F"/>
    <w:rsid w:val="27295D18"/>
    <w:rsid w:val="272B4AB5"/>
    <w:rsid w:val="27B10997"/>
    <w:rsid w:val="27C6290A"/>
    <w:rsid w:val="27E50A60"/>
    <w:rsid w:val="27EAB132"/>
    <w:rsid w:val="280B656E"/>
    <w:rsid w:val="28132A02"/>
    <w:rsid w:val="283A50A6"/>
    <w:rsid w:val="28887BBF"/>
    <w:rsid w:val="28A10C81"/>
    <w:rsid w:val="28C037FD"/>
    <w:rsid w:val="28D903C2"/>
    <w:rsid w:val="29161FA6"/>
    <w:rsid w:val="2A03252C"/>
    <w:rsid w:val="2A13795C"/>
    <w:rsid w:val="2A3044AF"/>
    <w:rsid w:val="2A8B1BAD"/>
    <w:rsid w:val="2A9C3FD7"/>
    <w:rsid w:val="2B25203D"/>
    <w:rsid w:val="2B272806"/>
    <w:rsid w:val="2B7106A8"/>
    <w:rsid w:val="2B774624"/>
    <w:rsid w:val="2B807273"/>
    <w:rsid w:val="2BD51A87"/>
    <w:rsid w:val="2C5B49E6"/>
    <w:rsid w:val="2C7A72BE"/>
    <w:rsid w:val="2C9A7D75"/>
    <w:rsid w:val="2CC17412"/>
    <w:rsid w:val="2CFF2C41"/>
    <w:rsid w:val="2D811081"/>
    <w:rsid w:val="2DC72F38"/>
    <w:rsid w:val="2E5D019E"/>
    <w:rsid w:val="2E9976CE"/>
    <w:rsid w:val="2EAE40F8"/>
    <w:rsid w:val="2EC97ADF"/>
    <w:rsid w:val="2EDC2BDB"/>
    <w:rsid w:val="2F1523C9"/>
    <w:rsid w:val="2F401D3C"/>
    <w:rsid w:val="2F47106A"/>
    <w:rsid w:val="2F5B24E1"/>
    <w:rsid w:val="2F6114D1"/>
    <w:rsid w:val="2F7D8EDB"/>
    <w:rsid w:val="2FA95C88"/>
    <w:rsid w:val="2FBC2844"/>
    <w:rsid w:val="2FF63FA8"/>
    <w:rsid w:val="301B57BD"/>
    <w:rsid w:val="30396268"/>
    <w:rsid w:val="3041370F"/>
    <w:rsid w:val="307B28E7"/>
    <w:rsid w:val="307F117A"/>
    <w:rsid w:val="307F5D4C"/>
    <w:rsid w:val="30B579BF"/>
    <w:rsid w:val="31275204"/>
    <w:rsid w:val="312B50A3"/>
    <w:rsid w:val="31A43590"/>
    <w:rsid w:val="3238172D"/>
    <w:rsid w:val="32453A27"/>
    <w:rsid w:val="3263064A"/>
    <w:rsid w:val="32A43132"/>
    <w:rsid w:val="32AC0C06"/>
    <w:rsid w:val="33344EF5"/>
    <w:rsid w:val="343B01DB"/>
    <w:rsid w:val="344C2F16"/>
    <w:rsid w:val="34523D48"/>
    <w:rsid w:val="345D63A4"/>
    <w:rsid w:val="346F60D7"/>
    <w:rsid w:val="34A947B8"/>
    <w:rsid w:val="34B531DB"/>
    <w:rsid w:val="34CC51C1"/>
    <w:rsid w:val="352B64A2"/>
    <w:rsid w:val="3537750C"/>
    <w:rsid w:val="3537798C"/>
    <w:rsid w:val="35700359"/>
    <w:rsid w:val="35AA6175"/>
    <w:rsid w:val="35C13FC9"/>
    <w:rsid w:val="35E22D38"/>
    <w:rsid w:val="35F16009"/>
    <w:rsid w:val="3606016F"/>
    <w:rsid w:val="361613D7"/>
    <w:rsid w:val="364257B6"/>
    <w:rsid w:val="367B5900"/>
    <w:rsid w:val="369811E1"/>
    <w:rsid w:val="371D7FC0"/>
    <w:rsid w:val="375C030A"/>
    <w:rsid w:val="37AE1547"/>
    <w:rsid w:val="37EA5922"/>
    <w:rsid w:val="37F65193"/>
    <w:rsid w:val="38276B93"/>
    <w:rsid w:val="384C0BE0"/>
    <w:rsid w:val="386D0B7F"/>
    <w:rsid w:val="38AC3431"/>
    <w:rsid w:val="38D76622"/>
    <w:rsid w:val="392F2E16"/>
    <w:rsid w:val="39C410BB"/>
    <w:rsid w:val="39E00529"/>
    <w:rsid w:val="3A002BF4"/>
    <w:rsid w:val="3A0B64A7"/>
    <w:rsid w:val="3A282FB0"/>
    <w:rsid w:val="3A574DDA"/>
    <w:rsid w:val="3AD3075A"/>
    <w:rsid w:val="3AD97DF2"/>
    <w:rsid w:val="3ADB6274"/>
    <w:rsid w:val="3AF74C02"/>
    <w:rsid w:val="3B0B1FFB"/>
    <w:rsid w:val="3B2C2F74"/>
    <w:rsid w:val="3B3E214F"/>
    <w:rsid w:val="3B4F2DA1"/>
    <w:rsid w:val="3B7A75C8"/>
    <w:rsid w:val="3BB07D59"/>
    <w:rsid w:val="3BBCE63F"/>
    <w:rsid w:val="3BF9FE33"/>
    <w:rsid w:val="3BFF200A"/>
    <w:rsid w:val="3C0059A5"/>
    <w:rsid w:val="3C134E78"/>
    <w:rsid w:val="3C785F45"/>
    <w:rsid w:val="3C8F64E8"/>
    <w:rsid w:val="3D3CB910"/>
    <w:rsid w:val="3DCC6348"/>
    <w:rsid w:val="3DEC7285"/>
    <w:rsid w:val="3DF6345D"/>
    <w:rsid w:val="3DFD0004"/>
    <w:rsid w:val="3E2B5515"/>
    <w:rsid w:val="3E4D4F28"/>
    <w:rsid w:val="3E983D96"/>
    <w:rsid w:val="3EE13701"/>
    <w:rsid w:val="3F1A4BB3"/>
    <w:rsid w:val="3F5E6E16"/>
    <w:rsid w:val="3F8E7D59"/>
    <w:rsid w:val="3FDFEC21"/>
    <w:rsid w:val="3FE87167"/>
    <w:rsid w:val="400C0C7E"/>
    <w:rsid w:val="40192BA6"/>
    <w:rsid w:val="409D6334"/>
    <w:rsid w:val="412D70FE"/>
    <w:rsid w:val="41594397"/>
    <w:rsid w:val="41766EA9"/>
    <w:rsid w:val="42254279"/>
    <w:rsid w:val="42550A18"/>
    <w:rsid w:val="426E3E72"/>
    <w:rsid w:val="429D496A"/>
    <w:rsid w:val="42F473A1"/>
    <w:rsid w:val="431E79AD"/>
    <w:rsid w:val="43DAF727"/>
    <w:rsid w:val="43E4263E"/>
    <w:rsid w:val="43E837B0"/>
    <w:rsid w:val="440E0B44"/>
    <w:rsid w:val="441E62C0"/>
    <w:rsid w:val="44783D11"/>
    <w:rsid w:val="44F129F9"/>
    <w:rsid w:val="45325D14"/>
    <w:rsid w:val="45811C7C"/>
    <w:rsid w:val="45906116"/>
    <w:rsid w:val="46115CE9"/>
    <w:rsid w:val="46415E33"/>
    <w:rsid w:val="468B3EFB"/>
    <w:rsid w:val="46A936CA"/>
    <w:rsid w:val="46C25309"/>
    <w:rsid w:val="46E57680"/>
    <w:rsid w:val="470A6193"/>
    <w:rsid w:val="47385210"/>
    <w:rsid w:val="47693665"/>
    <w:rsid w:val="47DC4F5C"/>
    <w:rsid w:val="47DE16B2"/>
    <w:rsid w:val="47EB58C4"/>
    <w:rsid w:val="48300CD5"/>
    <w:rsid w:val="483D2FCF"/>
    <w:rsid w:val="48562075"/>
    <w:rsid w:val="48B40671"/>
    <w:rsid w:val="490D44E9"/>
    <w:rsid w:val="496438D9"/>
    <w:rsid w:val="499B5738"/>
    <w:rsid w:val="499F244D"/>
    <w:rsid w:val="4A7F1081"/>
    <w:rsid w:val="4A973F3F"/>
    <w:rsid w:val="4AF96BC7"/>
    <w:rsid w:val="4B5A416B"/>
    <w:rsid w:val="4B862A85"/>
    <w:rsid w:val="4BEF1B80"/>
    <w:rsid w:val="4C184C6A"/>
    <w:rsid w:val="4C33FBB4"/>
    <w:rsid w:val="4C680729"/>
    <w:rsid w:val="4C6A38FC"/>
    <w:rsid w:val="4CEF36E2"/>
    <w:rsid w:val="4CEF4DC5"/>
    <w:rsid w:val="4D290B1D"/>
    <w:rsid w:val="4D4952BF"/>
    <w:rsid w:val="4D5F1A11"/>
    <w:rsid w:val="4DBA359A"/>
    <w:rsid w:val="4DD532D0"/>
    <w:rsid w:val="4E143B1F"/>
    <w:rsid w:val="4E15663A"/>
    <w:rsid w:val="4E257655"/>
    <w:rsid w:val="4E760336"/>
    <w:rsid w:val="4E8D742E"/>
    <w:rsid w:val="4E8E7871"/>
    <w:rsid w:val="4F372380"/>
    <w:rsid w:val="4F372FFB"/>
    <w:rsid w:val="4F37A359"/>
    <w:rsid w:val="4F3A2122"/>
    <w:rsid w:val="4F3F0C1C"/>
    <w:rsid w:val="4F5A3EB8"/>
    <w:rsid w:val="4FFA0AF3"/>
    <w:rsid w:val="4FFE8B0F"/>
    <w:rsid w:val="5025116D"/>
    <w:rsid w:val="507A0C6B"/>
    <w:rsid w:val="50DC5278"/>
    <w:rsid w:val="50F97C7E"/>
    <w:rsid w:val="51374B95"/>
    <w:rsid w:val="52395ECD"/>
    <w:rsid w:val="529C6DD6"/>
    <w:rsid w:val="52A20162"/>
    <w:rsid w:val="52C10D75"/>
    <w:rsid w:val="52CA3B29"/>
    <w:rsid w:val="52DF5C66"/>
    <w:rsid w:val="5399EFFF"/>
    <w:rsid w:val="53C27FF8"/>
    <w:rsid w:val="53E977FC"/>
    <w:rsid w:val="53F66D8A"/>
    <w:rsid w:val="54224ABC"/>
    <w:rsid w:val="546155E5"/>
    <w:rsid w:val="546457ED"/>
    <w:rsid w:val="54666C4A"/>
    <w:rsid w:val="547F1F0F"/>
    <w:rsid w:val="549E1A80"/>
    <w:rsid w:val="54C658F4"/>
    <w:rsid w:val="550C4BD7"/>
    <w:rsid w:val="554C1D56"/>
    <w:rsid w:val="55572986"/>
    <w:rsid w:val="5587107B"/>
    <w:rsid w:val="55B055F7"/>
    <w:rsid w:val="55C062DD"/>
    <w:rsid w:val="55C220B3"/>
    <w:rsid w:val="55FA010A"/>
    <w:rsid w:val="56461B89"/>
    <w:rsid w:val="565340FA"/>
    <w:rsid w:val="56576893"/>
    <w:rsid w:val="56916BC3"/>
    <w:rsid w:val="56E95231"/>
    <w:rsid w:val="5723343E"/>
    <w:rsid w:val="573D7EAB"/>
    <w:rsid w:val="57A359D7"/>
    <w:rsid w:val="57A643D9"/>
    <w:rsid w:val="57BF6C51"/>
    <w:rsid w:val="582157B7"/>
    <w:rsid w:val="5928250F"/>
    <w:rsid w:val="593A401A"/>
    <w:rsid w:val="59AC7302"/>
    <w:rsid w:val="5A1C2788"/>
    <w:rsid w:val="5A2040C5"/>
    <w:rsid w:val="5A2F2CC8"/>
    <w:rsid w:val="5ACC7530"/>
    <w:rsid w:val="5AD76023"/>
    <w:rsid w:val="5B116EE6"/>
    <w:rsid w:val="5B3C183C"/>
    <w:rsid w:val="5B553CF6"/>
    <w:rsid w:val="5B8F6EDB"/>
    <w:rsid w:val="5BA26962"/>
    <w:rsid w:val="5BB029AE"/>
    <w:rsid w:val="5C074CC3"/>
    <w:rsid w:val="5C10702D"/>
    <w:rsid w:val="5C152601"/>
    <w:rsid w:val="5C591F03"/>
    <w:rsid w:val="5C775728"/>
    <w:rsid w:val="5C8A1B2F"/>
    <w:rsid w:val="5CB10DBA"/>
    <w:rsid w:val="5D3970FE"/>
    <w:rsid w:val="5D7BCCC4"/>
    <w:rsid w:val="5D914004"/>
    <w:rsid w:val="5E0F5B1D"/>
    <w:rsid w:val="5EB5475E"/>
    <w:rsid w:val="5EDB5503"/>
    <w:rsid w:val="5EE413F9"/>
    <w:rsid w:val="5F561B72"/>
    <w:rsid w:val="5F993E84"/>
    <w:rsid w:val="5FAD16DE"/>
    <w:rsid w:val="5FB22D2A"/>
    <w:rsid w:val="5FC609F2"/>
    <w:rsid w:val="5FDA0A43"/>
    <w:rsid w:val="5FFFF3E9"/>
    <w:rsid w:val="606007BB"/>
    <w:rsid w:val="60AC7F66"/>
    <w:rsid w:val="61535CF4"/>
    <w:rsid w:val="61BF10D9"/>
    <w:rsid w:val="61DA3D4C"/>
    <w:rsid w:val="61E57855"/>
    <w:rsid w:val="61F17C61"/>
    <w:rsid w:val="622D02D9"/>
    <w:rsid w:val="627C5949"/>
    <w:rsid w:val="62AC22DC"/>
    <w:rsid w:val="62F04A9F"/>
    <w:rsid w:val="636B1FDC"/>
    <w:rsid w:val="637833E8"/>
    <w:rsid w:val="63EBDAD7"/>
    <w:rsid w:val="6439CBD5"/>
    <w:rsid w:val="64E45EF7"/>
    <w:rsid w:val="6691014E"/>
    <w:rsid w:val="66A65911"/>
    <w:rsid w:val="66BB11BB"/>
    <w:rsid w:val="66C630D8"/>
    <w:rsid w:val="66C87CCE"/>
    <w:rsid w:val="670C13E0"/>
    <w:rsid w:val="67133BBE"/>
    <w:rsid w:val="6734236E"/>
    <w:rsid w:val="677435B2"/>
    <w:rsid w:val="67B457FB"/>
    <w:rsid w:val="67BA708E"/>
    <w:rsid w:val="67E70BF2"/>
    <w:rsid w:val="67EE7B2C"/>
    <w:rsid w:val="67EF75F1"/>
    <w:rsid w:val="67F114C4"/>
    <w:rsid w:val="689C2C37"/>
    <w:rsid w:val="68A73D33"/>
    <w:rsid w:val="69110892"/>
    <w:rsid w:val="69124F16"/>
    <w:rsid w:val="694A5205"/>
    <w:rsid w:val="69605A13"/>
    <w:rsid w:val="69735746"/>
    <w:rsid w:val="69B3090F"/>
    <w:rsid w:val="69CD5C14"/>
    <w:rsid w:val="69CF0D33"/>
    <w:rsid w:val="6ADF7409"/>
    <w:rsid w:val="6AF428B7"/>
    <w:rsid w:val="6B45197C"/>
    <w:rsid w:val="6B9946B3"/>
    <w:rsid w:val="6BEC17E0"/>
    <w:rsid w:val="6BF390E4"/>
    <w:rsid w:val="6C662189"/>
    <w:rsid w:val="6C7007C7"/>
    <w:rsid w:val="6C714B5C"/>
    <w:rsid w:val="6CD04C5E"/>
    <w:rsid w:val="6D6AEFC6"/>
    <w:rsid w:val="6DE76850"/>
    <w:rsid w:val="6DFB5D0A"/>
    <w:rsid w:val="6E3522FC"/>
    <w:rsid w:val="6E3E42DD"/>
    <w:rsid w:val="6E82467D"/>
    <w:rsid w:val="6EBFDB9E"/>
    <w:rsid w:val="6ECB1B80"/>
    <w:rsid w:val="6ED74B0A"/>
    <w:rsid w:val="6EDA3F55"/>
    <w:rsid w:val="6EDC5B3C"/>
    <w:rsid w:val="6EEE06A8"/>
    <w:rsid w:val="6EF54E4F"/>
    <w:rsid w:val="6EFC56E1"/>
    <w:rsid w:val="6F55D459"/>
    <w:rsid w:val="6F7F565E"/>
    <w:rsid w:val="6FB20BD4"/>
    <w:rsid w:val="6FB650F7"/>
    <w:rsid w:val="6FBA59BE"/>
    <w:rsid w:val="6FCFB0E1"/>
    <w:rsid w:val="6FCFD0F1"/>
    <w:rsid w:val="6FDE4300"/>
    <w:rsid w:val="70022272"/>
    <w:rsid w:val="70296B3E"/>
    <w:rsid w:val="70611204"/>
    <w:rsid w:val="706C1141"/>
    <w:rsid w:val="70782830"/>
    <w:rsid w:val="71483D81"/>
    <w:rsid w:val="718E263C"/>
    <w:rsid w:val="72EE509C"/>
    <w:rsid w:val="731A6C33"/>
    <w:rsid w:val="73445350"/>
    <w:rsid w:val="739EC6F4"/>
    <w:rsid w:val="73BB2014"/>
    <w:rsid w:val="73D87DA2"/>
    <w:rsid w:val="73E51841"/>
    <w:rsid w:val="74526685"/>
    <w:rsid w:val="74F0BC92"/>
    <w:rsid w:val="74FA2C30"/>
    <w:rsid w:val="75483F2B"/>
    <w:rsid w:val="754D5C4B"/>
    <w:rsid w:val="75AD3D04"/>
    <w:rsid w:val="75DA0773"/>
    <w:rsid w:val="75DEEBFC"/>
    <w:rsid w:val="76053BCA"/>
    <w:rsid w:val="76257DC8"/>
    <w:rsid w:val="765D69CE"/>
    <w:rsid w:val="76670089"/>
    <w:rsid w:val="767673FC"/>
    <w:rsid w:val="767F8561"/>
    <w:rsid w:val="76C240A7"/>
    <w:rsid w:val="76C577FD"/>
    <w:rsid w:val="772FAB7B"/>
    <w:rsid w:val="773F310C"/>
    <w:rsid w:val="775246B7"/>
    <w:rsid w:val="77750C4D"/>
    <w:rsid w:val="77C6B0A5"/>
    <w:rsid w:val="77FD1339"/>
    <w:rsid w:val="77FF40F5"/>
    <w:rsid w:val="781E69D1"/>
    <w:rsid w:val="78D91FA8"/>
    <w:rsid w:val="790A32BA"/>
    <w:rsid w:val="791C5BC1"/>
    <w:rsid w:val="79AFF06F"/>
    <w:rsid w:val="79FCE144"/>
    <w:rsid w:val="7A263B6B"/>
    <w:rsid w:val="7A48583C"/>
    <w:rsid w:val="7A4F18B8"/>
    <w:rsid w:val="7A6B1FF1"/>
    <w:rsid w:val="7AF46346"/>
    <w:rsid w:val="7B0336FA"/>
    <w:rsid w:val="7B0F5EBF"/>
    <w:rsid w:val="7B130FB9"/>
    <w:rsid w:val="7B3164FF"/>
    <w:rsid w:val="7B494559"/>
    <w:rsid w:val="7B672C31"/>
    <w:rsid w:val="7B7536CF"/>
    <w:rsid w:val="7BF64EDE"/>
    <w:rsid w:val="7BF68027"/>
    <w:rsid w:val="7BFB4240"/>
    <w:rsid w:val="7BFF8882"/>
    <w:rsid w:val="7C0714E4"/>
    <w:rsid w:val="7C400C1E"/>
    <w:rsid w:val="7C63164A"/>
    <w:rsid w:val="7C91084E"/>
    <w:rsid w:val="7CA7DDC5"/>
    <w:rsid w:val="7CBF6998"/>
    <w:rsid w:val="7CC83781"/>
    <w:rsid w:val="7CDF791A"/>
    <w:rsid w:val="7CE6E7D6"/>
    <w:rsid w:val="7D784430"/>
    <w:rsid w:val="7D7B0C16"/>
    <w:rsid w:val="7D8D3914"/>
    <w:rsid w:val="7D9B0C9B"/>
    <w:rsid w:val="7DB3AFA1"/>
    <w:rsid w:val="7DD11708"/>
    <w:rsid w:val="7DDB1A8F"/>
    <w:rsid w:val="7DDF8A23"/>
    <w:rsid w:val="7DDF9AEA"/>
    <w:rsid w:val="7DF70E0F"/>
    <w:rsid w:val="7DFB3FC4"/>
    <w:rsid w:val="7E404964"/>
    <w:rsid w:val="7E5D031B"/>
    <w:rsid w:val="7E750199"/>
    <w:rsid w:val="7EA9772C"/>
    <w:rsid w:val="7EBD579E"/>
    <w:rsid w:val="7EC167BD"/>
    <w:rsid w:val="7EEFEB25"/>
    <w:rsid w:val="7EF0CA4A"/>
    <w:rsid w:val="7EF99A4B"/>
    <w:rsid w:val="7F272D9E"/>
    <w:rsid w:val="7F7338C5"/>
    <w:rsid w:val="7F7D59FF"/>
    <w:rsid w:val="7F9BD17D"/>
    <w:rsid w:val="7FAB81B0"/>
    <w:rsid w:val="7FB458B3"/>
    <w:rsid w:val="7FB7B49F"/>
    <w:rsid w:val="7FBEC5DF"/>
    <w:rsid w:val="7FBF43B9"/>
    <w:rsid w:val="7FD03BB6"/>
    <w:rsid w:val="7FDFE2E4"/>
    <w:rsid w:val="7FF31EE3"/>
    <w:rsid w:val="7FF7BFE8"/>
    <w:rsid w:val="7FF7FC9B"/>
    <w:rsid w:val="7FFFC297"/>
    <w:rsid w:val="8FBF0615"/>
    <w:rsid w:val="97D96311"/>
    <w:rsid w:val="97FF0EC3"/>
    <w:rsid w:val="98B74F95"/>
    <w:rsid w:val="9B5FB031"/>
    <w:rsid w:val="A5FBCDB6"/>
    <w:rsid w:val="A7BE88F8"/>
    <w:rsid w:val="A8722208"/>
    <w:rsid w:val="AD3EEAB7"/>
    <w:rsid w:val="ADB746C3"/>
    <w:rsid w:val="AFBEBFAC"/>
    <w:rsid w:val="B9FFCBF4"/>
    <w:rsid w:val="BACF1FBF"/>
    <w:rsid w:val="BEFF317F"/>
    <w:rsid w:val="BF9BFBC0"/>
    <w:rsid w:val="BFBB1ABE"/>
    <w:rsid w:val="BFF7EE42"/>
    <w:rsid w:val="CADE8246"/>
    <w:rsid w:val="CDDD9775"/>
    <w:rsid w:val="CF2F5635"/>
    <w:rsid w:val="CFB20E21"/>
    <w:rsid w:val="D12D999E"/>
    <w:rsid w:val="D37F4954"/>
    <w:rsid w:val="D5DF2996"/>
    <w:rsid w:val="D5FF0078"/>
    <w:rsid w:val="D72FAC86"/>
    <w:rsid w:val="D76E6E67"/>
    <w:rsid w:val="D77EB6CB"/>
    <w:rsid w:val="DD9AC0E7"/>
    <w:rsid w:val="DF9A2C1C"/>
    <w:rsid w:val="DFC67BE3"/>
    <w:rsid w:val="DFFED6F0"/>
    <w:rsid w:val="DFFFDA53"/>
    <w:rsid w:val="E4BF95BD"/>
    <w:rsid w:val="E6B579D7"/>
    <w:rsid w:val="E7EE38A8"/>
    <w:rsid w:val="E7F72463"/>
    <w:rsid w:val="ED7F6FA3"/>
    <w:rsid w:val="EF5D0750"/>
    <w:rsid w:val="EF7D1D99"/>
    <w:rsid w:val="EFCDFF48"/>
    <w:rsid w:val="EFFD7135"/>
    <w:rsid w:val="EFFF6230"/>
    <w:rsid w:val="F2BB119B"/>
    <w:rsid w:val="F32BD64E"/>
    <w:rsid w:val="F3D777E8"/>
    <w:rsid w:val="F42EF78E"/>
    <w:rsid w:val="F4A75012"/>
    <w:rsid w:val="F6CDD30B"/>
    <w:rsid w:val="F6DE52F0"/>
    <w:rsid w:val="F7EE293A"/>
    <w:rsid w:val="F93EA539"/>
    <w:rsid w:val="F95E374D"/>
    <w:rsid w:val="F9B59018"/>
    <w:rsid w:val="F9FE0230"/>
    <w:rsid w:val="FBDE44AF"/>
    <w:rsid w:val="FBFEDD9D"/>
    <w:rsid w:val="FCE3CC19"/>
    <w:rsid w:val="FDF349D0"/>
    <w:rsid w:val="FE4F92C5"/>
    <w:rsid w:val="FE9BB577"/>
    <w:rsid w:val="FE9F6E8D"/>
    <w:rsid w:val="FF36C1F6"/>
    <w:rsid w:val="FF3B5910"/>
    <w:rsid w:val="FF3B7E23"/>
    <w:rsid w:val="FF5F452C"/>
    <w:rsid w:val="FF6F3FEC"/>
    <w:rsid w:val="FF7ADA94"/>
    <w:rsid w:val="FF9B30B2"/>
    <w:rsid w:val="FFB77F5C"/>
    <w:rsid w:val="FFBB0D63"/>
    <w:rsid w:val="FFBDE6A1"/>
    <w:rsid w:val="FFDFDFAC"/>
    <w:rsid w:val="FFE3435B"/>
    <w:rsid w:val="FFEDE287"/>
    <w:rsid w:val="FFEE84BE"/>
    <w:rsid w:val="FFF175A0"/>
    <w:rsid w:val="FFF70874"/>
    <w:rsid w:val="FFF7EF9C"/>
    <w:rsid w:val="FFFB15E2"/>
    <w:rsid w:val="FFFBFA7A"/>
    <w:rsid w:val="FFFD0C44"/>
    <w:rsid w:val="FFFD57F0"/>
    <w:rsid w:val="FFFE4EDE"/>
    <w:rsid w:val="FFFF40E0"/>
    <w:rsid w:val="FFFF57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qFormat="1" w:unhideWhenUsed="0" w:uiPriority="0" w:semiHidden="0"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3"/>
    <w:qFormat/>
    <w:uiPriority w:val="9"/>
    <w:pPr>
      <w:keepNext/>
      <w:keepLines/>
      <w:spacing w:before="260" w:after="260" w:line="416" w:lineRule="auto"/>
      <w:outlineLvl w:val="2"/>
    </w:pPr>
    <w:rPr>
      <w:b/>
      <w:bCs/>
      <w:sz w:val="32"/>
      <w:szCs w:val="32"/>
    </w:rPr>
  </w:style>
  <w:style w:type="paragraph" w:styleId="5">
    <w:name w:val="heading 4"/>
    <w:basedOn w:val="1"/>
    <w:next w:val="1"/>
    <w:link w:val="44"/>
    <w:qFormat/>
    <w:uiPriority w:val="0"/>
    <w:pPr>
      <w:numPr>
        <w:ilvl w:val="3"/>
        <w:numId w:val="1"/>
      </w:numPr>
      <w:tabs>
        <w:tab w:val="left" w:pos="2155"/>
      </w:tabs>
      <w:adjustRightInd w:val="0"/>
      <w:spacing w:before="120" w:line="360" w:lineRule="auto"/>
      <w:outlineLvl w:val="3"/>
    </w:pPr>
    <w:rPr>
      <w:rFonts w:ascii="Arial" w:eastAsia="黑体"/>
      <w:kern w:val="0"/>
      <w:sz w:val="28"/>
      <w:szCs w:val="20"/>
    </w:rPr>
  </w:style>
  <w:style w:type="paragraph" w:styleId="6">
    <w:name w:val="heading 5"/>
    <w:basedOn w:val="1"/>
    <w:next w:val="7"/>
    <w:link w:val="45"/>
    <w:qFormat/>
    <w:uiPriority w:val="9"/>
    <w:pPr>
      <w:keepNext/>
      <w:keepLines/>
      <w:spacing w:before="280" w:after="290" w:line="376" w:lineRule="auto"/>
      <w:outlineLvl w:val="4"/>
    </w:pPr>
    <w:rPr>
      <w:b/>
      <w:bCs/>
      <w:sz w:val="28"/>
      <w:szCs w:val="28"/>
    </w:rPr>
  </w:style>
  <w:style w:type="paragraph" w:styleId="8">
    <w:name w:val="heading 8"/>
    <w:basedOn w:val="1"/>
    <w:next w:val="1"/>
    <w:link w:val="46"/>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Document Map"/>
    <w:basedOn w:val="1"/>
    <w:link w:val="47"/>
    <w:qFormat/>
    <w:uiPriority w:val="0"/>
    <w:rPr>
      <w:rFonts w:ascii="宋体"/>
      <w:sz w:val="18"/>
      <w:szCs w:val="18"/>
    </w:rPr>
  </w:style>
  <w:style w:type="paragraph" w:styleId="11">
    <w:name w:val="annotation text"/>
    <w:basedOn w:val="1"/>
    <w:link w:val="48"/>
    <w:qFormat/>
    <w:uiPriority w:val="0"/>
    <w:pPr>
      <w:jc w:val="left"/>
    </w:pPr>
  </w:style>
  <w:style w:type="paragraph" w:styleId="12">
    <w:name w:val="Body Text 3"/>
    <w:basedOn w:val="1"/>
    <w:link w:val="49"/>
    <w:unhideWhenUsed/>
    <w:qFormat/>
    <w:uiPriority w:val="99"/>
    <w:pPr>
      <w:spacing w:after="120"/>
    </w:pPr>
    <w:rPr>
      <w:sz w:val="16"/>
      <w:szCs w:val="16"/>
    </w:rPr>
  </w:style>
  <w:style w:type="paragraph" w:styleId="13">
    <w:name w:val="Body Text"/>
    <w:basedOn w:val="1"/>
    <w:next w:val="1"/>
    <w:link w:val="50"/>
    <w:unhideWhenUsed/>
    <w:qFormat/>
    <w:uiPriority w:val="0"/>
    <w:pPr>
      <w:spacing w:after="120"/>
    </w:pPr>
  </w:style>
  <w:style w:type="paragraph" w:styleId="14">
    <w:name w:val="Body Text Indent"/>
    <w:basedOn w:val="1"/>
    <w:link w:val="51"/>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0"/>
    <w:pPr>
      <w:ind w:left="100" w:leftChars="200" w:hanging="200" w:hangingChars="200"/>
      <w:contextualSpacing/>
    </w:pPr>
  </w:style>
  <w:style w:type="paragraph" w:styleId="16">
    <w:name w:val="toc 3"/>
    <w:basedOn w:val="1"/>
    <w:next w:val="1"/>
    <w:unhideWhenUsed/>
    <w:qFormat/>
    <w:uiPriority w:val="39"/>
    <w:pPr>
      <w:ind w:left="840" w:leftChars="400"/>
    </w:pPr>
  </w:style>
  <w:style w:type="paragraph" w:styleId="17">
    <w:name w:val="Plain Text"/>
    <w:basedOn w:val="1"/>
    <w:link w:val="52"/>
    <w:qFormat/>
    <w:uiPriority w:val="0"/>
    <w:rPr>
      <w:rFonts w:ascii="宋体" w:hAnsi="Courier New"/>
      <w:kern w:val="0"/>
      <w:sz w:val="20"/>
      <w:szCs w:val="21"/>
    </w:rPr>
  </w:style>
  <w:style w:type="paragraph" w:styleId="18">
    <w:name w:val="Date"/>
    <w:basedOn w:val="1"/>
    <w:next w:val="1"/>
    <w:link w:val="53"/>
    <w:unhideWhenUsed/>
    <w:qFormat/>
    <w:uiPriority w:val="99"/>
    <w:pPr>
      <w:ind w:left="100" w:leftChars="2500"/>
    </w:pPr>
  </w:style>
  <w:style w:type="paragraph" w:styleId="19">
    <w:name w:val="Body Text Indent 2"/>
    <w:basedOn w:val="1"/>
    <w:qFormat/>
    <w:uiPriority w:val="0"/>
    <w:pPr>
      <w:ind w:firstLine="630"/>
    </w:pPr>
    <w:rPr>
      <w:sz w:val="32"/>
      <w:szCs w:val="20"/>
    </w:rPr>
  </w:style>
  <w:style w:type="paragraph" w:styleId="20">
    <w:name w:val="Balloon Text"/>
    <w:basedOn w:val="1"/>
    <w:link w:val="54"/>
    <w:qFormat/>
    <w:uiPriority w:val="0"/>
    <w:rPr>
      <w:sz w:val="18"/>
      <w:szCs w:val="18"/>
    </w:rPr>
  </w:style>
  <w:style w:type="paragraph" w:styleId="21">
    <w:name w:val="footer"/>
    <w:basedOn w:val="1"/>
    <w:link w:val="55"/>
    <w:unhideWhenUsed/>
    <w:qFormat/>
    <w:uiPriority w:val="99"/>
    <w:pPr>
      <w:tabs>
        <w:tab w:val="center" w:pos="4153"/>
        <w:tab w:val="right" w:pos="8306"/>
      </w:tabs>
      <w:snapToGrid w:val="0"/>
      <w:jc w:val="left"/>
    </w:pPr>
    <w:rPr>
      <w:kern w:val="0"/>
      <w:sz w:val="18"/>
      <w:szCs w:val="18"/>
    </w:rPr>
  </w:style>
  <w:style w:type="paragraph" w:styleId="22">
    <w:name w:val="header"/>
    <w:basedOn w:val="1"/>
    <w:link w:val="5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List"/>
    <w:basedOn w:val="1"/>
    <w:unhideWhenUsed/>
    <w:qFormat/>
    <w:uiPriority w:val="0"/>
    <w:pPr>
      <w:ind w:left="200" w:hanging="200" w:hangingChars="200"/>
      <w:contextualSpacing/>
    </w:pPr>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0"/>
    <w:rPr>
      <w:rFonts w:ascii="Calibri" w:hAnsi="Calibri"/>
      <w:kern w:val="0"/>
      <w:sz w:val="24"/>
    </w:rPr>
  </w:style>
  <w:style w:type="paragraph" w:styleId="27">
    <w:name w:val="Title"/>
    <w:basedOn w:val="1"/>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28">
    <w:name w:val="annotation subject"/>
    <w:basedOn w:val="11"/>
    <w:next w:val="11"/>
    <w:link w:val="57"/>
    <w:qFormat/>
    <w:uiPriority w:val="99"/>
    <w:rPr>
      <w:b/>
      <w:bCs/>
    </w:rPr>
  </w:style>
  <w:style w:type="paragraph" w:styleId="29">
    <w:name w:val="Body Text First Indent"/>
    <w:basedOn w:val="13"/>
    <w:qFormat/>
    <w:uiPriority w:val="0"/>
    <w:pPr>
      <w:ind w:firstLine="420" w:firstLineChars="100"/>
    </w:pPr>
    <w:rPr>
      <w:szCs w:val="20"/>
    </w:rPr>
  </w:style>
  <w:style w:type="paragraph" w:styleId="30">
    <w:name w:val="Body Text First Indent 2"/>
    <w:basedOn w:val="14"/>
    <w:next w:val="1"/>
    <w:link w:val="58"/>
    <w:unhideWhenUsed/>
    <w:qFormat/>
    <w:uiPriority w:val="99"/>
    <w:pPr>
      <w:spacing w:after="120"/>
      <w:ind w:left="420" w:leftChars="200" w:firstLine="420" w:firstLineChars="200"/>
    </w:pPr>
    <w:rPr>
      <w:rFonts w:ascii="Times New Roman" w:eastAsia="宋体"/>
      <w:kern w:val="2"/>
      <w:sz w:val="21"/>
      <w:szCs w:val="24"/>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22"/>
    <w:rPr>
      <w:b/>
    </w:rPr>
  </w:style>
  <w:style w:type="character" w:styleId="35">
    <w:name w:val="endnote reference"/>
    <w:unhideWhenUsed/>
    <w:qFormat/>
    <w:uiPriority w:val="99"/>
    <w:rPr>
      <w:vertAlign w:val="superscript"/>
    </w:rPr>
  </w:style>
  <w:style w:type="character" w:styleId="36">
    <w:name w:val="page number"/>
    <w:qFormat/>
    <w:uiPriority w:val="0"/>
  </w:style>
  <w:style w:type="character" w:styleId="37">
    <w:name w:val="FollowedHyperlink"/>
    <w:unhideWhenUsed/>
    <w:qFormat/>
    <w:uiPriority w:val="99"/>
    <w:rPr>
      <w:color w:val="800080"/>
      <w:u w:val="single"/>
    </w:rPr>
  </w:style>
  <w:style w:type="character" w:styleId="38">
    <w:name w:val="Hyperlink"/>
    <w:unhideWhenUsed/>
    <w:qFormat/>
    <w:uiPriority w:val="99"/>
    <w:rPr>
      <w:color w:val="0000FF"/>
      <w:u w:val="single"/>
    </w:rPr>
  </w:style>
  <w:style w:type="character" w:styleId="39">
    <w:name w:val="annotation reference"/>
    <w:qFormat/>
    <w:uiPriority w:val="99"/>
    <w:rPr>
      <w:sz w:val="21"/>
      <w:szCs w:val="21"/>
    </w:rPr>
  </w:style>
  <w:style w:type="character" w:styleId="40">
    <w:name w:val="HTML Sample"/>
    <w:basedOn w:val="33"/>
    <w:unhideWhenUsed/>
    <w:qFormat/>
    <w:uiPriority w:val="99"/>
    <w:rPr>
      <w:rFonts w:ascii="Courier New" w:hAnsi="Courier New"/>
    </w:rPr>
  </w:style>
  <w:style w:type="character" w:customStyle="1" w:styleId="41">
    <w:name w:val="标题 1 字符2"/>
    <w:link w:val="2"/>
    <w:qFormat/>
    <w:uiPriority w:val="9"/>
    <w:rPr>
      <w:b/>
      <w:bCs/>
      <w:kern w:val="44"/>
      <w:sz w:val="44"/>
      <w:szCs w:val="44"/>
    </w:rPr>
  </w:style>
  <w:style w:type="character" w:customStyle="1" w:styleId="42">
    <w:name w:val="标题 2 字符1"/>
    <w:link w:val="3"/>
    <w:qFormat/>
    <w:uiPriority w:val="9"/>
    <w:rPr>
      <w:rFonts w:ascii="Cambria" w:hAnsi="Cambria" w:eastAsia="宋体" w:cs="Times New Roman"/>
      <w:b/>
      <w:bCs/>
      <w:kern w:val="2"/>
      <w:sz w:val="32"/>
      <w:szCs w:val="32"/>
    </w:rPr>
  </w:style>
  <w:style w:type="character" w:customStyle="1" w:styleId="43">
    <w:name w:val="标题 3 字符1"/>
    <w:link w:val="4"/>
    <w:qFormat/>
    <w:uiPriority w:val="9"/>
    <w:rPr>
      <w:b/>
      <w:bCs/>
      <w:kern w:val="2"/>
      <w:sz w:val="32"/>
      <w:szCs w:val="32"/>
    </w:rPr>
  </w:style>
  <w:style w:type="character" w:customStyle="1" w:styleId="44">
    <w:name w:val="标题 4 字符"/>
    <w:link w:val="5"/>
    <w:qFormat/>
    <w:uiPriority w:val="0"/>
    <w:rPr>
      <w:rFonts w:ascii="Arial" w:eastAsia="黑体"/>
      <w:sz w:val="28"/>
    </w:rPr>
  </w:style>
  <w:style w:type="character" w:customStyle="1" w:styleId="45">
    <w:name w:val="标题 5 字符1"/>
    <w:link w:val="6"/>
    <w:qFormat/>
    <w:uiPriority w:val="9"/>
    <w:rPr>
      <w:rFonts w:ascii="Times New Roman" w:hAnsi="Times New Roman"/>
      <w:b/>
      <w:bCs/>
      <w:kern w:val="2"/>
      <w:sz w:val="28"/>
      <w:szCs w:val="28"/>
    </w:rPr>
  </w:style>
  <w:style w:type="character" w:customStyle="1" w:styleId="46">
    <w:name w:val="标题 8 字符1"/>
    <w:link w:val="8"/>
    <w:qFormat/>
    <w:uiPriority w:val="9"/>
    <w:rPr>
      <w:rFonts w:ascii="等线 Light" w:hAnsi="等线 Light" w:eastAsia="等线 Light" w:cs="Times New Roman"/>
      <w:kern w:val="2"/>
      <w:sz w:val="24"/>
      <w:szCs w:val="24"/>
    </w:rPr>
  </w:style>
  <w:style w:type="character" w:customStyle="1" w:styleId="47">
    <w:name w:val="文档结构图 字符"/>
    <w:link w:val="10"/>
    <w:qFormat/>
    <w:uiPriority w:val="0"/>
    <w:rPr>
      <w:rFonts w:ascii="宋体"/>
      <w:kern w:val="2"/>
      <w:sz w:val="18"/>
      <w:szCs w:val="18"/>
    </w:rPr>
  </w:style>
  <w:style w:type="character" w:customStyle="1" w:styleId="48">
    <w:name w:val="批注文字 字符3"/>
    <w:link w:val="11"/>
    <w:qFormat/>
    <w:uiPriority w:val="0"/>
    <w:rPr>
      <w:rFonts w:ascii="Times New Roman" w:hAnsi="Times New Roman"/>
      <w:kern w:val="2"/>
      <w:sz w:val="21"/>
      <w:szCs w:val="24"/>
    </w:rPr>
  </w:style>
  <w:style w:type="character" w:customStyle="1" w:styleId="49">
    <w:name w:val="正文文本 3 字符1"/>
    <w:link w:val="12"/>
    <w:qFormat/>
    <w:uiPriority w:val="99"/>
    <w:rPr>
      <w:kern w:val="2"/>
      <w:sz w:val="16"/>
      <w:szCs w:val="16"/>
    </w:rPr>
  </w:style>
  <w:style w:type="character" w:customStyle="1" w:styleId="50">
    <w:name w:val="正文文本 字符2"/>
    <w:link w:val="13"/>
    <w:qFormat/>
    <w:uiPriority w:val="0"/>
    <w:rPr>
      <w:rFonts w:ascii="Times New Roman" w:hAnsi="Times New Roman"/>
      <w:kern w:val="2"/>
      <w:sz w:val="21"/>
      <w:szCs w:val="24"/>
    </w:rPr>
  </w:style>
  <w:style w:type="character" w:customStyle="1" w:styleId="51">
    <w:name w:val="正文文本缩进 字符1"/>
    <w:link w:val="14"/>
    <w:qFormat/>
    <w:uiPriority w:val="0"/>
    <w:rPr>
      <w:rFonts w:ascii="仿宋_GB2312" w:hAnsi="Times New Roman" w:eastAsia="仿宋_GB2312" w:cs="Times New Roman"/>
      <w:sz w:val="32"/>
      <w:szCs w:val="20"/>
    </w:rPr>
  </w:style>
  <w:style w:type="character" w:customStyle="1" w:styleId="52">
    <w:name w:val="纯文本 字符4"/>
    <w:link w:val="17"/>
    <w:qFormat/>
    <w:uiPriority w:val="0"/>
    <w:rPr>
      <w:rFonts w:ascii="宋体" w:hAnsi="Courier New" w:eastAsia="宋体" w:cs="Courier New"/>
      <w:szCs w:val="21"/>
    </w:rPr>
  </w:style>
  <w:style w:type="character" w:customStyle="1" w:styleId="53">
    <w:name w:val="日期 字符1"/>
    <w:link w:val="18"/>
    <w:qFormat/>
    <w:uiPriority w:val="99"/>
    <w:rPr>
      <w:rFonts w:ascii="Times New Roman" w:hAnsi="Times New Roman"/>
      <w:kern w:val="2"/>
      <w:sz w:val="21"/>
      <w:szCs w:val="24"/>
    </w:rPr>
  </w:style>
  <w:style w:type="character" w:customStyle="1" w:styleId="54">
    <w:name w:val="批注框文本 字符"/>
    <w:link w:val="20"/>
    <w:qFormat/>
    <w:uiPriority w:val="0"/>
    <w:rPr>
      <w:kern w:val="2"/>
      <w:sz w:val="18"/>
      <w:szCs w:val="18"/>
    </w:rPr>
  </w:style>
  <w:style w:type="character" w:customStyle="1" w:styleId="55">
    <w:name w:val="页脚 字符1"/>
    <w:link w:val="21"/>
    <w:qFormat/>
    <w:uiPriority w:val="99"/>
    <w:rPr>
      <w:sz w:val="18"/>
      <w:szCs w:val="18"/>
    </w:rPr>
  </w:style>
  <w:style w:type="character" w:customStyle="1" w:styleId="56">
    <w:name w:val="页眉 字符1"/>
    <w:link w:val="22"/>
    <w:qFormat/>
    <w:uiPriority w:val="99"/>
    <w:rPr>
      <w:sz w:val="18"/>
      <w:szCs w:val="18"/>
    </w:rPr>
  </w:style>
  <w:style w:type="character" w:customStyle="1" w:styleId="57">
    <w:name w:val="批注主题 字符1"/>
    <w:link w:val="28"/>
    <w:qFormat/>
    <w:uiPriority w:val="99"/>
    <w:rPr>
      <w:rFonts w:ascii="Times New Roman" w:hAnsi="Times New Roman"/>
      <w:b/>
      <w:bCs/>
      <w:kern w:val="2"/>
      <w:sz w:val="21"/>
      <w:szCs w:val="24"/>
    </w:rPr>
  </w:style>
  <w:style w:type="character" w:customStyle="1" w:styleId="58">
    <w:name w:val="正文首行缩进 2 字符"/>
    <w:link w:val="30"/>
    <w:semiHidden/>
    <w:qFormat/>
    <w:uiPriority w:val="99"/>
    <w:rPr>
      <w:kern w:val="2"/>
      <w:sz w:val="21"/>
      <w:szCs w:val="24"/>
    </w:rPr>
  </w:style>
  <w:style w:type="character" w:customStyle="1" w:styleId="59">
    <w:name w:val="标题 2 Char"/>
    <w:qFormat/>
    <w:uiPriority w:val="9"/>
    <w:rPr>
      <w:rFonts w:ascii="Cambria" w:hAnsi="Cambria" w:eastAsia="宋体" w:cs="Times New Roman"/>
      <w:b/>
      <w:bCs/>
      <w:kern w:val="2"/>
      <w:sz w:val="32"/>
      <w:szCs w:val="32"/>
    </w:rPr>
  </w:style>
  <w:style w:type="character" w:customStyle="1" w:styleId="60">
    <w:name w:val="纯文本 字符2"/>
    <w:qFormat/>
    <w:uiPriority w:val="0"/>
    <w:rPr>
      <w:rFonts w:ascii="宋体" w:hAnsi="Courier New" w:eastAsia="宋体" w:cs="Courier New"/>
      <w:szCs w:val="21"/>
    </w:rPr>
  </w:style>
  <w:style w:type="character" w:customStyle="1" w:styleId="61">
    <w:name w:val="apple-style-span"/>
    <w:qFormat/>
    <w:uiPriority w:val="0"/>
  </w:style>
  <w:style w:type="character" w:customStyle="1" w:styleId="62">
    <w:name w:val="纯文本 字符"/>
    <w:qFormat/>
    <w:uiPriority w:val="0"/>
    <w:rPr>
      <w:rFonts w:ascii="宋体" w:hAnsi="Courier New" w:eastAsia="宋体" w:cs="Courier New"/>
      <w:szCs w:val="21"/>
    </w:rPr>
  </w:style>
  <w:style w:type="character" w:customStyle="1" w:styleId="63">
    <w:name w:val="纯文本 字符1"/>
    <w:qFormat/>
    <w:uiPriority w:val="0"/>
    <w:rPr>
      <w:rFonts w:ascii="宋体" w:hAnsi="Courier New"/>
    </w:rPr>
  </w:style>
  <w:style w:type="character" w:customStyle="1" w:styleId="64">
    <w:name w:val="标题 8 Char"/>
    <w:qFormat/>
    <w:uiPriority w:val="0"/>
    <w:rPr>
      <w:rFonts w:ascii="Arial" w:hAnsi="Arial" w:eastAsia="黑体"/>
      <w:kern w:val="2"/>
      <w:sz w:val="24"/>
      <w:szCs w:val="24"/>
    </w:rPr>
  </w:style>
  <w:style w:type="character" w:customStyle="1" w:styleId="65">
    <w:name w:val="纯文本 Char"/>
    <w:qFormat/>
    <w:uiPriority w:val="0"/>
    <w:rPr>
      <w:rFonts w:ascii="宋体" w:hAnsi="Courier New" w:eastAsia="宋体" w:cs="Courier New"/>
      <w:szCs w:val="21"/>
    </w:rPr>
  </w:style>
  <w:style w:type="character" w:customStyle="1" w:styleId="66">
    <w:name w:val="正文文本 Char"/>
    <w:qFormat/>
    <w:uiPriority w:val="0"/>
    <w:rPr>
      <w:rFonts w:ascii="Times New Roman" w:hAnsi="Times New Roman"/>
      <w:kern w:val="2"/>
      <w:sz w:val="21"/>
      <w:szCs w:val="24"/>
    </w:rPr>
  </w:style>
  <w:style w:type="character" w:customStyle="1" w:styleId="67">
    <w:name w:val="批注文字 字符1"/>
    <w:qFormat/>
    <w:uiPriority w:val="0"/>
    <w:rPr>
      <w:rFonts w:ascii="Times New Roman" w:hAnsi="Times New Roman"/>
      <w:kern w:val="2"/>
      <w:sz w:val="21"/>
      <w:szCs w:val="24"/>
    </w:rPr>
  </w:style>
  <w:style w:type="character" w:customStyle="1" w:styleId="6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9">
    <w:name w:val="标题 1 字符1"/>
    <w:qFormat/>
    <w:uiPriority w:val="0"/>
    <w:rPr>
      <w:b/>
      <w:bCs/>
      <w:kern w:val="44"/>
      <w:sz w:val="44"/>
      <w:szCs w:val="44"/>
    </w:rPr>
  </w:style>
  <w:style w:type="character" w:customStyle="1" w:styleId="70">
    <w:name w:val="正文文本 字符"/>
    <w:qFormat/>
    <w:uiPriority w:val="0"/>
    <w:rPr>
      <w:rFonts w:ascii="Times New Roman" w:hAnsi="Times New Roman"/>
      <w:kern w:val="2"/>
      <w:sz w:val="21"/>
      <w:szCs w:val="24"/>
    </w:rPr>
  </w:style>
  <w:style w:type="character" w:customStyle="1" w:styleId="71">
    <w:name w:val="批注文字 字符"/>
    <w:qFormat/>
    <w:uiPriority w:val="0"/>
    <w:rPr>
      <w:rFonts w:ascii="Times New Roman" w:hAnsi="Times New Roman"/>
      <w:kern w:val="2"/>
      <w:sz w:val="21"/>
      <w:szCs w:val="24"/>
    </w:rPr>
  </w:style>
  <w:style w:type="character" w:customStyle="1" w:styleId="72">
    <w:name w:val="textcontents"/>
    <w:qFormat/>
    <w:uiPriority w:val="0"/>
  </w:style>
  <w:style w:type="character" w:customStyle="1" w:styleId="73">
    <w:name w:val="批注文字 Char"/>
    <w:qFormat/>
    <w:uiPriority w:val="0"/>
    <w:rPr>
      <w:rFonts w:ascii="Times New Roman" w:hAnsi="Times New Roman"/>
      <w:kern w:val="2"/>
      <w:sz w:val="21"/>
      <w:szCs w:val="24"/>
    </w:rPr>
  </w:style>
  <w:style w:type="paragraph" w:customStyle="1" w:styleId="74">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75">
    <w:name w:val="List Paragraph"/>
    <w:basedOn w:val="1"/>
    <w:qFormat/>
    <w:uiPriority w:val="99"/>
    <w:pPr>
      <w:ind w:firstLine="420" w:firstLineChars="200"/>
    </w:pPr>
  </w:style>
  <w:style w:type="paragraph" w:customStyle="1" w:styleId="76">
    <w:name w:val="默认段落字体 Para Char Char Char Char Char Char Char Char Char1 Char Char Char Char"/>
    <w:basedOn w:val="1"/>
    <w:qFormat/>
    <w:uiPriority w:val="99"/>
    <w:rPr>
      <w:rFonts w:ascii="Tahoma" w:hAnsi="Tahoma"/>
      <w:sz w:val="24"/>
      <w:szCs w:val="20"/>
    </w:rPr>
  </w:style>
  <w:style w:type="paragraph" w:customStyle="1" w:styleId="77">
    <w:name w:val="Table Paragraph"/>
    <w:basedOn w:val="1"/>
    <w:qFormat/>
    <w:uiPriority w:val="1"/>
    <w:pPr>
      <w:jc w:val="left"/>
    </w:pPr>
    <w:rPr>
      <w:rFonts w:ascii="Calibri" w:hAnsi="Calibri"/>
      <w:kern w:val="0"/>
      <w:sz w:val="22"/>
      <w:szCs w:val="22"/>
      <w:lang w:eastAsia="en-US"/>
    </w:rPr>
  </w:style>
  <w:style w:type="paragraph" w:customStyle="1" w:styleId="78">
    <w:name w:val="Char Char Char Char"/>
    <w:basedOn w:val="1"/>
    <w:qFormat/>
    <w:uiPriority w:val="99"/>
    <w:pPr>
      <w:widowControl/>
      <w:spacing w:after="160" w:line="240" w:lineRule="exact"/>
      <w:jc w:val="left"/>
    </w:pPr>
  </w:style>
  <w:style w:type="character" w:customStyle="1" w:styleId="79">
    <w:name w:val="未处理的提及"/>
    <w:unhideWhenUsed/>
    <w:qFormat/>
    <w:uiPriority w:val="99"/>
    <w:rPr>
      <w:color w:val="605E5C"/>
      <w:shd w:val="clear" w:color="auto" w:fill="E1DFDD"/>
    </w:rPr>
  </w:style>
  <w:style w:type="paragraph" w:customStyle="1" w:styleId="80">
    <w:name w:val="_Style 77"/>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81">
    <w:name w:val="正文2 Char Char"/>
    <w:link w:val="82"/>
    <w:qFormat/>
    <w:uiPriority w:val="0"/>
    <w:rPr>
      <w:sz w:val="24"/>
    </w:rPr>
  </w:style>
  <w:style w:type="paragraph" w:customStyle="1" w:styleId="82">
    <w:name w:val="正文2"/>
    <w:basedOn w:val="1"/>
    <w:link w:val="81"/>
    <w:qFormat/>
    <w:uiPriority w:val="0"/>
    <w:pPr>
      <w:adjustRightInd w:val="0"/>
      <w:spacing w:before="156" w:line="360" w:lineRule="auto"/>
      <w:ind w:firstLine="510" w:firstLineChars="200"/>
    </w:pPr>
    <w:rPr>
      <w:kern w:val="0"/>
      <w:sz w:val="24"/>
      <w:szCs w:val="20"/>
    </w:rPr>
  </w:style>
  <w:style w:type="paragraph" w:customStyle="1" w:styleId="8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4">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85">
    <w:name w:val="标题 1 字符"/>
    <w:qFormat/>
    <w:uiPriority w:val="9"/>
    <w:rPr>
      <w:b/>
      <w:bCs/>
      <w:kern w:val="44"/>
      <w:sz w:val="44"/>
      <w:szCs w:val="44"/>
    </w:rPr>
  </w:style>
  <w:style w:type="character" w:customStyle="1" w:styleId="86">
    <w:name w:val="标题 2 字符"/>
    <w:qFormat/>
    <w:uiPriority w:val="9"/>
    <w:rPr>
      <w:rFonts w:ascii="Cambria" w:hAnsi="Cambria"/>
      <w:b/>
      <w:bCs/>
      <w:kern w:val="2"/>
      <w:sz w:val="32"/>
      <w:szCs w:val="32"/>
    </w:rPr>
  </w:style>
  <w:style w:type="character" w:customStyle="1" w:styleId="87">
    <w:name w:val="标题 3 字符"/>
    <w:qFormat/>
    <w:uiPriority w:val="9"/>
    <w:rPr>
      <w:b/>
      <w:bCs/>
      <w:kern w:val="2"/>
      <w:sz w:val="32"/>
      <w:szCs w:val="32"/>
    </w:rPr>
  </w:style>
  <w:style w:type="character" w:customStyle="1" w:styleId="88">
    <w:name w:val="标题 5 字符"/>
    <w:qFormat/>
    <w:uiPriority w:val="9"/>
    <w:rPr>
      <w:b/>
      <w:bCs/>
      <w:kern w:val="2"/>
      <w:sz w:val="28"/>
      <w:szCs w:val="28"/>
    </w:rPr>
  </w:style>
  <w:style w:type="character" w:customStyle="1" w:styleId="89">
    <w:name w:val="标题 8 字符"/>
    <w:qFormat/>
    <w:uiPriority w:val="9"/>
    <w:rPr>
      <w:rFonts w:ascii="等线 Light" w:hAnsi="等线 Light" w:eastAsia="等线 Light"/>
      <w:kern w:val="2"/>
      <w:sz w:val="24"/>
      <w:szCs w:val="24"/>
    </w:rPr>
  </w:style>
  <w:style w:type="character" w:customStyle="1" w:styleId="90">
    <w:name w:val="批注文字 字符2"/>
    <w:qFormat/>
    <w:uiPriority w:val="99"/>
    <w:rPr>
      <w:kern w:val="2"/>
      <w:sz w:val="21"/>
      <w:szCs w:val="24"/>
    </w:rPr>
  </w:style>
  <w:style w:type="character" w:customStyle="1" w:styleId="91">
    <w:name w:val="正文文本 3 字符"/>
    <w:qFormat/>
    <w:uiPriority w:val="99"/>
    <w:rPr>
      <w:kern w:val="2"/>
      <w:sz w:val="16"/>
      <w:szCs w:val="16"/>
    </w:rPr>
  </w:style>
  <w:style w:type="character" w:customStyle="1" w:styleId="92">
    <w:name w:val="正文文本 字符1"/>
    <w:qFormat/>
    <w:uiPriority w:val="99"/>
    <w:rPr>
      <w:kern w:val="2"/>
      <w:sz w:val="21"/>
      <w:szCs w:val="24"/>
    </w:rPr>
  </w:style>
  <w:style w:type="character" w:customStyle="1" w:styleId="93">
    <w:name w:val="正文文本缩进 字符"/>
    <w:qFormat/>
    <w:uiPriority w:val="99"/>
    <w:rPr>
      <w:rFonts w:ascii="仿宋_GB2312" w:eastAsia="仿宋_GB2312"/>
      <w:sz w:val="32"/>
    </w:rPr>
  </w:style>
  <w:style w:type="character" w:customStyle="1" w:styleId="94">
    <w:name w:val="纯文本 字符3"/>
    <w:qFormat/>
    <w:uiPriority w:val="99"/>
    <w:rPr>
      <w:rFonts w:ascii="宋体" w:hAnsi="Courier New"/>
      <w:szCs w:val="21"/>
    </w:rPr>
  </w:style>
  <w:style w:type="character" w:customStyle="1" w:styleId="95">
    <w:name w:val="日期 字符"/>
    <w:qFormat/>
    <w:uiPriority w:val="99"/>
    <w:rPr>
      <w:kern w:val="2"/>
      <w:sz w:val="21"/>
      <w:szCs w:val="24"/>
    </w:rPr>
  </w:style>
  <w:style w:type="character" w:customStyle="1" w:styleId="96">
    <w:name w:val="页脚 字符"/>
    <w:qFormat/>
    <w:uiPriority w:val="99"/>
    <w:rPr>
      <w:sz w:val="18"/>
      <w:szCs w:val="18"/>
    </w:rPr>
  </w:style>
  <w:style w:type="character" w:customStyle="1" w:styleId="97">
    <w:name w:val="页眉 字符"/>
    <w:qFormat/>
    <w:uiPriority w:val="99"/>
    <w:rPr>
      <w:sz w:val="18"/>
      <w:szCs w:val="18"/>
    </w:rPr>
  </w:style>
  <w:style w:type="character" w:customStyle="1" w:styleId="98">
    <w:name w:val="批注主题 字符"/>
    <w:qFormat/>
    <w:uiPriority w:val="99"/>
    <w:rPr>
      <w:rFonts w:ascii="Times New Roman" w:hAnsi="Times New Roman"/>
      <w:b/>
      <w:bCs/>
      <w:kern w:val="2"/>
      <w:sz w:val="21"/>
      <w:szCs w:val="24"/>
    </w:rPr>
  </w:style>
  <w:style w:type="paragraph" w:customStyle="1" w:styleId="99">
    <w:name w:val="_Style 94"/>
    <w:basedOn w:val="1"/>
    <w:unhideWhenUsed/>
    <w:qFormat/>
    <w:uiPriority w:val="99"/>
  </w:style>
  <w:style w:type="paragraph" w:customStyle="1" w:styleId="100">
    <w:name w:val="_Style 95"/>
    <w:basedOn w:val="1"/>
    <w:unhideWhenUsed/>
    <w:qFormat/>
    <w:uiPriority w:val="99"/>
  </w:style>
  <w:style w:type="paragraph" w:customStyle="1" w:styleId="101">
    <w:name w:val="msonormal"/>
    <w:basedOn w:val="1"/>
    <w:qFormat/>
    <w:uiPriority w:val="99"/>
    <w:rPr>
      <w:rFonts w:ascii="Calibri" w:hAnsi="Calibri"/>
      <w:kern w:val="0"/>
      <w:sz w:val="24"/>
    </w:rPr>
  </w:style>
  <w:style w:type="paragraph" w:customStyle="1" w:styleId="102">
    <w:name w:val="正文首行缩进 21"/>
    <w:basedOn w:val="14"/>
    <w:next w:val="30"/>
    <w:qFormat/>
    <w:uiPriority w:val="0"/>
  </w:style>
  <w:style w:type="paragraph" w:customStyle="1" w:styleId="103">
    <w:name w:val="正文1"/>
    <w:basedOn w:val="1"/>
    <w:qFormat/>
    <w:uiPriority w:val="0"/>
    <w:pPr>
      <w:widowControl/>
    </w:pPr>
    <w:rPr>
      <w:szCs w:val="21"/>
    </w:rPr>
  </w:style>
  <w:style w:type="paragraph" w:customStyle="1" w:styleId="10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5">
    <w:name w:val="表格文字"/>
    <w:basedOn w:val="1"/>
    <w:next w:val="13"/>
    <w:qFormat/>
    <w:uiPriority w:val="0"/>
    <w:pPr>
      <w:adjustRightInd w:val="0"/>
      <w:spacing w:line="420" w:lineRule="atLeast"/>
      <w:jc w:val="left"/>
      <w:textAlignment w:val="baseline"/>
    </w:pPr>
    <w:rPr>
      <w:kern w:val="0"/>
    </w:rPr>
  </w:style>
  <w:style w:type="paragraph" w:customStyle="1" w:styleId="106">
    <w:name w:val="WPSOffice手动目录 1"/>
    <w:qFormat/>
    <w:uiPriority w:val="0"/>
    <w:rPr>
      <w:rFonts w:ascii="Times New Roman" w:hAnsi="Times New Roman" w:eastAsia="宋体" w:cs="Times New Roman"/>
      <w:lang w:val="en-US" w:eastAsia="zh-CN" w:bidi="ar-SA"/>
    </w:rPr>
  </w:style>
  <w:style w:type="paragraph" w:customStyle="1" w:styleId="107">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广西云龙招标有限公司</Company>
  <Pages>97</Pages>
  <Words>13738</Words>
  <Characters>15853</Characters>
  <Lines>1</Lines>
  <Paragraphs>1</Paragraphs>
  <TotalTime>0</TotalTime>
  <ScaleCrop>false</ScaleCrop>
  <LinksUpToDate>false</LinksUpToDate>
  <CharactersWithSpaces>16007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2024-09-24T17:40:00Z</dcterms:created>
  <dc:creator>唐冰</dc:creator>
  <cp:lastModifiedBy>代理修改</cp:lastModifiedBy>
  <cp:lastPrinted>2024-10-20T16:48:00Z</cp:lastPrinted>
  <dcterms:modified xsi:type="dcterms:W3CDTF">2026-07-02T07:30:02Z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55D244A92C8C45889C7C7C3A599B078E_13</vt:lpwstr>
  </property>
  <property fmtid="{D5CDD505-2E9C-101B-9397-08002B2CF9AE}" pid="4" name="KSOTemplateDocerSaveRecord">
    <vt:lpwstr>eyJoZGlkIjoiNzdiNjM0YWQ0ZmIxZDA4OTExYjYxNmU4NDQ2ODNmOGQiLCJ1c2VySWQiOiIzMjEyNDk1NjEifQ==</vt:lpwstr>
  </property>
</Properties>
</file>